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A2B5F">
      <w:pPr>
        <w:pStyle w:val="8"/>
        <w:rPr>
          <w:rFonts w:hint="eastAsia"/>
          <w:lang w:eastAsia="zh-CN"/>
        </w:rPr>
      </w:pPr>
      <w:bookmarkStart w:id="4" w:name="_GoBack"/>
      <w:bookmarkEnd w:id="4"/>
    </w:p>
    <w:p w14:paraId="7CB0C725">
      <w:pPr>
        <w:rPr>
          <w:rFonts w:ascii="仿宋_GB2312" w:hAnsi="仿宋_GB2312" w:eastAsia="仿宋_GB2312" w:cs="仿宋_GB2312"/>
          <w:color w:val="auto"/>
          <w:sz w:val="36"/>
          <w:szCs w:val="36"/>
        </w:rPr>
      </w:pPr>
    </w:p>
    <w:p w14:paraId="70B2F55A">
      <w:pPr>
        <w:rPr>
          <w:rFonts w:ascii="仿宋_GB2312" w:hAnsi="仿宋_GB2312" w:eastAsia="仿宋_GB2312" w:cs="仿宋_GB2312"/>
          <w:color w:val="auto"/>
          <w:sz w:val="36"/>
          <w:szCs w:val="36"/>
        </w:rPr>
      </w:pPr>
    </w:p>
    <w:p w14:paraId="405B7EEB">
      <w:pPr>
        <w:rPr>
          <w:rFonts w:ascii="仿宋_GB2312" w:hAnsi="仿宋_GB2312" w:eastAsia="仿宋_GB2312" w:cs="仿宋_GB2312"/>
          <w:color w:val="auto"/>
          <w:sz w:val="36"/>
          <w:szCs w:val="36"/>
        </w:rPr>
      </w:pPr>
    </w:p>
    <w:p w14:paraId="6B093A9A">
      <w:pPr>
        <w:rPr>
          <w:rFonts w:ascii="仿宋_GB2312" w:hAnsi="仿宋_GB2312" w:eastAsia="仿宋_GB2312" w:cs="仿宋_GB2312"/>
          <w:color w:val="auto"/>
          <w:sz w:val="36"/>
          <w:szCs w:val="36"/>
        </w:rPr>
      </w:pPr>
    </w:p>
    <w:p w14:paraId="68693D09">
      <w:pPr>
        <w:adjustRightInd w:val="0"/>
        <w:snapToGrid w:val="0"/>
        <w:jc w:val="center"/>
        <w:outlineLvl w:val="0"/>
        <w:rPr>
          <w:rFonts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14:paraId="1248C2E3">
      <w:pPr>
        <w:adjustRightInd w:val="0"/>
        <w:snapToGrid w:val="0"/>
        <w:spacing w:before="192" w:beforeLines="80"/>
        <w:jc w:val="center"/>
        <w:rPr>
          <w:rFonts w:ascii="楷体_GB2312" w:eastAsia="楷体_GB2312"/>
          <w:bCs/>
          <w:color w:val="auto"/>
          <w:sz w:val="48"/>
          <w:szCs w:val="48"/>
        </w:rPr>
      </w:pPr>
      <w:r>
        <w:rPr>
          <w:rFonts w:hint="eastAsia" w:ascii="楷体_GB2312" w:eastAsia="楷体_GB2312"/>
          <w:bCs/>
          <w:color w:val="auto"/>
          <w:sz w:val="48"/>
          <w:szCs w:val="48"/>
        </w:rPr>
        <w:t>（污染影响类）</w:t>
      </w:r>
    </w:p>
    <w:p w14:paraId="450AC4C4">
      <w:pPr>
        <w:adjustRightInd w:val="0"/>
        <w:snapToGrid w:val="0"/>
        <w:spacing w:line="288" w:lineRule="auto"/>
        <w:jc w:val="center"/>
        <w:outlineLvl w:val="0"/>
        <w:rPr>
          <w:rFonts w:hint="eastAsia" w:ascii="华文仿宋" w:hAnsi="华文仿宋" w:eastAsia="华文仿宋" w:cs="华文仿宋"/>
          <w:color w:val="auto"/>
          <w:kern w:val="44"/>
          <w:sz w:val="24"/>
          <w:szCs w:val="24"/>
          <w:lang w:eastAsia="zh-CN"/>
        </w:rPr>
      </w:pPr>
      <w:r>
        <w:rPr>
          <w:rFonts w:hint="eastAsia" w:ascii="华文仿宋" w:hAnsi="华文仿宋" w:eastAsia="华文仿宋" w:cs="华文仿宋"/>
          <w:color w:val="auto"/>
          <w:kern w:val="44"/>
          <w:sz w:val="24"/>
          <w:szCs w:val="24"/>
          <w:lang w:eastAsia="zh-CN"/>
        </w:rPr>
        <w:t>（</w:t>
      </w:r>
      <w:r>
        <w:rPr>
          <w:rFonts w:hint="eastAsia" w:ascii="华文仿宋" w:hAnsi="华文仿宋" w:eastAsia="华文仿宋" w:cs="华文仿宋"/>
          <w:color w:val="auto"/>
          <w:kern w:val="44"/>
          <w:sz w:val="24"/>
          <w:szCs w:val="24"/>
          <w:lang w:val="en-US" w:eastAsia="zh-CN"/>
        </w:rPr>
        <w:t>送审稿</w:t>
      </w:r>
      <w:r>
        <w:rPr>
          <w:rFonts w:hint="eastAsia" w:ascii="华文仿宋" w:hAnsi="华文仿宋" w:eastAsia="华文仿宋" w:cs="华文仿宋"/>
          <w:color w:val="auto"/>
          <w:kern w:val="44"/>
          <w:sz w:val="24"/>
          <w:szCs w:val="24"/>
          <w:lang w:eastAsia="zh-CN"/>
        </w:rPr>
        <w:t>）</w:t>
      </w:r>
    </w:p>
    <w:p w14:paraId="7B3A526C">
      <w:pPr>
        <w:jc w:val="center"/>
        <w:rPr>
          <w:rFonts w:eastAsia="仿宋"/>
          <w:color w:val="auto"/>
          <w:sz w:val="52"/>
          <w:szCs w:val="52"/>
        </w:rPr>
      </w:pPr>
    </w:p>
    <w:p w14:paraId="400512CD">
      <w:pPr>
        <w:ind w:firstLine="1040"/>
        <w:rPr>
          <w:rFonts w:eastAsia="仿宋"/>
          <w:color w:val="auto"/>
          <w:sz w:val="44"/>
          <w:szCs w:val="44"/>
        </w:rPr>
      </w:pPr>
    </w:p>
    <w:p w14:paraId="68B67CB8">
      <w:pPr>
        <w:keepNext w:val="0"/>
        <w:keepLines w:val="0"/>
        <w:pageBreakBefore w:val="0"/>
        <w:tabs>
          <w:tab w:val="left" w:pos="2496"/>
          <w:tab w:val="center" w:pos="5739"/>
        </w:tabs>
        <w:kinsoku/>
        <w:wordWrap/>
        <w:overflowPunct/>
        <w:topLinePunct w:val="0"/>
        <w:autoSpaceDE/>
        <w:autoSpaceDN/>
        <w:bidi w:val="0"/>
        <w:adjustRightInd/>
        <w:snapToGrid/>
        <w:spacing w:line="360" w:lineRule="auto"/>
        <w:ind w:left="2518" w:leftChars="342" w:right="0" w:rightChars="0" w:hanging="1800" w:hangingChars="500"/>
        <w:jc w:val="left"/>
        <w:textAlignment w:val="auto"/>
        <w:rPr>
          <w:rFonts w:hint="default" w:ascii="仿宋_GB2312" w:eastAsia="仿宋_GB2312"/>
          <w:color w:val="auto"/>
          <w:sz w:val="36"/>
          <w:szCs w:val="36"/>
          <w:u w:val="single"/>
          <w:lang w:val="en-US"/>
        </w:rPr>
      </w:pPr>
      <w:r>
        <w:rPr>
          <w:rFonts w:hint="eastAsia" w:ascii="仿宋_GB2312" w:eastAsia="仿宋_GB2312"/>
          <w:color w:val="auto"/>
          <w:sz w:val="36"/>
          <w:szCs w:val="36"/>
        </w:rPr>
        <w:t>项目名称：</w:t>
      </w:r>
      <w:r>
        <w:rPr>
          <w:rFonts w:hint="eastAsia" w:ascii="仿宋_GB2312" w:eastAsia="仿宋_GB2312"/>
          <w:color w:val="auto"/>
          <w:sz w:val="36"/>
          <w:szCs w:val="36"/>
          <w:u w:val="single"/>
        </w:rPr>
        <w:t>新疆乾进商砼有限公司木垒光伏区商砼站项目</w:t>
      </w:r>
      <w:r>
        <w:rPr>
          <w:rFonts w:hint="eastAsia" w:ascii="仿宋_GB2312" w:eastAsia="仿宋_GB2312" w:cs="Times New Roman"/>
          <w:color w:val="auto"/>
          <w:spacing w:val="-20"/>
          <w:sz w:val="36"/>
          <w:szCs w:val="36"/>
          <w:u w:val="single"/>
          <w:lang w:val="en-US" w:eastAsia="zh-CN"/>
        </w:rPr>
        <w:t xml:space="preserve">                                      </w:t>
      </w:r>
    </w:p>
    <w:p w14:paraId="7897487F">
      <w:pPr>
        <w:keepNext w:val="0"/>
        <w:keepLines w:val="0"/>
        <w:pageBreakBefore w:val="0"/>
        <w:widowControl w:val="0"/>
        <w:kinsoku/>
        <w:wordWrap/>
        <w:overflowPunct/>
        <w:topLinePunct w:val="0"/>
        <w:autoSpaceDE/>
        <w:autoSpaceDN/>
        <w:bidi w:val="0"/>
        <w:adjustRightInd w:val="0"/>
        <w:snapToGrid w:val="0"/>
        <w:spacing w:line="288" w:lineRule="auto"/>
        <w:ind w:left="718" w:leftChars="342" w:firstLine="0" w:firstLineChars="0"/>
        <w:textAlignment w:val="auto"/>
        <w:rPr>
          <w:rFonts w:hint="default" w:ascii="仿宋_GB2312" w:eastAsia="仿宋_GB2312"/>
          <w:color w:val="auto"/>
          <w:spacing w:val="-20"/>
          <w:sz w:val="36"/>
          <w:szCs w:val="36"/>
          <w:u w:val="single"/>
          <w:lang w:val="en-US" w:eastAsia="zh-CN"/>
        </w:rPr>
      </w:pPr>
      <w:r>
        <w:rPr>
          <w:rFonts w:hint="eastAsia" w:ascii="仿宋_GB2312" w:eastAsia="仿宋_GB2312"/>
          <w:color w:val="auto"/>
          <w:sz w:val="36"/>
          <w:szCs w:val="36"/>
        </w:rPr>
        <w:t>建设单位（盖章）：</w:t>
      </w:r>
      <w:r>
        <w:rPr>
          <w:rFonts w:hint="eastAsia" w:ascii="仿宋_GB2312" w:eastAsia="仿宋_GB2312"/>
          <w:color w:val="auto"/>
          <w:sz w:val="36"/>
          <w:szCs w:val="36"/>
          <w:u w:val="single"/>
        </w:rPr>
        <w:t>新疆乾进商砼有限公司</w:t>
      </w:r>
      <w:r>
        <w:rPr>
          <w:rFonts w:hint="eastAsia" w:ascii="仿宋_GB2312" w:eastAsia="仿宋_GB2312"/>
          <w:color w:val="auto"/>
          <w:spacing w:val="-20"/>
          <w:sz w:val="36"/>
          <w:szCs w:val="36"/>
          <w:u w:val="single"/>
          <w:lang w:val="en-US" w:eastAsia="zh-CN"/>
        </w:rPr>
        <w:t xml:space="preserve">        </w:t>
      </w:r>
    </w:p>
    <w:p w14:paraId="652A1C88">
      <w:pPr>
        <w:keepNext w:val="0"/>
        <w:keepLines w:val="0"/>
        <w:pageBreakBefore w:val="0"/>
        <w:widowControl w:val="0"/>
        <w:kinsoku/>
        <w:wordWrap/>
        <w:overflowPunct/>
        <w:topLinePunct w:val="0"/>
        <w:autoSpaceDE/>
        <w:autoSpaceDN/>
        <w:bidi w:val="0"/>
        <w:adjustRightInd w:val="0"/>
        <w:snapToGrid w:val="0"/>
        <w:spacing w:line="288" w:lineRule="auto"/>
        <w:ind w:left="718" w:leftChars="342" w:firstLine="0" w:firstLineChars="0"/>
        <w:textAlignment w:val="auto"/>
        <w:rPr>
          <w:rFonts w:hint="eastAsia" w:ascii="仿宋_GB2312" w:eastAsia="仿宋_GB2312"/>
          <w:color w:val="auto"/>
          <w:sz w:val="36"/>
          <w:szCs w:val="36"/>
          <w:u w:val="single"/>
          <w:lang w:val="en-US" w:eastAsia="zh-CN"/>
        </w:rPr>
      </w:pPr>
      <w:r>
        <w:rPr>
          <w:rFonts w:hint="eastAsia" w:ascii="仿宋_GB2312" w:eastAsia="仿宋_GB2312"/>
          <w:color w:val="auto"/>
          <w:sz w:val="36"/>
          <w:szCs w:val="36"/>
        </w:rPr>
        <w:t>编制日期：</w:t>
      </w:r>
      <w:r>
        <w:rPr>
          <w:rFonts w:hint="eastAsia" w:ascii="仿宋_GB2312" w:eastAsia="仿宋_GB2312"/>
          <w:color w:val="auto"/>
          <w:sz w:val="36"/>
          <w:szCs w:val="36"/>
          <w:u w:val="single"/>
        </w:rPr>
        <w:t xml:space="preserve"> </w:t>
      </w:r>
      <w:r>
        <w:rPr>
          <w:rFonts w:ascii="仿宋_GB2312" w:eastAsia="仿宋_GB2312"/>
          <w:color w:val="auto"/>
          <w:sz w:val="36"/>
          <w:szCs w:val="36"/>
          <w:u w:val="single"/>
        </w:rPr>
        <w:t xml:space="preserve">           </w:t>
      </w:r>
      <w:r>
        <w:rPr>
          <w:rFonts w:hint="eastAsia" w:ascii="仿宋_GB2312" w:eastAsia="仿宋_GB2312"/>
          <w:color w:val="auto"/>
          <w:sz w:val="36"/>
          <w:szCs w:val="36"/>
          <w:u w:val="single"/>
          <w:lang w:val="en-US" w:eastAsia="zh-CN"/>
        </w:rPr>
        <w:t xml:space="preserve"> 二〇二五年五月     </w:t>
      </w:r>
      <w:r>
        <w:rPr>
          <w:rFonts w:ascii="仿宋_GB2312" w:eastAsia="仿宋_GB2312"/>
          <w:color w:val="auto"/>
          <w:sz w:val="36"/>
          <w:szCs w:val="36"/>
          <w:u w:val="single"/>
        </w:rPr>
        <w:t xml:space="preserve"> </w:t>
      </w:r>
      <w:r>
        <w:rPr>
          <w:rFonts w:hint="eastAsia" w:ascii="仿宋_GB2312" w:eastAsia="仿宋_GB2312"/>
          <w:color w:val="auto"/>
          <w:sz w:val="36"/>
          <w:szCs w:val="36"/>
          <w:u w:val="single"/>
          <w:lang w:val="en-US" w:eastAsia="zh-CN"/>
        </w:rPr>
        <w:t xml:space="preserve"> </w:t>
      </w:r>
      <w:r>
        <w:rPr>
          <w:rFonts w:ascii="仿宋_GB2312" w:eastAsia="仿宋_GB2312"/>
          <w:color w:val="auto"/>
          <w:sz w:val="36"/>
          <w:szCs w:val="36"/>
          <w:u w:val="single"/>
        </w:rPr>
        <w:t xml:space="preserve">    </w:t>
      </w:r>
      <w:r>
        <w:rPr>
          <w:rFonts w:hint="eastAsia" w:ascii="仿宋_GB2312" w:eastAsia="仿宋_GB2312"/>
          <w:color w:val="auto"/>
          <w:sz w:val="36"/>
          <w:szCs w:val="36"/>
          <w:u w:val="single"/>
          <w:lang w:val="en-US" w:eastAsia="zh-CN"/>
        </w:rPr>
        <w:t xml:space="preserve"> </w:t>
      </w:r>
    </w:p>
    <w:p w14:paraId="05092961">
      <w:pPr>
        <w:adjustRightInd w:val="0"/>
        <w:snapToGrid w:val="0"/>
        <w:spacing w:line="288" w:lineRule="auto"/>
        <w:ind w:firstLine="1040"/>
        <w:rPr>
          <w:rFonts w:ascii="仿宋_GB2312" w:eastAsia="仿宋_GB2312"/>
          <w:color w:val="auto"/>
          <w:sz w:val="36"/>
          <w:szCs w:val="36"/>
          <w:u w:val="single"/>
        </w:rPr>
      </w:pPr>
      <w:bookmarkStart w:id="0" w:name="_Hlk57884087"/>
    </w:p>
    <w:p w14:paraId="6B4E53B3">
      <w:pPr>
        <w:adjustRightInd w:val="0"/>
        <w:snapToGrid w:val="0"/>
        <w:spacing w:line="288" w:lineRule="auto"/>
        <w:ind w:firstLine="1040"/>
        <w:rPr>
          <w:rFonts w:ascii="仿宋_GB2312" w:eastAsia="仿宋_GB2312"/>
          <w:color w:val="auto"/>
          <w:sz w:val="36"/>
          <w:szCs w:val="36"/>
        </w:rPr>
      </w:pPr>
    </w:p>
    <w:p w14:paraId="6783BA5F">
      <w:pPr>
        <w:adjustRightInd w:val="0"/>
        <w:snapToGrid w:val="0"/>
        <w:spacing w:line="288" w:lineRule="auto"/>
        <w:ind w:firstLine="1040"/>
        <w:rPr>
          <w:rFonts w:ascii="仿宋_GB2312" w:eastAsia="仿宋_GB2312"/>
          <w:color w:val="auto"/>
          <w:sz w:val="36"/>
          <w:szCs w:val="36"/>
        </w:rPr>
      </w:pPr>
    </w:p>
    <w:p w14:paraId="19BC0FB3">
      <w:pPr>
        <w:adjustRightInd w:val="0"/>
        <w:snapToGrid w:val="0"/>
        <w:spacing w:line="288" w:lineRule="auto"/>
        <w:rPr>
          <w:rFonts w:ascii="仿宋_GB2312" w:eastAsia="仿宋_GB2312"/>
          <w:color w:val="auto"/>
          <w:sz w:val="36"/>
          <w:szCs w:val="36"/>
        </w:rPr>
      </w:pPr>
    </w:p>
    <w:bookmarkEnd w:id="0"/>
    <w:p w14:paraId="322F38AB">
      <w:pPr>
        <w:adjustRightInd w:val="0"/>
        <w:snapToGrid w:val="0"/>
        <w:spacing w:line="288" w:lineRule="auto"/>
        <w:jc w:val="center"/>
        <w:rPr>
          <w:rFonts w:ascii="楷体_GB2312" w:eastAsia="楷体_GB2312"/>
          <w:color w:val="auto"/>
          <w:sz w:val="36"/>
          <w:szCs w:val="36"/>
        </w:rPr>
      </w:pPr>
      <w:r>
        <w:rPr>
          <w:rFonts w:hint="eastAsia" w:ascii="楷体_GB2312" w:eastAsia="楷体_GB2312"/>
          <w:color w:val="auto"/>
          <w:sz w:val="36"/>
          <w:szCs w:val="36"/>
        </w:rPr>
        <w:t>中华人民共和国生态环境部制</w:t>
      </w:r>
    </w:p>
    <w:p w14:paraId="3BBB8334">
      <w:pPr>
        <w:adjustRightInd w:val="0"/>
        <w:snapToGrid w:val="0"/>
        <w:spacing w:line="288" w:lineRule="auto"/>
        <w:ind w:firstLine="1040"/>
        <w:rPr>
          <w:rFonts w:ascii="仿宋_GB2312" w:eastAsia="仿宋_GB2312"/>
          <w:color w:val="auto"/>
          <w:sz w:val="36"/>
          <w:szCs w:val="36"/>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14:paraId="7BA8C37C">
      <w:pPr>
        <w:adjustRightInd w:val="0"/>
        <w:snapToGrid w:val="0"/>
        <w:spacing w:line="288" w:lineRule="auto"/>
        <w:rPr>
          <w:rFonts w:ascii="仿宋_GB2312" w:eastAsia="仿宋_GB2312"/>
          <w:color w:val="auto"/>
          <w:sz w:val="36"/>
          <w:szCs w:val="36"/>
        </w:rPr>
        <w:sectPr>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14:paraId="50979736">
      <w:pPr>
        <w:pStyle w:val="24"/>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4"/>
        <w:gridCol w:w="1823"/>
        <w:gridCol w:w="2210"/>
        <w:gridCol w:w="2963"/>
      </w:tblGrid>
      <w:tr w14:paraId="5D4825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4" w:type="dxa"/>
            <w:tcMar>
              <w:top w:w="16" w:type="dxa"/>
              <w:left w:w="16" w:type="dxa"/>
              <w:right w:w="16" w:type="dxa"/>
            </w:tcMar>
            <w:vAlign w:val="center"/>
          </w:tcPr>
          <w:p w14:paraId="7E8F249E">
            <w:pPr>
              <w:adjustRightInd w:val="0"/>
              <w:snapToGrid w:val="0"/>
              <w:jc w:val="center"/>
              <w:rPr>
                <w:color w:val="auto"/>
                <w:sz w:val="24"/>
              </w:rPr>
            </w:pPr>
            <w:r>
              <w:rPr>
                <w:color w:val="auto"/>
                <w:sz w:val="24"/>
              </w:rPr>
              <w:t>建设项目名称</w:t>
            </w:r>
          </w:p>
        </w:tc>
        <w:tc>
          <w:tcPr>
            <w:tcW w:w="6996" w:type="dxa"/>
            <w:gridSpan w:val="3"/>
            <w:vAlign w:val="center"/>
          </w:tcPr>
          <w:p w14:paraId="0C8672C7">
            <w:pPr>
              <w:keepNext w:val="0"/>
              <w:keepLines w:val="0"/>
              <w:pageBreakBefore w:val="0"/>
              <w:kinsoku/>
              <w:wordWrap/>
              <w:overflowPunct/>
              <w:topLinePunct w:val="0"/>
              <w:autoSpaceDE/>
              <w:autoSpaceDN/>
              <w:bidi w:val="0"/>
              <w:adjustRightInd/>
              <w:snapToGrid/>
              <w:spacing w:line="360" w:lineRule="auto"/>
              <w:ind w:left="1918" w:leftChars="342" w:right="0" w:rightChars="0" w:hanging="1200" w:hangingChars="500"/>
              <w:jc w:val="center"/>
              <w:textAlignment w:val="auto"/>
              <w:rPr>
                <w:rFonts w:hint="eastAsia" w:eastAsia="宋体"/>
                <w:color w:val="auto"/>
                <w:sz w:val="24"/>
                <w:lang w:eastAsia="zh-CN"/>
              </w:rPr>
            </w:pPr>
            <w:r>
              <w:rPr>
                <w:rFonts w:hint="eastAsia" w:eastAsia="宋体"/>
                <w:color w:val="auto"/>
                <w:sz w:val="24"/>
                <w:lang w:eastAsia="zh-CN"/>
              </w:rPr>
              <w:t>新疆乾进商砼有限公司木垒光伏区商砼站项目</w:t>
            </w:r>
          </w:p>
        </w:tc>
      </w:tr>
      <w:tr w14:paraId="00700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4" w:type="dxa"/>
            <w:tcMar>
              <w:top w:w="16" w:type="dxa"/>
              <w:left w:w="16" w:type="dxa"/>
              <w:right w:w="16" w:type="dxa"/>
            </w:tcMar>
            <w:vAlign w:val="center"/>
          </w:tcPr>
          <w:p w14:paraId="38A70EA0">
            <w:pPr>
              <w:adjustRightInd w:val="0"/>
              <w:snapToGrid w:val="0"/>
              <w:jc w:val="center"/>
              <w:rPr>
                <w:color w:val="auto"/>
                <w:sz w:val="24"/>
              </w:rPr>
            </w:pPr>
            <w:r>
              <w:rPr>
                <w:color w:val="auto"/>
                <w:sz w:val="24"/>
              </w:rPr>
              <w:t>项目代码</w:t>
            </w:r>
          </w:p>
        </w:tc>
        <w:tc>
          <w:tcPr>
            <w:tcW w:w="6996" w:type="dxa"/>
            <w:gridSpan w:val="3"/>
            <w:vAlign w:val="center"/>
          </w:tcPr>
          <w:p w14:paraId="157F2C8F">
            <w:pPr>
              <w:adjustRightInd w:val="0"/>
              <w:snapToGrid w:val="0"/>
              <w:jc w:val="center"/>
              <w:rPr>
                <w:rFonts w:hint="default" w:eastAsia="宋体"/>
                <w:color w:val="auto"/>
                <w:sz w:val="24"/>
                <w:lang w:val="en-US" w:eastAsia="zh-CN"/>
              </w:rPr>
            </w:pPr>
            <w:r>
              <w:rPr>
                <w:rFonts w:hint="eastAsia"/>
                <w:color w:val="auto"/>
                <w:sz w:val="24"/>
                <w:lang w:val="en-US" w:eastAsia="zh-CN"/>
              </w:rPr>
              <w:t>2503-652328-04-01-872083</w:t>
            </w:r>
          </w:p>
        </w:tc>
      </w:tr>
      <w:tr w14:paraId="432E5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4" w:type="dxa"/>
            <w:tcMar>
              <w:top w:w="16" w:type="dxa"/>
              <w:left w:w="16" w:type="dxa"/>
              <w:right w:w="16" w:type="dxa"/>
            </w:tcMar>
            <w:vAlign w:val="center"/>
          </w:tcPr>
          <w:p w14:paraId="6671E988">
            <w:pPr>
              <w:adjustRightInd w:val="0"/>
              <w:snapToGrid w:val="0"/>
              <w:jc w:val="center"/>
              <w:rPr>
                <w:color w:val="auto"/>
                <w:sz w:val="24"/>
              </w:rPr>
            </w:pPr>
            <w:r>
              <w:rPr>
                <w:color w:val="auto"/>
                <w:sz w:val="24"/>
              </w:rPr>
              <w:t>建设单位联系人</w:t>
            </w:r>
          </w:p>
        </w:tc>
        <w:tc>
          <w:tcPr>
            <w:tcW w:w="1823" w:type="dxa"/>
            <w:vAlign w:val="center"/>
          </w:tcPr>
          <w:p w14:paraId="165D9D71">
            <w:pPr>
              <w:adjustRightInd w:val="0"/>
              <w:snapToGrid w:val="0"/>
              <w:jc w:val="center"/>
              <w:rPr>
                <w:rFonts w:hint="eastAsia" w:eastAsia="宋体"/>
                <w:color w:val="auto"/>
                <w:sz w:val="24"/>
                <w:highlight w:val="none"/>
                <w:lang w:val="en-US" w:eastAsia="zh-CN"/>
              </w:rPr>
            </w:pPr>
            <w:r>
              <w:rPr>
                <w:rFonts w:hint="eastAsia" w:eastAsia="宋体"/>
                <w:color w:val="auto"/>
                <w:sz w:val="24"/>
                <w:highlight w:val="none"/>
                <w:lang w:val="en-US" w:eastAsia="zh-CN"/>
              </w:rPr>
              <w:t>权彩娥</w:t>
            </w:r>
          </w:p>
        </w:tc>
        <w:tc>
          <w:tcPr>
            <w:tcW w:w="2210" w:type="dxa"/>
            <w:vAlign w:val="center"/>
          </w:tcPr>
          <w:p w14:paraId="1AC7ED9F">
            <w:pPr>
              <w:adjustRightInd w:val="0"/>
              <w:snapToGrid w:val="0"/>
              <w:jc w:val="center"/>
              <w:rPr>
                <w:color w:val="auto"/>
                <w:sz w:val="24"/>
                <w:highlight w:val="none"/>
              </w:rPr>
            </w:pPr>
            <w:r>
              <w:rPr>
                <w:color w:val="auto"/>
                <w:sz w:val="24"/>
                <w:highlight w:val="none"/>
              </w:rPr>
              <w:t>联系方式</w:t>
            </w:r>
          </w:p>
        </w:tc>
        <w:tc>
          <w:tcPr>
            <w:tcW w:w="2963" w:type="dxa"/>
            <w:vAlign w:val="center"/>
          </w:tcPr>
          <w:p w14:paraId="70C68F5C">
            <w:pPr>
              <w:adjustRightInd w:val="0"/>
              <w:snapToGrid w:val="0"/>
              <w:jc w:val="center"/>
              <w:rPr>
                <w:rFonts w:hint="default" w:eastAsia="宋体"/>
                <w:color w:val="auto"/>
                <w:sz w:val="24"/>
                <w:highlight w:val="none"/>
                <w:lang w:val="en-US" w:eastAsia="zh-CN"/>
              </w:rPr>
            </w:pPr>
            <w:r>
              <w:rPr>
                <w:rFonts w:hint="default" w:eastAsia="宋体"/>
                <w:color w:val="auto"/>
                <w:sz w:val="24"/>
                <w:highlight w:val="none"/>
                <w:lang w:val="en-US" w:eastAsia="zh-CN"/>
              </w:rPr>
              <w:t>18196111277</w:t>
            </w:r>
          </w:p>
        </w:tc>
      </w:tr>
      <w:tr w14:paraId="7388C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4" w:type="dxa"/>
            <w:tcMar>
              <w:top w:w="16" w:type="dxa"/>
              <w:left w:w="16" w:type="dxa"/>
              <w:right w:w="16" w:type="dxa"/>
            </w:tcMar>
            <w:vAlign w:val="center"/>
          </w:tcPr>
          <w:p w14:paraId="5901C899">
            <w:pPr>
              <w:adjustRightInd w:val="0"/>
              <w:snapToGrid w:val="0"/>
              <w:jc w:val="center"/>
              <w:rPr>
                <w:color w:val="auto"/>
                <w:sz w:val="24"/>
              </w:rPr>
            </w:pPr>
            <w:r>
              <w:rPr>
                <w:color w:val="auto"/>
                <w:sz w:val="24"/>
              </w:rPr>
              <w:t>建设地点</w:t>
            </w:r>
          </w:p>
        </w:tc>
        <w:tc>
          <w:tcPr>
            <w:tcW w:w="6996" w:type="dxa"/>
            <w:gridSpan w:val="3"/>
            <w:vAlign w:val="center"/>
          </w:tcPr>
          <w:p w14:paraId="351FAB9E">
            <w:pPr>
              <w:adjustRightInd w:val="0"/>
              <w:snapToGrid w:val="0"/>
              <w:jc w:val="center"/>
              <w:rPr>
                <w:color w:val="auto"/>
                <w:sz w:val="24"/>
              </w:rPr>
            </w:pPr>
            <w:r>
              <w:rPr>
                <w:rFonts w:hint="eastAsia" w:cs="Times New Roman"/>
                <w:color w:val="auto"/>
                <w:sz w:val="24"/>
                <w:u w:val="none"/>
                <w:lang w:val="en-US" w:eastAsia="zh-CN"/>
              </w:rPr>
              <w:t>新疆维吾尔自治区昌吉回族自治州木垒哈萨克自治县照壁山乡霍斯阔拉村</w:t>
            </w:r>
          </w:p>
        </w:tc>
      </w:tr>
      <w:tr w14:paraId="410A6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4" w:type="dxa"/>
            <w:tcMar>
              <w:top w:w="16" w:type="dxa"/>
              <w:left w:w="16" w:type="dxa"/>
              <w:right w:w="16" w:type="dxa"/>
            </w:tcMar>
            <w:vAlign w:val="center"/>
          </w:tcPr>
          <w:p w14:paraId="6357B8C1">
            <w:pPr>
              <w:adjustRightInd w:val="0"/>
              <w:snapToGrid w:val="0"/>
              <w:jc w:val="center"/>
              <w:rPr>
                <w:color w:val="auto"/>
                <w:sz w:val="24"/>
              </w:rPr>
            </w:pPr>
            <w:r>
              <w:rPr>
                <w:color w:val="auto"/>
                <w:sz w:val="24"/>
              </w:rPr>
              <w:t>地理坐标</w:t>
            </w:r>
          </w:p>
        </w:tc>
        <w:tc>
          <w:tcPr>
            <w:tcW w:w="6996" w:type="dxa"/>
            <w:gridSpan w:val="3"/>
            <w:vAlign w:val="center"/>
          </w:tcPr>
          <w:p w14:paraId="7ACD02B9">
            <w:pPr>
              <w:jc w:val="center"/>
              <w:rPr>
                <w:color w:val="auto"/>
                <w:sz w:val="24"/>
              </w:rPr>
            </w:pPr>
            <w:r>
              <w:rPr>
                <w:color w:val="auto"/>
                <w:sz w:val="24"/>
              </w:rPr>
              <w:t>（</w:t>
            </w:r>
            <w:r>
              <w:rPr>
                <w:rFonts w:hint="eastAsia"/>
                <w:color w:val="auto"/>
                <w:sz w:val="24"/>
                <w:u w:val="single"/>
              </w:rPr>
              <w:t>90</w:t>
            </w:r>
            <w:r>
              <w:rPr>
                <w:color w:val="auto"/>
                <w:sz w:val="24"/>
              </w:rPr>
              <w:t>度</w:t>
            </w:r>
            <w:r>
              <w:rPr>
                <w:rFonts w:hint="eastAsia"/>
                <w:color w:val="auto"/>
                <w:sz w:val="24"/>
                <w:u w:val="single"/>
                <w:lang w:val="en-US" w:eastAsia="zh-CN"/>
              </w:rPr>
              <w:t>22</w:t>
            </w:r>
            <w:r>
              <w:rPr>
                <w:color w:val="auto"/>
                <w:sz w:val="24"/>
              </w:rPr>
              <w:t>分</w:t>
            </w:r>
            <w:r>
              <w:rPr>
                <w:rFonts w:hint="eastAsia"/>
                <w:color w:val="auto"/>
                <w:sz w:val="24"/>
                <w:u w:val="single"/>
                <w:lang w:val="en-US" w:eastAsia="zh-CN"/>
              </w:rPr>
              <w:t>38.005</w:t>
            </w:r>
            <w:r>
              <w:rPr>
                <w:color w:val="auto"/>
                <w:sz w:val="24"/>
              </w:rPr>
              <w:t>秒，</w:t>
            </w:r>
            <w:r>
              <w:rPr>
                <w:rFonts w:hint="eastAsia"/>
                <w:color w:val="auto"/>
                <w:sz w:val="24"/>
                <w:u w:val="single"/>
              </w:rPr>
              <w:t>4</w:t>
            </w:r>
            <w:r>
              <w:rPr>
                <w:rFonts w:hint="eastAsia"/>
                <w:color w:val="auto"/>
                <w:sz w:val="24"/>
                <w:u w:val="single"/>
                <w:lang w:val="en-US" w:eastAsia="zh-CN"/>
              </w:rPr>
              <w:t>4</w:t>
            </w:r>
            <w:r>
              <w:rPr>
                <w:color w:val="auto"/>
                <w:sz w:val="24"/>
              </w:rPr>
              <w:t>度</w:t>
            </w:r>
            <w:r>
              <w:rPr>
                <w:rFonts w:hint="eastAsia"/>
                <w:color w:val="auto"/>
                <w:sz w:val="24"/>
                <w:u w:val="single"/>
                <w:lang w:val="en-US" w:eastAsia="zh-CN"/>
              </w:rPr>
              <w:t>00</w:t>
            </w:r>
            <w:r>
              <w:rPr>
                <w:color w:val="auto"/>
                <w:sz w:val="24"/>
              </w:rPr>
              <w:t>分</w:t>
            </w:r>
            <w:r>
              <w:rPr>
                <w:rFonts w:hint="eastAsia"/>
                <w:color w:val="auto"/>
                <w:sz w:val="24"/>
                <w:u w:val="single"/>
                <w:lang w:val="en-US" w:eastAsia="zh-CN"/>
              </w:rPr>
              <w:t>16.314</w:t>
            </w:r>
            <w:r>
              <w:rPr>
                <w:color w:val="auto"/>
                <w:sz w:val="24"/>
              </w:rPr>
              <w:t>秒）</w:t>
            </w:r>
          </w:p>
        </w:tc>
      </w:tr>
      <w:tr w14:paraId="05E414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74" w:type="dxa"/>
            <w:tcMar>
              <w:top w:w="16" w:type="dxa"/>
              <w:left w:w="16" w:type="dxa"/>
              <w:right w:w="16" w:type="dxa"/>
            </w:tcMar>
            <w:vAlign w:val="center"/>
          </w:tcPr>
          <w:p w14:paraId="22C38309">
            <w:pPr>
              <w:adjustRightInd w:val="0"/>
              <w:snapToGrid w:val="0"/>
              <w:jc w:val="center"/>
              <w:rPr>
                <w:color w:val="auto"/>
                <w:sz w:val="24"/>
              </w:rPr>
            </w:pPr>
            <w:r>
              <w:rPr>
                <w:color w:val="auto"/>
                <w:sz w:val="24"/>
              </w:rPr>
              <w:t>国民经济</w:t>
            </w:r>
          </w:p>
          <w:p w14:paraId="011530E6">
            <w:pPr>
              <w:adjustRightInd w:val="0"/>
              <w:snapToGrid w:val="0"/>
              <w:jc w:val="center"/>
              <w:rPr>
                <w:color w:val="auto"/>
                <w:sz w:val="24"/>
              </w:rPr>
            </w:pPr>
            <w:r>
              <w:rPr>
                <w:color w:val="auto"/>
                <w:sz w:val="24"/>
              </w:rPr>
              <w:t>行业类别</w:t>
            </w:r>
          </w:p>
        </w:tc>
        <w:tc>
          <w:tcPr>
            <w:tcW w:w="1823" w:type="dxa"/>
            <w:vAlign w:val="center"/>
          </w:tcPr>
          <w:p w14:paraId="7329F2FF">
            <w:pPr>
              <w:adjustRightInd w:val="0"/>
              <w:snapToGrid w:val="0"/>
              <w:jc w:val="center"/>
              <w:rPr>
                <w:color w:val="auto"/>
                <w:sz w:val="24"/>
              </w:rPr>
            </w:pPr>
            <w:r>
              <w:rPr>
                <w:color w:val="auto"/>
                <w:sz w:val="24"/>
              </w:rPr>
              <w:t>C3021水泥制品制造</w:t>
            </w:r>
          </w:p>
        </w:tc>
        <w:tc>
          <w:tcPr>
            <w:tcW w:w="2210" w:type="dxa"/>
            <w:vAlign w:val="center"/>
          </w:tcPr>
          <w:p w14:paraId="495CFE19">
            <w:pPr>
              <w:adjustRightInd w:val="0"/>
              <w:snapToGrid w:val="0"/>
              <w:jc w:val="center"/>
              <w:rPr>
                <w:color w:val="auto"/>
                <w:sz w:val="24"/>
              </w:rPr>
            </w:pPr>
            <w:bookmarkStart w:id="1" w:name="_Hlk49843745"/>
            <w:r>
              <w:rPr>
                <w:color w:val="auto"/>
                <w:sz w:val="24"/>
              </w:rPr>
              <w:t>建设项目</w:t>
            </w:r>
          </w:p>
          <w:p w14:paraId="35FD45C5">
            <w:pPr>
              <w:adjustRightInd w:val="0"/>
              <w:snapToGrid w:val="0"/>
              <w:jc w:val="center"/>
              <w:rPr>
                <w:color w:val="auto"/>
                <w:sz w:val="24"/>
              </w:rPr>
            </w:pPr>
            <w:r>
              <w:rPr>
                <w:color w:val="auto"/>
                <w:sz w:val="24"/>
              </w:rPr>
              <w:t>行业类别</w:t>
            </w:r>
            <w:bookmarkEnd w:id="1"/>
          </w:p>
        </w:tc>
        <w:tc>
          <w:tcPr>
            <w:tcW w:w="2963" w:type="dxa"/>
            <w:vAlign w:val="center"/>
          </w:tcPr>
          <w:p w14:paraId="2F1ACFF7">
            <w:pPr>
              <w:adjustRightInd w:val="0"/>
              <w:snapToGrid w:val="0"/>
              <w:rPr>
                <w:color w:val="auto"/>
                <w:sz w:val="24"/>
              </w:rPr>
            </w:pPr>
            <w:r>
              <w:rPr>
                <w:color w:val="auto"/>
                <w:sz w:val="24"/>
              </w:rPr>
              <w:t>二十七、非金属矿物制品业30</w:t>
            </w:r>
            <w:r>
              <w:rPr>
                <w:rFonts w:hint="eastAsia"/>
                <w:color w:val="auto"/>
                <w:sz w:val="24"/>
                <w:lang w:eastAsia="zh-CN"/>
              </w:rPr>
              <w:t>，</w:t>
            </w:r>
            <w:r>
              <w:rPr>
                <w:color w:val="auto"/>
                <w:sz w:val="24"/>
              </w:rPr>
              <w:t>55.石膏、水泥制品及类似制品制造302</w:t>
            </w:r>
          </w:p>
        </w:tc>
      </w:tr>
      <w:tr w14:paraId="62D1D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74" w:type="dxa"/>
            <w:tcMar>
              <w:top w:w="16" w:type="dxa"/>
              <w:left w:w="16" w:type="dxa"/>
              <w:right w:w="16" w:type="dxa"/>
            </w:tcMar>
            <w:vAlign w:val="center"/>
          </w:tcPr>
          <w:p w14:paraId="3B9B69A4">
            <w:pPr>
              <w:adjustRightInd w:val="0"/>
              <w:snapToGrid w:val="0"/>
              <w:jc w:val="center"/>
              <w:rPr>
                <w:color w:val="auto"/>
                <w:sz w:val="24"/>
              </w:rPr>
            </w:pPr>
            <w:r>
              <w:rPr>
                <w:color w:val="auto"/>
                <w:sz w:val="24"/>
              </w:rPr>
              <w:t>建设性质</w:t>
            </w:r>
          </w:p>
        </w:tc>
        <w:tc>
          <w:tcPr>
            <w:tcW w:w="1823" w:type="dxa"/>
            <w:vAlign w:val="center"/>
          </w:tcPr>
          <w:p w14:paraId="51A78B91">
            <w:pPr>
              <w:jc w:val="left"/>
              <w:rPr>
                <w:color w:val="auto"/>
                <w:sz w:val="24"/>
              </w:rPr>
            </w:pPr>
            <w:r>
              <w:rPr>
                <w:color w:val="auto"/>
                <w:sz w:val="24"/>
              </w:rPr>
              <w:sym w:font="Wingdings 2" w:char="0052"/>
            </w:r>
            <w:r>
              <w:rPr>
                <w:color w:val="auto"/>
                <w:sz w:val="24"/>
              </w:rPr>
              <w:t>新建（迁建）</w:t>
            </w:r>
          </w:p>
          <w:p w14:paraId="3E0BF7BE">
            <w:pPr>
              <w:jc w:val="left"/>
              <w:rPr>
                <w:color w:val="auto"/>
                <w:sz w:val="24"/>
              </w:rPr>
            </w:pPr>
            <w:r>
              <w:rPr>
                <w:color w:val="auto"/>
                <w:sz w:val="24"/>
              </w:rPr>
              <w:sym w:font="Wingdings 2" w:char="00A3"/>
            </w:r>
            <w:r>
              <w:rPr>
                <w:color w:val="auto"/>
                <w:sz w:val="24"/>
              </w:rPr>
              <w:t>改建</w:t>
            </w:r>
          </w:p>
          <w:p w14:paraId="78FB34DE">
            <w:pPr>
              <w:jc w:val="left"/>
              <w:rPr>
                <w:color w:val="auto"/>
                <w:sz w:val="24"/>
              </w:rPr>
            </w:pPr>
            <w:r>
              <w:rPr>
                <w:color w:val="auto"/>
                <w:sz w:val="24"/>
              </w:rPr>
              <w:sym w:font="Wingdings 2" w:char="00A3"/>
            </w:r>
            <w:r>
              <w:rPr>
                <w:color w:val="auto"/>
                <w:sz w:val="24"/>
              </w:rPr>
              <w:t>扩建</w:t>
            </w:r>
          </w:p>
          <w:p w14:paraId="089155CD">
            <w:pPr>
              <w:jc w:val="left"/>
              <w:rPr>
                <w:color w:val="auto"/>
                <w:sz w:val="24"/>
              </w:rPr>
            </w:pPr>
            <w:r>
              <w:rPr>
                <w:color w:val="auto"/>
                <w:sz w:val="24"/>
              </w:rPr>
              <w:sym w:font="Wingdings 2" w:char="00A3"/>
            </w:r>
            <w:r>
              <w:rPr>
                <w:color w:val="auto"/>
                <w:sz w:val="24"/>
              </w:rPr>
              <w:t>技术改造</w:t>
            </w:r>
          </w:p>
        </w:tc>
        <w:tc>
          <w:tcPr>
            <w:tcW w:w="2210" w:type="dxa"/>
            <w:vAlign w:val="center"/>
          </w:tcPr>
          <w:p w14:paraId="239C6B1D">
            <w:pPr>
              <w:adjustRightInd w:val="0"/>
              <w:snapToGrid w:val="0"/>
              <w:jc w:val="center"/>
              <w:rPr>
                <w:color w:val="auto"/>
                <w:sz w:val="24"/>
              </w:rPr>
            </w:pPr>
            <w:r>
              <w:rPr>
                <w:color w:val="auto"/>
                <w:sz w:val="24"/>
              </w:rPr>
              <w:t>建设项目</w:t>
            </w:r>
          </w:p>
          <w:p w14:paraId="5C62A252">
            <w:pPr>
              <w:adjustRightInd w:val="0"/>
              <w:snapToGrid w:val="0"/>
              <w:jc w:val="center"/>
              <w:rPr>
                <w:color w:val="auto"/>
                <w:sz w:val="24"/>
              </w:rPr>
            </w:pPr>
            <w:r>
              <w:rPr>
                <w:color w:val="auto"/>
                <w:sz w:val="24"/>
              </w:rPr>
              <w:t>申报情形</w:t>
            </w:r>
          </w:p>
        </w:tc>
        <w:tc>
          <w:tcPr>
            <w:tcW w:w="2963" w:type="dxa"/>
            <w:vAlign w:val="center"/>
          </w:tcPr>
          <w:p w14:paraId="62CC59B1">
            <w:pPr>
              <w:jc w:val="left"/>
              <w:rPr>
                <w:color w:val="auto"/>
                <w:sz w:val="24"/>
              </w:rPr>
            </w:pPr>
            <w:r>
              <w:rPr>
                <w:color w:val="auto"/>
                <w:sz w:val="24"/>
              </w:rPr>
              <w:sym w:font="Wingdings 2" w:char="0052"/>
            </w:r>
            <w:r>
              <w:rPr>
                <w:color w:val="auto"/>
                <w:sz w:val="24"/>
              </w:rPr>
              <w:t xml:space="preserve">首次申报项目             </w:t>
            </w:r>
          </w:p>
          <w:p w14:paraId="37F7C5BC">
            <w:pPr>
              <w:jc w:val="left"/>
              <w:rPr>
                <w:color w:val="auto"/>
                <w:sz w:val="24"/>
              </w:rPr>
            </w:pPr>
            <w:r>
              <w:rPr>
                <w:color w:val="auto"/>
                <w:sz w:val="24"/>
              </w:rPr>
              <w:sym w:font="Wingdings 2" w:char="00A3"/>
            </w:r>
            <w:r>
              <w:rPr>
                <w:color w:val="auto"/>
                <w:sz w:val="24"/>
              </w:rPr>
              <w:t>不予批准后再次申报项目</w:t>
            </w:r>
          </w:p>
          <w:p w14:paraId="2327EC21">
            <w:pPr>
              <w:jc w:val="left"/>
              <w:rPr>
                <w:color w:val="auto"/>
                <w:sz w:val="24"/>
              </w:rPr>
            </w:pPr>
            <w:r>
              <w:rPr>
                <w:color w:val="auto"/>
                <w:sz w:val="24"/>
              </w:rPr>
              <w:sym w:font="Wingdings 2" w:char="00A3"/>
            </w:r>
            <w:r>
              <w:rPr>
                <w:color w:val="auto"/>
                <w:sz w:val="24"/>
              </w:rPr>
              <w:t xml:space="preserve">超五年重新审核项目     </w:t>
            </w:r>
          </w:p>
          <w:p w14:paraId="7E5D228B">
            <w:pPr>
              <w:jc w:val="left"/>
              <w:rPr>
                <w:color w:val="auto"/>
                <w:sz w:val="24"/>
              </w:rPr>
            </w:pPr>
            <w:r>
              <w:rPr>
                <w:color w:val="auto"/>
                <w:sz w:val="24"/>
              </w:rPr>
              <w:sym w:font="Wingdings 2" w:char="00A3"/>
            </w:r>
            <w:r>
              <w:rPr>
                <w:color w:val="auto"/>
                <w:sz w:val="24"/>
              </w:rPr>
              <w:t>重大变动重新报批项目</w:t>
            </w:r>
          </w:p>
        </w:tc>
      </w:tr>
      <w:tr w14:paraId="49A2C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74" w:type="dxa"/>
            <w:tcMar>
              <w:top w:w="16" w:type="dxa"/>
              <w:left w:w="16" w:type="dxa"/>
              <w:right w:w="16" w:type="dxa"/>
            </w:tcMar>
            <w:vAlign w:val="center"/>
          </w:tcPr>
          <w:p w14:paraId="3824BB3E">
            <w:pPr>
              <w:adjustRightInd w:val="0"/>
              <w:snapToGrid w:val="0"/>
              <w:jc w:val="center"/>
              <w:rPr>
                <w:color w:val="auto"/>
                <w:sz w:val="24"/>
              </w:rPr>
            </w:pPr>
            <w:r>
              <w:rPr>
                <w:color w:val="auto"/>
                <w:sz w:val="24"/>
              </w:rPr>
              <w:t>项目审批（核准/</w:t>
            </w:r>
          </w:p>
          <w:p w14:paraId="2EE8DDC8">
            <w:pPr>
              <w:adjustRightInd w:val="0"/>
              <w:snapToGrid w:val="0"/>
              <w:jc w:val="center"/>
              <w:rPr>
                <w:color w:val="auto"/>
                <w:sz w:val="24"/>
              </w:rPr>
            </w:pPr>
            <w:r>
              <w:rPr>
                <w:color w:val="auto"/>
                <w:sz w:val="24"/>
              </w:rPr>
              <w:t>备案）部门（选填）</w:t>
            </w:r>
          </w:p>
        </w:tc>
        <w:tc>
          <w:tcPr>
            <w:tcW w:w="1823" w:type="dxa"/>
            <w:vAlign w:val="center"/>
          </w:tcPr>
          <w:p w14:paraId="2C204EBD">
            <w:pPr>
              <w:adjustRightInd w:val="0"/>
              <w:snapToGrid w:val="0"/>
              <w:jc w:val="center"/>
              <w:rPr>
                <w:color w:val="auto"/>
                <w:sz w:val="24"/>
              </w:rPr>
            </w:pPr>
            <w:r>
              <w:rPr>
                <w:color w:val="auto"/>
                <w:sz w:val="24"/>
              </w:rPr>
              <w:t>木垒县</w:t>
            </w:r>
            <w:r>
              <w:rPr>
                <w:rFonts w:hint="eastAsia"/>
                <w:color w:val="auto"/>
                <w:sz w:val="24"/>
                <w:lang w:val="en-US" w:eastAsia="zh-CN"/>
              </w:rPr>
              <w:t>发展和改革</w:t>
            </w:r>
            <w:r>
              <w:rPr>
                <w:color w:val="auto"/>
                <w:sz w:val="24"/>
              </w:rPr>
              <w:t>委员会</w:t>
            </w:r>
          </w:p>
        </w:tc>
        <w:tc>
          <w:tcPr>
            <w:tcW w:w="2210" w:type="dxa"/>
            <w:vAlign w:val="center"/>
          </w:tcPr>
          <w:p w14:paraId="139223F3">
            <w:pPr>
              <w:adjustRightInd w:val="0"/>
              <w:snapToGrid w:val="0"/>
              <w:jc w:val="center"/>
              <w:rPr>
                <w:color w:val="auto"/>
                <w:sz w:val="24"/>
              </w:rPr>
            </w:pPr>
            <w:r>
              <w:rPr>
                <w:color w:val="auto"/>
                <w:sz w:val="24"/>
              </w:rPr>
              <w:t>项目审批（核准/</w:t>
            </w:r>
          </w:p>
          <w:p w14:paraId="36A34D7A">
            <w:pPr>
              <w:adjustRightInd w:val="0"/>
              <w:snapToGrid w:val="0"/>
              <w:jc w:val="center"/>
              <w:rPr>
                <w:color w:val="auto"/>
                <w:sz w:val="24"/>
              </w:rPr>
            </w:pPr>
            <w:r>
              <w:rPr>
                <w:color w:val="auto"/>
                <w:sz w:val="24"/>
              </w:rPr>
              <w:t>备案）文号（选填）</w:t>
            </w:r>
          </w:p>
        </w:tc>
        <w:tc>
          <w:tcPr>
            <w:tcW w:w="2963" w:type="dxa"/>
            <w:vAlign w:val="center"/>
          </w:tcPr>
          <w:p w14:paraId="7E0F6F64">
            <w:pPr>
              <w:adjustRightInd w:val="0"/>
              <w:snapToGrid w:val="0"/>
              <w:jc w:val="center"/>
              <w:rPr>
                <w:rFonts w:hint="default" w:eastAsia="宋体"/>
                <w:color w:val="auto"/>
                <w:sz w:val="24"/>
                <w:lang w:val="en-US" w:eastAsia="zh-CN"/>
              </w:rPr>
            </w:pPr>
            <w:r>
              <w:rPr>
                <w:rFonts w:hint="eastAsia"/>
                <w:color w:val="auto"/>
                <w:sz w:val="24"/>
                <w:lang w:val="en-US" w:eastAsia="zh-CN"/>
              </w:rPr>
              <w:t>2504021043652300000034</w:t>
            </w:r>
          </w:p>
        </w:tc>
      </w:tr>
      <w:tr w14:paraId="0264E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4" w:type="dxa"/>
            <w:tcMar>
              <w:top w:w="16" w:type="dxa"/>
              <w:left w:w="16" w:type="dxa"/>
              <w:right w:w="16" w:type="dxa"/>
            </w:tcMar>
            <w:vAlign w:val="center"/>
          </w:tcPr>
          <w:p w14:paraId="390C10E0">
            <w:pPr>
              <w:adjustRightInd w:val="0"/>
              <w:snapToGrid w:val="0"/>
              <w:jc w:val="center"/>
              <w:rPr>
                <w:color w:val="auto"/>
                <w:sz w:val="24"/>
              </w:rPr>
            </w:pPr>
            <w:r>
              <w:rPr>
                <w:color w:val="auto"/>
                <w:sz w:val="24"/>
              </w:rPr>
              <w:t>总投资（万元）</w:t>
            </w:r>
          </w:p>
        </w:tc>
        <w:tc>
          <w:tcPr>
            <w:tcW w:w="1823" w:type="dxa"/>
            <w:vAlign w:val="center"/>
          </w:tcPr>
          <w:p w14:paraId="7B1843BD">
            <w:pPr>
              <w:adjustRightInd w:val="0"/>
              <w:snapToGrid w:val="0"/>
              <w:jc w:val="center"/>
              <w:rPr>
                <w:rFonts w:hint="default" w:eastAsia="宋体"/>
                <w:color w:val="auto"/>
                <w:sz w:val="24"/>
                <w:lang w:val="en-US" w:eastAsia="zh-CN"/>
              </w:rPr>
            </w:pPr>
            <w:r>
              <w:rPr>
                <w:rFonts w:hint="eastAsia"/>
                <w:color w:val="auto"/>
                <w:sz w:val="24"/>
                <w:highlight w:val="none"/>
                <w:lang w:val="en-US" w:eastAsia="zh-CN"/>
              </w:rPr>
              <w:t>450.00</w:t>
            </w:r>
          </w:p>
        </w:tc>
        <w:tc>
          <w:tcPr>
            <w:tcW w:w="2210" w:type="dxa"/>
            <w:tcMar>
              <w:top w:w="16" w:type="dxa"/>
              <w:left w:w="16" w:type="dxa"/>
              <w:right w:w="16" w:type="dxa"/>
            </w:tcMar>
            <w:vAlign w:val="center"/>
          </w:tcPr>
          <w:p w14:paraId="0CC4EA5B">
            <w:pPr>
              <w:adjustRightInd w:val="0"/>
              <w:snapToGrid w:val="0"/>
              <w:jc w:val="center"/>
              <w:rPr>
                <w:color w:val="auto"/>
                <w:sz w:val="24"/>
              </w:rPr>
            </w:pPr>
            <w:r>
              <w:rPr>
                <w:color w:val="auto"/>
                <w:sz w:val="24"/>
              </w:rPr>
              <w:t>环保投资（万元）</w:t>
            </w:r>
          </w:p>
        </w:tc>
        <w:tc>
          <w:tcPr>
            <w:tcW w:w="2963" w:type="dxa"/>
            <w:vAlign w:val="center"/>
          </w:tcPr>
          <w:p w14:paraId="3D43B9E1">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81.70</w:t>
            </w:r>
          </w:p>
        </w:tc>
      </w:tr>
      <w:tr w14:paraId="426B88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4" w:type="dxa"/>
            <w:tcMar>
              <w:top w:w="16" w:type="dxa"/>
              <w:left w:w="16" w:type="dxa"/>
              <w:right w:w="16" w:type="dxa"/>
            </w:tcMar>
            <w:vAlign w:val="center"/>
          </w:tcPr>
          <w:p w14:paraId="4B3F2FEC">
            <w:pPr>
              <w:adjustRightInd w:val="0"/>
              <w:snapToGrid w:val="0"/>
              <w:jc w:val="center"/>
              <w:rPr>
                <w:color w:val="auto"/>
                <w:sz w:val="24"/>
              </w:rPr>
            </w:pPr>
            <w:r>
              <w:rPr>
                <w:color w:val="auto"/>
                <w:sz w:val="24"/>
              </w:rPr>
              <w:t>环保投资占比（%）</w:t>
            </w:r>
          </w:p>
        </w:tc>
        <w:tc>
          <w:tcPr>
            <w:tcW w:w="1823" w:type="dxa"/>
            <w:vAlign w:val="center"/>
          </w:tcPr>
          <w:p w14:paraId="1E01B132">
            <w:pPr>
              <w:adjustRightInd w:val="0"/>
              <w:snapToGrid w:val="0"/>
              <w:jc w:val="center"/>
              <w:rPr>
                <w:rFonts w:hint="default" w:eastAsia="宋体"/>
                <w:color w:val="auto"/>
                <w:sz w:val="24"/>
                <w:lang w:val="en-US" w:eastAsia="zh-CN"/>
              </w:rPr>
            </w:pPr>
            <w:r>
              <w:rPr>
                <w:rFonts w:hint="eastAsia"/>
                <w:color w:val="auto"/>
                <w:sz w:val="24"/>
                <w:highlight w:val="none"/>
                <w:lang w:val="en-US" w:eastAsia="zh-CN"/>
              </w:rPr>
              <w:t>18.2</w:t>
            </w:r>
          </w:p>
        </w:tc>
        <w:tc>
          <w:tcPr>
            <w:tcW w:w="2210" w:type="dxa"/>
            <w:tcMar>
              <w:top w:w="16" w:type="dxa"/>
              <w:left w:w="16" w:type="dxa"/>
              <w:right w:w="16" w:type="dxa"/>
            </w:tcMar>
            <w:vAlign w:val="center"/>
          </w:tcPr>
          <w:p w14:paraId="0805C9BB">
            <w:pPr>
              <w:adjustRightInd w:val="0"/>
              <w:snapToGrid w:val="0"/>
              <w:jc w:val="center"/>
              <w:rPr>
                <w:color w:val="auto"/>
                <w:sz w:val="24"/>
              </w:rPr>
            </w:pPr>
            <w:r>
              <w:rPr>
                <w:color w:val="auto"/>
                <w:sz w:val="24"/>
              </w:rPr>
              <w:t>施工工期</w:t>
            </w:r>
          </w:p>
        </w:tc>
        <w:tc>
          <w:tcPr>
            <w:tcW w:w="2963" w:type="dxa"/>
            <w:vAlign w:val="center"/>
          </w:tcPr>
          <w:p w14:paraId="695EDEC6">
            <w:pPr>
              <w:adjustRightInd w:val="0"/>
              <w:snapToGrid w:val="0"/>
              <w:jc w:val="center"/>
              <w:rPr>
                <w:color w:val="auto"/>
                <w:sz w:val="24"/>
                <w:highlight w:val="none"/>
              </w:rPr>
            </w:pPr>
            <w:r>
              <w:rPr>
                <w:rFonts w:hint="eastAsia"/>
                <w:color w:val="auto"/>
                <w:sz w:val="24"/>
                <w:highlight w:val="none"/>
                <w:lang w:val="en-US" w:eastAsia="zh-CN"/>
              </w:rPr>
              <w:t>3个</w:t>
            </w:r>
            <w:r>
              <w:rPr>
                <w:color w:val="auto"/>
                <w:sz w:val="24"/>
                <w:highlight w:val="none"/>
              </w:rPr>
              <w:t>月</w:t>
            </w:r>
          </w:p>
        </w:tc>
      </w:tr>
      <w:tr w14:paraId="73301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4" w:type="dxa"/>
            <w:tcMar>
              <w:top w:w="16" w:type="dxa"/>
              <w:left w:w="16" w:type="dxa"/>
              <w:right w:w="16" w:type="dxa"/>
            </w:tcMar>
            <w:vAlign w:val="center"/>
          </w:tcPr>
          <w:p w14:paraId="05036D72">
            <w:pPr>
              <w:adjustRightInd w:val="0"/>
              <w:snapToGrid w:val="0"/>
              <w:jc w:val="center"/>
              <w:rPr>
                <w:color w:val="auto"/>
                <w:sz w:val="24"/>
              </w:rPr>
            </w:pPr>
            <w:r>
              <w:rPr>
                <w:color w:val="auto"/>
                <w:sz w:val="24"/>
              </w:rPr>
              <w:t>是否开工建设</w:t>
            </w:r>
          </w:p>
        </w:tc>
        <w:tc>
          <w:tcPr>
            <w:tcW w:w="1823" w:type="dxa"/>
            <w:vAlign w:val="center"/>
          </w:tcPr>
          <w:p w14:paraId="102ACCE8">
            <w:pPr>
              <w:adjustRightInd w:val="0"/>
              <w:snapToGrid w:val="0"/>
              <w:rPr>
                <w:color w:val="auto"/>
                <w:sz w:val="24"/>
              </w:rPr>
            </w:pPr>
            <w:r>
              <w:rPr>
                <w:color w:val="auto"/>
                <w:sz w:val="24"/>
              </w:rPr>
              <w:sym w:font="Wingdings 2" w:char="0052"/>
            </w:r>
            <w:r>
              <w:rPr>
                <w:color w:val="auto"/>
                <w:sz w:val="24"/>
              </w:rPr>
              <w:t>否</w:t>
            </w:r>
          </w:p>
          <w:p w14:paraId="30E40CEB">
            <w:pPr>
              <w:adjustRightInd w:val="0"/>
              <w:snapToGrid w:val="0"/>
              <w:rPr>
                <w:color w:val="auto"/>
                <w:sz w:val="24"/>
              </w:rPr>
            </w:pPr>
            <w:r>
              <w:rPr>
                <w:color w:val="auto"/>
                <w:sz w:val="24"/>
              </w:rPr>
              <w:sym w:font="Wingdings 2" w:char="00A3"/>
            </w:r>
            <w:r>
              <w:rPr>
                <w:color w:val="auto"/>
                <w:sz w:val="24"/>
              </w:rPr>
              <w:t>是：</w:t>
            </w:r>
            <w:r>
              <w:rPr>
                <w:color w:val="auto"/>
                <w:sz w:val="24"/>
                <w:u w:val="single"/>
              </w:rPr>
              <w:t xml:space="preserve">             </w:t>
            </w:r>
          </w:p>
        </w:tc>
        <w:tc>
          <w:tcPr>
            <w:tcW w:w="2210" w:type="dxa"/>
            <w:tcMar>
              <w:top w:w="16" w:type="dxa"/>
              <w:left w:w="16" w:type="dxa"/>
              <w:right w:w="16" w:type="dxa"/>
            </w:tcMar>
            <w:vAlign w:val="center"/>
          </w:tcPr>
          <w:p w14:paraId="734E8D75">
            <w:pPr>
              <w:adjustRightInd w:val="0"/>
              <w:snapToGrid w:val="0"/>
              <w:jc w:val="center"/>
              <w:rPr>
                <w:color w:val="auto"/>
                <w:spacing w:val="-6"/>
                <w:sz w:val="24"/>
              </w:rPr>
            </w:pPr>
            <w:r>
              <w:rPr>
                <w:color w:val="auto"/>
                <w:spacing w:val="-6"/>
                <w:sz w:val="24"/>
              </w:rPr>
              <w:t>用地（用海）</w:t>
            </w:r>
          </w:p>
          <w:p w14:paraId="5128ACE8">
            <w:pPr>
              <w:adjustRightInd w:val="0"/>
              <w:snapToGrid w:val="0"/>
              <w:jc w:val="center"/>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2963" w:type="dxa"/>
            <w:vAlign w:val="center"/>
          </w:tcPr>
          <w:p w14:paraId="7A83CA97">
            <w:pPr>
              <w:adjustRightInd w:val="0"/>
              <w:snapToGrid w:val="0"/>
              <w:jc w:val="center"/>
              <w:rPr>
                <w:rFonts w:hint="default" w:eastAsia="宋体"/>
                <w:color w:val="auto"/>
                <w:sz w:val="24"/>
                <w:lang w:val="en-US" w:eastAsia="zh-CN"/>
              </w:rPr>
            </w:pPr>
            <w:r>
              <w:rPr>
                <w:rFonts w:hint="eastAsia"/>
                <w:color w:val="auto"/>
                <w:sz w:val="24"/>
                <w:lang w:val="en-US" w:eastAsia="zh-CN"/>
              </w:rPr>
              <w:t>23633.72</w:t>
            </w:r>
          </w:p>
        </w:tc>
      </w:tr>
      <w:tr w14:paraId="5DDAA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74" w:type="dxa"/>
            <w:vAlign w:val="center"/>
          </w:tcPr>
          <w:p w14:paraId="2AD60CAC">
            <w:pPr>
              <w:autoSpaceDE w:val="0"/>
              <w:autoSpaceDN w:val="0"/>
              <w:adjustRightInd w:val="0"/>
              <w:snapToGrid w:val="0"/>
              <w:jc w:val="center"/>
              <w:rPr>
                <w:color w:val="auto"/>
                <w:kern w:val="0"/>
                <w:sz w:val="24"/>
              </w:rPr>
            </w:pPr>
            <w:r>
              <w:rPr>
                <w:color w:val="auto"/>
                <w:kern w:val="0"/>
                <w:sz w:val="24"/>
              </w:rPr>
              <w:t>专项评价设置情况</w:t>
            </w:r>
          </w:p>
        </w:tc>
        <w:tc>
          <w:tcPr>
            <w:tcW w:w="6996" w:type="dxa"/>
            <w:gridSpan w:val="3"/>
            <w:vAlign w:val="center"/>
          </w:tcPr>
          <w:p w14:paraId="4B5291C6">
            <w:pPr>
              <w:autoSpaceDE w:val="0"/>
              <w:autoSpaceDN w:val="0"/>
              <w:adjustRightInd w:val="0"/>
              <w:snapToGrid w:val="0"/>
              <w:jc w:val="center"/>
              <w:rPr>
                <w:color w:val="auto"/>
                <w:kern w:val="0"/>
                <w:sz w:val="24"/>
              </w:rPr>
            </w:pPr>
            <w:r>
              <w:rPr>
                <w:rFonts w:hint="eastAsia"/>
                <w:color w:val="auto"/>
                <w:kern w:val="0"/>
                <w:sz w:val="24"/>
              </w:rPr>
              <w:t>无</w:t>
            </w:r>
          </w:p>
        </w:tc>
      </w:tr>
      <w:tr w14:paraId="186C67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74" w:type="dxa"/>
            <w:vAlign w:val="center"/>
          </w:tcPr>
          <w:p w14:paraId="4B26B951">
            <w:pPr>
              <w:autoSpaceDE w:val="0"/>
              <w:autoSpaceDN w:val="0"/>
              <w:adjustRightInd w:val="0"/>
              <w:snapToGrid w:val="0"/>
              <w:jc w:val="center"/>
              <w:rPr>
                <w:color w:val="auto"/>
                <w:kern w:val="0"/>
                <w:sz w:val="24"/>
              </w:rPr>
            </w:pPr>
            <w:r>
              <w:rPr>
                <w:color w:val="auto"/>
                <w:sz w:val="24"/>
              </w:rPr>
              <w:t>规划情况</w:t>
            </w:r>
          </w:p>
        </w:tc>
        <w:tc>
          <w:tcPr>
            <w:tcW w:w="6996" w:type="dxa"/>
            <w:gridSpan w:val="3"/>
            <w:vAlign w:val="center"/>
          </w:tcPr>
          <w:p w14:paraId="7795EA2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eastAsia="宋体"/>
                <w:color w:val="auto"/>
                <w:kern w:val="0"/>
                <w:sz w:val="24"/>
                <w:lang w:val="en-US" w:eastAsia="zh-CN"/>
              </w:rPr>
            </w:pPr>
            <w:r>
              <w:rPr>
                <w:rFonts w:hint="eastAsia"/>
                <w:color w:val="auto"/>
                <w:kern w:val="0"/>
                <w:sz w:val="24"/>
                <w:lang w:val="en-US" w:eastAsia="zh-CN"/>
              </w:rPr>
              <w:t>/</w:t>
            </w:r>
          </w:p>
        </w:tc>
      </w:tr>
      <w:tr w14:paraId="23B73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74" w:type="dxa"/>
            <w:tcBorders>
              <w:bottom w:val="single" w:color="auto" w:sz="4" w:space="0"/>
            </w:tcBorders>
            <w:vAlign w:val="center"/>
          </w:tcPr>
          <w:p w14:paraId="40A4E433">
            <w:pPr>
              <w:adjustRightInd w:val="0"/>
              <w:snapToGrid w:val="0"/>
              <w:jc w:val="center"/>
              <w:rPr>
                <w:color w:val="auto"/>
                <w:sz w:val="24"/>
              </w:rPr>
            </w:pPr>
            <w:r>
              <w:rPr>
                <w:color w:val="auto"/>
                <w:sz w:val="24"/>
              </w:rPr>
              <w:t>规划环境影响</w:t>
            </w:r>
          </w:p>
          <w:p w14:paraId="5C560CA7">
            <w:pPr>
              <w:adjustRightInd w:val="0"/>
              <w:snapToGrid w:val="0"/>
              <w:jc w:val="center"/>
              <w:rPr>
                <w:color w:val="auto"/>
                <w:kern w:val="0"/>
                <w:sz w:val="24"/>
              </w:rPr>
            </w:pPr>
            <w:r>
              <w:rPr>
                <w:color w:val="auto"/>
                <w:sz w:val="24"/>
              </w:rPr>
              <w:t>评价情况</w:t>
            </w:r>
          </w:p>
        </w:tc>
        <w:tc>
          <w:tcPr>
            <w:tcW w:w="6996" w:type="dxa"/>
            <w:gridSpan w:val="3"/>
            <w:tcBorders>
              <w:bottom w:val="single" w:color="auto" w:sz="4" w:space="0"/>
            </w:tcBorders>
            <w:vAlign w:val="center"/>
          </w:tcPr>
          <w:p w14:paraId="721934D5">
            <w:pPr>
              <w:autoSpaceDE w:val="0"/>
              <w:autoSpaceDN w:val="0"/>
              <w:adjustRightInd w:val="0"/>
              <w:snapToGrid w:val="0"/>
              <w:spacing w:line="360" w:lineRule="auto"/>
              <w:jc w:val="center"/>
              <w:rPr>
                <w:rFonts w:hint="default" w:eastAsia="宋体"/>
                <w:color w:val="auto"/>
                <w:kern w:val="0"/>
                <w:sz w:val="24"/>
                <w:lang w:val="en-US" w:eastAsia="zh-CN"/>
              </w:rPr>
            </w:pPr>
            <w:r>
              <w:rPr>
                <w:rFonts w:hint="eastAsia"/>
                <w:color w:val="auto"/>
                <w:kern w:val="0"/>
                <w:sz w:val="24"/>
                <w:lang w:val="en-US" w:eastAsia="zh-CN"/>
              </w:rPr>
              <w:t>/</w:t>
            </w:r>
          </w:p>
        </w:tc>
      </w:tr>
      <w:tr w14:paraId="4DF2C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74" w:type="dxa"/>
            <w:tcBorders>
              <w:top w:val="single" w:color="auto" w:sz="4" w:space="0"/>
              <w:left w:val="single" w:color="auto" w:sz="4" w:space="0"/>
              <w:bottom w:val="single" w:color="auto" w:sz="4" w:space="0"/>
            </w:tcBorders>
            <w:vAlign w:val="center"/>
          </w:tcPr>
          <w:p w14:paraId="0A05A9B9">
            <w:pPr>
              <w:autoSpaceDE w:val="0"/>
              <w:autoSpaceDN w:val="0"/>
              <w:adjustRightInd w:val="0"/>
              <w:snapToGrid w:val="0"/>
              <w:jc w:val="center"/>
              <w:rPr>
                <w:color w:val="auto"/>
                <w:kern w:val="0"/>
                <w:sz w:val="24"/>
              </w:rPr>
            </w:pPr>
            <w:r>
              <w:rPr>
                <w:color w:val="auto"/>
                <w:kern w:val="0"/>
                <w:sz w:val="24"/>
              </w:rPr>
              <w:t>规划及规划环境影响评价符合性分析</w:t>
            </w:r>
          </w:p>
        </w:tc>
        <w:tc>
          <w:tcPr>
            <w:tcW w:w="6996" w:type="dxa"/>
            <w:gridSpan w:val="3"/>
            <w:tcBorders>
              <w:top w:val="single" w:color="auto" w:sz="4" w:space="0"/>
              <w:bottom w:val="single" w:color="auto" w:sz="4" w:space="0"/>
              <w:right w:val="single" w:color="auto" w:sz="4" w:space="0"/>
            </w:tcBorders>
            <w:vAlign w:val="center"/>
          </w:tcPr>
          <w:p w14:paraId="4549A8C0">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eastAsia="宋体"/>
                <w:color w:val="auto"/>
                <w:kern w:val="0"/>
                <w:sz w:val="24"/>
                <w:lang w:val="en-US" w:eastAsia="zh-CN"/>
              </w:rPr>
            </w:pPr>
            <w:r>
              <w:rPr>
                <w:rFonts w:hint="eastAsia"/>
                <w:color w:val="auto"/>
                <w:kern w:val="0"/>
                <w:sz w:val="24"/>
                <w:lang w:val="en-US" w:eastAsia="zh-CN"/>
              </w:rPr>
              <w:t>/</w:t>
            </w:r>
          </w:p>
        </w:tc>
      </w:tr>
      <w:tr w14:paraId="334A1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7" w:hRule="atLeast"/>
          <w:jc w:val="center"/>
        </w:trPr>
        <w:tc>
          <w:tcPr>
            <w:tcW w:w="1874" w:type="dxa"/>
            <w:tcBorders>
              <w:top w:val="single" w:color="auto" w:sz="4" w:space="0"/>
            </w:tcBorders>
            <w:vAlign w:val="center"/>
          </w:tcPr>
          <w:p w14:paraId="14AC29B4">
            <w:pPr>
              <w:autoSpaceDE w:val="0"/>
              <w:autoSpaceDN w:val="0"/>
              <w:adjustRightInd w:val="0"/>
              <w:snapToGrid w:val="0"/>
              <w:jc w:val="center"/>
              <w:rPr>
                <w:color w:val="auto"/>
                <w:kern w:val="0"/>
                <w:sz w:val="24"/>
              </w:rPr>
            </w:pPr>
            <w:r>
              <w:rPr>
                <w:color w:val="auto"/>
                <w:kern w:val="0"/>
                <w:sz w:val="24"/>
              </w:rPr>
              <w:t>其他符合性分析</w:t>
            </w:r>
          </w:p>
        </w:tc>
        <w:tc>
          <w:tcPr>
            <w:tcW w:w="6996" w:type="dxa"/>
            <w:gridSpan w:val="3"/>
            <w:tcBorders>
              <w:top w:val="single" w:color="auto" w:sz="4" w:space="0"/>
            </w:tcBorders>
            <w:vAlign w:val="center"/>
          </w:tcPr>
          <w:p w14:paraId="609A3DCC">
            <w:pPr>
              <w:numPr>
                <w:ilvl w:val="0"/>
                <w:numId w:val="0"/>
              </w:numPr>
              <w:autoSpaceDE w:val="0"/>
              <w:autoSpaceDN w:val="0"/>
              <w:adjustRightInd w:val="0"/>
              <w:snapToGrid w:val="0"/>
              <w:spacing w:line="360" w:lineRule="auto"/>
              <w:rPr>
                <w:b/>
                <w:bCs/>
                <w:color w:val="auto"/>
                <w:sz w:val="24"/>
              </w:rPr>
            </w:pPr>
            <w:r>
              <w:rPr>
                <w:rFonts w:ascii="Times New Roman" w:hAnsi="Times New Roman" w:eastAsia="宋体" w:cs="Times New Roman"/>
                <w:b/>
                <w:bCs/>
                <w:color w:val="auto"/>
                <w:kern w:val="2"/>
                <w:sz w:val="24"/>
                <w:szCs w:val="24"/>
                <w:lang w:val="en-US" w:eastAsia="zh-CN" w:bidi="ar-SA"/>
              </w:rPr>
              <w:t>1.</w:t>
            </w:r>
            <w:r>
              <w:rPr>
                <w:b/>
                <w:bCs/>
                <w:color w:val="auto"/>
                <w:sz w:val="24"/>
              </w:rPr>
              <w:t>产业政策符合性分析</w:t>
            </w:r>
          </w:p>
          <w:p w14:paraId="7AF5E25B">
            <w:pPr>
              <w:autoSpaceDE w:val="0"/>
              <w:autoSpaceDN w:val="0"/>
              <w:adjustRightInd w:val="0"/>
              <w:snapToGrid w:val="0"/>
              <w:spacing w:line="360" w:lineRule="auto"/>
              <w:ind w:firstLine="480" w:firstLineChars="200"/>
              <w:rPr>
                <w:color w:val="auto"/>
                <w:kern w:val="0"/>
                <w:sz w:val="24"/>
              </w:rPr>
            </w:pPr>
            <w:r>
              <w:rPr>
                <w:rFonts w:hint="eastAsia"/>
                <w:color w:val="auto"/>
                <w:kern w:val="0"/>
                <w:sz w:val="24"/>
                <w:lang w:val="en-US" w:eastAsia="zh-CN"/>
              </w:rPr>
              <w:t>根据</w:t>
            </w:r>
            <w:r>
              <w:rPr>
                <w:color w:val="auto"/>
                <w:kern w:val="0"/>
                <w:sz w:val="24"/>
              </w:rPr>
              <w:t>《产业结构调整指导目录（20</w:t>
            </w:r>
            <w:r>
              <w:rPr>
                <w:rFonts w:hint="eastAsia"/>
                <w:color w:val="auto"/>
                <w:kern w:val="0"/>
                <w:sz w:val="24"/>
                <w:lang w:val="en-US" w:eastAsia="zh-CN"/>
              </w:rPr>
              <w:t>24</w:t>
            </w:r>
            <w:r>
              <w:rPr>
                <w:color w:val="auto"/>
                <w:kern w:val="0"/>
                <w:sz w:val="24"/>
              </w:rPr>
              <w:t>年本）》，本项目不在其规定的鼓励类、限制类和淘汰类范围内，故属于允许类建设项目，生产过程中</w:t>
            </w:r>
            <w:r>
              <w:rPr>
                <w:rFonts w:hint="eastAsia"/>
                <w:color w:val="auto"/>
                <w:kern w:val="0"/>
                <w:sz w:val="24"/>
                <w:lang w:val="en-US" w:eastAsia="zh-CN"/>
              </w:rPr>
              <w:t>不</w:t>
            </w:r>
            <w:r>
              <w:rPr>
                <w:color w:val="auto"/>
                <w:kern w:val="0"/>
                <w:sz w:val="24"/>
              </w:rPr>
              <w:t>使用国家明令禁止的淘汰类和限制类的设备及工艺。</w:t>
            </w:r>
            <w:r>
              <w:rPr>
                <w:rFonts w:hint="eastAsia"/>
                <w:color w:val="auto"/>
                <w:kern w:val="0"/>
                <w:sz w:val="24"/>
              </w:rPr>
              <w:t>同时，对照《市场准入负面清单（2022年版）》，本项目也不属于禁止准入事项，</w:t>
            </w:r>
            <w:r>
              <w:rPr>
                <w:rFonts w:hint="eastAsia"/>
                <w:color w:val="auto"/>
                <w:kern w:val="0"/>
                <w:sz w:val="24"/>
                <w:lang w:val="en-US" w:eastAsia="zh-CN"/>
              </w:rPr>
              <w:t>因此，本项目的建设</w:t>
            </w:r>
            <w:r>
              <w:rPr>
                <w:rFonts w:hint="eastAsia"/>
                <w:color w:val="auto"/>
                <w:kern w:val="0"/>
                <w:sz w:val="24"/>
              </w:rPr>
              <w:t>符合国家产业政策。</w:t>
            </w:r>
          </w:p>
          <w:p w14:paraId="5CA0320A">
            <w:pPr>
              <w:numPr>
                <w:ilvl w:val="0"/>
                <w:numId w:val="0"/>
              </w:numPr>
              <w:autoSpaceDE w:val="0"/>
              <w:autoSpaceDN w:val="0"/>
              <w:adjustRightInd w:val="0"/>
              <w:snapToGrid w:val="0"/>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lang w:val="en-US" w:eastAsia="zh-CN"/>
              </w:rPr>
              <w:t>2.</w:t>
            </w:r>
            <w:r>
              <w:rPr>
                <w:rFonts w:ascii="Times New Roman" w:hAnsi="Times New Roman" w:eastAsia="宋体" w:cs="Times New Roman"/>
                <w:b/>
                <w:bCs/>
                <w:color w:val="auto"/>
                <w:sz w:val="24"/>
              </w:rPr>
              <w:t>“三线一单”符合性分析</w:t>
            </w:r>
          </w:p>
          <w:p w14:paraId="7A679D85">
            <w:pPr>
              <w:autoSpaceDE w:val="0"/>
              <w:autoSpaceDN w:val="0"/>
              <w:adjustRightInd w:val="0"/>
              <w:snapToGrid w:val="0"/>
              <w:spacing w:line="360" w:lineRule="auto"/>
              <w:rPr>
                <w:rFonts w:hint="eastAsia"/>
                <w:b/>
                <w:bCs/>
                <w:color w:val="auto"/>
                <w:sz w:val="24"/>
                <w:szCs w:val="32"/>
              </w:rPr>
            </w:pPr>
            <w:r>
              <w:rPr>
                <w:b/>
                <w:bCs/>
                <w:color w:val="auto"/>
                <w:sz w:val="24"/>
                <w:szCs w:val="32"/>
              </w:rPr>
              <w:t>2.1 与</w:t>
            </w:r>
            <w:r>
              <w:rPr>
                <w:rFonts w:hint="eastAsia"/>
                <w:b/>
                <w:bCs/>
                <w:color w:val="auto"/>
                <w:sz w:val="24"/>
                <w:szCs w:val="32"/>
              </w:rPr>
              <w:t>《新疆维吾尔自治区生态环境分区管控动态更新成果》（新环环评发〔2024〕157号）的符合性分析</w:t>
            </w:r>
          </w:p>
          <w:p w14:paraId="198C80A8">
            <w:pPr>
              <w:autoSpaceDE w:val="0"/>
              <w:autoSpaceDN w:val="0"/>
              <w:adjustRightInd w:val="0"/>
              <w:snapToGrid w:val="0"/>
              <w:spacing w:line="360" w:lineRule="auto"/>
              <w:ind w:firstLine="480" w:firstLineChars="200"/>
              <w:rPr>
                <w:color w:val="auto"/>
              </w:rPr>
            </w:pPr>
            <w:r>
              <w:rPr>
                <w:color w:val="auto"/>
                <w:sz w:val="24"/>
              </w:rPr>
              <w:t>本项目位于</w:t>
            </w:r>
            <w:r>
              <w:rPr>
                <w:rFonts w:hint="eastAsia" w:cs="Times New Roman"/>
                <w:color w:val="auto"/>
                <w:sz w:val="24"/>
                <w:u w:val="none"/>
                <w:lang w:val="en-US" w:eastAsia="zh-CN"/>
              </w:rPr>
              <w:t>新疆维吾尔自治区昌吉回族自治州木垒哈萨克自治县照壁山乡霍斯阔拉村</w:t>
            </w:r>
            <w:r>
              <w:rPr>
                <w:rFonts w:hint="eastAsia"/>
                <w:color w:val="auto"/>
                <w:sz w:val="24"/>
              </w:rPr>
              <w:t>，</w:t>
            </w:r>
            <w:r>
              <w:rPr>
                <w:color w:val="auto"/>
                <w:sz w:val="24"/>
              </w:rPr>
              <w:t>本</w:t>
            </w:r>
            <w:r>
              <w:rPr>
                <w:rFonts w:hint="eastAsia"/>
                <w:color w:val="auto"/>
                <w:sz w:val="24"/>
                <w:lang w:val="en-US" w:eastAsia="zh-CN"/>
              </w:rPr>
              <w:t>项目</w:t>
            </w:r>
            <w:r>
              <w:rPr>
                <w:color w:val="auto"/>
                <w:sz w:val="24"/>
              </w:rPr>
              <w:t>与</w:t>
            </w:r>
            <w:r>
              <w:rPr>
                <w:rFonts w:hint="eastAsia"/>
                <w:color w:val="auto"/>
                <w:sz w:val="24"/>
              </w:rPr>
              <w:t>《新疆维吾尔自治区生态环境分区管控动态更新成果》（新环环评发〔2024〕157号）</w:t>
            </w:r>
            <w:r>
              <w:rPr>
                <w:color w:val="auto"/>
                <w:sz w:val="24"/>
              </w:rPr>
              <w:t>的相符性</w:t>
            </w:r>
            <w:r>
              <w:rPr>
                <w:rFonts w:hint="eastAsia"/>
                <w:color w:val="auto"/>
                <w:sz w:val="24"/>
              </w:rPr>
              <w:t>详</w:t>
            </w:r>
            <w:r>
              <w:rPr>
                <w:color w:val="auto"/>
                <w:sz w:val="24"/>
              </w:rPr>
              <w:t>见表1-1</w:t>
            </w:r>
            <w:r>
              <w:rPr>
                <w:rFonts w:hint="eastAsia"/>
                <w:color w:val="auto"/>
                <w:sz w:val="24"/>
              </w:rPr>
              <w:t>。</w:t>
            </w:r>
          </w:p>
          <w:p w14:paraId="7D2B81CF">
            <w:pPr>
              <w:pStyle w:val="59"/>
              <w:rPr>
                <w:rFonts w:hint="default"/>
                <w:color w:val="auto"/>
              </w:rPr>
            </w:pPr>
            <w:r>
              <w:rPr>
                <w:rFonts w:hint="default"/>
                <w:color w:val="auto"/>
              </w:rPr>
              <w:t xml:space="preserve">表1-1  </w:t>
            </w:r>
            <w:r>
              <w:rPr>
                <w:rFonts w:hint="eastAsia"/>
                <w:color w:val="auto"/>
                <w:lang w:val="en-US" w:eastAsia="zh-CN"/>
              </w:rPr>
              <w:t>项目</w:t>
            </w:r>
            <w:r>
              <w:rPr>
                <w:rFonts w:hint="eastAsia"/>
                <w:color w:val="auto"/>
                <w:lang w:eastAsia="zh-CN"/>
              </w:rPr>
              <w:t>“</w:t>
            </w:r>
            <w:r>
              <w:rPr>
                <w:rFonts w:hint="default"/>
                <w:color w:val="auto"/>
              </w:rPr>
              <w:t>三线一单</w:t>
            </w:r>
            <w:r>
              <w:rPr>
                <w:rFonts w:hint="eastAsia"/>
                <w:color w:val="auto"/>
                <w:lang w:eastAsia="zh-CN"/>
              </w:rPr>
              <w:t>”</w:t>
            </w:r>
            <w:r>
              <w:rPr>
                <w:rFonts w:hint="default"/>
                <w:color w:val="auto"/>
              </w:rPr>
              <w:t>符合性分析</w:t>
            </w:r>
          </w:p>
          <w:tbl>
            <w:tblPr>
              <w:tblStyle w:val="2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637"/>
              <w:gridCol w:w="3919"/>
              <w:gridCol w:w="1670"/>
            </w:tblGrid>
            <w:tr w14:paraId="29FF96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pct"/>
                  <w:gridSpan w:val="2"/>
                  <w:tcBorders>
                    <w:tl2br w:val="nil"/>
                    <w:tr2bl w:val="nil"/>
                  </w:tcBorders>
                  <w:noWrap w:val="0"/>
                  <w:vAlign w:val="center"/>
                </w:tcPr>
                <w:p w14:paraId="56DF3C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管控维度</w:t>
                  </w:r>
                </w:p>
              </w:tc>
              <w:tc>
                <w:tcPr>
                  <w:tcW w:w="2890" w:type="pct"/>
                  <w:tcBorders>
                    <w:tl2br w:val="nil"/>
                    <w:tr2bl w:val="nil"/>
                  </w:tcBorders>
                  <w:noWrap w:val="0"/>
                  <w:vAlign w:val="center"/>
                </w:tcPr>
                <w:p w14:paraId="079B9E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管控要求</w:t>
                  </w:r>
                </w:p>
              </w:tc>
              <w:tc>
                <w:tcPr>
                  <w:tcW w:w="1231" w:type="pct"/>
                  <w:tcBorders>
                    <w:tl2br w:val="nil"/>
                    <w:tr2bl w:val="nil"/>
                  </w:tcBorders>
                  <w:noWrap w:val="0"/>
                  <w:vAlign w:val="center"/>
                </w:tcPr>
                <w:p w14:paraId="08A17F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本项目</w:t>
                  </w:r>
                </w:p>
              </w:tc>
            </w:tr>
            <w:tr w14:paraId="0A1532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restart"/>
                  <w:tcBorders>
                    <w:tl2br w:val="nil"/>
                    <w:tr2bl w:val="nil"/>
                  </w:tcBorders>
                  <w:noWrap w:val="0"/>
                  <w:vAlign w:val="center"/>
                </w:tcPr>
                <w:p w14:paraId="07D4F5E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A1空间布局约束</w:t>
                  </w:r>
                </w:p>
              </w:tc>
              <w:tc>
                <w:tcPr>
                  <w:tcW w:w="470" w:type="pct"/>
                  <w:vMerge w:val="restart"/>
                  <w:tcBorders>
                    <w:tl2br w:val="nil"/>
                    <w:tr2bl w:val="nil"/>
                  </w:tcBorders>
                  <w:noWrap w:val="0"/>
                  <w:vAlign w:val="center"/>
                </w:tcPr>
                <w:p w14:paraId="60DF733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A1.1禁止开发建设的活动</w:t>
                  </w:r>
                </w:p>
              </w:tc>
              <w:tc>
                <w:tcPr>
                  <w:tcW w:w="2890" w:type="pct"/>
                  <w:tcBorders>
                    <w:tl2br w:val="nil"/>
                    <w:tr2bl w:val="nil"/>
                  </w:tcBorders>
                  <w:noWrap w:val="0"/>
                  <w:vAlign w:val="center"/>
                </w:tcPr>
                <w:p w14:paraId="1B7FAA7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〔A1.1-1〕禁止新建、扩建《产业结构调整指导目录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2024年本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》中淘汰类项目。禁止引入《市场准入负面清单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2022年版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》禁止准入类事项</w:t>
                  </w:r>
                </w:p>
              </w:tc>
              <w:tc>
                <w:tcPr>
                  <w:tcW w:w="1231" w:type="pct"/>
                  <w:vMerge w:val="restart"/>
                  <w:tcBorders>
                    <w:tl2br w:val="nil"/>
                    <w:tr2bl w:val="nil"/>
                  </w:tcBorders>
                  <w:noWrap w:val="0"/>
                  <w:vAlign w:val="center"/>
                </w:tcPr>
                <w:p w14:paraId="1AACE88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根据《产业结构调整指导目录（2024年本）》，本项目为水泥制品制造，不在指导目录的鼓</w:t>
                  </w:r>
                </w:p>
                <w:p w14:paraId="1D544D1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励类、限制类和淘汰类之列，</w:t>
                  </w:r>
                  <w:r>
                    <w:rPr>
                      <w:rFonts w:hint="eastAsia" w:ascii="Times New Roman" w:hAnsi="Times New Roman" w:eastAsia="宋体" w:cs="Times New Roman"/>
                      <w:color w:val="auto"/>
                      <w:sz w:val="21"/>
                      <w:szCs w:val="21"/>
                      <w:highlight w:val="none"/>
                      <w:lang w:val="en-US" w:eastAsia="zh-CN"/>
                    </w:rPr>
                    <w:t>属于允许类建设项目，</w:t>
                  </w:r>
                  <w:r>
                    <w:rPr>
                      <w:rFonts w:hint="default" w:ascii="Times New Roman" w:hAnsi="Times New Roman" w:eastAsia="宋体" w:cs="Times New Roman"/>
                      <w:color w:val="auto"/>
                      <w:sz w:val="21"/>
                      <w:szCs w:val="21"/>
                      <w:highlight w:val="none"/>
                      <w:lang w:val="en-US" w:eastAsia="zh-CN"/>
                    </w:rPr>
                    <w:t>不属于《市场准入负面清单（2022年版）》禁止准入类事项。</w:t>
                  </w:r>
                </w:p>
                <w:p w14:paraId="5AC9624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本项目符合主体功能区规划、生态环境功能区划、国民经济发展规划相关规划及重点生态功能区负面清单要求。 </w:t>
                  </w:r>
                </w:p>
                <w:p w14:paraId="4B8512B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项目建设</w:t>
                  </w:r>
                  <w:r>
                    <w:rPr>
                      <w:rFonts w:hint="default" w:ascii="Times New Roman" w:hAnsi="Times New Roman" w:eastAsia="宋体" w:cs="Times New Roman"/>
                      <w:color w:val="auto"/>
                      <w:sz w:val="21"/>
                      <w:szCs w:val="21"/>
                      <w:highlight w:val="none"/>
                      <w:lang w:val="en-US" w:eastAsia="zh-CN"/>
                    </w:rPr>
                    <w:t>不在左列禁止建设区域内</w:t>
                  </w:r>
                  <w:r>
                    <w:rPr>
                      <w:rFonts w:hint="eastAsia" w:ascii="Times New Roman" w:hAnsi="Times New Roman" w:eastAsia="宋体" w:cs="Times New Roman"/>
                      <w:color w:val="auto"/>
                      <w:sz w:val="21"/>
                      <w:szCs w:val="21"/>
                      <w:highlight w:val="none"/>
                      <w:lang w:val="en-US" w:eastAsia="zh-CN"/>
                    </w:rPr>
                    <w:t>。</w:t>
                  </w:r>
                </w:p>
              </w:tc>
            </w:tr>
            <w:tr w14:paraId="06DC65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0493FA7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2929281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7233AEB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〔A1.1-2〕禁止建设不符合国家和自治区环境保护标准的项目</w:t>
                  </w:r>
                </w:p>
              </w:tc>
              <w:tc>
                <w:tcPr>
                  <w:tcW w:w="1231" w:type="pct"/>
                  <w:vMerge w:val="continue"/>
                  <w:tcBorders>
                    <w:tl2br w:val="nil"/>
                    <w:tr2bl w:val="nil"/>
                  </w:tcBorders>
                  <w:noWrap w:val="0"/>
                  <w:vAlign w:val="center"/>
                </w:tcPr>
                <w:p w14:paraId="2938192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5894F2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0D32598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54DB7E5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6501876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〔A1.1-3〕禁止在饮用水水源保护区、风景名胜区、自然保护区的核心区和缓冲区、城镇居民区、文化教育科学研究区等人口集中区域以及法律、法规规定的其他禁止养殖区域建设畜禽养殖场、养殖小区</w:t>
                  </w:r>
                </w:p>
              </w:tc>
              <w:tc>
                <w:tcPr>
                  <w:tcW w:w="1231" w:type="pct"/>
                  <w:vMerge w:val="continue"/>
                  <w:tcBorders>
                    <w:tl2br w:val="nil"/>
                    <w:tr2bl w:val="nil"/>
                  </w:tcBorders>
                  <w:noWrap w:val="0"/>
                  <w:vAlign w:val="center"/>
                </w:tcPr>
                <w:p w14:paraId="59C542E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634044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25649DB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357009C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6D2A388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〔A1.1-4〕禁止在水源涵养区、地下水源、饮用水源、自然保护区、风景名胜区、森林公园、重要湿地及人群密集区等生态敏感区域内进行煤炭、石油、天然气开发</w:t>
                  </w:r>
                </w:p>
              </w:tc>
              <w:tc>
                <w:tcPr>
                  <w:tcW w:w="1231" w:type="pct"/>
                  <w:vMerge w:val="continue"/>
                  <w:tcBorders>
                    <w:tl2br w:val="nil"/>
                    <w:tr2bl w:val="nil"/>
                  </w:tcBorders>
                  <w:noWrap w:val="0"/>
                  <w:vAlign w:val="center"/>
                </w:tcPr>
                <w:p w14:paraId="6FA2C6A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7590E4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0D66332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2BF9155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09EB769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〔A1.1-5〕禁止下列破坏湿地及其生态功能的行为：</w:t>
                  </w:r>
                </w:p>
                <w:p w14:paraId="37E1449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一</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开</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围</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垦、排干自然湿地，永久性截断自然湿地水源；</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擅自填埋自然湿地，擅自采砂、采矿、取土；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三</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排放不符合水污染物排放标准的工业废水、生活污水及其他污染湿地的废水、污水，倾倒、堆放、丢弃、遗撒固体废物；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四</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过度放牧或者滥采野生植物，过度捕捞或者灭绝式捕捞，过度施肥、投药、投放饵料等污染湿地的种植养殖行为；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五</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其他破坏湿地及其生态功能的行为</w:t>
                  </w:r>
                </w:p>
              </w:tc>
              <w:tc>
                <w:tcPr>
                  <w:tcW w:w="1231" w:type="pct"/>
                  <w:vMerge w:val="continue"/>
                  <w:tcBorders>
                    <w:tl2br w:val="nil"/>
                    <w:tr2bl w:val="nil"/>
                  </w:tcBorders>
                  <w:noWrap w:val="0"/>
                  <w:vAlign w:val="center"/>
                </w:tcPr>
                <w:p w14:paraId="4415D3F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33E806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1314086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24C454B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2314B96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〔A1.1-6〕禁止在自治区行政区域内引进能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水</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耗不符合相关国家标准中准入值要求且污染物排放和环境风险防控不符合国家</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地方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标准及有关产业准入条件的高污染</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排放</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、高能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水</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耗、高环境风险的工业项目</w:t>
                  </w:r>
                </w:p>
              </w:tc>
              <w:tc>
                <w:tcPr>
                  <w:tcW w:w="1231" w:type="pct"/>
                  <w:vMerge w:val="continue"/>
                  <w:tcBorders>
                    <w:tl2br w:val="nil"/>
                    <w:tr2bl w:val="nil"/>
                  </w:tcBorders>
                  <w:noWrap w:val="0"/>
                  <w:vAlign w:val="center"/>
                </w:tcPr>
                <w:p w14:paraId="26B866B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7574D8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4CDFD80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7C70931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75560E4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1.1-7〕①坚决遏制高耗能高排放低水平项目盲目发展。严把高耗能高排放低水平项目准入关口，严格落实污染物排放区域削减要求，对不符合规定的项目坚决停批停建。依法依规淘汰落后产能和化解过剩产能。②重点行业企业纳入重污染天气绩效分级，制定“一厂一策”应急减排清单，实现应纳尽纳；引导重点企业在秋冬季安排停产检修计划，减少冬季和采暖期排放。推进重点行业深度治理，实施全工况脱硫脱硝提标改造，加大无组织排放治理力度，深度开展工业炉窑综合整治，全面提升电解铝、活性炭、硅冶炼、纯碱、电石、聚氯乙烯、石化等行业污染治理水平</w:t>
                  </w:r>
                </w:p>
              </w:tc>
              <w:tc>
                <w:tcPr>
                  <w:tcW w:w="1231" w:type="pct"/>
                  <w:vMerge w:val="continue"/>
                  <w:tcBorders>
                    <w:tl2br w:val="nil"/>
                    <w:tr2bl w:val="nil"/>
                  </w:tcBorders>
                  <w:noWrap w:val="0"/>
                  <w:vAlign w:val="center"/>
                </w:tcPr>
                <w:p w14:paraId="3933F01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60EC1F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67E969A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377B6EE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4B73562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〔A1.1-8〕严格执行危险化学品“禁限控”目录，新建危险化学品生产项目必须进入一般或较低安全风险的化工园区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与其他行业生产装置配套建设的项目除外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引导其他石化化工项目在化工园区发展</w:t>
                  </w:r>
                </w:p>
              </w:tc>
              <w:tc>
                <w:tcPr>
                  <w:tcW w:w="1231" w:type="pct"/>
                  <w:vMerge w:val="continue"/>
                  <w:tcBorders>
                    <w:tl2br w:val="nil"/>
                    <w:tr2bl w:val="nil"/>
                  </w:tcBorders>
                  <w:noWrap w:val="0"/>
                  <w:vAlign w:val="center"/>
                </w:tcPr>
                <w:p w14:paraId="1C779E3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4C80FB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039CE6A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134E298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68D12D9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〔A1.1-9〕严禁新建自治区《禁止、控制和限制危险化学品目录》中淘汰类、禁止类危险化学品化工项目。严格执行生态保护红线、永久基本农田管控要求，禁止新</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改、扩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建化工项目违规占用生态保护红线和永久基本农田。在塔里木河、伊犁河、额尔齐斯河干流及主要支流岸线1公里范围内，除提升安全、环保、节能、智能化、产品质量水平的技术改造项目外，严格禁止新建、扩建化工项目，不得布局新的化工园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含化工集中区</w:t>
                  </w:r>
                  <w:r>
                    <w:rPr>
                      <w:rFonts w:hint="default" w:ascii="Times New Roman" w:hAnsi="Times New Roman" w:eastAsia="宋体" w:cs="Times New Roman"/>
                      <w:color w:val="auto"/>
                      <w:sz w:val="21"/>
                      <w:szCs w:val="21"/>
                      <w:highlight w:val="none"/>
                      <w:lang w:eastAsia="zh-CN"/>
                    </w:rPr>
                    <w:t>）</w:t>
                  </w:r>
                </w:p>
              </w:tc>
              <w:tc>
                <w:tcPr>
                  <w:tcW w:w="1231" w:type="pct"/>
                  <w:vMerge w:val="continue"/>
                  <w:tcBorders>
                    <w:tl2br w:val="nil"/>
                    <w:tr2bl w:val="nil"/>
                  </w:tcBorders>
                  <w:noWrap w:val="0"/>
                  <w:vAlign w:val="center"/>
                </w:tcPr>
                <w:p w14:paraId="3A4BB94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2B8282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75DB521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2A2E0DD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2D8FE56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〔A1.1-10〕推动涉重金属产业集中优化发展，禁止新建用汞的电石法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氯乙烯生产工艺，新建、扩建的重有色金属冶炼、电镀、制革企业优先选择布设在依法合规设立并依法开展规划环境影响评价的产业园区</w:t>
                  </w:r>
                </w:p>
              </w:tc>
              <w:tc>
                <w:tcPr>
                  <w:tcW w:w="1231" w:type="pct"/>
                  <w:vMerge w:val="continue"/>
                  <w:tcBorders>
                    <w:tl2br w:val="nil"/>
                    <w:tr2bl w:val="nil"/>
                  </w:tcBorders>
                  <w:noWrap w:val="0"/>
                  <w:vAlign w:val="center"/>
                </w:tcPr>
                <w:p w14:paraId="1053B62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009523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69D73DF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5A515E1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0B9C8D4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1.1-11〕国务院有关部门和青藏高原县级以上地方人民政府应当建立健全青藏高原雪山冰川冻土保护制度，加强对雪山冰川冻土的监测预警和系统保护。青藏高原省级人民政府应当将大型冰帽冰川、小规模冰川群等划入生态保护红线，对重要雪山冰川实施封禁保护，采取有效措施，严格控制人为扰动。青藏高原省级人民政府应当划定冻土区保护范围，加强对多年冻土区和中深季节冻土区的保护，严格控制多年冻土区资源开发，严格审批多年冻土区城镇规划和交通、管线、输变电等重大工程项目。青藏高原省级人民政府应当开展雪山冰川冻土与周边生态系统的协同保护，维持有利于雪山冰川冻土保护的自然生态环境</w:t>
                  </w:r>
                </w:p>
              </w:tc>
              <w:tc>
                <w:tcPr>
                  <w:tcW w:w="1231" w:type="pct"/>
                  <w:vMerge w:val="continue"/>
                  <w:tcBorders>
                    <w:tl2br w:val="nil"/>
                    <w:tr2bl w:val="nil"/>
                  </w:tcBorders>
                  <w:noWrap w:val="0"/>
                  <w:vAlign w:val="center"/>
                </w:tcPr>
                <w:p w14:paraId="13642B0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73A794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1F4B74E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restart"/>
                  <w:tcBorders>
                    <w:tl2br w:val="nil"/>
                    <w:tr2bl w:val="nil"/>
                  </w:tcBorders>
                  <w:noWrap w:val="0"/>
                  <w:vAlign w:val="center"/>
                </w:tcPr>
                <w:p w14:paraId="5A66034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A1.2限制开发建设的活动</w:t>
                  </w:r>
                </w:p>
              </w:tc>
              <w:tc>
                <w:tcPr>
                  <w:tcW w:w="2890" w:type="pct"/>
                  <w:tcBorders>
                    <w:tl2br w:val="nil"/>
                    <w:tr2bl w:val="nil"/>
                  </w:tcBorders>
                  <w:noWrap w:val="0"/>
                  <w:vAlign w:val="center"/>
                </w:tcPr>
                <w:p w14:paraId="3554C76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〔A1.2-1〕严格控制缺水地区、水污染严重区域和敏感区域高耗水、高污染行业发展</w:t>
                  </w:r>
                </w:p>
              </w:tc>
              <w:tc>
                <w:tcPr>
                  <w:tcW w:w="1231" w:type="pct"/>
                  <w:vMerge w:val="restart"/>
                  <w:tcBorders>
                    <w:tl2br w:val="nil"/>
                    <w:tr2bl w:val="nil"/>
                  </w:tcBorders>
                  <w:noWrap w:val="0"/>
                  <w:vAlign w:val="center"/>
                </w:tcPr>
                <w:p w14:paraId="703CBFF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ascii="Times New Roman" w:hAnsi="Times New Roman" w:eastAsia="宋体" w:cs="Times New Roman"/>
                      <w:color w:val="auto"/>
                      <w:sz w:val="21"/>
                      <w:szCs w:val="21"/>
                      <w:highlight w:val="none"/>
                      <w:lang w:val="en-US" w:eastAsia="zh-CN"/>
                    </w:rPr>
                    <w:t>占用天然牧草地，建设单位将严格按照</w:t>
                  </w:r>
                  <w:r>
                    <w:rPr>
                      <w:rFonts w:hint="default" w:ascii="Times New Roman" w:hAnsi="Times New Roman" w:eastAsia="宋体" w:cs="Times New Roman"/>
                      <w:color w:val="auto"/>
                      <w:sz w:val="21"/>
                      <w:szCs w:val="21"/>
                      <w:highlight w:val="none"/>
                      <w:lang w:val="en-US" w:eastAsia="zh-CN"/>
                    </w:rPr>
                    <w:t>国家、自治区相关补偿要求进行补偿</w:t>
                  </w:r>
                  <w:r>
                    <w:rPr>
                      <w:rFonts w:hint="eastAsia" w:ascii="Times New Roman" w:hAnsi="Times New Roman" w:eastAsia="宋体" w:cs="Times New Roman"/>
                      <w:color w:val="auto"/>
                      <w:sz w:val="21"/>
                      <w:szCs w:val="21"/>
                      <w:highlight w:val="none"/>
                      <w:lang w:val="en-US" w:eastAsia="zh-CN"/>
                    </w:rPr>
                    <w:t>。</w:t>
                  </w:r>
                </w:p>
              </w:tc>
            </w:tr>
            <w:tr w14:paraId="320C95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6354909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3D878F2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4A8B1C8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1231" w:type="pct"/>
                  <w:vMerge w:val="continue"/>
                  <w:tcBorders>
                    <w:tl2br w:val="nil"/>
                    <w:tr2bl w:val="nil"/>
                  </w:tcBorders>
                  <w:noWrap w:val="0"/>
                  <w:vAlign w:val="center"/>
                </w:tcPr>
                <w:p w14:paraId="7FD2DE3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6E5128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5E139A3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40DD5DA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0A5DF0D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〔A1.2-3〕以用途变更为住宅、公共管理与公共服务用地的地块为重点，严格建设用地准入管理和风险管控，未依法完成土壤污染状况调查或风险评估的地块，不得开工建设与风险管控和修复无关的项目</w:t>
                  </w:r>
                </w:p>
              </w:tc>
              <w:tc>
                <w:tcPr>
                  <w:tcW w:w="1231" w:type="pct"/>
                  <w:vMerge w:val="continue"/>
                  <w:tcBorders>
                    <w:tl2br w:val="nil"/>
                    <w:tr2bl w:val="nil"/>
                  </w:tcBorders>
                  <w:noWrap w:val="0"/>
                  <w:vAlign w:val="center"/>
                </w:tcPr>
                <w:p w14:paraId="4701E10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0696699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1E26B08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65D0CAC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24F40FC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〔A1.2-4〕严格控制建设项目占用湿地。因国家和自治区重点建设工程、基础设施建设，以及重点公益性项目建设，确需占用湿地的，应当按照有关法律、法规规定的权限和程序办理批准手续</w:t>
                  </w:r>
                </w:p>
              </w:tc>
              <w:tc>
                <w:tcPr>
                  <w:tcW w:w="1231" w:type="pct"/>
                  <w:vMerge w:val="continue"/>
                  <w:tcBorders>
                    <w:tl2br w:val="nil"/>
                    <w:tr2bl w:val="nil"/>
                  </w:tcBorders>
                  <w:noWrap w:val="0"/>
                  <w:vAlign w:val="center"/>
                </w:tcPr>
                <w:p w14:paraId="58B2CFA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654463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021C89F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64D622C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264387D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〔A1.2-5〕严格管控自然保护地范围内非生态活动，稳妥推进核心区内居民、耕地有序退出，矿权依法依规退出</w:t>
                  </w:r>
                </w:p>
              </w:tc>
              <w:tc>
                <w:tcPr>
                  <w:tcW w:w="1231" w:type="pct"/>
                  <w:vMerge w:val="continue"/>
                  <w:tcBorders>
                    <w:tl2br w:val="nil"/>
                    <w:tr2bl w:val="nil"/>
                  </w:tcBorders>
                  <w:noWrap w:val="0"/>
                  <w:vAlign w:val="center"/>
                </w:tcPr>
                <w:p w14:paraId="092F2F9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1344FD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553088B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restart"/>
                  <w:tcBorders>
                    <w:tl2br w:val="nil"/>
                    <w:tr2bl w:val="nil"/>
                  </w:tcBorders>
                  <w:noWrap w:val="0"/>
                  <w:vAlign w:val="center"/>
                </w:tcPr>
                <w:p w14:paraId="5D73152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A1.3不符合空间布局要求活动的退出要求</w:t>
                  </w:r>
                </w:p>
              </w:tc>
              <w:tc>
                <w:tcPr>
                  <w:tcW w:w="2890" w:type="pct"/>
                  <w:tcBorders>
                    <w:tl2br w:val="nil"/>
                    <w:tr2bl w:val="nil"/>
                  </w:tcBorders>
                  <w:noWrap w:val="0"/>
                  <w:vAlign w:val="center"/>
                </w:tcPr>
                <w:p w14:paraId="1CB7060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〔A1.3-1〕任何单位和个人不得在水源涵养区、饮用水水源保护区内和河流、湖泊、水库周围建设重化工、涉重金属等工业污染项目；对已建成的工业污染项目，当地人民政府应当组织限期搬迁</w:t>
                  </w:r>
                </w:p>
              </w:tc>
              <w:tc>
                <w:tcPr>
                  <w:tcW w:w="1231" w:type="pct"/>
                  <w:vMerge w:val="restart"/>
                  <w:tcBorders>
                    <w:tl2br w:val="nil"/>
                    <w:tr2bl w:val="nil"/>
                  </w:tcBorders>
                  <w:noWrap w:val="0"/>
                  <w:vAlign w:val="center"/>
                </w:tcPr>
                <w:p w14:paraId="794FE5F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根据《产业结构调整指导目录》（2024年本），本项目属于</w:t>
                  </w:r>
                  <w:r>
                    <w:rPr>
                      <w:rFonts w:hint="eastAsia" w:ascii="Times New Roman" w:hAnsi="Times New Roman" w:eastAsia="宋体" w:cs="Times New Roman"/>
                      <w:color w:val="auto"/>
                      <w:sz w:val="21"/>
                      <w:szCs w:val="21"/>
                      <w:highlight w:val="none"/>
                      <w:lang w:val="en-US" w:eastAsia="zh-CN"/>
                    </w:rPr>
                    <w:t>“允许类”</w:t>
                  </w:r>
                  <w:r>
                    <w:rPr>
                      <w:rFonts w:hint="default" w:ascii="Times New Roman" w:hAnsi="Times New Roman" w:eastAsia="宋体" w:cs="Times New Roman"/>
                      <w:color w:val="auto"/>
                      <w:sz w:val="21"/>
                      <w:szCs w:val="21"/>
                      <w:highlight w:val="none"/>
                      <w:lang w:val="en-US" w:eastAsia="zh-CN"/>
                    </w:rPr>
                    <w:t>，项目符合国家产业政策。项目不涉及左列保护区域，不涉及淘汰落后工艺产能</w:t>
                  </w:r>
                  <w:r>
                    <w:rPr>
                      <w:rFonts w:hint="eastAsia" w:ascii="Times New Roman" w:hAnsi="Times New Roman" w:eastAsia="宋体" w:cs="Times New Roman"/>
                      <w:color w:val="auto"/>
                      <w:sz w:val="21"/>
                      <w:szCs w:val="21"/>
                      <w:highlight w:val="none"/>
                      <w:lang w:val="en-US" w:eastAsia="zh-CN"/>
                    </w:rPr>
                    <w:t>。</w:t>
                  </w:r>
                </w:p>
              </w:tc>
            </w:tr>
            <w:tr w14:paraId="4396C2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2D6202D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0ED9BF7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1BEB026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〔A1.3-2〕对不符合国家产业政策、严重污染水环境的生产项目全部予以取缔</w:t>
                  </w:r>
                </w:p>
              </w:tc>
              <w:tc>
                <w:tcPr>
                  <w:tcW w:w="1231" w:type="pct"/>
                  <w:vMerge w:val="continue"/>
                  <w:tcBorders>
                    <w:tl2br w:val="nil"/>
                    <w:tr2bl w:val="nil"/>
                  </w:tcBorders>
                  <w:noWrap w:val="0"/>
                  <w:vAlign w:val="center"/>
                </w:tcPr>
                <w:p w14:paraId="797CCF8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730A40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3A54C42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41E8B1C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282C228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1.3-3〕根据《产业结构调整指导目录》《限期淘汰产生严重污染环境的工业固体废物的落后生产工艺设备名录》等要求，配合有关部门依法淘汰烧结-鼓风炉5炼铅工艺炼铅等涉重金属落后产能和化解过剩产能。严格执行生态环境保护等相关法规标准，推动经整改仍达不到要求的产能依法依规关闭退出</w:t>
                  </w:r>
                </w:p>
              </w:tc>
              <w:tc>
                <w:tcPr>
                  <w:tcW w:w="1231" w:type="pct"/>
                  <w:vMerge w:val="continue"/>
                  <w:tcBorders>
                    <w:tl2br w:val="nil"/>
                    <w:tr2bl w:val="nil"/>
                  </w:tcBorders>
                  <w:noWrap w:val="0"/>
                  <w:vAlign w:val="center"/>
                </w:tcPr>
                <w:p w14:paraId="2418F37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04442E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0D13F84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3434E79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0F3EADD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〔A1.3-4〕城市建成区、重点流域内已建成投产化工企业和危险化学品生产企业应加快退城入园，搬入化工园区前企业不应实施改扩建工程扩大生产规模</w:t>
                  </w:r>
                </w:p>
              </w:tc>
              <w:tc>
                <w:tcPr>
                  <w:tcW w:w="1231" w:type="pct"/>
                  <w:vMerge w:val="continue"/>
                  <w:tcBorders>
                    <w:tl2br w:val="nil"/>
                    <w:tr2bl w:val="nil"/>
                  </w:tcBorders>
                  <w:noWrap w:val="0"/>
                  <w:vAlign w:val="center"/>
                </w:tcPr>
                <w:p w14:paraId="2677A0E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6EF495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28A6CB2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restart"/>
                  <w:tcBorders>
                    <w:tl2br w:val="nil"/>
                    <w:tr2bl w:val="nil"/>
                  </w:tcBorders>
                  <w:noWrap w:val="0"/>
                  <w:vAlign w:val="center"/>
                </w:tcPr>
                <w:p w14:paraId="79F5DC9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A1.4其它布局要求</w:t>
                  </w:r>
                </w:p>
              </w:tc>
              <w:tc>
                <w:tcPr>
                  <w:tcW w:w="2890" w:type="pct"/>
                  <w:tcBorders>
                    <w:tl2br w:val="nil"/>
                    <w:tr2bl w:val="nil"/>
                  </w:tcBorders>
                  <w:noWrap w:val="0"/>
                  <w:vAlign w:val="center"/>
                </w:tcPr>
                <w:p w14:paraId="2EEF81F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〔A1.4-1〕一切开发建设活动应符合国家、自治区主体功能区规划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自治区和各地颁布实施的生态环境功能区划、国民经济发展规划、产业发展规划、国土空间规划等相关规划及重点生态功能区负面清单要求，符合区域或产业规划环评要求。</w:t>
                  </w:r>
                </w:p>
              </w:tc>
              <w:tc>
                <w:tcPr>
                  <w:tcW w:w="1231" w:type="pct"/>
                  <w:vMerge w:val="restart"/>
                  <w:tcBorders>
                    <w:tl2br w:val="nil"/>
                    <w:tr2bl w:val="nil"/>
                  </w:tcBorders>
                  <w:noWrap w:val="0"/>
                  <w:vAlign w:val="center"/>
                </w:tcPr>
                <w:p w14:paraId="7EBB6E1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项目木垒哈萨克自治县</w:t>
                  </w:r>
                  <w:r>
                    <w:rPr>
                      <w:rFonts w:hint="eastAsia" w:cs="Times New Roman"/>
                      <w:color w:val="auto"/>
                      <w:sz w:val="21"/>
                      <w:szCs w:val="21"/>
                      <w:highlight w:val="none"/>
                      <w:lang w:val="en-US" w:eastAsia="zh-CN"/>
                    </w:rPr>
                    <w:t>照壁山乡霍斯阔拉村</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项目建设符合木垒县</w:t>
                  </w:r>
                  <w:r>
                    <w:rPr>
                      <w:rFonts w:hint="default" w:ascii="Times New Roman" w:hAnsi="Times New Roman" w:eastAsia="宋体" w:cs="Times New Roman"/>
                      <w:color w:val="auto"/>
                      <w:sz w:val="21"/>
                      <w:szCs w:val="21"/>
                      <w:highlight w:val="none"/>
                    </w:rPr>
                    <w:t>国土空间规划</w:t>
                  </w:r>
                  <w:r>
                    <w:rPr>
                      <w:rFonts w:hint="eastAsia" w:cs="Times New Roman"/>
                      <w:color w:val="auto"/>
                      <w:sz w:val="21"/>
                      <w:szCs w:val="21"/>
                      <w:highlight w:val="none"/>
                      <w:lang w:eastAsia="zh-CN"/>
                    </w:rPr>
                    <w:t>。</w:t>
                  </w:r>
                </w:p>
              </w:tc>
            </w:tr>
            <w:tr w14:paraId="39723E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786DCE3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4476802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44B988F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〔A1.4-2〕新建、扩建石化、化工、焦化、有色金属冶炼、平板玻璃项目应布设在依法合规设立并经规划环评的产业园区。</w:t>
                  </w:r>
                </w:p>
              </w:tc>
              <w:tc>
                <w:tcPr>
                  <w:tcW w:w="1231" w:type="pct"/>
                  <w:vMerge w:val="continue"/>
                  <w:tcBorders>
                    <w:tl2br w:val="nil"/>
                    <w:tr2bl w:val="nil"/>
                  </w:tcBorders>
                  <w:noWrap w:val="0"/>
                  <w:vAlign w:val="center"/>
                </w:tcPr>
                <w:p w14:paraId="0E1DB67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32C322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3A5798F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3DC0262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1B81BCB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1.4-3〕危险化学品生产企业搬迁改造及新建化工项目必须进入国家及自治区各级人民政府正式批准设立，规划环评通过审查，规划通过审批且环保基础设施完善的工业园区，并符合国土空间规划、产业发展规划和生态红线管控要求。</w:t>
                  </w:r>
                </w:p>
              </w:tc>
              <w:tc>
                <w:tcPr>
                  <w:tcW w:w="1231" w:type="pct"/>
                  <w:vMerge w:val="continue"/>
                  <w:tcBorders>
                    <w:tl2br w:val="nil"/>
                    <w:tr2bl w:val="nil"/>
                  </w:tcBorders>
                  <w:noWrap w:val="0"/>
                  <w:vAlign w:val="center"/>
                </w:tcPr>
                <w:p w14:paraId="4572A35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7AE6AB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restart"/>
                  <w:tcBorders>
                    <w:tl2br w:val="nil"/>
                    <w:tr2bl w:val="nil"/>
                  </w:tcBorders>
                  <w:noWrap w:val="0"/>
                  <w:vAlign w:val="center"/>
                </w:tcPr>
                <w:p w14:paraId="44EF602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A2污染物排放管控</w:t>
                  </w:r>
                </w:p>
              </w:tc>
              <w:tc>
                <w:tcPr>
                  <w:tcW w:w="470" w:type="pct"/>
                  <w:vMerge w:val="restart"/>
                  <w:tcBorders>
                    <w:tl2br w:val="nil"/>
                    <w:tr2bl w:val="nil"/>
                  </w:tcBorders>
                  <w:noWrap w:val="0"/>
                  <w:vAlign w:val="center"/>
                </w:tcPr>
                <w:p w14:paraId="552467F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A2.1污染物削减/替代要求</w:t>
                  </w:r>
                </w:p>
              </w:tc>
              <w:tc>
                <w:tcPr>
                  <w:tcW w:w="2890" w:type="pct"/>
                  <w:tcBorders>
                    <w:tl2br w:val="nil"/>
                    <w:tr2bl w:val="nil"/>
                  </w:tcBorders>
                  <w:noWrap w:val="0"/>
                  <w:vAlign w:val="center"/>
                </w:tcPr>
                <w:p w14:paraId="4152E66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2.1-1〕新、改、扩建重点行业建设项目应符合“三线一单”、产业政策、区域环评、规划环评和行业环境准入管控要求。重点区域的新、改、扩建重点行业建设项目应遵循重点重金属污染物排放“减量替代”原则。</w:t>
                  </w:r>
                </w:p>
              </w:tc>
              <w:tc>
                <w:tcPr>
                  <w:tcW w:w="1231" w:type="pct"/>
                  <w:vMerge w:val="restart"/>
                  <w:tcBorders>
                    <w:tl2br w:val="nil"/>
                    <w:tr2bl w:val="nil"/>
                  </w:tcBorders>
                  <w:noWrap w:val="0"/>
                  <w:vAlign w:val="center"/>
                </w:tcPr>
                <w:p w14:paraId="78C912B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为新建项目，</w:t>
                  </w:r>
                  <w:r>
                    <w:rPr>
                      <w:rFonts w:hint="default" w:ascii="Times New Roman" w:hAnsi="Times New Roman" w:eastAsia="宋体" w:cs="Times New Roman"/>
                      <w:color w:val="auto"/>
                      <w:sz w:val="21"/>
                      <w:szCs w:val="21"/>
                      <w:highlight w:val="none"/>
                    </w:rPr>
                    <w:t>符合“三线一单”、产业政策、行业环境准入管控要求。</w:t>
                  </w:r>
                  <w:r>
                    <w:rPr>
                      <w:rFonts w:hint="default" w:ascii="Times New Roman" w:hAnsi="Times New Roman" w:eastAsia="宋体" w:cs="Times New Roman"/>
                      <w:color w:val="auto"/>
                      <w:sz w:val="21"/>
                      <w:szCs w:val="21"/>
                      <w:highlight w:val="none"/>
                      <w:lang w:val="en-US" w:eastAsia="zh-CN"/>
                    </w:rPr>
                    <w:t>清洁生产水平可达国内先进水平。项目运营期废气、废水、噪声、固废等均采取了有效的污染防治措施，项目实施后不会突破区域生态保护红线、环境质量底线和资源利用上线。</w:t>
                  </w:r>
                </w:p>
              </w:tc>
            </w:tr>
            <w:tr w14:paraId="60165C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7F1D41A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0F3B42B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5E9A3EA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〔A2.1-2〕以石化、化工、涂装、医药、包装印刷、油品储运销等行业领域为重点，安全高效推进挥发性有机物综合治理，实施原辅材料和产品源头替代工程。</w:t>
                  </w:r>
                </w:p>
              </w:tc>
              <w:tc>
                <w:tcPr>
                  <w:tcW w:w="1231" w:type="pct"/>
                  <w:vMerge w:val="continue"/>
                  <w:tcBorders>
                    <w:tl2br w:val="nil"/>
                    <w:tr2bl w:val="nil"/>
                  </w:tcBorders>
                  <w:noWrap w:val="0"/>
                  <w:vAlign w:val="center"/>
                </w:tcPr>
                <w:p w14:paraId="16B360C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713488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0DA1393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7D00AAE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6B4C207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2.1-3〕促进大气污染物与温室气体协同控制。实施污染物和温室气体协同控制，实现减污降碳协同效应。开展工业、农业温室气体和污染减排协同控制研究，减少温室气体和污染物排放。强化污水、垃圾等集中处置设施环境管理，协同控制氢氟碳化物、甲烷、氧化亚氮等温室气体。加强节约能源与大气污染防治协同有效衔接，促进大气污染防治协同增效。</w:t>
                  </w:r>
                </w:p>
              </w:tc>
              <w:tc>
                <w:tcPr>
                  <w:tcW w:w="1231" w:type="pct"/>
                  <w:vMerge w:val="continue"/>
                  <w:tcBorders>
                    <w:tl2br w:val="nil"/>
                    <w:tr2bl w:val="nil"/>
                  </w:tcBorders>
                  <w:noWrap w:val="0"/>
                  <w:vAlign w:val="center"/>
                </w:tcPr>
                <w:p w14:paraId="7D6390B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6E5361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752EC44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6672DB2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0389D19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〔A2.1-4〕严控建材、铸造、冶炼等行业无组织排放，推进石化、化工、涂装、医药、包装印刷、油品储运销等行业项目挥发性有机物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VOCs</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防治。严格有色金属冶炼、石油加工、化工、焦化等行业项目的土壤、地下水污染防治措施要求。推进工业园区和企业集群建设涉VOCs“绿岛”项目，统筹规划建设一批集中涂装中心、活性炭集中处理中心、溶剂回收中心等，实现VOCs集中高效处理。</w:t>
                  </w:r>
                </w:p>
              </w:tc>
              <w:tc>
                <w:tcPr>
                  <w:tcW w:w="1231" w:type="pct"/>
                  <w:vMerge w:val="continue"/>
                  <w:tcBorders>
                    <w:tl2br w:val="nil"/>
                    <w:tr2bl w:val="nil"/>
                  </w:tcBorders>
                  <w:noWrap w:val="0"/>
                  <w:vAlign w:val="center"/>
                </w:tcPr>
                <w:p w14:paraId="33008C0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5AEA23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6650737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restart"/>
                  <w:tcBorders>
                    <w:tl2br w:val="nil"/>
                    <w:tr2bl w:val="nil"/>
                  </w:tcBorders>
                  <w:noWrap w:val="0"/>
                  <w:vAlign w:val="center"/>
                </w:tcPr>
                <w:p w14:paraId="4A464E4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A2.2污染控制措施要求</w:t>
                  </w:r>
                </w:p>
              </w:tc>
              <w:tc>
                <w:tcPr>
                  <w:tcW w:w="2890" w:type="pct"/>
                  <w:tcBorders>
                    <w:tl2br w:val="nil"/>
                    <w:tr2bl w:val="nil"/>
                  </w:tcBorders>
                  <w:noWrap w:val="0"/>
                  <w:vAlign w:val="center"/>
                </w:tcPr>
                <w:p w14:paraId="279779F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2.2-1〕推动能源、钢铁、建材、有色、电力、化工等重点领域技术升级，控制工业过程温室气体排放，推动工业领域绿色低碳发展。积极鼓励发展二氧化碳捕集利用与封存等低碳技术。促进大气污染物与温室气体协同控制。实施污染物和温室气体协同控制，实现减污降碳协同效应。强化污水、垃圾等集中处置设施环境管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协同控制氢氟碳化物、甲烷、氧化亚氮等温室气体。加强节约能源与大气污染防治协同有效衔接，促进大气污染防治协同增效。</w:t>
                  </w:r>
                </w:p>
              </w:tc>
              <w:tc>
                <w:tcPr>
                  <w:tcW w:w="1231" w:type="pct"/>
                  <w:vMerge w:val="restart"/>
                  <w:tcBorders>
                    <w:tl2br w:val="nil"/>
                    <w:tr2bl w:val="nil"/>
                  </w:tcBorders>
                  <w:noWrap w:val="0"/>
                  <w:vAlign w:val="center"/>
                </w:tcPr>
                <w:p w14:paraId="597AADA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本项目砂石料料场为半封闭式，采用篷布覆盖，洒水降尘；物料装卸及厂区道路运输及时清扫，洒水降尘；物料输送采取封闭廊道；搅拌废气经搅拌机自带布袋除尘器处理后由1根15m高的排气筒（DA001）排放；筒仓废气由筒仓配套安装的脉冲布袋除尘器处理后以无组织形式排放。生产废水经三级沉淀池沉淀后回用于生产，生活污水经一体化污水处理系统处理达标后用于厂区绿化。生活垃圾经收集后，委托环卫部门处理；污泥定期拉运至生活垃圾填埋场处置；不合格混凝土、沉淀池沉淀物集中收集后回用于生产；废机油暂存于危废暂存间，委托有资质的单位处置</w:t>
                  </w:r>
                  <w:r>
                    <w:rPr>
                      <w:rFonts w:hint="eastAsia" w:cs="Times New Roman"/>
                      <w:color w:val="auto"/>
                      <w:kern w:val="0"/>
                      <w:sz w:val="21"/>
                      <w:szCs w:val="21"/>
                      <w:highlight w:val="none"/>
                      <w:lang w:val="en-US" w:eastAsia="zh-CN" w:bidi="ar-SA"/>
                    </w:rPr>
                    <w:t>。</w:t>
                  </w:r>
                </w:p>
              </w:tc>
            </w:tr>
            <w:tr w14:paraId="35E564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25B4417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1DCBE44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5B2E59C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2.2-2〕实施重点行业氮氧化物等污染物深度治理。持续推进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w:t>
                  </w:r>
                </w:p>
              </w:tc>
              <w:tc>
                <w:tcPr>
                  <w:tcW w:w="1231" w:type="pct"/>
                  <w:vMerge w:val="continue"/>
                  <w:tcBorders>
                    <w:tl2br w:val="nil"/>
                    <w:tr2bl w:val="nil"/>
                  </w:tcBorders>
                  <w:noWrap w:val="0"/>
                  <w:vAlign w:val="center"/>
                </w:tcPr>
                <w:p w14:paraId="08C4FD8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176EE9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5C93839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2BCB86D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4D835C5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2.2-3〕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大宗货物“公转铁”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、柴油货车治理、锅炉炉窑综合治理等工程项目。全面推行绿色施工，持续推动城市建成区重污染企业搬迁或关闭退出。</w:t>
                  </w:r>
                </w:p>
              </w:tc>
              <w:tc>
                <w:tcPr>
                  <w:tcW w:w="1231" w:type="pct"/>
                  <w:vMerge w:val="continue"/>
                  <w:tcBorders>
                    <w:tl2br w:val="nil"/>
                    <w:tr2bl w:val="nil"/>
                  </w:tcBorders>
                  <w:noWrap w:val="0"/>
                  <w:vAlign w:val="center"/>
                </w:tcPr>
                <w:p w14:paraId="21AB312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4986C4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174B3B5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5244BF4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0BC2CF4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〔A2.2-4〕强化用水定额管理。推进地下水超采综合治理。开展河湖生态流量</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水量</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确定工作，强化生态用水保障。</w:t>
                  </w:r>
                </w:p>
              </w:tc>
              <w:tc>
                <w:tcPr>
                  <w:tcW w:w="1231" w:type="pct"/>
                  <w:vMerge w:val="continue"/>
                  <w:tcBorders>
                    <w:tl2br w:val="nil"/>
                    <w:tr2bl w:val="nil"/>
                  </w:tcBorders>
                  <w:noWrap w:val="0"/>
                  <w:vAlign w:val="center"/>
                </w:tcPr>
                <w:p w14:paraId="4281202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7CEB5C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368170F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5FE5E99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5A1E3F0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2.2-5〕持续推进伊犁河、额尔齐斯河、额敏河、玛纳斯河、乌伦古湖、博斯腾湖等流域生态治理，加强生态修复。推动重点行业、重点企业绿色发展，严格落实水污染物排放标准。加强农副食品加工、化工、印染、棉浆粕、粘胶纤维等企业综合治理和清洁化改造。</w:t>
                  </w:r>
                </w:p>
              </w:tc>
              <w:tc>
                <w:tcPr>
                  <w:tcW w:w="1231" w:type="pct"/>
                  <w:vMerge w:val="continue"/>
                  <w:tcBorders>
                    <w:tl2br w:val="nil"/>
                    <w:tr2bl w:val="nil"/>
                  </w:tcBorders>
                  <w:noWrap w:val="0"/>
                  <w:vAlign w:val="center"/>
                </w:tcPr>
                <w:p w14:paraId="54C0D70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52C1A9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7FB2019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65C6E4E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49951A6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2.2-6〕推进地表水与地下水协同防治。以傍河型地下水饮用水源为重点，防范受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p>
              </w:tc>
              <w:tc>
                <w:tcPr>
                  <w:tcW w:w="1231" w:type="pct"/>
                  <w:vMerge w:val="continue"/>
                  <w:tcBorders>
                    <w:tl2br w:val="nil"/>
                    <w:tr2bl w:val="nil"/>
                  </w:tcBorders>
                  <w:noWrap w:val="0"/>
                  <w:vAlign w:val="center"/>
                </w:tcPr>
                <w:p w14:paraId="6B717A8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0E8447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1E8151E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3C3A453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22F1743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〔A2.2-7〕强化重点区域地下水环境风险管控，对化学品生产企业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工业集聚区、尾矿库、矿山开采区、危险废物处置场、垃圾填埋场等地下水污染源及周边区域，逐步开展地下水环境状况调查评估，加强风险管控。</w:t>
                  </w:r>
                </w:p>
              </w:tc>
              <w:tc>
                <w:tcPr>
                  <w:tcW w:w="1231" w:type="pct"/>
                  <w:vMerge w:val="continue"/>
                  <w:tcBorders>
                    <w:tl2br w:val="nil"/>
                    <w:tr2bl w:val="nil"/>
                  </w:tcBorders>
                  <w:noWrap w:val="0"/>
                  <w:vAlign w:val="center"/>
                </w:tcPr>
                <w:p w14:paraId="43A2646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25CC82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2AC1535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677F048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68EDCFD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〔A2.2-8〕严控土壤重金属污染，加强油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气</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田开发土壤污染防治，以历史遗留工业企业污染场地为重点，开展土壤污染风险管控与修复工程。</w:t>
                  </w:r>
                </w:p>
              </w:tc>
              <w:tc>
                <w:tcPr>
                  <w:tcW w:w="1231" w:type="pct"/>
                  <w:vMerge w:val="continue"/>
                  <w:tcBorders>
                    <w:tl2br w:val="nil"/>
                    <w:tr2bl w:val="nil"/>
                  </w:tcBorders>
                  <w:noWrap w:val="0"/>
                  <w:vAlign w:val="center"/>
                </w:tcPr>
                <w:p w14:paraId="16E3B5A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1EFD07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33C78F9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18ACC29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68FEB0D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2.2-9〕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tc>
              <w:tc>
                <w:tcPr>
                  <w:tcW w:w="1231" w:type="pct"/>
                  <w:vMerge w:val="continue"/>
                  <w:tcBorders>
                    <w:tl2br w:val="nil"/>
                    <w:tr2bl w:val="nil"/>
                  </w:tcBorders>
                  <w:noWrap w:val="0"/>
                  <w:vAlign w:val="center"/>
                </w:tcPr>
                <w:p w14:paraId="038248A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1DA6BA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restart"/>
                  <w:tcBorders>
                    <w:tl2br w:val="nil"/>
                    <w:tr2bl w:val="nil"/>
                  </w:tcBorders>
                  <w:noWrap w:val="0"/>
                  <w:vAlign w:val="center"/>
                </w:tcPr>
                <w:p w14:paraId="76C2082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A3环境风险防控</w:t>
                  </w:r>
                </w:p>
              </w:tc>
              <w:tc>
                <w:tcPr>
                  <w:tcW w:w="470" w:type="pct"/>
                  <w:vMerge w:val="restart"/>
                  <w:tcBorders>
                    <w:tl2br w:val="nil"/>
                    <w:tr2bl w:val="nil"/>
                  </w:tcBorders>
                  <w:noWrap w:val="0"/>
                  <w:vAlign w:val="center"/>
                </w:tcPr>
                <w:p w14:paraId="38A97EF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A3.1人居环境要求</w:t>
                  </w:r>
                </w:p>
              </w:tc>
              <w:tc>
                <w:tcPr>
                  <w:tcW w:w="2890" w:type="pct"/>
                  <w:tcBorders>
                    <w:tl2br w:val="nil"/>
                    <w:tr2bl w:val="nil"/>
                  </w:tcBorders>
                  <w:noWrap w:val="0"/>
                  <w:vAlign w:val="center"/>
                </w:tcPr>
                <w:p w14:paraId="02D3A4E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〔A3.1-1〕建立和完善重污染天气兵地联合应急预案、预报预警应急机制和会商联动机制。“乌</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昌</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石”区域内可能影响相邻行政区域大气环境的项目，兵地间、城市间必须相互征求意见。</w:t>
                  </w:r>
                </w:p>
              </w:tc>
              <w:tc>
                <w:tcPr>
                  <w:tcW w:w="1231" w:type="pct"/>
                  <w:vMerge w:val="restart"/>
                  <w:tcBorders>
                    <w:tl2br w:val="nil"/>
                    <w:tr2bl w:val="nil"/>
                  </w:tcBorders>
                  <w:noWrap w:val="0"/>
                  <w:vAlign w:val="center"/>
                </w:tcPr>
                <w:p w14:paraId="670F64E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项目建设完成后，及时编写建设项目突发环境事件应急预案，并按照要求进行执行</w:t>
                  </w:r>
                </w:p>
              </w:tc>
            </w:tr>
            <w:tr w14:paraId="200CDA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51B7EC7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63EC7DD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17B25BF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3.1-2〕对跨国境河流、涉及县级及以上集中式饮用水水源地的河流、其他重要环境敏感目标的河流，建立健全流域上下游突发水污染事件联防联动机制，建立流域环境应急基础信息动态更新长效机制，绘制全流域“一河一策一图”。建立健全跨部门、跨区域的环境应急协调联动处置机制，强化流域上下游、兵地各部门协调，实施联合监测、联合执法、应急联动、信息共享，形成“政府引导、多元联动、社会参与、专业救援”的环境应急处置机制，持续开展应急综合演练，实现从被动应对到主动防控的重大转变。加强流域突发水环境事件应急能力建设，提升应急响应水平，加强监测预警、拦污控污、信息通报、协同处置、基础保障等工作，防范重大生态环境风险，坚决守住生态环境安全底线。</w:t>
                  </w:r>
                </w:p>
              </w:tc>
              <w:tc>
                <w:tcPr>
                  <w:tcW w:w="1231" w:type="pct"/>
                  <w:vMerge w:val="continue"/>
                  <w:tcBorders>
                    <w:tl2br w:val="nil"/>
                    <w:tr2bl w:val="nil"/>
                  </w:tcBorders>
                  <w:noWrap w:val="0"/>
                  <w:vAlign w:val="center"/>
                </w:tcPr>
                <w:p w14:paraId="2F98C74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71F98B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26FB737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5623B5C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2071CE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〔A3.1-3〕强化重污染天气监测预报预警能力，建立和完善重污染天气兵地联合应急预案、预警应急机制和会商联动机制，加强轻</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中度污染天气管控。</w:t>
                  </w:r>
                </w:p>
              </w:tc>
              <w:tc>
                <w:tcPr>
                  <w:tcW w:w="1231" w:type="pct"/>
                  <w:vMerge w:val="continue"/>
                  <w:tcBorders>
                    <w:tl2br w:val="nil"/>
                    <w:tr2bl w:val="nil"/>
                  </w:tcBorders>
                  <w:noWrap w:val="0"/>
                  <w:vAlign w:val="center"/>
                </w:tcPr>
                <w:p w14:paraId="22C7ABC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55F271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38F8627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restart"/>
                  <w:tcBorders>
                    <w:tl2br w:val="nil"/>
                    <w:tr2bl w:val="nil"/>
                  </w:tcBorders>
                  <w:noWrap w:val="0"/>
                  <w:vAlign w:val="center"/>
                </w:tcPr>
                <w:p w14:paraId="744B251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A3.2联防联控要求</w:t>
                  </w:r>
                </w:p>
              </w:tc>
              <w:tc>
                <w:tcPr>
                  <w:tcW w:w="2890" w:type="pct"/>
                  <w:tcBorders>
                    <w:tl2br w:val="nil"/>
                    <w:tr2bl w:val="nil"/>
                  </w:tcBorders>
                  <w:noWrap w:val="0"/>
                  <w:vAlign w:val="center"/>
                </w:tcPr>
                <w:p w14:paraId="7B0A99B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3.2-1〕提升饮用水安全保障水平。以县级及以上集中式饮用水水源地为重点，推进饮用水水源保护区规范化建设，统筹推进备用水源或应急水源建设。单一水源供水的重点城市于2025年底前基本完成备用水源或应急水源建设，有条件的地区开展兵地互为备用水源建设。梯次推进农村集中式饮用水水源保护区划定，到2025年，完成乡镇级集中式饮用水水源保护区划定与勘界立标。开展“千吨万人”农村饮用水水源保护区环境风险排查整治，加强农村水源水质监测，依法清理饮用水水源保护区内违法建筑和排污口，实施从水源到水龙头全过程监管。强化饮用水水源保护区环境应急管理，完善重大突发环境事件的物资和技术储备。针对汇水区、补给区存在兵地跨界的，建立统一的饮用水水源应急和执法机制，共享应急物资。</w:t>
                  </w:r>
                </w:p>
              </w:tc>
              <w:tc>
                <w:tcPr>
                  <w:tcW w:w="1231" w:type="pct"/>
                  <w:vMerge w:val="restart"/>
                  <w:tcBorders>
                    <w:tl2br w:val="nil"/>
                    <w:tr2bl w:val="nil"/>
                  </w:tcBorders>
                  <w:noWrap w:val="0"/>
                  <w:vAlign w:val="center"/>
                </w:tcPr>
                <w:p w14:paraId="3A8CBAC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项目建设完成后，及时编写建设项目突发环境事件应急预案，并按照要求进行执行</w:t>
                  </w:r>
                </w:p>
              </w:tc>
            </w:tr>
            <w:tr w14:paraId="0705E9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02B8236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43CDC66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00594B7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〔A3.2-2〕依法推行农用地分类管理制度，强化受污染耕地安全利用和风险管控。因地制宜制定实施安全利用方案，鼓励采取种植结构调整等措施，确保受污染耕地全部实现安全利用。</w:t>
                  </w:r>
                </w:p>
              </w:tc>
              <w:tc>
                <w:tcPr>
                  <w:tcW w:w="1231" w:type="pct"/>
                  <w:vMerge w:val="continue"/>
                  <w:tcBorders>
                    <w:tl2br w:val="nil"/>
                    <w:tr2bl w:val="nil"/>
                  </w:tcBorders>
                  <w:noWrap w:val="0"/>
                  <w:vAlign w:val="center"/>
                </w:tcPr>
                <w:p w14:paraId="3A89B0A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5A9981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3E1F94B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76C8DC5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6A56363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tc>
              <w:tc>
                <w:tcPr>
                  <w:tcW w:w="1231" w:type="pct"/>
                  <w:vMerge w:val="continue"/>
                  <w:tcBorders>
                    <w:tl2br w:val="nil"/>
                    <w:tr2bl w:val="nil"/>
                  </w:tcBorders>
                  <w:noWrap w:val="0"/>
                  <w:vAlign w:val="center"/>
                </w:tcPr>
                <w:p w14:paraId="2D29187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20BEAA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09BDAD3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1F8BCBF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25EFD39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3.2-4〕加强环境风险预警防控。加强涉危险废物企业、涉重金属企业、化工园区、集中式饮用水水源地及重点流域环境风险调查评估，实施分类分级风险管控，协同推进重点区域、流域生态环境污染综合防治、风险防控与生态修复。</w:t>
                  </w:r>
                </w:p>
              </w:tc>
              <w:tc>
                <w:tcPr>
                  <w:tcW w:w="1231" w:type="pct"/>
                  <w:vMerge w:val="continue"/>
                  <w:tcBorders>
                    <w:tl2br w:val="nil"/>
                    <w:tr2bl w:val="nil"/>
                  </w:tcBorders>
                  <w:noWrap w:val="0"/>
                  <w:vAlign w:val="center"/>
                </w:tcPr>
                <w:p w14:paraId="6AAA20B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72D5C4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005ED83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44FF8CC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4B8C6E3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1231" w:type="pct"/>
                  <w:vMerge w:val="continue"/>
                  <w:tcBorders>
                    <w:tl2br w:val="nil"/>
                    <w:tr2bl w:val="nil"/>
                  </w:tcBorders>
                  <w:noWrap w:val="0"/>
                  <w:vAlign w:val="center"/>
                </w:tcPr>
                <w:p w14:paraId="77E0BC6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703FCC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39F4FEE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6F08B9B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7F9AC40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〔A3.2-6〕强化兵地联防联控联治，落实兵地统一规划、统一政策、 统一标准、统一要求、统一推进的防治管理措施，完善重大项目环境影响评价区域会商、重污染天气兵地联合应急联动机制。建立兵地生态环境联合执法和联合监测长效机制。</w:t>
                  </w:r>
                </w:p>
              </w:tc>
              <w:tc>
                <w:tcPr>
                  <w:tcW w:w="1231" w:type="pct"/>
                  <w:vMerge w:val="continue"/>
                  <w:tcBorders>
                    <w:tl2br w:val="nil"/>
                    <w:tr2bl w:val="nil"/>
                  </w:tcBorders>
                  <w:noWrap w:val="0"/>
                  <w:vAlign w:val="center"/>
                </w:tcPr>
                <w:p w14:paraId="4A3B81A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0D6DB8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restart"/>
                  <w:tcBorders>
                    <w:tl2br w:val="nil"/>
                    <w:tr2bl w:val="nil"/>
                  </w:tcBorders>
                  <w:noWrap w:val="0"/>
                  <w:vAlign w:val="center"/>
                </w:tcPr>
                <w:p w14:paraId="3A656F5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A4资源利用要求</w:t>
                  </w:r>
                </w:p>
              </w:tc>
              <w:tc>
                <w:tcPr>
                  <w:tcW w:w="470" w:type="pct"/>
                  <w:vMerge w:val="restart"/>
                  <w:tcBorders>
                    <w:tl2br w:val="nil"/>
                    <w:tr2bl w:val="nil"/>
                  </w:tcBorders>
                  <w:noWrap w:val="0"/>
                  <w:vAlign w:val="center"/>
                </w:tcPr>
                <w:p w14:paraId="14CCEB1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A4.1水资源</w:t>
                  </w:r>
                </w:p>
              </w:tc>
              <w:tc>
                <w:tcPr>
                  <w:tcW w:w="2890" w:type="pct"/>
                  <w:tcBorders>
                    <w:tl2br w:val="nil"/>
                    <w:tr2bl w:val="nil"/>
                  </w:tcBorders>
                  <w:noWrap w:val="0"/>
                  <w:vAlign w:val="center"/>
                </w:tcPr>
                <w:p w14:paraId="19DF04E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〔A4.1-1〕自治区用水总量2025年、2030年控制在国家下达的指标内。</w:t>
                  </w:r>
                </w:p>
              </w:tc>
              <w:tc>
                <w:tcPr>
                  <w:tcW w:w="1231" w:type="pct"/>
                  <w:vMerge w:val="restart"/>
                  <w:tcBorders>
                    <w:tl2br w:val="nil"/>
                    <w:tr2bl w:val="nil"/>
                  </w:tcBorders>
                  <w:noWrap w:val="0"/>
                  <w:vAlign w:val="center"/>
                </w:tcPr>
                <w:p w14:paraId="17A7BB6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项目选址于</w:t>
                  </w:r>
                  <w:r>
                    <w:rPr>
                      <w:rFonts w:hint="eastAsia" w:ascii="Times New Roman" w:hAnsi="Times New Roman" w:eastAsia="宋体" w:cs="Times New Roman"/>
                      <w:color w:val="auto"/>
                      <w:sz w:val="21"/>
                      <w:szCs w:val="21"/>
                      <w:highlight w:val="none"/>
                      <w:lang w:val="en-US" w:eastAsia="zh-CN"/>
                    </w:rPr>
                    <w:t>木垒县</w:t>
                  </w:r>
                  <w:r>
                    <w:rPr>
                      <w:rFonts w:hint="eastAsia" w:cs="Times New Roman"/>
                      <w:color w:val="auto"/>
                      <w:sz w:val="21"/>
                      <w:szCs w:val="21"/>
                      <w:highlight w:val="none"/>
                      <w:lang w:val="en-US" w:eastAsia="zh-CN"/>
                    </w:rPr>
                    <w:t>照壁山乡霍斯阔拉村</w:t>
                  </w:r>
                  <w:r>
                    <w:rPr>
                      <w:rFonts w:hint="default" w:ascii="Times New Roman" w:hAnsi="Times New Roman" w:eastAsia="宋体" w:cs="Times New Roman"/>
                      <w:color w:val="auto"/>
                      <w:sz w:val="21"/>
                      <w:szCs w:val="21"/>
                      <w:highlight w:val="none"/>
                      <w:lang w:val="en-US" w:eastAsia="zh-CN"/>
                    </w:rPr>
                    <w:t>，不涉及左侧所列区域</w:t>
                  </w:r>
                </w:p>
              </w:tc>
            </w:tr>
            <w:tr w14:paraId="553AD1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3B68C5D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34AC419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7416BFB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〔A4.1-2〕加大城镇污水再生利用工程建设力度，推进区域再生水循环利用，到2025年，城市生活污水再生利用率力争达到60%。</w:t>
                  </w:r>
                </w:p>
                <w:p w14:paraId="4466A8B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〔A4.1-3〕加强农村水利基础设施建设，推进农村供水保障工程</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农村自来水普及率、集中供水率分别达到99.3%、99.7%。</w:t>
                  </w:r>
                </w:p>
              </w:tc>
              <w:tc>
                <w:tcPr>
                  <w:tcW w:w="1231" w:type="pct"/>
                  <w:vMerge w:val="continue"/>
                  <w:tcBorders>
                    <w:tl2br w:val="nil"/>
                    <w:tr2bl w:val="nil"/>
                  </w:tcBorders>
                  <w:noWrap w:val="0"/>
                  <w:vAlign w:val="center"/>
                </w:tcPr>
                <w:p w14:paraId="65AB647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7D222C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184A22D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6DABBA8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38DF779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〔A4.1-4〕地下水资源利用实行总量控制和水位控制。取用地下水 资源，应当按照国家和自治区有关规定申请取水许可。地下水利用应当以浅层地下水为主。</w:t>
                  </w:r>
                </w:p>
              </w:tc>
              <w:tc>
                <w:tcPr>
                  <w:tcW w:w="1231" w:type="pct"/>
                  <w:vMerge w:val="continue"/>
                  <w:tcBorders>
                    <w:tl2br w:val="nil"/>
                    <w:tr2bl w:val="nil"/>
                  </w:tcBorders>
                  <w:noWrap w:val="0"/>
                  <w:vAlign w:val="center"/>
                </w:tcPr>
                <w:p w14:paraId="67933C1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56949E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7D728DE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tcBorders>
                    <w:tl2br w:val="nil"/>
                    <w:tr2bl w:val="nil"/>
                  </w:tcBorders>
                  <w:noWrap w:val="0"/>
                  <w:vAlign w:val="center"/>
                </w:tcPr>
                <w:p w14:paraId="0E8891A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A4.2土地资源</w:t>
                  </w:r>
                </w:p>
              </w:tc>
              <w:tc>
                <w:tcPr>
                  <w:tcW w:w="2890" w:type="pct"/>
                  <w:tcBorders>
                    <w:tl2br w:val="nil"/>
                    <w:tr2bl w:val="nil"/>
                  </w:tcBorders>
                  <w:noWrap w:val="0"/>
                  <w:vAlign w:val="center"/>
                </w:tcPr>
                <w:p w14:paraId="319684D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〔A4.2-1〕土地资源上线指标控制在最终批复的国土空间规划控制指标内。</w:t>
                  </w:r>
                </w:p>
              </w:tc>
              <w:tc>
                <w:tcPr>
                  <w:tcW w:w="1231" w:type="pct"/>
                  <w:tcBorders>
                    <w:tl2br w:val="nil"/>
                    <w:tr2bl w:val="nil"/>
                  </w:tcBorders>
                  <w:noWrap w:val="0"/>
                  <w:vAlign w:val="center"/>
                </w:tcPr>
                <w:p w14:paraId="139A890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项目选址于</w:t>
                  </w:r>
                  <w:r>
                    <w:rPr>
                      <w:rFonts w:hint="eastAsia" w:ascii="Times New Roman" w:hAnsi="Times New Roman" w:eastAsia="宋体" w:cs="Times New Roman"/>
                      <w:color w:val="auto"/>
                      <w:sz w:val="21"/>
                      <w:szCs w:val="21"/>
                      <w:highlight w:val="none"/>
                      <w:lang w:val="en-US" w:eastAsia="zh-CN"/>
                    </w:rPr>
                    <w:t>木垒县</w:t>
                  </w:r>
                  <w:r>
                    <w:rPr>
                      <w:rFonts w:hint="eastAsia" w:cs="Times New Roman"/>
                      <w:color w:val="auto"/>
                      <w:sz w:val="21"/>
                      <w:szCs w:val="21"/>
                      <w:highlight w:val="none"/>
                      <w:lang w:val="en-US" w:eastAsia="zh-CN"/>
                    </w:rPr>
                    <w:t>照壁山乡霍斯阔拉村，在</w:t>
                  </w:r>
                  <w:r>
                    <w:rPr>
                      <w:rFonts w:hint="default" w:ascii="Times New Roman" w:hAnsi="Times New Roman" w:eastAsia="宋体" w:cs="Times New Roman"/>
                      <w:color w:val="auto"/>
                      <w:sz w:val="21"/>
                      <w:szCs w:val="21"/>
                      <w:highlight w:val="none"/>
                    </w:rPr>
                    <w:t>国土空间规划控制指标内。</w:t>
                  </w:r>
                </w:p>
              </w:tc>
            </w:tr>
            <w:tr w14:paraId="454002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342234D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restart"/>
                  <w:tcBorders>
                    <w:tl2br w:val="nil"/>
                    <w:tr2bl w:val="nil"/>
                  </w:tcBorders>
                  <w:noWrap w:val="0"/>
                  <w:vAlign w:val="center"/>
                </w:tcPr>
                <w:p w14:paraId="15AB2CF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A4.3能源利用</w:t>
                  </w:r>
                </w:p>
              </w:tc>
              <w:tc>
                <w:tcPr>
                  <w:tcW w:w="2890" w:type="pct"/>
                  <w:tcBorders>
                    <w:tl2br w:val="nil"/>
                    <w:tr2bl w:val="nil"/>
                  </w:tcBorders>
                  <w:noWrap w:val="0"/>
                  <w:vAlign w:val="center"/>
                </w:tcPr>
                <w:p w14:paraId="0558925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〔A4.3-1〕单位地区生产总值二氧化碳排放降低水平完成国家下达指标。</w:t>
                  </w:r>
                </w:p>
                <w:p w14:paraId="6E7A7FF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〔A4.3-2〕到2025年，自治区万元国内生产总值能耗比2020年下降14.5%。</w:t>
                  </w:r>
                </w:p>
                <w:p w14:paraId="071795C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〔A4.3-3〕到2025年，非化石能源占一次能源消费比重达18%以上。</w:t>
                  </w:r>
                </w:p>
              </w:tc>
              <w:tc>
                <w:tcPr>
                  <w:tcW w:w="1231" w:type="pct"/>
                  <w:vMerge w:val="restart"/>
                  <w:tcBorders>
                    <w:tl2br w:val="nil"/>
                    <w:tr2bl w:val="nil"/>
                  </w:tcBorders>
                  <w:noWrap w:val="0"/>
                  <w:vAlign w:val="center"/>
                </w:tcPr>
                <w:p w14:paraId="2AD6A3A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本项目能源采用电力，属于清洁能源</w:t>
                  </w:r>
                  <w:r>
                    <w:rPr>
                      <w:rFonts w:hint="eastAsia" w:cs="Times New Roman"/>
                      <w:color w:val="auto"/>
                      <w:sz w:val="21"/>
                      <w:szCs w:val="21"/>
                      <w:highlight w:val="none"/>
                      <w:lang w:val="en-US" w:eastAsia="zh-CN"/>
                    </w:rPr>
                    <w:t>。</w:t>
                  </w:r>
                </w:p>
              </w:tc>
            </w:tr>
            <w:tr w14:paraId="776393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10DE216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48240A6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3C8CA0D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〔A4.3-4〕鼓励使用清洁能源或电厂热力、工业余热等替代锅炉、炉窑燃料用煤。</w:t>
                  </w:r>
                </w:p>
              </w:tc>
              <w:tc>
                <w:tcPr>
                  <w:tcW w:w="1231" w:type="pct"/>
                  <w:vMerge w:val="continue"/>
                  <w:tcBorders>
                    <w:tl2br w:val="nil"/>
                    <w:tr2bl w:val="nil"/>
                  </w:tcBorders>
                  <w:noWrap w:val="0"/>
                  <w:vAlign w:val="center"/>
                </w:tcPr>
                <w:p w14:paraId="476C6CE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7C98ED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7256F2E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5C50F9B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6430F16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〔A4.3-5〕以碳达峰碳中和工作为引领，着力提高能源资源利用效率。引导重点行业深入实施清洁生产改造，钢铁、建材、石油化工等重点行业以及其他行业重点用能单位持续开展节能降耗。</w:t>
                  </w:r>
                </w:p>
              </w:tc>
              <w:tc>
                <w:tcPr>
                  <w:tcW w:w="1231" w:type="pct"/>
                  <w:vMerge w:val="continue"/>
                  <w:tcBorders>
                    <w:tl2br w:val="nil"/>
                    <w:tr2bl w:val="nil"/>
                  </w:tcBorders>
                  <w:noWrap w:val="0"/>
                  <w:vAlign w:val="center"/>
                </w:tcPr>
                <w:p w14:paraId="619C3B2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4075B0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610FE8F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7791334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7F2C8E3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〔A4.3-6〕深入推进碳达峰碳中和行动。推动能源清洁低碳转型，加强能耗“双控”管理，优化能源消费结构。新增原料用能不纳入能源消费总量控制。持续推进散煤整治。</w:t>
                  </w:r>
                </w:p>
              </w:tc>
              <w:tc>
                <w:tcPr>
                  <w:tcW w:w="1231" w:type="pct"/>
                  <w:vMerge w:val="continue"/>
                  <w:tcBorders>
                    <w:tl2br w:val="nil"/>
                    <w:tr2bl w:val="nil"/>
                  </w:tcBorders>
                  <w:noWrap w:val="0"/>
                  <w:vAlign w:val="center"/>
                </w:tcPr>
                <w:p w14:paraId="27B9687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050FA6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544B308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tcBorders>
                    <w:tl2br w:val="nil"/>
                    <w:tr2bl w:val="nil"/>
                  </w:tcBorders>
                  <w:noWrap w:val="0"/>
                  <w:vAlign w:val="center"/>
                </w:tcPr>
                <w:p w14:paraId="28D669B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A4.4禁燃区要求</w:t>
                  </w:r>
                </w:p>
              </w:tc>
              <w:tc>
                <w:tcPr>
                  <w:tcW w:w="2890" w:type="pct"/>
                  <w:tcBorders>
                    <w:tl2br w:val="nil"/>
                    <w:tr2bl w:val="nil"/>
                  </w:tcBorders>
                  <w:noWrap w:val="0"/>
                  <w:vAlign w:val="center"/>
                </w:tcPr>
                <w:p w14:paraId="14E75F4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〔A4.4-1〕在禁燃区内，禁止销售、燃用高污染燃料；禁止新建、扩建燃用高污染燃料的设施。已建成的，应当在规定期限内改用清洁能源。</w:t>
                  </w:r>
                </w:p>
              </w:tc>
              <w:tc>
                <w:tcPr>
                  <w:tcW w:w="1231" w:type="pct"/>
                  <w:tcBorders>
                    <w:tl2br w:val="nil"/>
                    <w:tr2bl w:val="nil"/>
                  </w:tcBorders>
                  <w:noWrap w:val="0"/>
                  <w:vAlign w:val="center"/>
                </w:tcPr>
                <w:p w14:paraId="143FF1B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本项目能源采用电力和</w:t>
                  </w:r>
                  <w:r>
                    <w:rPr>
                      <w:rFonts w:hint="eastAsia" w:cs="Times New Roman"/>
                      <w:color w:val="auto"/>
                      <w:sz w:val="21"/>
                      <w:szCs w:val="21"/>
                      <w:highlight w:val="none"/>
                      <w:lang w:val="en-US" w:eastAsia="zh-CN"/>
                    </w:rPr>
                    <w:t>水</w:t>
                  </w:r>
                  <w:r>
                    <w:rPr>
                      <w:rFonts w:hint="default" w:ascii="Times New Roman" w:hAnsi="Times New Roman" w:eastAsia="宋体" w:cs="Times New Roman"/>
                      <w:color w:val="auto"/>
                      <w:sz w:val="21"/>
                      <w:szCs w:val="21"/>
                      <w:highlight w:val="none"/>
                      <w:lang w:val="en-US" w:eastAsia="zh-CN"/>
                    </w:rPr>
                    <w:t>，属于清洁能源</w:t>
                  </w:r>
                </w:p>
              </w:tc>
            </w:tr>
            <w:tr w14:paraId="322BC5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7122966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restart"/>
                  <w:tcBorders>
                    <w:tl2br w:val="nil"/>
                    <w:tr2bl w:val="nil"/>
                  </w:tcBorders>
                  <w:noWrap w:val="0"/>
                  <w:vAlign w:val="center"/>
                </w:tcPr>
                <w:p w14:paraId="6C68044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A4.5资源综合利用</w:t>
                  </w:r>
                </w:p>
              </w:tc>
              <w:tc>
                <w:tcPr>
                  <w:tcW w:w="2890" w:type="pct"/>
                  <w:tcBorders>
                    <w:tl2br w:val="nil"/>
                    <w:tr2bl w:val="nil"/>
                  </w:tcBorders>
                  <w:noWrap w:val="0"/>
                  <w:vAlign w:val="center"/>
                </w:tcPr>
                <w:p w14:paraId="7EAE86C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4.5-1〕加强固体废物源头减量、资源化利用和无害化处置，最大限度减少填埋量。推进工业固体废物精细化、名录化环境管理，促进大宗工业固废综合利用、主要农业废弃物全量利用。加快构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市</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生活垃圾处理设施，到2025年，全疆城市生活垃圾无害化处理率达到99%以上。</w:t>
                  </w:r>
                </w:p>
              </w:tc>
              <w:tc>
                <w:tcPr>
                  <w:tcW w:w="1231" w:type="pct"/>
                  <w:vMerge w:val="restart"/>
                  <w:tcBorders>
                    <w:tl2br w:val="nil"/>
                    <w:tr2bl w:val="nil"/>
                  </w:tcBorders>
                  <w:noWrap w:val="0"/>
                  <w:vAlign w:val="center"/>
                </w:tcPr>
                <w:p w14:paraId="530F204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本项目</w:t>
                  </w:r>
                  <w:r>
                    <w:rPr>
                      <w:rFonts w:hint="eastAsia" w:cs="Times New Roman"/>
                      <w:color w:val="auto"/>
                      <w:kern w:val="0"/>
                      <w:sz w:val="21"/>
                      <w:szCs w:val="21"/>
                      <w:highlight w:val="none"/>
                      <w:lang w:val="en-US" w:eastAsia="zh-CN" w:bidi="ar-SA"/>
                    </w:rPr>
                    <w:t>产生的</w:t>
                  </w:r>
                  <w:r>
                    <w:rPr>
                      <w:rFonts w:hint="default" w:ascii="Times New Roman" w:hAnsi="Times New Roman" w:eastAsia="宋体" w:cs="Times New Roman"/>
                      <w:color w:val="auto"/>
                      <w:kern w:val="0"/>
                      <w:sz w:val="21"/>
                      <w:szCs w:val="21"/>
                      <w:highlight w:val="none"/>
                      <w:lang w:val="en-US" w:eastAsia="zh-CN" w:bidi="ar-SA"/>
                    </w:rPr>
                    <w:t>生活垃圾经收集后，委托环卫部门处理；污泥定期拉运至生活垃圾填埋场处置；不合格混凝土、沉淀池沉淀物集中收集后回用于生产；废机油暂存于危废暂存间，委托有资质的单位处置</w:t>
                  </w:r>
                  <w:r>
                    <w:rPr>
                      <w:rFonts w:hint="eastAsia"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各类固废均得到了妥善处置和利用，对外环境的影响可减至最小程度，不会产生二次污染，对环境影响较小</w:t>
                  </w:r>
                  <w:r>
                    <w:rPr>
                      <w:rFonts w:hint="eastAsia" w:cs="Times New Roman"/>
                      <w:color w:val="auto"/>
                      <w:kern w:val="0"/>
                      <w:sz w:val="21"/>
                      <w:szCs w:val="21"/>
                      <w:highlight w:val="none"/>
                      <w:lang w:val="en-US" w:eastAsia="zh-CN" w:bidi="ar-SA"/>
                    </w:rPr>
                    <w:t>。</w:t>
                  </w:r>
                </w:p>
              </w:tc>
            </w:tr>
            <w:tr w14:paraId="523964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799BCE1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416B83D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43F1C94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〔A4.5-2〕推动工业固废按元素价值综合开发利用，加快推进尾矿</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共伴生矿</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粉煤灰、煤矸石、冶炼渣、工业副产石膏、赤泥、化工废渣等工业固废在有价组分提取、建材生产、市政设施建设、井下充填、生态修复、土壤治理等领域的规模化利用。着力提升工业固废在生产纤维材料、微晶玻璃、超细化填料、低碳水泥、固废基高性能混凝土、预制件、节能型建筑材料等领域的高值化利用水平。</w:t>
                  </w:r>
                </w:p>
              </w:tc>
              <w:tc>
                <w:tcPr>
                  <w:tcW w:w="1231" w:type="pct"/>
                  <w:vMerge w:val="continue"/>
                  <w:tcBorders>
                    <w:tl2br w:val="nil"/>
                    <w:tr2bl w:val="nil"/>
                  </w:tcBorders>
                  <w:noWrap w:val="0"/>
                  <w:vAlign w:val="center"/>
                </w:tcPr>
                <w:p w14:paraId="1E4A97B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1BC30A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0FBDF27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4FBA68B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6A4B3D1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4.5-3〕结合工业领域减污降碳要求，加快探索钢铁、有色、化工、建材等重点行业工业固体废物减量化路径，全面推行清洁生产。全面推进绿色矿山、“无废”矿区建设，推广尾矿等大宗工业固体废物环境友好型井下充填回填，减少尾矿库贮存量。推动大宗工业固体废物在提取有价组分、生产建材、筑路、生态修复、土壤治理等领域的规模化利用。</w:t>
                  </w:r>
                </w:p>
              </w:tc>
              <w:tc>
                <w:tcPr>
                  <w:tcW w:w="1231" w:type="pct"/>
                  <w:vMerge w:val="continue"/>
                  <w:tcBorders>
                    <w:tl2br w:val="nil"/>
                    <w:tr2bl w:val="nil"/>
                  </w:tcBorders>
                  <w:noWrap w:val="0"/>
                  <w:vAlign w:val="center"/>
                </w:tcPr>
                <w:p w14:paraId="592FA3A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14:paraId="104F5F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8" w:type="pct"/>
                  <w:vMerge w:val="continue"/>
                  <w:tcBorders>
                    <w:tl2br w:val="nil"/>
                    <w:tr2bl w:val="nil"/>
                  </w:tcBorders>
                  <w:noWrap w:val="0"/>
                  <w:vAlign w:val="center"/>
                </w:tcPr>
                <w:p w14:paraId="0D0708D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470" w:type="pct"/>
                  <w:vMerge w:val="continue"/>
                  <w:tcBorders>
                    <w:tl2br w:val="nil"/>
                    <w:tr2bl w:val="nil"/>
                  </w:tcBorders>
                  <w:noWrap w:val="0"/>
                  <w:vAlign w:val="center"/>
                </w:tcPr>
                <w:p w14:paraId="519DA5D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p>
              </w:tc>
              <w:tc>
                <w:tcPr>
                  <w:tcW w:w="2890" w:type="pct"/>
                  <w:tcBorders>
                    <w:tl2br w:val="nil"/>
                    <w:tr2bl w:val="nil"/>
                  </w:tcBorders>
                  <w:noWrap w:val="0"/>
                  <w:vAlign w:val="center"/>
                </w:tcPr>
                <w:p w14:paraId="3BFDB03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A4.5-4〕发展生态种植、生态养殖，建立农业循环经济发展模式，促进农业固体废物综合利用。鼓励和引导农民采用增施有机肥秸秆还田、种植绿肥等技术，持续减少化肥农药使用比例。加大畜禽粪污和秸秆资源化利用先进技术和新型市场模式的集成推广，推动形成长效运行机制。</w:t>
                  </w:r>
                </w:p>
              </w:tc>
              <w:tc>
                <w:tcPr>
                  <w:tcW w:w="1231" w:type="pct"/>
                  <w:vMerge w:val="continue"/>
                  <w:tcBorders>
                    <w:tl2br w:val="nil"/>
                    <w:tr2bl w:val="nil"/>
                  </w:tcBorders>
                  <w:noWrap w:val="0"/>
                  <w:vAlign w:val="center"/>
                </w:tcPr>
                <w:p w14:paraId="1BB8F25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bl>
          <w:p w14:paraId="52BD334D">
            <w:pPr>
              <w:bidi w:val="0"/>
              <w:spacing w:line="360" w:lineRule="auto"/>
              <w:rPr>
                <w:rFonts w:hint="default" w:ascii="Times New Roman" w:hAnsi="Times New Roman" w:eastAsia="宋体" w:cs="Times New Roman"/>
                <w:b/>
                <w:bCs/>
                <w:sz w:val="24"/>
                <w:szCs w:val="32"/>
                <w:highlight w:val="none"/>
              </w:rPr>
            </w:pPr>
            <w:r>
              <w:rPr>
                <w:rFonts w:hint="default" w:ascii="Times New Roman" w:hAnsi="Times New Roman" w:eastAsia="宋体" w:cs="Times New Roman"/>
                <w:b/>
                <w:bCs/>
                <w:sz w:val="24"/>
                <w:szCs w:val="32"/>
                <w:highlight w:val="none"/>
              </w:rPr>
              <w:t>2.2</w:t>
            </w:r>
            <w:r>
              <w:rPr>
                <w:rFonts w:hint="default" w:ascii="Times New Roman" w:hAnsi="Times New Roman" w:eastAsia="宋体" w:cs="Times New Roman"/>
                <w:b/>
                <w:bCs/>
                <w:sz w:val="24"/>
                <w:szCs w:val="32"/>
                <w:highlight w:val="none"/>
                <w:lang w:val="en-US" w:eastAsia="zh-CN"/>
              </w:rPr>
              <w:t xml:space="preserve"> </w:t>
            </w:r>
            <w:r>
              <w:rPr>
                <w:rFonts w:hint="default" w:ascii="Times New Roman" w:hAnsi="Times New Roman" w:eastAsia="宋体" w:cs="Times New Roman"/>
                <w:b/>
                <w:bCs/>
                <w:sz w:val="24"/>
                <w:szCs w:val="32"/>
                <w:highlight w:val="none"/>
              </w:rPr>
              <w:t>与《昌吉回族自治州区域空间生态环境评价暨“三线一单”生态环境准入清单动态更新成果》（2024年）符合性分析</w:t>
            </w:r>
          </w:p>
          <w:p w14:paraId="0F7013CF">
            <w:pPr>
              <w:pStyle w:val="56"/>
              <w:spacing w:line="360" w:lineRule="auto"/>
              <w:ind w:firstLine="480"/>
              <w:jc w:val="both"/>
              <w:rPr>
                <w:color w:val="auto"/>
                <w:highlight w:val="none"/>
              </w:rPr>
            </w:pPr>
            <w:r>
              <w:rPr>
                <w:color w:val="auto"/>
                <w:highlight w:val="none"/>
              </w:rPr>
              <w:t>本项目位于</w:t>
            </w:r>
            <w:r>
              <w:rPr>
                <w:color w:val="auto"/>
                <w:szCs w:val="24"/>
                <w:highlight w:val="none"/>
              </w:rPr>
              <w:t>新疆维吾尔自治区昌吉回族自治州</w:t>
            </w:r>
            <w:r>
              <w:rPr>
                <w:rFonts w:hint="eastAsia"/>
                <w:color w:val="auto"/>
                <w:szCs w:val="24"/>
                <w:highlight w:val="none"/>
              </w:rPr>
              <w:t>木垒县</w:t>
            </w:r>
            <w:r>
              <w:rPr>
                <w:rFonts w:hint="eastAsia"/>
                <w:color w:val="auto"/>
                <w:szCs w:val="24"/>
                <w:highlight w:val="none"/>
                <w:lang w:eastAsia="zh-CN"/>
              </w:rPr>
              <w:t>照壁山乡霍斯阔拉村</w:t>
            </w:r>
            <w:r>
              <w:rPr>
                <w:color w:val="auto"/>
                <w:szCs w:val="24"/>
                <w:highlight w:val="none"/>
              </w:rPr>
              <w:t>，根据</w:t>
            </w:r>
            <w:r>
              <w:rPr>
                <w:rFonts w:hint="eastAsia"/>
                <w:color w:val="auto"/>
                <w:szCs w:val="24"/>
                <w:highlight w:val="none"/>
              </w:rPr>
              <w:t>《昌吉回族自治州区域空间生态环境评价暨“三线一单”生态环境准入清单动态更新成果》</w:t>
            </w:r>
            <w:r>
              <w:rPr>
                <w:rFonts w:hint="eastAsia"/>
                <w:color w:val="auto"/>
                <w:highlight w:val="none"/>
              </w:rPr>
              <w:t>（2024年）</w:t>
            </w:r>
            <w:r>
              <w:rPr>
                <w:rFonts w:hint="eastAsia"/>
                <w:color w:val="auto"/>
                <w:szCs w:val="24"/>
                <w:highlight w:val="none"/>
                <w:lang w:eastAsia="zh-CN"/>
              </w:rPr>
              <w:t>，</w:t>
            </w:r>
            <w:r>
              <w:rPr>
                <w:color w:val="auto"/>
                <w:szCs w:val="24"/>
                <w:highlight w:val="none"/>
              </w:rPr>
              <w:t>本项目</w:t>
            </w:r>
            <w:r>
              <w:rPr>
                <w:color w:val="auto"/>
                <w:highlight w:val="none"/>
              </w:rPr>
              <w:t>所属为文件中</w:t>
            </w:r>
            <w:r>
              <w:rPr>
                <w:rFonts w:hint="eastAsia"/>
                <w:color w:val="auto"/>
                <w:highlight w:val="none"/>
                <w:lang w:eastAsia="zh-CN"/>
              </w:rPr>
              <w:t>“</w:t>
            </w:r>
            <w:r>
              <w:rPr>
                <w:rFonts w:hint="eastAsia"/>
                <w:color w:val="auto"/>
                <w:highlight w:val="none"/>
              </w:rPr>
              <w:t>木垒</w:t>
            </w:r>
            <w:r>
              <w:rPr>
                <w:rFonts w:hint="eastAsia"/>
                <w:color w:val="auto"/>
                <w:highlight w:val="none"/>
                <w:lang w:val="en-US" w:eastAsia="zh-CN"/>
              </w:rPr>
              <w:t>哈萨克自治</w:t>
            </w:r>
            <w:r>
              <w:rPr>
                <w:color w:val="auto"/>
                <w:highlight w:val="none"/>
              </w:rPr>
              <w:t>县</w:t>
            </w:r>
            <w:r>
              <w:rPr>
                <w:rFonts w:hint="eastAsia"/>
                <w:color w:val="auto"/>
                <w:highlight w:val="none"/>
                <w:lang w:val="en-US" w:eastAsia="zh-CN"/>
              </w:rPr>
              <w:t>重点</w:t>
            </w:r>
            <w:r>
              <w:rPr>
                <w:color w:val="auto"/>
                <w:highlight w:val="none"/>
              </w:rPr>
              <w:t>管控单元</w:t>
            </w:r>
            <w:r>
              <w:rPr>
                <w:rFonts w:hint="eastAsia"/>
                <w:color w:val="auto"/>
                <w:highlight w:val="none"/>
                <w:lang w:eastAsia="zh-CN"/>
              </w:rPr>
              <w:t>”</w:t>
            </w:r>
            <w:r>
              <w:rPr>
                <w:rFonts w:hint="eastAsia"/>
                <w:color w:val="auto"/>
                <w:highlight w:val="none"/>
              </w:rPr>
              <w:t>，环境管控单元编码：</w:t>
            </w:r>
            <w:r>
              <w:rPr>
                <w:color w:val="auto"/>
                <w:highlight w:val="none"/>
              </w:rPr>
              <w:t>ZH65232</w:t>
            </w:r>
            <w:r>
              <w:rPr>
                <w:rFonts w:hint="eastAsia"/>
                <w:color w:val="auto"/>
                <w:highlight w:val="none"/>
              </w:rPr>
              <w:t>8</w:t>
            </w:r>
            <w:r>
              <w:rPr>
                <w:color w:val="auto"/>
                <w:highlight w:val="none"/>
              </w:rPr>
              <w:t>3000</w:t>
            </w:r>
            <w:r>
              <w:rPr>
                <w:rFonts w:hint="eastAsia"/>
                <w:color w:val="auto"/>
                <w:highlight w:val="none"/>
                <w:lang w:val="en-US" w:eastAsia="zh-CN"/>
              </w:rPr>
              <w:t>7</w:t>
            </w:r>
            <w:r>
              <w:rPr>
                <w:color w:val="auto"/>
                <w:highlight w:val="none"/>
              </w:rPr>
              <w:t>。本项目与其符合情况见下表1-2，环境管控单元分类图见附图</w:t>
            </w:r>
            <w:r>
              <w:rPr>
                <w:rFonts w:hint="eastAsia"/>
                <w:color w:val="auto"/>
                <w:highlight w:val="none"/>
                <w:lang w:val="en-US" w:eastAsia="zh-CN"/>
              </w:rPr>
              <w:t>4</w:t>
            </w:r>
            <w:r>
              <w:rPr>
                <w:color w:val="auto"/>
                <w:highlight w:val="none"/>
              </w:rPr>
              <w:t>。</w:t>
            </w:r>
          </w:p>
          <w:p w14:paraId="6730B747">
            <w:pPr>
              <w:pStyle w:val="58"/>
              <w:ind w:firstLine="0"/>
              <w:rPr>
                <w:color w:val="auto"/>
                <w:highlight w:val="none"/>
                <w:lang w:bidi="ar"/>
              </w:rPr>
            </w:pPr>
            <w:r>
              <w:rPr>
                <w:color w:val="auto"/>
                <w:highlight w:val="none"/>
              </w:rPr>
              <w:t>表1-2    与</w:t>
            </w:r>
            <w:r>
              <w:rPr>
                <w:rFonts w:hint="eastAsia"/>
                <w:color w:val="auto"/>
                <w:highlight w:val="none"/>
              </w:rPr>
              <w:t>《昌吉回族自治州区域空间生态环境评价暨“三线一单”生态环境准入清单动态更新成果》（2024年）</w:t>
            </w:r>
            <w:r>
              <w:rPr>
                <w:color w:val="auto"/>
                <w:highlight w:val="none"/>
              </w:rPr>
              <w:t>符合性分析</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533"/>
              <w:gridCol w:w="2458"/>
              <w:gridCol w:w="685"/>
            </w:tblGrid>
            <w:tr w14:paraId="426F3F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pct"/>
                  <w:tcBorders>
                    <w:bottom w:val="single" w:color="000000" w:sz="12" w:space="0"/>
                    <w:tl2br w:val="nil"/>
                    <w:tr2bl w:val="nil"/>
                  </w:tcBorders>
                  <w:vAlign w:val="center"/>
                </w:tcPr>
                <w:p w14:paraId="76983D08">
                  <w:pPr>
                    <w:pStyle w:val="60"/>
                    <w:jc w:val="center"/>
                    <w:rPr>
                      <w:b/>
                      <w:bCs w:val="0"/>
                      <w:color w:val="auto"/>
                      <w:spacing w:val="-2"/>
                      <w:highlight w:val="none"/>
                    </w:rPr>
                  </w:pPr>
                  <w:r>
                    <w:rPr>
                      <w:b/>
                      <w:bCs w:val="0"/>
                      <w:color w:val="auto"/>
                      <w:spacing w:val="-2"/>
                      <w:highlight w:val="none"/>
                    </w:rPr>
                    <w:t>管控名称</w:t>
                  </w:r>
                </w:p>
              </w:tc>
              <w:tc>
                <w:tcPr>
                  <w:tcW w:w="1868" w:type="pct"/>
                  <w:tcBorders>
                    <w:bottom w:val="single" w:color="000000" w:sz="12" w:space="0"/>
                    <w:tl2br w:val="nil"/>
                    <w:tr2bl w:val="nil"/>
                  </w:tcBorders>
                  <w:vAlign w:val="center"/>
                </w:tcPr>
                <w:p w14:paraId="5B75706D">
                  <w:pPr>
                    <w:pStyle w:val="60"/>
                    <w:jc w:val="center"/>
                    <w:rPr>
                      <w:b/>
                      <w:bCs w:val="0"/>
                      <w:color w:val="auto"/>
                      <w:spacing w:val="-2"/>
                      <w:highlight w:val="none"/>
                    </w:rPr>
                  </w:pPr>
                  <w:r>
                    <w:rPr>
                      <w:b/>
                      <w:bCs w:val="0"/>
                      <w:color w:val="auto"/>
                      <w:spacing w:val="-2"/>
                      <w:highlight w:val="none"/>
                    </w:rPr>
                    <w:t>管控要求</w:t>
                  </w:r>
                </w:p>
              </w:tc>
              <w:tc>
                <w:tcPr>
                  <w:tcW w:w="1813" w:type="pct"/>
                  <w:tcBorders>
                    <w:bottom w:val="single" w:color="000000" w:sz="12" w:space="0"/>
                    <w:tl2br w:val="nil"/>
                    <w:tr2bl w:val="nil"/>
                  </w:tcBorders>
                  <w:vAlign w:val="center"/>
                </w:tcPr>
                <w:p w14:paraId="6DA7A536">
                  <w:pPr>
                    <w:pStyle w:val="60"/>
                    <w:jc w:val="center"/>
                    <w:rPr>
                      <w:b/>
                      <w:bCs w:val="0"/>
                      <w:color w:val="auto"/>
                      <w:spacing w:val="-2"/>
                      <w:highlight w:val="none"/>
                    </w:rPr>
                  </w:pPr>
                  <w:r>
                    <w:rPr>
                      <w:b/>
                      <w:bCs w:val="0"/>
                      <w:color w:val="auto"/>
                      <w:spacing w:val="-2"/>
                      <w:highlight w:val="none"/>
                    </w:rPr>
                    <w:t>项目概况</w:t>
                  </w:r>
                </w:p>
              </w:tc>
              <w:tc>
                <w:tcPr>
                  <w:tcW w:w="505" w:type="pct"/>
                  <w:tcBorders>
                    <w:bottom w:val="single" w:color="000000" w:sz="12" w:space="0"/>
                    <w:tl2br w:val="nil"/>
                    <w:tr2bl w:val="nil"/>
                  </w:tcBorders>
                  <w:vAlign w:val="center"/>
                </w:tcPr>
                <w:p w14:paraId="4C1C533E">
                  <w:pPr>
                    <w:pStyle w:val="60"/>
                    <w:jc w:val="center"/>
                    <w:rPr>
                      <w:b/>
                      <w:bCs w:val="0"/>
                      <w:color w:val="auto"/>
                      <w:spacing w:val="-2"/>
                      <w:highlight w:val="none"/>
                    </w:rPr>
                  </w:pPr>
                  <w:r>
                    <w:rPr>
                      <w:b/>
                      <w:bCs w:val="0"/>
                      <w:color w:val="auto"/>
                      <w:spacing w:val="-2"/>
                      <w:highlight w:val="none"/>
                    </w:rPr>
                    <w:t>符合情况</w:t>
                  </w:r>
                </w:p>
              </w:tc>
            </w:tr>
            <w:tr w14:paraId="093701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pct"/>
                  <w:tcBorders>
                    <w:top w:val="single" w:color="000000" w:sz="12" w:space="0"/>
                    <w:tl2br w:val="nil"/>
                    <w:tr2bl w:val="nil"/>
                  </w:tcBorders>
                  <w:vAlign w:val="center"/>
                </w:tcPr>
                <w:p w14:paraId="051F0F65">
                  <w:pPr>
                    <w:pStyle w:val="60"/>
                    <w:jc w:val="center"/>
                    <w:rPr>
                      <w:color w:val="auto"/>
                      <w:spacing w:val="-2"/>
                      <w:highlight w:val="none"/>
                    </w:rPr>
                  </w:pPr>
                  <w:r>
                    <w:rPr>
                      <w:color w:val="auto"/>
                      <w:spacing w:val="-2"/>
                      <w:highlight w:val="none"/>
                    </w:rPr>
                    <w:t>空间布局约束</w:t>
                  </w:r>
                </w:p>
              </w:tc>
              <w:tc>
                <w:tcPr>
                  <w:tcW w:w="1868" w:type="pct"/>
                  <w:tcBorders>
                    <w:top w:val="single" w:color="000000" w:sz="12" w:space="0"/>
                    <w:tl2br w:val="nil"/>
                    <w:tr2bl w:val="nil"/>
                  </w:tcBorders>
                  <w:vAlign w:val="center"/>
                </w:tcPr>
                <w:p w14:paraId="280DB0B1">
                  <w:pPr>
                    <w:bidi w:val="0"/>
                    <w:jc w:val="center"/>
                    <w:rPr>
                      <w:rFonts w:hint="eastAsia" w:eastAsia="宋体"/>
                      <w:bCs/>
                      <w:color w:val="auto"/>
                      <w:spacing w:val="-2"/>
                      <w:kern w:val="2"/>
                      <w:szCs w:val="21"/>
                      <w:highlight w:val="none"/>
                      <w:lang w:eastAsia="zh-CN"/>
                    </w:rPr>
                  </w:pPr>
                  <w:r>
                    <w:rPr>
                      <w:rFonts w:hint="eastAsia" w:cs="Times New Roman"/>
                      <w:highlight w:val="none"/>
                      <w:lang w:val="en-US" w:eastAsia="zh-CN"/>
                    </w:rPr>
                    <w:t>/</w:t>
                  </w:r>
                </w:p>
              </w:tc>
              <w:tc>
                <w:tcPr>
                  <w:tcW w:w="1813" w:type="pct"/>
                  <w:tcBorders>
                    <w:top w:val="single" w:color="000000" w:sz="12" w:space="0"/>
                    <w:tl2br w:val="nil"/>
                    <w:tr2bl w:val="nil"/>
                  </w:tcBorders>
                  <w:vAlign w:val="center"/>
                </w:tcPr>
                <w:p w14:paraId="04D39EE9">
                  <w:pPr>
                    <w:pStyle w:val="60"/>
                    <w:jc w:val="center"/>
                    <w:rPr>
                      <w:rFonts w:hint="default" w:ascii="Times New Roman" w:hAnsi="Times New Roman" w:eastAsia="宋体" w:cs="Times New Roman"/>
                      <w:highlight w:val="none"/>
                      <w:lang w:val="en-US" w:eastAsia="zh-CN"/>
                    </w:rPr>
                  </w:pPr>
                  <w:r>
                    <w:rPr>
                      <w:rFonts w:hint="eastAsia"/>
                      <w:color w:val="auto"/>
                      <w:spacing w:val="-2"/>
                      <w:highlight w:val="none"/>
                      <w:lang w:val="en-US" w:eastAsia="zh-CN"/>
                    </w:rPr>
                    <w:t>/</w:t>
                  </w:r>
                </w:p>
              </w:tc>
              <w:tc>
                <w:tcPr>
                  <w:tcW w:w="505" w:type="pct"/>
                  <w:tcBorders>
                    <w:top w:val="single" w:color="000000" w:sz="12" w:space="0"/>
                    <w:tl2br w:val="nil"/>
                    <w:tr2bl w:val="nil"/>
                  </w:tcBorders>
                  <w:vAlign w:val="center"/>
                </w:tcPr>
                <w:p w14:paraId="69C5C1EE">
                  <w:pPr>
                    <w:pStyle w:val="60"/>
                    <w:jc w:val="center"/>
                    <w:rPr>
                      <w:rFonts w:hint="eastAsia" w:eastAsia="宋体"/>
                      <w:color w:val="auto"/>
                      <w:spacing w:val="-2"/>
                      <w:highlight w:val="none"/>
                      <w:lang w:eastAsia="zh-CN"/>
                    </w:rPr>
                  </w:pPr>
                  <w:r>
                    <w:rPr>
                      <w:rFonts w:hint="eastAsia"/>
                      <w:color w:val="auto"/>
                      <w:spacing w:val="-2"/>
                      <w:highlight w:val="none"/>
                      <w:lang w:val="en-US" w:eastAsia="zh-CN"/>
                    </w:rPr>
                    <w:t>/</w:t>
                  </w:r>
                </w:p>
              </w:tc>
            </w:tr>
            <w:tr w14:paraId="74214E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pct"/>
                  <w:tcBorders>
                    <w:tl2br w:val="nil"/>
                    <w:tr2bl w:val="nil"/>
                  </w:tcBorders>
                  <w:vAlign w:val="center"/>
                </w:tcPr>
                <w:p w14:paraId="18A33CA8">
                  <w:pPr>
                    <w:pStyle w:val="60"/>
                    <w:jc w:val="center"/>
                    <w:rPr>
                      <w:color w:val="auto"/>
                      <w:spacing w:val="-2"/>
                      <w:highlight w:val="none"/>
                    </w:rPr>
                  </w:pPr>
                  <w:r>
                    <w:rPr>
                      <w:color w:val="auto"/>
                      <w:spacing w:val="-2"/>
                      <w:highlight w:val="none"/>
                    </w:rPr>
                    <w:t>污染物排放管控</w:t>
                  </w:r>
                </w:p>
              </w:tc>
              <w:tc>
                <w:tcPr>
                  <w:tcW w:w="1868" w:type="pct"/>
                  <w:tcBorders>
                    <w:tl2br w:val="nil"/>
                    <w:tr2bl w:val="nil"/>
                  </w:tcBorders>
                  <w:vAlign w:val="center"/>
                </w:tcPr>
                <w:p w14:paraId="4BF8543E">
                  <w:pPr>
                    <w:jc w:val="center"/>
                    <w:rPr>
                      <w:rFonts w:hint="default" w:eastAsia="宋体"/>
                      <w:bCs/>
                      <w:color w:val="auto"/>
                      <w:spacing w:val="-2"/>
                      <w:szCs w:val="21"/>
                      <w:highlight w:val="none"/>
                      <w:lang w:val="en-US" w:eastAsia="zh-CN"/>
                    </w:rPr>
                  </w:pPr>
                  <w:r>
                    <w:rPr>
                      <w:rFonts w:hint="eastAsia"/>
                      <w:bCs/>
                      <w:color w:val="auto"/>
                      <w:spacing w:val="-2"/>
                      <w:szCs w:val="21"/>
                      <w:highlight w:val="none"/>
                      <w:lang w:val="en-US" w:eastAsia="zh-CN"/>
                    </w:rPr>
                    <w:t>/</w:t>
                  </w:r>
                </w:p>
              </w:tc>
              <w:tc>
                <w:tcPr>
                  <w:tcW w:w="1813" w:type="pct"/>
                  <w:tcBorders>
                    <w:tl2br w:val="nil"/>
                    <w:tr2bl w:val="nil"/>
                  </w:tcBorders>
                  <w:vAlign w:val="center"/>
                </w:tcPr>
                <w:p w14:paraId="0B8987EF">
                  <w:pPr>
                    <w:pStyle w:val="60"/>
                    <w:jc w:val="center"/>
                    <w:rPr>
                      <w:rFonts w:hint="default" w:eastAsia="宋体"/>
                      <w:color w:val="auto"/>
                      <w:spacing w:val="-2"/>
                      <w:highlight w:val="none"/>
                      <w:lang w:val="en-US" w:eastAsia="zh-CN"/>
                    </w:rPr>
                  </w:pPr>
                  <w:r>
                    <w:rPr>
                      <w:rFonts w:hint="eastAsia"/>
                      <w:color w:val="auto"/>
                      <w:spacing w:val="-2"/>
                      <w:highlight w:val="none"/>
                      <w:lang w:val="en-US" w:eastAsia="zh-CN"/>
                    </w:rPr>
                    <w:t>/</w:t>
                  </w:r>
                </w:p>
              </w:tc>
              <w:tc>
                <w:tcPr>
                  <w:tcW w:w="505" w:type="pct"/>
                  <w:tcBorders>
                    <w:tl2br w:val="nil"/>
                    <w:tr2bl w:val="nil"/>
                  </w:tcBorders>
                  <w:vAlign w:val="center"/>
                </w:tcPr>
                <w:p w14:paraId="55386A2B">
                  <w:pPr>
                    <w:pStyle w:val="60"/>
                    <w:jc w:val="center"/>
                    <w:rPr>
                      <w:rFonts w:hint="eastAsia" w:eastAsia="宋体"/>
                      <w:color w:val="auto"/>
                      <w:spacing w:val="-2"/>
                      <w:highlight w:val="none"/>
                      <w:lang w:eastAsia="zh-CN"/>
                    </w:rPr>
                  </w:pPr>
                  <w:r>
                    <w:rPr>
                      <w:rFonts w:hint="eastAsia"/>
                      <w:color w:val="auto"/>
                      <w:spacing w:val="-2"/>
                      <w:highlight w:val="none"/>
                      <w:lang w:val="en-US" w:eastAsia="zh-CN"/>
                    </w:rPr>
                    <w:t>/</w:t>
                  </w:r>
                </w:p>
              </w:tc>
            </w:tr>
            <w:tr w14:paraId="05BADD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pct"/>
                  <w:tcBorders>
                    <w:tl2br w:val="nil"/>
                    <w:tr2bl w:val="nil"/>
                  </w:tcBorders>
                  <w:vAlign w:val="center"/>
                </w:tcPr>
                <w:p w14:paraId="2EF93D0E">
                  <w:pPr>
                    <w:pStyle w:val="60"/>
                    <w:jc w:val="center"/>
                    <w:rPr>
                      <w:color w:val="auto"/>
                      <w:kern w:val="0"/>
                      <w:highlight w:val="none"/>
                    </w:rPr>
                  </w:pPr>
                  <w:r>
                    <w:rPr>
                      <w:color w:val="auto"/>
                      <w:kern w:val="0"/>
                      <w:highlight w:val="none"/>
                    </w:rPr>
                    <w:t>环境风险防控</w:t>
                  </w:r>
                </w:p>
              </w:tc>
              <w:tc>
                <w:tcPr>
                  <w:tcW w:w="1868" w:type="pct"/>
                  <w:tcBorders>
                    <w:tl2br w:val="nil"/>
                    <w:tr2bl w:val="nil"/>
                  </w:tcBorders>
                  <w:vAlign w:val="center"/>
                </w:tcPr>
                <w:p w14:paraId="5AE5F77E">
                  <w:pPr>
                    <w:pStyle w:val="56"/>
                    <w:jc w:val="center"/>
                    <w:rPr>
                      <w:rFonts w:hint="default" w:eastAsia="宋体"/>
                      <w:bCs/>
                      <w:color w:val="auto"/>
                      <w:spacing w:val="-2"/>
                      <w:kern w:val="2"/>
                      <w:sz w:val="21"/>
                      <w:szCs w:val="21"/>
                      <w:highlight w:val="none"/>
                      <w:lang w:val="en-US" w:eastAsia="zh-CN"/>
                    </w:rPr>
                  </w:pPr>
                  <w:r>
                    <w:rPr>
                      <w:rFonts w:hint="eastAsia"/>
                      <w:bCs/>
                      <w:color w:val="auto"/>
                      <w:spacing w:val="-2"/>
                      <w:kern w:val="2"/>
                      <w:sz w:val="21"/>
                      <w:szCs w:val="21"/>
                      <w:highlight w:val="none"/>
                      <w:lang w:val="en-US" w:eastAsia="zh-CN"/>
                    </w:rPr>
                    <w:t>/</w:t>
                  </w:r>
                </w:p>
              </w:tc>
              <w:tc>
                <w:tcPr>
                  <w:tcW w:w="1813" w:type="pct"/>
                  <w:tcBorders>
                    <w:tl2br w:val="nil"/>
                    <w:tr2bl w:val="nil"/>
                  </w:tcBorders>
                  <w:vAlign w:val="center"/>
                </w:tcPr>
                <w:p w14:paraId="5BB03BCB">
                  <w:pPr>
                    <w:adjustRightInd w:val="0"/>
                    <w:snapToGrid w:val="0"/>
                    <w:jc w:val="center"/>
                    <w:rPr>
                      <w:rFonts w:hint="eastAsia" w:eastAsia="宋体"/>
                      <w:color w:val="auto"/>
                      <w:spacing w:val="-2"/>
                      <w:szCs w:val="21"/>
                      <w:highlight w:val="none"/>
                      <w:lang w:eastAsia="zh-CN"/>
                    </w:rPr>
                  </w:pPr>
                  <w:r>
                    <w:rPr>
                      <w:rFonts w:hint="eastAsia"/>
                      <w:color w:val="auto"/>
                      <w:spacing w:val="-2"/>
                      <w:szCs w:val="21"/>
                      <w:highlight w:val="none"/>
                      <w:lang w:val="en-US" w:eastAsia="zh-CN"/>
                    </w:rPr>
                    <w:t>/</w:t>
                  </w:r>
                </w:p>
              </w:tc>
              <w:tc>
                <w:tcPr>
                  <w:tcW w:w="505" w:type="pct"/>
                  <w:tcBorders>
                    <w:tl2br w:val="nil"/>
                    <w:tr2bl w:val="nil"/>
                  </w:tcBorders>
                  <w:vAlign w:val="center"/>
                </w:tcPr>
                <w:p w14:paraId="60815664">
                  <w:pPr>
                    <w:pStyle w:val="60"/>
                    <w:jc w:val="center"/>
                    <w:rPr>
                      <w:rFonts w:hint="eastAsia" w:eastAsia="宋体"/>
                      <w:color w:val="auto"/>
                      <w:spacing w:val="-2"/>
                      <w:highlight w:val="none"/>
                      <w:lang w:eastAsia="zh-CN"/>
                    </w:rPr>
                  </w:pPr>
                  <w:r>
                    <w:rPr>
                      <w:rFonts w:hint="eastAsia"/>
                      <w:color w:val="auto"/>
                      <w:spacing w:val="-2"/>
                      <w:highlight w:val="none"/>
                      <w:lang w:val="en-US" w:eastAsia="zh-CN"/>
                    </w:rPr>
                    <w:t>/</w:t>
                  </w:r>
                </w:p>
              </w:tc>
            </w:tr>
            <w:tr w14:paraId="220748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pct"/>
                  <w:tcBorders>
                    <w:tl2br w:val="nil"/>
                    <w:tr2bl w:val="nil"/>
                  </w:tcBorders>
                  <w:vAlign w:val="center"/>
                </w:tcPr>
                <w:p w14:paraId="411A092A">
                  <w:pPr>
                    <w:pStyle w:val="60"/>
                    <w:jc w:val="center"/>
                    <w:rPr>
                      <w:color w:val="auto"/>
                      <w:spacing w:val="-2"/>
                      <w:highlight w:val="none"/>
                    </w:rPr>
                  </w:pPr>
                  <w:r>
                    <w:rPr>
                      <w:color w:val="auto"/>
                      <w:spacing w:val="-2"/>
                      <w:highlight w:val="none"/>
                    </w:rPr>
                    <w:t>资源利用效率</w:t>
                  </w:r>
                </w:p>
              </w:tc>
              <w:tc>
                <w:tcPr>
                  <w:tcW w:w="1868" w:type="pct"/>
                  <w:tcBorders>
                    <w:tl2br w:val="nil"/>
                    <w:tr2bl w:val="nil"/>
                  </w:tcBorders>
                  <w:vAlign w:val="center"/>
                </w:tcPr>
                <w:p w14:paraId="3B984D49">
                  <w:pPr>
                    <w:pStyle w:val="56"/>
                    <w:numPr>
                      <w:ilvl w:val="0"/>
                      <w:numId w:val="0"/>
                    </w:numPr>
                    <w:jc w:val="center"/>
                    <w:rPr>
                      <w:rFonts w:hint="default" w:eastAsia="宋体"/>
                      <w:bCs/>
                      <w:color w:val="auto"/>
                      <w:spacing w:val="-2"/>
                      <w:kern w:val="2"/>
                      <w:sz w:val="21"/>
                      <w:szCs w:val="21"/>
                      <w:highlight w:val="none"/>
                      <w:lang w:val="en-US" w:eastAsia="zh-CN"/>
                    </w:rPr>
                  </w:pPr>
                  <w:r>
                    <w:rPr>
                      <w:rFonts w:hint="default" w:ascii="Times New Roman" w:hAnsi="Times New Roman" w:eastAsia="宋体" w:cs="Times New Roman"/>
                      <w:bCs/>
                      <w:color w:val="auto"/>
                      <w:spacing w:val="-2"/>
                      <w:kern w:val="2"/>
                      <w:sz w:val="21"/>
                      <w:szCs w:val="21"/>
                      <w:highlight w:val="none"/>
                      <w:lang w:val="en-US" w:eastAsia="zh-CN" w:bidi="ar-SA"/>
                    </w:rPr>
                    <w:t>1、</w:t>
                  </w:r>
                  <w:r>
                    <w:rPr>
                      <w:rFonts w:hint="default" w:eastAsia="宋体"/>
                      <w:bCs/>
                      <w:color w:val="auto"/>
                      <w:spacing w:val="-2"/>
                      <w:kern w:val="2"/>
                      <w:sz w:val="21"/>
                      <w:szCs w:val="21"/>
                      <w:highlight w:val="none"/>
                      <w:lang w:val="en-US" w:eastAsia="zh-CN"/>
                    </w:rPr>
                    <w:t>县级以上人民政府水行政主管部门应当合理配置地表水、地下水，从严控制地下水取水总量。</w:t>
                  </w:r>
                </w:p>
                <w:p w14:paraId="24065011">
                  <w:pPr>
                    <w:pStyle w:val="56"/>
                    <w:numPr>
                      <w:ilvl w:val="0"/>
                      <w:numId w:val="0"/>
                    </w:numPr>
                    <w:jc w:val="center"/>
                    <w:rPr>
                      <w:rFonts w:hint="default" w:eastAsia="宋体"/>
                      <w:bCs/>
                      <w:color w:val="auto"/>
                      <w:spacing w:val="-2"/>
                      <w:kern w:val="2"/>
                      <w:sz w:val="21"/>
                      <w:szCs w:val="21"/>
                      <w:highlight w:val="none"/>
                      <w:lang w:val="en-US" w:eastAsia="zh-CN"/>
                    </w:rPr>
                  </w:pPr>
                  <w:r>
                    <w:rPr>
                      <w:rFonts w:hint="default" w:eastAsia="宋体"/>
                      <w:bCs/>
                      <w:color w:val="auto"/>
                      <w:spacing w:val="-2"/>
                      <w:kern w:val="2"/>
                      <w:sz w:val="21"/>
                      <w:szCs w:val="21"/>
                      <w:highlight w:val="none"/>
                      <w:lang w:val="en-US" w:eastAsia="zh-CN"/>
                    </w:rPr>
                    <w:t>2、严守水资源开发利用控制、用水效率控制和水功能区限制纳污“三条红线”，严格实行区域用水总量和强度控制，强化用水定额管理。推进地下水超采综合治理。</w:t>
                  </w:r>
                </w:p>
              </w:tc>
              <w:tc>
                <w:tcPr>
                  <w:tcW w:w="1813" w:type="pct"/>
                  <w:tcBorders>
                    <w:tl2br w:val="nil"/>
                    <w:tr2bl w:val="nil"/>
                  </w:tcBorders>
                  <w:vAlign w:val="center"/>
                </w:tcPr>
                <w:p w14:paraId="719954B8">
                  <w:pPr>
                    <w:pStyle w:val="60"/>
                    <w:jc w:val="both"/>
                    <w:rPr>
                      <w:color w:val="auto"/>
                      <w:spacing w:val="-2"/>
                      <w:highlight w:val="none"/>
                    </w:rPr>
                  </w:pPr>
                  <w:r>
                    <w:rPr>
                      <w:rFonts w:hint="eastAsia"/>
                      <w:color w:val="auto"/>
                      <w:spacing w:val="-2"/>
                      <w:highlight w:val="none"/>
                    </w:rPr>
                    <w:t>项目</w:t>
                  </w:r>
                  <w:r>
                    <w:rPr>
                      <w:rFonts w:hint="eastAsia"/>
                      <w:color w:val="auto"/>
                      <w:spacing w:val="-2"/>
                      <w:highlight w:val="none"/>
                      <w:lang w:val="en-US" w:eastAsia="zh-CN"/>
                    </w:rPr>
                    <w:t>用水从附近村庄拉运，不从项目区直接取地下水、地表水。</w:t>
                  </w:r>
                  <w:r>
                    <w:rPr>
                      <w:rFonts w:hint="eastAsia"/>
                      <w:color w:val="auto"/>
                      <w:spacing w:val="-2"/>
                      <w:highlight w:val="none"/>
                    </w:rPr>
                    <w:t>运营期间会消耗一定量的水资源，</w:t>
                  </w:r>
                  <w:r>
                    <w:rPr>
                      <w:rFonts w:hint="eastAsia"/>
                      <w:color w:val="auto"/>
                      <w:spacing w:val="-2"/>
                      <w:szCs w:val="21"/>
                      <w:highlight w:val="none"/>
                      <w:lang w:val="en-US" w:eastAsia="zh-CN"/>
                    </w:rPr>
                    <w:t>生产</w:t>
                  </w:r>
                  <w:r>
                    <w:rPr>
                      <w:rFonts w:hint="eastAsia"/>
                      <w:color w:val="auto"/>
                      <w:spacing w:val="-2"/>
                      <w:szCs w:val="21"/>
                      <w:highlight w:val="none"/>
                    </w:rPr>
                    <w:t>废水</w:t>
                  </w:r>
                  <w:r>
                    <w:rPr>
                      <w:rFonts w:hint="eastAsia"/>
                      <w:color w:val="auto"/>
                      <w:spacing w:val="-2"/>
                      <w:szCs w:val="21"/>
                      <w:highlight w:val="none"/>
                      <w:lang w:val="en-US" w:eastAsia="zh-CN"/>
                    </w:rPr>
                    <w:t>循环使用不外排</w:t>
                  </w:r>
                  <w:r>
                    <w:rPr>
                      <w:rFonts w:hint="eastAsia"/>
                      <w:color w:val="auto"/>
                      <w:spacing w:val="-2"/>
                      <w:szCs w:val="21"/>
                      <w:highlight w:val="none"/>
                    </w:rPr>
                    <w:t>，生活污水经</w:t>
                  </w:r>
                  <w:r>
                    <w:rPr>
                      <w:rFonts w:hint="eastAsia"/>
                      <w:color w:val="auto"/>
                      <w:spacing w:val="-2"/>
                      <w:szCs w:val="21"/>
                      <w:highlight w:val="none"/>
                      <w:lang w:val="en-US" w:eastAsia="zh-CN"/>
                    </w:rPr>
                    <w:t>一体化污水处理设施</w:t>
                  </w:r>
                  <w:r>
                    <w:rPr>
                      <w:rFonts w:hint="eastAsia"/>
                      <w:color w:val="auto"/>
                      <w:spacing w:val="-2"/>
                      <w:szCs w:val="21"/>
                      <w:highlight w:val="none"/>
                    </w:rPr>
                    <w:t>处理后用于</w:t>
                  </w:r>
                  <w:r>
                    <w:rPr>
                      <w:rFonts w:hint="eastAsia"/>
                      <w:color w:val="auto"/>
                      <w:spacing w:val="-2"/>
                      <w:szCs w:val="21"/>
                      <w:highlight w:val="none"/>
                      <w:lang w:val="en-US" w:eastAsia="zh-CN"/>
                    </w:rPr>
                    <w:t>厂区绿化</w:t>
                  </w:r>
                  <w:r>
                    <w:rPr>
                      <w:rFonts w:hint="eastAsia"/>
                      <w:color w:val="auto"/>
                      <w:spacing w:val="-2"/>
                      <w:szCs w:val="21"/>
                      <w:highlight w:val="none"/>
                    </w:rPr>
                    <w:t>。</w:t>
                  </w:r>
                  <w:r>
                    <w:rPr>
                      <w:rFonts w:hint="eastAsia"/>
                      <w:color w:val="auto"/>
                      <w:spacing w:val="-2"/>
                      <w:highlight w:val="none"/>
                    </w:rPr>
                    <w:t>项目水资源利用量相对环境资源总量</w:t>
                  </w:r>
                  <w:r>
                    <w:rPr>
                      <w:rFonts w:hint="eastAsia"/>
                      <w:color w:val="auto"/>
                      <w:spacing w:val="-2"/>
                      <w:highlight w:val="none"/>
                      <w:lang w:val="en-US" w:eastAsia="zh-CN"/>
                    </w:rPr>
                    <w:t>较</w:t>
                  </w:r>
                  <w:r>
                    <w:rPr>
                      <w:rFonts w:hint="eastAsia"/>
                      <w:color w:val="auto"/>
                      <w:spacing w:val="-2"/>
                      <w:highlight w:val="none"/>
                    </w:rPr>
                    <w:t>少。</w:t>
                  </w:r>
                </w:p>
              </w:tc>
              <w:tc>
                <w:tcPr>
                  <w:tcW w:w="505" w:type="pct"/>
                  <w:tcBorders>
                    <w:tl2br w:val="nil"/>
                    <w:tr2bl w:val="nil"/>
                  </w:tcBorders>
                  <w:vAlign w:val="center"/>
                </w:tcPr>
                <w:p w14:paraId="0FBEA88A">
                  <w:pPr>
                    <w:pStyle w:val="60"/>
                    <w:jc w:val="center"/>
                    <w:rPr>
                      <w:color w:val="auto"/>
                      <w:spacing w:val="-2"/>
                      <w:highlight w:val="none"/>
                    </w:rPr>
                  </w:pPr>
                  <w:r>
                    <w:rPr>
                      <w:color w:val="auto"/>
                      <w:spacing w:val="-2"/>
                      <w:highlight w:val="none"/>
                    </w:rPr>
                    <w:t>符合</w:t>
                  </w:r>
                </w:p>
              </w:tc>
            </w:tr>
          </w:tbl>
          <w:p w14:paraId="1EC2CB83">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ascii="Times New Roman" w:hAnsi="Times New Roman" w:eastAsia="宋体" w:cs="Times New Roman"/>
                <w:b/>
                <w:bCs/>
                <w:color w:val="auto"/>
                <w:kern w:val="0"/>
                <w:sz w:val="24"/>
              </w:rPr>
            </w:pPr>
            <w:r>
              <w:rPr>
                <w:rFonts w:ascii="Times New Roman" w:hAnsi="Times New Roman" w:eastAsia="宋体" w:cs="Times New Roman"/>
                <w:b/>
                <w:bCs/>
                <w:color w:val="auto"/>
                <w:kern w:val="0"/>
                <w:sz w:val="24"/>
                <w:szCs w:val="24"/>
                <w:lang w:val="en-US" w:eastAsia="zh-CN" w:bidi="ar-SA"/>
              </w:rPr>
              <w:t>3.</w:t>
            </w:r>
            <w:r>
              <w:rPr>
                <w:rFonts w:ascii="Times New Roman" w:hAnsi="Times New Roman" w:eastAsia="宋体" w:cs="Times New Roman"/>
                <w:b/>
                <w:bCs/>
                <w:color w:val="auto"/>
                <w:kern w:val="0"/>
                <w:sz w:val="24"/>
              </w:rPr>
              <w:t>与《新疆维吾尔自治区七大片区“三线一单”生态环境分区管控要求》符合性分析</w:t>
            </w:r>
          </w:p>
          <w:p w14:paraId="5C14E6AF">
            <w:pPr>
              <w:pStyle w:val="55"/>
              <w:spacing w:line="360" w:lineRule="auto"/>
              <w:ind w:firstLine="480" w:firstLineChars="200"/>
              <w:jc w:val="both"/>
              <w:rPr>
                <w:rFonts w:hint="eastAsia" w:eastAsia="宋体"/>
                <w:color w:val="auto"/>
                <w:sz w:val="24"/>
                <w:szCs w:val="24"/>
                <w:lang w:eastAsia="zh-CN"/>
              </w:rPr>
            </w:pPr>
            <w:r>
              <w:rPr>
                <w:rFonts w:eastAsia="宋体"/>
                <w:snapToGrid/>
                <w:color w:val="auto"/>
                <w:sz w:val="24"/>
                <w:szCs w:val="24"/>
              </w:rPr>
              <w:t>《新疆维吾尔自治区七大片区“三线一单”生态环境分区管控要求》文件要求：</w:t>
            </w:r>
            <w:r>
              <w:rPr>
                <w:rFonts w:hint="eastAsia" w:eastAsia="宋体"/>
                <w:snapToGrid/>
                <w:color w:val="auto"/>
                <w:sz w:val="24"/>
                <w:szCs w:val="24"/>
                <w:lang w:eastAsia="zh-CN"/>
              </w:rPr>
              <w:t>“</w:t>
            </w:r>
            <w:r>
              <w:rPr>
                <w:rFonts w:eastAsia="宋体"/>
                <w:snapToGrid/>
                <w:color w:val="auto"/>
                <w:sz w:val="24"/>
                <w:szCs w:val="24"/>
              </w:rPr>
              <w:t>除国家规划项目外</w:t>
            </w:r>
            <w:r>
              <w:rPr>
                <w:rFonts w:hint="eastAsia" w:eastAsia="宋体"/>
                <w:snapToGrid/>
                <w:color w:val="auto"/>
                <w:sz w:val="24"/>
                <w:szCs w:val="24"/>
                <w:lang w:eastAsia="zh-CN"/>
              </w:rPr>
              <w:t>，</w:t>
            </w:r>
            <w:r>
              <w:rPr>
                <w:rFonts w:eastAsia="宋体"/>
                <w:snapToGrid/>
                <w:color w:val="auto"/>
                <w:sz w:val="24"/>
                <w:szCs w:val="24"/>
              </w:rPr>
              <w:t>乌鲁木齐市七区一县、昌吉市、阜康市玛纳斯县、呼图壁县、沙湾市建成区及周边敏感区域内不再布局建设煤化工、电解铝、燃煤纯发电机组、金属硅、碳化硅、聚氯乙烯（电石法</w:t>
            </w:r>
            <w:r>
              <w:rPr>
                <w:rFonts w:hint="eastAsia" w:eastAsia="宋体"/>
                <w:snapToGrid/>
                <w:color w:val="auto"/>
                <w:sz w:val="24"/>
                <w:szCs w:val="24"/>
                <w:lang w:eastAsia="zh-CN"/>
              </w:rPr>
              <w:t>）</w:t>
            </w:r>
            <w:r>
              <w:rPr>
                <w:rFonts w:eastAsia="宋体"/>
                <w:snapToGrid/>
                <w:color w:val="auto"/>
                <w:sz w:val="24"/>
                <w:szCs w:val="24"/>
              </w:rPr>
              <w:t>、焦炭</w:t>
            </w:r>
            <w:r>
              <w:rPr>
                <w:rFonts w:hint="eastAsia" w:eastAsia="宋体"/>
                <w:snapToGrid/>
                <w:color w:val="auto"/>
                <w:sz w:val="24"/>
                <w:szCs w:val="24"/>
                <w:lang w:eastAsia="zh-CN"/>
              </w:rPr>
              <w:t>（</w:t>
            </w:r>
            <w:r>
              <w:rPr>
                <w:rFonts w:eastAsia="宋体"/>
                <w:snapToGrid/>
                <w:color w:val="auto"/>
                <w:sz w:val="24"/>
                <w:szCs w:val="24"/>
              </w:rPr>
              <w:t>含半焦）等新增产能项目。具备风光电清洁供暖建设条件的区域原则上不新批热电联产项目。坚持属地负责与区域大气污染联防联控相结合</w:t>
            </w:r>
            <w:r>
              <w:rPr>
                <w:rFonts w:hint="eastAsia" w:eastAsia="宋体"/>
                <w:snapToGrid/>
                <w:color w:val="auto"/>
                <w:sz w:val="24"/>
                <w:szCs w:val="24"/>
                <w:lang w:eastAsia="zh-CN"/>
              </w:rPr>
              <w:t>，</w:t>
            </w:r>
            <w:r>
              <w:rPr>
                <w:rFonts w:eastAsia="宋体"/>
                <w:snapToGrid/>
                <w:color w:val="auto"/>
                <w:sz w:val="24"/>
                <w:szCs w:val="24"/>
              </w:rPr>
              <w:t>以明显降低细颗粒物浓度为重点</w:t>
            </w:r>
            <w:r>
              <w:rPr>
                <w:rFonts w:hint="eastAsia" w:eastAsia="宋体"/>
                <w:snapToGrid/>
                <w:color w:val="auto"/>
                <w:sz w:val="24"/>
                <w:szCs w:val="24"/>
                <w:lang w:eastAsia="zh-CN"/>
              </w:rPr>
              <w:t>，</w:t>
            </w:r>
            <w:r>
              <w:rPr>
                <w:rFonts w:eastAsia="宋体"/>
                <w:snapToGrid/>
                <w:color w:val="auto"/>
                <w:sz w:val="24"/>
                <w:szCs w:val="24"/>
              </w:rPr>
              <w:t>协同推进</w:t>
            </w:r>
            <w:r>
              <w:rPr>
                <w:rFonts w:hint="eastAsia" w:eastAsia="宋体"/>
                <w:snapToGrid/>
                <w:color w:val="auto"/>
                <w:sz w:val="24"/>
                <w:szCs w:val="24"/>
                <w:lang w:eastAsia="zh-CN"/>
              </w:rPr>
              <w:t>“</w:t>
            </w:r>
            <w:r>
              <w:rPr>
                <w:rFonts w:eastAsia="宋体"/>
                <w:snapToGrid/>
                <w:color w:val="auto"/>
                <w:sz w:val="24"/>
                <w:szCs w:val="24"/>
              </w:rPr>
              <w:t>乌-昌-石</w:t>
            </w:r>
            <w:r>
              <w:rPr>
                <w:rFonts w:hint="eastAsia" w:eastAsia="宋体"/>
                <w:snapToGrid/>
                <w:color w:val="auto"/>
                <w:sz w:val="24"/>
                <w:szCs w:val="24"/>
                <w:lang w:eastAsia="zh-CN"/>
              </w:rPr>
              <w:t>”</w:t>
            </w:r>
            <w:r>
              <w:rPr>
                <w:rFonts w:eastAsia="宋体"/>
                <w:snapToGrid/>
                <w:color w:val="auto"/>
                <w:sz w:val="24"/>
                <w:szCs w:val="24"/>
              </w:rPr>
              <w:t>同防同治区域大气环境治理。所有新建、改建、扩建工业项目执行最严格的大气污染物排放标准</w:t>
            </w:r>
            <w:r>
              <w:rPr>
                <w:rFonts w:hint="eastAsia" w:eastAsia="宋体"/>
                <w:snapToGrid/>
                <w:color w:val="auto"/>
                <w:sz w:val="24"/>
                <w:szCs w:val="24"/>
                <w:lang w:eastAsia="zh-CN"/>
              </w:rPr>
              <w:t>，</w:t>
            </w:r>
            <w:r>
              <w:rPr>
                <w:rFonts w:eastAsia="宋体"/>
                <w:snapToGrid/>
                <w:color w:val="auto"/>
                <w:sz w:val="24"/>
                <w:szCs w:val="24"/>
              </w:rPr>
              <w:t>强化氮氧化物深度治理</w:t>
            </w:r>
            <w:r>
              <w:rPr>
                <w:rFonts w:hint="eastAsia" w:eastAsia="宋体"/>
                <w:snapToGrid/>
                <w:color w:val="auto"/>
                <w:sz w:val="24"/>
                <w:szCs w:val="24"/>
                <w:lang w:eastAsia="zh-CN"/>
              </w:rPr>
              <w:t>，</w:t>
            </w:r>
            <w:r>
              <w:rPr>
                <w:rFonts w:eastAsia="宋体"/>
                <w:snapToGrid/>
                <w:color w:val="auto"/>
                <w:sz w:val="24"/>
                <w:szCs w:val="24"/>
              </w:rPr>
              <w:t>确保区域环境空气质量持续改善。强化挥发性有机物防治措施</w:t>
            </w:r>
            <w:r>
              <w:rPr>
                <w:rFonts w:hint="eastAsia" w:eastAsia="宋体"/>
                <w:snapToGrid/>
                <w:color w:val="auto"/>
                <w:sz w:val="24"/>
                <w:szCs w:val="24"/>
                <w:lang w:eastAsia="zh-CN"/>
              </w:rPr>
              <w:t>”</w:t>
            </w:r>
            <w:r>
              <w:rPr>
                <w:rFonts w:eastAsia="宋体"/>
                <w:snapToGrid/>
                <w:color w:val="auto"/>
                <w:sz w:val="24"/>
                <w:szCs w:val="24"/>
              </w:rPr>
              <w:t>。</w:t>
            </w:r>
          </w:p>
          <w:p w14:paraId="29B98549">
            <w:pPr>
              <w:autoSpaceDE w:val="0"/>
              <w:autoSpaceDN w:val="0"/>
              <w:adjustRightInd w:val="0"/>
              <w:snapToGrid w:val="0"/>
              <w:spacing w:line="360" w:lineRule="auto"/>
              <w:ind w:firstLine="480" w:firstLineChars="200"/>
              <w:rPr>
                <w:color w:val="auto"/>
                <w:kern w:val="0"/>
                <w:sz w:val="24"/>
              </w:rPr>
            </w:pPr>
            <w:r>
              <w:rPr>
                <w:color w:val="auto"/>
                <w:kern w:val="0"/>
                <w:sz w:val="24"/>
              </w:rPr>
              <w:t>本项目属于水泥制品制造业，不属于煤化工、电解铝、燃煤纯发电机组、金属硅、碳化硅、聚氯乙烯（电石法</w:t>
            </w:r>
            <w:r>
              <w:rPr>
                <w:rFonts w:hint="eastAsia"/>
                <w:color w:val="auto"/>
                <w:kern w:val="0"/>
                <w:sz w:val="24"/>
                <w:lang w:eastAsia="zh-CN"/>
              </w:rPr>
              <w:t>）</w:t>
            </w:r>
            <w:r>
              <w:rPr>
                <w:color w:val="auto"/>
                <w:kern w:val="0"/>
                <w:sz w:val="24"/>
              </w:rPr>
              <w:t>、焦炭</w:t>
            </w:r>
            <w:r>
              <w:rPr>
                <w:rFonts w:hint="eastAsia"/>
                <w:color w:val="auto"/>
                <w:kern w:val="0"/>
                <w:sz w:val="24"/>
                <w:lang w:eastAsia="zh-CN"/>
              </w:rPr>
              <w:t>（</w:t>
            </w:r>
            <w:r>
              <w:rPr>
                <w:color w:val="auto"/>
                <w:kern w:val="0"/>
                <w:sz w:val="24"/>
              </w:rPr>
              <w:t>含半焦）等项目，本项目产生的废气主要污染因子为颗粒物，搅拌设备位于密闭搅拌楼中，</w:t>
            </w:r>
            <w:r>
              <w:rPr>
                <w:color w:val="auto"/>
                <w:kern w:val="0"/>
                <w:sz w:val="24"/>
                <w:highlight w:val="none"/>
              </w:rPr>
              <w:t>搅拌机自带脉冲布袋除尘器，形成全封闭的除尘系统进行过滤除尘；</w:t>
            </w:r>
            <w:r>
              <w:rPr>
                <w:rFonts w:hint="eastAsia"/>
                <w:color w:val="auto"/>
                <w:kern w:val="0"/>
                <w:sz w:val="24"/>
                <w:highlight w:val="none"/>
                <w:lang w:val="en-US" w:eastAsia="zh-CN"/>
              </w:rPr>
              <w:t>每个</w:t>
            </w:r>
            <w:r>
              <w:rPr>
                <w:color w:val="auto"/>
                <w:kern w:val="0"/>
                <w:sz w:val="24"/>
                <w:highlight w:val="none"/>
              </w:rPr>
              <w:t>筒仓配套安装脉冲布袋除尘器</w:t>
            </w:r>
            <w:r>
              <w:rPr>
                <w:rFonts w:hint="eastAsia"/>
                <w:color w:val="auto"/>
                <w:kern w:val="0"/>
                <w:sz w:val="24"/>
                <w:highlight w:val="none"/>
                <w:lang w:eastAsia="zh-CN"/>
              </w:rPr>
              <w:t>，</w:t>
            </w:r>
            <w:r>
              <w:rPr>
                <w:color w:val="auto"/>
                <w:kern w:val="0"/>
                <w:sz w:val="24"/>
              </w:rPr>
              <w:t>项目产生的废气污染物执行《水泥工业大气污染物排放标准》（GB4915-2013）</w:t>
            </w:r>
            <w:r>
              <w:rPr>
                <w:rFonts w:hint="eastAsia"/>
                <w:color w:val="auto"/>
                <w:kern w:val="0"/>
                <w:sz w:val="24"/>
                <w:lang w:val="en-US" w:eastAsia="zh-CN"/>
              </w:rPr>
              <w:t>中的相关</w:t>
            </w:r>
            <w:r>
              <w:rPr>
                <w:color w:val="auto"/>
                <w:kern w:val="0"/>
                <w:sz w:val="24"/>
              </w:rPr>
              <w:t>排放限值要求</w:t>
            </w:r>
            <w:r>
              <w:rPr>
                <w:rFonts w:hint="eastAsia"/>
                <w:color w:val="auto"/>
                <w:kern w:val="0"/>
                <w:sz w:val="24"/>
                <w:lang w:eastAsia="zh-CN"/>
              </w:rPr>
              <w:t>。</w:t>
            </w:r>
            <w:r>
              <w:rPr>
                <w:color w:val="auto"/>
                <w:kern w:val="0"/>
                <w:sz w:val="24"/>
              </w:rPr>
              <w:t>因此，</w:t>
            </w:r>
            <w:r>
              <w:rPr>
                <w:rFonts w:hint="eastAsia"/>
                <w:color w:val="auto"/>
                <w:kern w:val="0"/>
                <w:sz w:val="24"/>
                <w:lang w:val="en-US" w:eastAsia="zh-CN"/>
              </w:rPr>
              <w:t>项目建设</w:t>
            </w:r>
            <w:r>
              <w:rPr>
                <w:color w:val="auto"/>
                <w:kern w:val="0"/>
                <w:sz w:val="24"/>
              </w:rPr>
              <w:t>符合《新疆维吾尔自治区七大片区“三线一单”生态环境分区管控要求》相关要求。</w:t>
            </w:r>
          </w:p>
          <w:p w14:paraId="68C202AD">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b/>
                <w:bCs/>
                <w:color w:val="auto"/>
                <w:kern w:val="0"/>
                <w:sz w:val="24"/>
              </w:rPr>
            </w:pPr>
            <w:r>
              <w:rPr>
                <w:rFonts w:ascii="Times New Roman" w:hAnsi="Times New Roman" w:eastAsia="宋体" w:cs="Times New Roman"/>
                <w:b/>
                <w:bCs/>
                <w:color w:val="auto"/>
                <w:kern w:val="0"/>
                <w:sz w:val="24"/>
                <w:szCs w:val="24"/>
                <w:lang w:val="en-US" w:eastAsia="zh-CN" w:bidi="ar-SA"/>
              </w:rPr>
              <w:t>4.</w:t>
            </w:r>
            <w:r>
              <w:rPr>
                <w:b/>
                <w:bCs/>
                <w:color w:val="auto"/>
                <w:kern w:val="0"/>
                <w:sz w:val="24"/>
              </w:rPr>
              <w:t>与《新疆生态环境保护</w:t>
            </w:r>
            <w:r>
              <w:rPr>
                <w:rFonts w:hint="eastAsia"/>
                <w:b/>
                <w:bCs/>
                <w:color w:val="auto"/>
                <w:kern w:val="0"/>
                <w:sz w:val="24"/>
                <w:lang w:eastAsia="zh-CN"/>
              </w:rPr>
              <w:t>“</w:t>
            </w:r>
            <w:r>
              <w:rPr>
                <w:b/>
                <w:bCs/>
                <w:color w:val="auto"/>
                <w:kern w:val="0"/>
                <w:sz w:val="24"/>
              </w:rPr>
              <w:t>十四五</w:t>
            </w:r>
            <w:r>
              <w:rPr>
                <w:rFonts w:hint="eastAsia"/>
                <w:b/>
                <w:bCs/>
                <w:color w:val="auto"/>
                <w:kern w:val="0"/>
                <w:sz w:val="24"/>
                <w:lang w:eastAsia="zh-CN"/>
              </w:rPr>
              <w:t>”</w:t>
            </w:r>
            <w:r>
              <w:rPr>
                <w:b/>
                <w:bCs/>
                <w:color w:val="auto"/>
                <w:kern w:val="0"/>
                <w:sz w:val="24"/>
              </w:rPr>
              <w:t>规划》的符合性分析</w:t>
            </w:r>
          </w:p>
          <w:p w14:paraId="1BB8BE4D">
            <w:pPr>
              <w:autoSpaceDE w:val="0"/>
              <w:autoSpaceDN w:val="0"/>
              <w:adjustRightInd w:val="0"/>
              <w:snapToGrid w:val="0"/>
              <w:spacing w:line="360" w:lineRule="auto"/>
              <w:ind w:firstLine="480" w:firstLineChars="200"/>
              <w:rPr>
                <w:rFonts w:hint="eastAsia" w:eastAsia="宋体"/>
                <w:color w:val="auto"/>
                <w:kern w:val="0"/>
                <w:sz w:val="24"/>
                <w:lang w:eastAsia="zh-CN"/>
              </w:rPr>
            </w:pPr>
            <w:r>
              <w:rPr>
                <w:color w:val="auto"/>
                <w:kern w:val="0"/>
                <w:sz w:val="24"/>
              </w:rPr>
              <w:t>《新疆生态环境保护</w:t>
            </w:r>
            <w:r>
              <w:rPr>
                <w:rFonts w:hint="eastAsia"/>
                <w:color w:val="auto"/>
                <w:kern w:val="0"/>
                <w:sz w:val="24"/>
                <w:lang w:eastAsia="zh-CN"/>
              </w:rPr>
              <w:t>“</w:t>
            </w:r>
            <w:r>
              <w:rPr>
                <w:color w:val="auto"/>
                <w:kern w:val="0"/>
                <w:sz w:val="24"/>
              </w:rPr>
              <w:t>十四五</w:t>
            </w:r>
            <w:r>
              <w:rPr>
                <w:rFonts w:hint="eastAsia"/>
                <w:color w:val="auto"/>
                <w:kern w:val="0"/>
                <w:sz w:val="24"/>
                <w:lang w:eastAsia="zh-CN"/>
              </w:rPr>
              <w:t>”</w:t>
            </w:r>
            <w:r>
              <w:rPr>
                <w:color w:val="auto"/>
                <w:kern w:val="0"/>
                <w:sz w:val="24"/>
              </w:rPr>
              <w:t>规划》指出：</w:t>
            </w:r>
            <w:r>
              <w:rPr>
                <w:rFonts w:hint="eastAsia"/>
                <w:color w:val="auto"/>
                <w:kern w:val="0"/>
                <w:sz w:val="24"/>
                <w:lang w:eastAsia="zh-CN"/>
              </w:rPr>
              <w:t>“</w:t>
            </w:r>
            <w:r>
              <w:rPr>
                <w:color w:val="auto"/>
                <w:kern w:val="0"/>
                <w:sz w:val="24"/>
              </w:rPr>
              <w:t>实施最严格的生态保护制度。坚决遏制</w:t>
            </w:r>
            <w:r>
              <w:rPr>
                <w:rFonts w:hint="eastAsia"/>
                <w:color w:val="auto"/>
                <w:kern w:val="0"/>
                <w:sz w:val="24"/>
                <w:lang w:eastAsia="zh-CN"/>
              </w:rPr>
              <w:t>“</w:t>
            </w:r>
            <w:r>
              <w:rPr>
                <w:color w:val="auto"/>
                <w:kern w:val="0"/>
                <w:sz w:val="24"/>
              </w:rPr>
              <w:t>两高</w:t>
            </w:r>
            <w:r>
              <w:rPr>
                <w:rFonts w:hint="eastAsia"/>
                <w:color w:val="auto"/>
                <w:kern w:val="0"/>
                <w:sz w:val="24"/>
                <w:lang w:eastAsia="zh-CN"/>
              </w:rPr>
              <w:t>”</w:t>
            </w:r>
            <w:r>
              <w:rPr>
                <w:color w:val="auto"/>
                <w:kern w:val="0"/>
                <w:sz w:val="24"/>
              </w:rPr>
              <w:t>项目盲目发展，严格执行能源、矿产资源开发自治区人民政府</w:t>
            </w:r>
            <w:r>
              <w:rPr>
                <w:rFonts w:hint="eastAsia"/>
                <w:color w:val="auto"/>
                <w:kern w:val="0"/>
                <w:sz w:val="24"/>
                <w:lang w:eastAsia="zh-CN"/>
              </w:rPr>
              <w:t>“</w:t>
            </w:r>
            <w:r>
              <w:rPr>
                <w:color w:val="auto"/>
                <w:kern w:val="0"/>
                <w:sz w:val="24"/>
              </w:rPr>
              <w:t>一支笔</w:t>
            </w:r>
            <w:r>
              <w:rPr>
                <w:rFonts w:hint="eastAsia"/>
                <w:color w:val="auto"/>
                <w:kern w:val="0"/>
                <w:sz w:val="24"/>
                <w:lang w:eastAsia="zh-CN"/>
              </w:rPr>
              <w:t>”</w:t>
            </w:r>
            <w:r>
              <w:rPr>
                <w:color w:val="auto"/>
                <w:kern w:val="0"/>
                <w:sz w:val="24"/>
              </w:rPr>
              <w:t>审批制度、环境保护</w:t>
            </w:r>
            <w:r>
              <w:rPr>
                <w:rFonts w:hint="eastAsia"/>
                <w:color w:val="auto"/>
                <w:kern w:val="0"/>
                <w:sz w:val="24"/>
                <w:lang w:eastAsia="zh-CN"/>
              </w:rPr>
              <w:t>“</w:t>
            </w:r>
            <w:r>
              <w:rPr>
                <w:color w:val="auto"/>
                <w:kern w:val="0"/>
                <w:sz w:val="24"/>
              </w:rPr>
              <w:t>一票否决</w:t>
            </w:r>
            <w:r>
              <w:rPr>
                <w:rFonts w:hint="eastAsia"/>
                <w:color w:val="auto"/>
                <w:kern w:val="0"/>
                <w:sz w:val="24"/>
                <w:lang w:eastAsia="zh-CN"/>
              </w:rPr>
              <w:t>”</w:t>
            </w:r>
            <w:r>
              <w:rPr>
                <w:color w:val="auto"/>
                <w:kern w:val="0"/>
                <w:sz w:val="24"/>
              </w:rPr>
              <w:t>制度，落实“三线一单”生态环境分区管控要求，守住生态保护红线、环境质量底线和资源利用上线，实施生态环境准入清单管控</w:t>
            </w:r>
            <w:r>
              <w:rPr>
                <w:rFonts w:hint="eastAsia"/>
                <w:color w:val="auto"/>
                <w:kern w:val="0"/>
                <w:sz w:val="24"/>
                <w:lang w:eastAsia="zh-CN"/>
              </w:rPr>
              <w:t>”</w:t>
            </w:r>
            <w:r>
              <w:rPr>
                <w:color w:val="auto"/>
                <w:kern w:val="0"/>
                <w:sz w:val="24"/>
              </w:rPr>
              <w:t>。</w:t>
            </w:r>
          </w:p>
          <w:p w14:paraId="37A2806D">
            <w:pPr>
              <w:autoSpaceDE w:val="0"/>
              <w:autoSpaceDN w:val="0"/>
              <w:adjustRightInd w:val="0"/>
              <w:snapToGrid w:val="0"/>
              <w:spacing w:line="360" w:lineRule="auto"/>
              <w:ind w:firstLine="480" w:firstLineChars="200"/>
              <w:rPr>
                <w:rFonts w:hint="eastAsia" w:eastAsia="宋体"/>
                <w:color w:val="auto"/>
                <w:kern w:val="0"/>
                <w:sz w:val="24"/>
                <w:lang w:eastAsia="zh-CN"/>
              </w:rPr>
            </w:pPr>
            <w:r>
              <w:rPr>
                <w:rFonts w:hint="eastAsia"/>
                <w:color w:val="auto"/>
                <w:kern w:val="0"/>
                <w:sz w:val="24"/>
                <w:lang w:eastAsia="zh-CN"/>
              </w:rPr>
              <w:t>“</w:t>
            </w:r>
            <w:r>
              <w:rPr>
                <w:color w:val="auto"/>
                <w:kern w:val="0"/>
                <w:sz w:val="24"/>
              </w:rPr>
              <w:t>强化区域大气污染联防联控，合理确定产业布局，推动区域内统一产业准入和排放标准。实施钢铁、水泥、焦化等行业季节性生产调控措施，推进散煤整治、挥发性有机污染物</w:t>
            </w:r>
            <w:r>
              <w:rPr>
                <w:rFonts w:hint="eastAsia"/>
                <w:color w:val="auto"/>
                <w:kern w:val="0"/>
                <w:sz w:val="24"/>
                <w:lang w:eastAsia="zh-CN"/>
              </w:rPr>
              <w:t>（</w:t>
            </w:r>
            <w:r>
              <w:rPr>
                <w:color w:val="auto"/>
                <w:kern w:val="0"/>
                <w:sz w:val="24"/>
              </w:rPr>
              <w:t>以下简称</w:t>
            </w:r>
            <w:r>
              <w:rPr>
                <w:rFonts w:hint="eastAsia"/>
                <w:color w:val="auto"/>
                <w:kern w:val="0"/>
                <w:sz w:val="24"/>
                <w:lang w:eastAsia="zh-CN"/>
              </w:rPr>
              <w:t>”</w:t>
            </w:r>
            <w:r>
              <w:rPr>
                <w:color w:val="auto"/>
                <w:kern w:val="0"/>
                <w:sz w:val="24"/>
              </w:rPr>
              <w:t>VOCs</w:t>
            </w:r>
            <w:r>
              <w:rPr>
                <w:rFonts w:hint="eastAsia"/>
                <w:color w:val="auto"/>
                <w:kern w:val="0"/>
                <w:sz w:val="24"/>
                <w:lang w:eastAsia="zh-CN"/>
              </w:rPr>
              <w:t>“）</w:t>
            </w:r>
            <w:r>
              <w:rPr>
                <w:color w:val="auto"/>
                <w:kern w:val="0"/>
                <w:sz w:val="24"/>
              </w:rPr>
              <w:t>综合治理、钢铁、水泥、焦化和燃煤工业锅炉行业超低排放改造、燃气锅炉低氮燃烧改造、工业园区内轨道运输</w:t>
            </w:r>
            <w:r>
              <w:rPr>
                <w:rFonts w:hint="eastAsia"/>
                <w:color w:val="auto"/>
                <w:kern w:val="0"/>
                <w:sz w:val="24"/>
                <w:lang w:eastAsia="zh-CN"/>
              </w:rPr>
              <w:t>（</w:t>
            </w:r>
            <w:r>
              <w:rPr>
                <w:color w:val="auto"/>
                <w:kern w:val="0"/>
                <w:sz w:val="24"/>
              </w:rPr>
              <w:t>大宗货物“公转铁”</w:t>
            </w:r>
            <w:r>
              <w:rPr>
                <w:rFonts w:hint="eastAsia"/>
                <w:color w:val="auto"/>
                <w:kern w:val="0"/>
                <w:sz w:val="24"/>
                <w:lang w:eastAsia="zh-CN"/>
              </w:rPr>
              <w:t>）</w:t>
            </w:r>
            <w:r>
              <w:rPr>
                <w:color w:val="auto"/>
                <w:kern w:val="0"/>
                <w:sz w:val="24"/>
              </w:rPr>
              <w:t>、柴油货车治理、锅炉炉窑综合治理等工程项目。全面推行绿色施工，持续推动城市建成区重污染企业搬迁或关闭退出</w:t>
            </w:r>
            <w:r>
              <w:rPr>
                <w:rFonts w:hint="eastAsia"/>
                <w:color w:val="auto"/>
                <w:kern w:val="0"/>
                <w:sz w:val="24"/>
                <w:lang w:eastAsia="zh-CN"/>
              </w:rPr>
              <w:t>”</w:t>
            </w:r>
            <w:r>
              <w:rPr>
                <w:color w:val="auto"/>
                <w:kern w:val="0"/>
                <w:sz w:val="24"/>
              </w:rPr>
              <w:t>。</w:t>
            </w:r>
          </w:p>
          <w:p w14:paraId="72C7BC46">
            <w:pPr>
              <w:autoSpaceDE w:val="0"/>
              <w:autoSpaceDN w:val="0"/>
              <w:adjustRightInd w:val="0"/>
              <w:snapToGrid w:val="0"/>
              <w:spacing w:line="360" w:lineRule="auto"/>
              <w:ind w:firstLine="480" w:firstLineChars="200"/>
              <w:rPr>
                <w:rFonts w:hint="eastAsia" w:eastAsia="宋体"/>
                <w:color w:val="auto"/>
                <w:kern w:val="0"/>
                <w:sz w:val="24"/>
                <w:lang w:eastAsia="zh-CN"/>
              </w:rPr>
            </w:pPr>
            <w:r>
              <w:rPr>
                <w:rFonts w:hint="eastAsia"/>
                <w:color w:val="auto"/>
                <w:kern w:val="0"/>
                <w:sz w:val="24"/>
                <w:lang w:eastAsia="zh-CN"/>
              </w:rPr>
              <w:t>“</w:t>
            </w:r>
            <w:r>
              <w:rPr>
                <w:color w:val="auto"/>
                <w:kern w:val="0"/>
                <w:sz w:val="24"/>
              </w:rPr>
              <w:t>推进扬尘精细化管控。全面推行绿色施工，城市建成区建筑工地扬尘防控标准化管理全覆盖；加强城市道路清扫保洁和洒水抑尘，渣土车实施硬覆盖；推进低尘机械化作业水平，控制道路扬尘污染；强化非道路移动源综合治理；充分运用新型、高效的防尘、降尘、除尘技术，加强矿山粉尘治理</w:t>
            </w:r>
            <w:r>
              <w:rPr>
                <w:rFonts w:hint="eastAsia"/>
                <w:color w:val="auto"/>
                <w:kern w:val="0"/>
                <w:sz w:val="24"/>
                <w:lang w:eastAsia="zh-CN"/>
              </w:rPr>
              <w:t>”</w:t>
            </w:r>
            <w:r>
              <w:rPr>
                <w:color w:val="auto"/>
                <w:kern w:val="0"/>
                <w:sz w:val="24"/>
              </w:rPr>
              <w:t>。</w:t>
            </w:r>
          </w:p>
          <w:p w14:paraId="4A3138EB">
            <w:pPr>
              <w:autoSpaceDE w:val="0"/>
              <w:autoSpaceDN w:val="0"/>
              <w:adjustRightInd w:val="0"/>
              <w:snapToGrid w:val="0"/>
              <w:spacing w:line="360" w:lineRule="auto"/>
              <w:ind w:firstLine="480" w:firstLineChars="200"/>
              <w:rPr>
                <w:color w:val="auto"/>
                <w:kern w:val="0"/>
                <w:sz w:val="24"/>
              </w:rPr>
            </w:pPr>
            <w:r>
              <w:rPr>
                <w:color w:val="auto"/>
                <w:kern w:val="0"/>
                <w:sz w:val="24"/>
              </w:rPr>
              <w:t>本项目属于水泥制品制造业，不属于</w:t>
            </w:r>
            <w:r>
              <w:rPr>
                <w:rFonts w:hint="eastAsia"/>
                <w:color w:val="auto"/>
                <w:kern w:val="0"/>
                <w:sz w:val="24"/>
                <w:lang w:eastAsia="zh-CN"/>
              </w:rPr>
              <w:t>“</w:t>
            </w:r>
            <w:r>
              <w:rPr>
                <w:color w:val="auto"/>
                <w:kern w:val="0"/>
                <w:sz w:val="24"/>
              </w:rPr>
              <w:t>两高</w:t>
            </w:r>
            <w:r>
              <w:rPr>
                <w:rFonts w:hint="eastAsia"/>
                <w:color w:val="auto"/>
                <w:kern w:val="0"/>
                <w:sz w:val="24"/>
                <w:lang w:eastAsia="zh-CN"/>
              </w:rPr>
              <w:t>”</w:t>
            </w:r>
            <w:r>
              <w:rPr>
                <w:color w:val="auto"/>
                <w:kern w:val="0"/>
                <w:sz w:val="24"/>
              </w:rPr>
              <w:t>项目。本项目位于木垒县</w:t>
            </w:r>
            <w:r>
              <w:rPr>
                <w:rFonts w:hint="eastAsia"/>
                <w:color w:val="auto"/>
                <w:kern w:val="0"/>
                <w:sz w:val="24"/>
                <w:lang w:eastAsia="zh-CN"/>
              </w:rPr>
              <w:t>照壁山乡霍斯阔拉村</w:t>
            </w:r>
            <w:r>
              <w:rPr>
                <w:color w:val="auto"/>
                <w:kern w:val="0"/>
                <w:sz w:val="24"/>
              </w:rPr>
              <w:t>，不在新疆及昌吉州生态保护红线范围内，已落实“三线一单”生态环境分区管控要求。</w:t>
            </w:r>
          </w:p>
          <w:p w14:paraId="6FC297C0">
            <w:pPr>
              <w:autoSpaceDE w:val="0"/>
              <w:autoSpaceDN w:val="0"/>
              <w:adjustRightInd w:val="0"/>
              <w:snapToGrid w:val="0"/>
              <w:spacing w:line="360" w:lineRule="auto"/>
              <w:ind w:firstLine="480" w:firstLineChars="200"/>
              <w:rPr>
                <w:color w:val="auto"/>
                <w:kern w:val="0"/>
                <w:sz w:val="24"/>
              </w:rPr>
            </w:pPr>
            <w:r>
              <w:rPr>
                <w:color w:val="auto"/>
                <w:kern w:val="0"/>
                <w:sz w:val="24"/>
              </w:rPr>
              <w:t>项目产生的废气污染物执行《水泥工业大气污染物排放标准》（GB4915-2013）</w:t>
            </w:r>
            <w:r>
              <w:rPr>
                <w:rFonts w:hint="eastAsia"/>
                <w:color w:val="auto"/>
                <w:kern w:val="0"/>
                <w:sz w:val="24"/>
                <w:lang w:val="en-US" w:eastAsia="zh-CN"/>
              </w:rPr>
              <w:t>中的相关</w:t>
            </w:r>
            <w:r>
              <w:rPr>
                <w:color w:val="auto"/>
                <w:kern w:val="0"/>
                <w:sz w:val="24"/>
              </w:rPr>
              <w:t>排放限值要求，</w:t>
            </w:r>
            <w:r>
              <w:rPr>
                <w:rFonts w:hint="eastAsia"/>
                <w:color w:val="auto"/>
                <w:kern w:val="0"/>
                <w:sz w:val="24"/>
                <w:lang w:val="en-US" w:eastAsia="zh-CN"/>
              </w:rPr>
              <w:t>搅拌工序产生的颗粒物采用设备自带的脉冲布袋除尘器处理后达标排放；每个水泥和粉煤灰筒仓呼吸口设有脉冲布袋除尘器，筒仓颗粒物经脉冲布袋除尘器处理后以无组织形式排放。项目砂石料堆场为半封闭式，对砂石料采用覆盖、洒水等降尘措施；运输车辆封闭遮盖，粉料采用密闭罐车运输，对于运输车辆产生的扬尘采取洒水、定时清扫等措施；本项目严格控制生产过程中产生的颗粒物，经环保措施处理后均能达标排放，</w:t>
            </w:r>
            <w:r>
              <w:rPr>
                <w:color w:val="auto"/>
                <w:kern w:val="0"/>
                <w:sz w:val="24"/>
              </w:rPr>
              <w:t>对周围环境影响较小。项目施工期全面落实</w:t>
            </w:r>
            <w:r>
              <w:rPr>
                <w:rFonts w:hint="eastAsia"/>
                <w:color w:val="auto"/>
                <w:kern w:val="0"/>
                <w:sz w:val="24"/>
                <w:lang w:eastAsia="zh-CN"/>
              </w:rPr>
              <w:t>“</w:t>
            </w:r>
            <w:r>
              <w:rPr>
                <w:color w:val="auto"/>
                <w:kern w:val="0"/>
                <w:sz w:val="24"/>
              </w:rPr>
              <w:t>六个百分之百</w:t>
            </w:r>
            <w:r>
              <w:rPr>
                <w:rFonts w:hint="eastAsia"/>
                <w:color w:val="auto"/>
                <w:kern w:val="0"/>
                <w:sz w:val="24"/>
                <w:lang w:eastAsia="zh-CN"/>
              </w:rPr>
              <w:t>”</w:t>
            </w:r>
            <w:r>
              <w:rPr>
                <w:color w:val="auto"/>
                <w:kern w:val="0"/>
                <w:sz w:val="24"/>
              </w:rPr>
              <w:t>，加强道路扬尘整治，提升综合防控水平。因此，</w:t>
            </w:r>
            <w:r>
              <w:rPr>
                <w:rFonts w:hint="eastAsia"/>
                <w:color w:val="auto"/>
                <w:kern w:val="0"/>
                <w:sz w:val="24"/>
                <w:lang w:val="en-US" w:eastAsia="zh-CN"/>
              </w:rPr>
              <w:t>本项目的建设</w:t>
            </w:r>
            <w:r>
              <w:rPr>
                <w:color w:val="auto"/>
                <w:kern w:val="0"/>
                <w:sz w:val="24"/>
              </w:rPr>
              <w:t>符合《新疆生态环境保护</w:t>
            </w:r>
            <w:r>
              <w:rPr>
                <w:rFonts w:hint="eastAsia"/>
                <w:color w:val="auto"/>
                <w:kern w:val="0"/>
                <w:sz w:val="24"/>
                <w:lang w:eastAsia="zh-CN"/>
              </w:rPr>
              <w:t>“</w:t>
            </w:r>
            <w:r>
              <w:rPr>
                <w:color w:val="auto"/>
                <w:kern w:val="0"/>
                <w:sz w:val="24"/>
              </w:rPr>
              <w:t>十四五</w:t>
            </w:r>
            <w:r>
              <w:rPr>
                <w:rFonts w:hint="eastAsia"/>
                <w:color w:val="auto"/>
                <w:kern w:val="0"/>
                <w:sz w:val="24"/>
                <w:lang w:eastAsia="zh-CN"/>
              </w:rPr>
              <w:t>”</w:t>
            </w:r>
            <w:r>
              <w:rPr>
                <w:color w:val="auto"/>
                <w:kern w:val="0"/>
                <w:sz w:val="24"/>
              </w:rPr>
              <w:t>规划》。</w:t>
            </w:r>
          </w:p>
          <w:p w14:paraId="547CE577">
            <w:pPr>
              <w:pStyle w:val="26"/>
              <w:numPr>
                <w:ilvl w:val="0"/>
                <w:numId w:val="0"/>
              </w:numPr>
              <w:spacing w:after="0" w:line="360" w:lineRule="auto"/>
              <w:ind w:left="0" w:leftChars="0" w:firstLine="0" w:firstLineChars="0"/>
              <w:rPr>
                <w:b/>
                <w:bCs/>
                <w:color w:val="auto"/>
                <w:szCs w:val="24"/>
                <w:highlight w:val="none"/>
              </w:rPr>
            </w:pPr>
            <w:r>
              <w:rPr>
                <w:rFonts w:ascii="Times New Roman" w:hAnsi="Times New Roman" w:eastAsia="宋体" w:cs="Times New Roman"/>
                <w:b/>
                <w:bCs/>
                <w:color w:val="auto"/>
                <w:kern w:val="0"/>
                <w:sz w:val="24"/>
                <w:szCs w:val="24"/>
                <w:lang w:val="en-US" w:eastAsia="zh-CN" w:bidi="ar-SA"/>
              </w:rPr>
              <w:t>5.</w:t>
            </w:r>
            <w:r>
              <w:rPr>
                <w:rFonts w:hint="eastAsia"/>
                <w:b/>
                <w:bCs/>
                <w:color w:val="auto"/>
                <w:szCs w:val="24"/>
                <w:highlight w:val="none"/>
                <w:lang w:val="en-US" w:eastAsia="zh-CN"/>
              </w:rPr>
              <w:t>与《昌吉回族自治州生态环境保护与建设“十四五”规划》的符合性分析</w:t>
            </w:r>
          </w:p>
          <w:p w14:paraId="6431C1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根据《昌吉回族自治州生态环境保护与建设“十四五”规划》中的相关内容：深化工业污染治理。实施工业企业物料封闭化管理专项整治，使全州各县市（园区）贮存煤炭、煤矸石、煤渣、水泥、石灰、石膏、砂土等易产生扬尘的物料全部实现密闭、密封储存，企业无组织排放等扬尘污染得到有效控制。</w:t>
            </w:r>
          </w:p>
          <w:p w14:paraId="38318CC1">
            <w:pPr>
              <w:pStyle w:val="3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baseline"/>
              <w:rPr>
                <w:rFonts w:hint="default"/>
                <w:color w:val="auto"/>
                <w:lang w:val="en-US" w:eastAsia="zh-CN"/>
              </w:rPr>
            </w:pPr>
            <w:r>
              <w:rPr>
                <w:rFonts w:hint="eastAsia"/>
                <w:b w:val="0"/>
                <w:bCs/>
                <w:color w:val="auto"/>
                <w:sz w:val="24"/>
                <w:szCs w:val="24"/>
                <w:lang w:val="en-US" w:eastAsia="zh-CN"/>
              </w:rPr>
              <w:t>本项目属于水泥制品制造业，项目使用的水泥、粉煤灰等粉料贮存于筒仓中，筒仓粉尘采用脉冲式布袋除尘器，能有效减少筒仓无组织粉尘的排放。满足实施工业企业物料封闭化管理专项整治，故本项目符合《昌吉回族自治州生态环境保护与建设“十四五”规划》中的相关要求。</w:t>
            </w:r>
          </w:p>
          <w:p w14:paraId="7BA42FE3">
            <w:pPr>
              <w:pStyle w:val="26"/>
              <w:numPr>
                <w:ilvl w:val="0"/>
                <w:numId w:val="0"/>
              </w:numPr>
              <w:spacing w:after="0" w:line="360" w:lineRule="auto"/>
              <w:ind w:left="0" w:leftChars="0" w:firstLine="0" w:firstLineChars="0"/>
              <w:rPr>
                <w:b/>
                <w:bCs/>
                <w:color w:val="auto"/>
                <w:szCs w:val="24"/>
              </w:rPr>
            </w:pPr>
            <w:r>
              <w:rPr>
                <w:rFonts w:ascii="Times New Roman" w:hAnsi="Times New Roman" w:eastAsia="宋体" w:cs="Times New Roman"/>
                <w:b/>
                <w:bCs/>
                <w:color w:val="auto"/>
                <w:kern w:val="0"/>
                <w:sz w:val="24"/>
                <w:szCs w:val="24"/>
                <w:lang w:val="en-US" w:eastAsia="zh-CN" w:bidi="ar-SA"/>
              </w:rPr>
              <w:t>6.</w:t>
            </w:r>
            <w:r>
              <w:rPr>
                <w:b/>
                <w:bCs/>
                <w:color w:val="auto"/>
                <w:szCs w:val="24"/>
              </w:rPr>
              <w:t>与《新疆维吾尔自治区大气污染防治条例》的符合性分析</w:t>
            </w:r>
          </w:p>
          <w:p w14:paraId="6B6953C0">
            <w:pPr>
              <w:autoSpaceDE w:val="0"/>
              <w:autoSpaceDN w:val="0"/>
              <w:adjustRightInd w:val="0"/>
              <w:snapToGrid w:val="0"/>
              <w:spacing w:line="360" w:lineRule="auto"/>
              <w:ind w:firstLine="480" w:firstLineChars="200"/>
              <w:rPr>
                <w:color w:val="auto"/>
                <w:kern w:val="0"/>
                <w:sz w:val="24"/>
              </w:rPr>
            </w:pPr>
            <w:r>
              <w:rPr>
                <w:color w:val="auto"/>
                <w:kern w:val="0"/>
                <w:sz w:val="24"/>
              </w:rPr>
              <w:t>根据《新疆维吾尔自治区大气污染防治条例》中的相关内容：“禁止在自治区行政区域内引进能（水）耗不符合相关国家标准中准入值要求且污染物排放和环境风险防控不符合国家（地方）标准及有关产业准入条件的高污染（排放）、高能（水）耗、高环境风险的工业项目。禁止新建、改建、扩建列入淘汰类目录的高污染工业项目。禁止使用列入淘汰类目录的工艺、设备、产品。”</w:t>
            </w:r>
          </w:p>
          <w:p w14:paraId="01BE87BE">
            <w:pPr>
              <w:autoSpaceDE w:val="0"/>
              <w:autoSpaceDN w:val="0"/>
              <w:adjustRightInd w:val="0"/>
              <w:snapToGrid w:val="0"/>
              <w:spacing w:line="360" w:lineRule="auto"/>
              <w:ind w:firstLine="480" w:firstLineChars="200"/>
              <w:rPr>
                <w:color w:val="auto"/>
                <w:kern w:val="0"/>
                <w:sz w:val="24"/>
              </w:rPr>
            </w:pPr>
            <w:r>
              <w:rPr>
                <w:color w:val="auto"/>
                <w:kern w:val="0"/>
                <w:sz w:val="24"/>
              </w:rPr>
              <w:t>项目属于</w:t>
            </w:r>
            <w:r>
              <w:rPr>
                <w:rFonts w:hint="eastAsia"/>
                <w:color w:val="auto"/>
                <w:kern w:val="0"/>
                <w:sz w:val="24"/>
                <w:lang w:eastAsia="zh-CN"/>
              </w:rPr>
              <w:t>“</w:t>
            </w:r>
            <w:r>
              <w:rPr>
                <w:color w:val="auto"/>
                <w:kern w:val="0"/>
                <w:sz w:val="24"/>
              </w:rPr>
              <w:t>允许类</w:t>
            </w:r>
            <w:r>
              <w:rPr>
                <w:rFonts w:hint="eastAsia"/>
                <w:color w:val="auto"/>
                <w:kern w:val="0"/>
                <w:sz w:val="24"/>
                <w:lang w:eastAsia="zh-CN"/>
              </w:rPr>
              <w:t>”</w:t>
            </w:r>
            <w:r>
              <w:rPr>
                <w:color w:val="auto"/>
                <w:kern w:val="0"/>
                <w:sz w:val="24"/>
              </w:rPr>
              <w:t>，不属于高污染（排放）、高能（水）耗、高环境风险的工业项目，不属于淘汰类目录的高污染工业项目，本项目使用先进的生产工艺及设备，符合《新疆维吾尔自治区大气污染防治条例》。</w:t>
            </w:r>
          </w:p>
          <w:p w14:paraId="42CEFAFD">
            <w:pPr>
              <w:bidi w:val="0"/>
              <w:spacing w:line="360" w:lineRule="auto"/>
              <w:rPr>
                <w:rFonts w:hint="eastAsia"/>
                <w:b/>
                <w:bCs/>
                <w:sz w:val="24"/>
                <w:szCs w:val="32"/>
                <w:lang w:val="en-US" w:eastAsia="zh-CN"/>
              </w:rPr>
            </w:pPr>
            <w:r>
              <w:rPr>
                <w:rFonts w:hint="eastAsia"/>
                <w:b/>
                <w:bCs/>
                <w:sz w:val="24"/>
                <w:szCs w:val="32"/>
                <w:lang w:val="en-US" w:eastAsia="zh-CN"/>
              </w:rPr>
              <w:t>7.与《空气质量持续改善行动计划》（国发[2023]24号）的符合性分析</w:t>
            </w:r>
          </w:p>
          <w:p w14:paraId="388D9AFB">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根据《空气质量持续改善行动计划》（国发[2023]24号）中的相关内容“（一）指导思想。以习近平新时代中国特色社会主义思想为指导,全面贯彻党的二十大精神，深入贯彻习近平生态文明思想，落实全国生态环境保护大会部署，坚持稳中求进工作总基调，协同推进降碳减污、扩绿、增长，以改善空气质量为核心，以减少重污染天气和解决人民群众身边的突出大气环境问题为重点，以降低细颗粒物（PM</w:t>
            </w:r>
            <w:r>
              <w:rPr>
                <w:rFonts w:hint="eastAsia" w:ascii="Times New Roman" w:hAnsi="Times New Roman" w:eastAsia="宋体" w:cs="Times New Roman"/>
                <w:color w:val="auto"/>
                <w:kern w:val="0"/>
                <w:sz w:val="24"/>
                <w:vertAlign w:val="subscript"/>
                <w:lang w:val="en-US" w:eastAsia="zh-CN"/>
              </w:rPr>
              <w:t>2.5</w:t>
            </w:r>
            <w:r>
              <w:rPr>
                <w:rFonts w:hint="eastAsia" w:ascii="Times New Roman" w:hAnsi="Times New Roman" w:eastAsia="宋体" w:cs="Times New Roman"/>
                <w:color w:val="auto"/>
                <w:kern w:val="0"/>
                <w:sz w:val="24"/>
                <w:vertAlign w:val="baseline"/>
                <w:lang w:val="en-US" w:eastAsia="zh-CN"/>
              </w:rPr>
              <w:t>）</w:t>
            </w:r>
            <w:r>
              <w:rPr>
                <w:rFonts w:hint="eastAsia" w:ascii="Times New Roman" w:hAnsi="Times New Roman" w:eastAsia="宋体" w:cs="Times New Roman"/>
                <w:color w:val="auto"/>
                <w:kern w:val="0"/>
                <w:sz w:val="24"/>
                <w:lang w:val="en-US" w:eastAsia="zh-CN"/>
              </w:rPr>
              <w:t>浓度为主线，大力推动氮氧化物和挥发性有机物（VOCs）减排；开展区域协同治理，突出精准、科学、依法治污，完善大气环境管理体系提升污染防治能力;远近结合研究谋划大气污染防治路径，扎实推进产业、能源、交通绿色低碳转型，强化面源污染治理，加强源头防控加快形成绿色低碳生产生活方式，实现环境效益、经济效益和社会效益多赢”。</w:t>
            </w:r>
          </w:p>
          <w:p w14:paraId="070B4AFE">
            <w:pPr>
              <w:bidi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sz w:val="24"/>
                <w:szCs w:val="32"/>
                <w:lang w:val="en-US" w:eastAsia="zh-CN"/>
              </w:rPr>
              <w:t>本项目产生的废气主要为颗粒物，项目运营过程中产生搅拌粉尘、筒仓粉尘、料场扬尘及运输扬尘均采取有效的环保治理措施进行处理，处理后的废气均能满足排放标准，对周围的环境影响不大。因此，项目的建设符合</w:t>
            </w:r>
            <w:r>
              <w:rPr>
                <w:rFonts w:hint="eastAsia" w:ascii="Times New Roman" w:hAnsi="Times New Roman" w:eastAsia="宋体" w:cs="Times New Roman"/>
                <w:color w:val="auto"/>
                <w:kern w:val="0"/>
                <w:sz w:val="24"/>
                <w:lang w:val="en-US" w:eastAsia="zh-CN"/>
              </w:rPr>
              <w:t>《空气质量持续改善行动计划》（国发[2023]24号）。</w:t>
            </w:r>
          </w:p>
          <w:p w14:paraId="0545D220">
            <w:pPr>
              <w:numPr>
                <w:ilvl w:val="0"/>
                <w:numId w:val="2"/>
              </w:numPr>
              <w:bidi w:val="0"/>
              <w:spacing w:line="360" w:lineRule="auto"/>
              <w:rPr>
                <w:rFonts w:hint="eastAsia"/>
                <w:b/>
                <w:bCs/>
                <w:sz w:val="24"/>
                <w:szCs w:val="32"/>
                <w:lang w:val="en-US" w:eastAsia="zh-CN"/>
              </w:rPr>
            </w:pPr>
            <w:r>
              <w:rPr>
                <w:rFonts w:hint="eastAsia"/>
                <w:b/>
                <w:bCs/>
                <w:sz w:val="24"/>
                <w:szCs w:val="32"/>
                <w:lang w:val="en-US" w:eastAsia="zh-CN"/>
              </w:rPr>
              <w:t>与《工业料堆场扬尘整治规范》（DB65/T4061-2017）的符合性分析</w:t>
            </w:r>
          </w:p>
          <w:p w14:paraId="698B5A37">
            <w:pPr>
              <w:bidi w:val="0"/>
              <w:spacing w:line="360" w:lineRule="auto"/>
              <w:ind w:firstLine="480" w:firstLineChars="200"/>
              <w:rPr>
                <w:rFonts w:hint="eastAsia"/>
                <w:sz w:val="24"/>
                <w:szCs w:val="32"/>
                <w:lang w:val="en-US" w:eastAsia="zh-CN"/>
              </w:rPr>
            </w:pPr>
            <w:r>
              <w:rPr>
                <w:rFonts w:hint="eastAsia"/>
                <w:sz w:val="24"/>
                <w:szCs w:val="32"/>
                <w:lang w:val="en-US" w:eastAsia="zh-CN"/>
              </w:rPr>
              <w:t>根据《工业料堆场扬尘整治规范》（DB65/T4061-2017）中表2工业料堆场扬尘整治方案选择参考表，详见下表1-3。</w:t>
            </w:r>
          </w:p>
          <w:p w14:paraId="5DD71C9B">
            <w:pPr>
              <w:bidi w:val="0"/>
              <w:jc w:val="center"/>
              <w:rPr>
                <w:rFonts w:hint="default"/>
                <w:lang w:val="en-US" w:eastAsia="zh-CN"/>
              </w:rPr>
            </w:pPr>
            <w:r>
              <w:rPr>
                <w:rFonts w:hint="eastAsia"/>
                <w:b/>
                <w:bCs/>
                <w:lang w:val="en-US" w:eastAsia="zh-CN"/>
              </w:rPr>
              <w:t>表1-3 工业料堆场扬尘整治方案选择参考表</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2957"/>
              <w:gridCol w:w="1842"/>
            </w:tblGrid>
            <w:tr w14:paraId="104E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tcPr>
                <w:p w14:paraId="7D9FD3E6">
                  <w:pPr>
                    <w:bidi w:val="0"/>
                    <w:jc w:val="center"/>
                    <w:rPr>
                      <w:rFonts w:hint="default"/>
                      <w:b/>
                      <w:bCs/>
                      <w:lang w:val="en-US" w:eastAsia="zh-CN"/>
                    </w:rPr>
                  </w:pPr>
                  <w:r>
                    <w:rPr>
                      <w:rFonts w:hint="eastAsia"/>
                      <w:b/>
                      <w:bCs/>
                      <w:lang w:val="en-US" w:eastAsia="zh-CN"/>
                    </w:rPr>
                    <w:t>工业料堆场类型</w:t>
                  </w:r>
                </w:p>
              </w:tc>
              <w:tc>
                <w:tcPr>
                  <w:tcW w:w="3544" w:type="pct"/>
                  <w:gridSpan w:val="2"/>
                </w:tcPr>
                <w:p w14:paraId="5DFAB267">
                  <w:pPr>
                    <w:bidi w:val="0"/>
                    <w:jc w:val="center"/>
                    <w:rPr>
                      <w:rFonts w:hint="default"/>
                      <w:b/>
                      <w:bCs/>
                      <w:lang w:val="en-US" w:eastAsia="zh-CN"/>
                    </w:rPr>
                  </w:pPr>
                  <w:r>
                    <w:rPr>
                      <w:rFonts w:hint="eastAsia"/>
                      <w:b/>
                      <w:bCs/>
                      <w:lang w:val="en-US" w:eastAsia="zh-CN"/>
                    </w:rPr>
                    <w:t>方案</w:t>
                  </w:r>
                </w:p>
              </w:tc>
            </w:tr>
            <w:tr w14:paraId="0CF4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vMerge w:val="restart"/>
                  <w:vAlign w:val="center"/>
                </w:tcPr>
                <w:p w14:paraId="59071A86">
                  <w:pPr>
                    <w:bidi w:val="0"/>
                    <w:jc w:val="center"/>
                    <w:rPr>
                      <w:rFonts w:hint="default"/>
                      <w:b/>
                      <w:bCs/>
                      <w:lang w:val="en-US" w:eastAsia="zh-CN"/>
                    </w:rPr>
                  </w:pPr>
                  <w:r>
                    <w:rPr>
                      <w:rFonts w:hint="eastAsia"/>
                      <w:b/>
                      <w:bCs/>
                      <w:lang w:val="en-US" w:eastAsia="zh-CN"/>
                    </w:rPr>
                    <w:t>Ⅰ类料堆场</w:t>
                  </w:r>
                </w:p>
              </w:tc>
              <w:tc>
                <w:tcPr>
                  <w:tcW w:w="3544" w:type="pct"/>
                  <w:gridSpan w:val="2"/>
                </w:tcPr>
                <w:p w14:paraId="25799306">
                  <w:pPr>
                    <w:bidi w:val="0"/>
                    <w:rPr>
                      <w:rFonts w:hint="default"/>
                      <w:lang w:val="en-US" w:eastAsia="zh-CN"/>
                    </w:rPr>
                  </w:pPr>
                  <w:r>
                    <w:rPr>
                      <w:rFonts w:hint="eastAsia"/>
                      <w:lang w:val="en-US" w:eastAsia="zh-CN"/>
                    </w:rPr>
                    <w:t>（1）筒仓</w:t>
                  </w:r>
                </w:p>
              </w:tc>
            </w:tr>
            <w:tr w14:paraId="165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vMerge w:val="continue"/>
                  <w:vAlign w:val="center"/>
                </w:tcPr>
                <w:p w14:paraId="4A1E2AA0">
                  <w:pPr>
                    <w:bidi w:val="0"/>
                    <w:jc w:val="center"/>
                    <w:rPr>
                      <w:rFonts w:hint="default"/>
                      <w:b/>
                      <w:bCs/>
                      <w:lang w:val="en-US" w:eastAsia="zh-CN"/>
                    </w:rPr>
                  </w:pPr>
                </w:p>
              </w:tc>
              <w:tc>
                <w:tcPr>
                  <w:tcW w:w="3544" w:type="pct"/>
                  <w:gridSpan w:val="2"/>
                </w:tcPr>
                <w:p w14:paraId="3119BA12">
                  <w:pPr>
                    <w:bidi w:val="0"/>
                    <w:rPr>
                      <w:rFonts w:hint="default"/>
                      <w:lang w:val="en-US" w:eastAsia="zh-CN"/>
                    </w:rPr>
                  </w:pPr>
                  <w:r>
                    <w:rPr>
                      <w:rFonts w:hint="eastAsia"/>
                      <w:lang w:val="en-US" w:eastAsia="zh-CN"/>
                    </w:rPr>
                    <w:t>（2）圆形料仓</w:t>
                  </w:r>
                </w:p>
              </w:tc>
            </w:tr>
            <w:tr w14:paraId="79F6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vMerge w:val="continue"/>
                  <w:vAlign w:val="center"/>
                </w:tcPr>
                <w:p w14:paraId="4DA19C7C">
                  <w:pPr>
                    <w:bidi w:val="0"/>
                    <w:jc w:val="center"/>
                    <w:rPr>
                      <w:rFonts w:hint="default"/>
                      <w:b/>
                      <w:bCs/>
                      <w:lang w:val="en-US" w:eastAsia="zh-CN"/>
                    </w:rPr>
                  </w:pPr>
                </w:p>
              </w:tc>
              <w:tc>
                <w:tcPr>
                  <w:tcW w:w="3544" w:type="pct"/>
                  <w:gridSpan w:val="2"/>
                </w:tcPr>
                <w:p w14:paraId="04EE8B4A">
                  <w:pPr>
                    <w:bidi w:val="0"/>
                    <w:rPr>
                      <w:rFonts w:hint="default"/>
                      <w:lang w:val="en-US" w:eastAsia="zh-CN"/>
                    </w:rPr>
                  </w:pPr>
                  <w:r>
                    <w:rPr>
                      <w:rFonts w:hint="eastAsia"/>
                      <w:lang w:val="en-US" w:eastAsia="zh-CN"/>
                    </w:rPr>
                    <w:t>（3）其他全封闭性料仓</w:t>
                  </w:r>
                </w:p>
              </w:tc>
            </w:tr>
            <w:tr w14:paraId="28CF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vMerge w:val="restart"/>
                  <w:vAlign w:val="center"/>
                </w:tcPr>
                <w:p w14:paraId="31FDF28B">
                  <w:pPr>
                    <w:bidi w:val="0"/>
                    <w:jc w:val="center"/>
                    <w:rPr>
                      <w:rFonts w:hint="default"/>
                      <w:b/>
                      <w:bCs/>
                      <w:lang w:val="en-US" w:eastAsia="zh-CN"/>
                    </w:rPr>
                  </w:pPr>
                  <w:r>
                    <w:rPr>
                      <w:rFonts w:hint="eastAsia"/>
                      <w:b/>
                      <w:bCs/>
                      <w:lang w:val="en-US" w:eastAsia="zh-CN"/>
                    </w:rPr>
                    <w:t>Ⅱ类料堆场</w:t>
                  </w:r>
                </w:p>
              </w:tc>
              <w:tc>
                <w:tcPr>
                  <w:tcW w:w="3544" w:type="pct"/>
                  <w:gridSpan w:val="2"/>
                </w:tcPr>
                <w:p w14:paraId="2974A3D9">
                  <w:pPr>
                    <w:bidi w:val="0"/>
                    <w:rPr>
                      <w:rFonts w:hint="default"/>
                      <w:lang w:val="en-US" w:eastAsia="zh-CN"/>
                    </w:rPr>
                  </w:pPr>
                  <w:r>
                    <w:rPr>
                      <w:rFonts w:hint="eastAsia"/>
                      <w:lang w:val="en-US" w:eastAsia="zh-CN"/>
                    </w:rPr>
                    <w:t>（4）可用Ⅰ类料堆场防治方案</w:t>
                  </w:r>
                </w:p>
              </w:tc>
            </w:tr>
            <w:tr w14:paraId="637E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55" w:type="pct"/>
                  <w:vMerge w:val="continue"/>
                  <w:vAlign w:val="center"/>
                </w:tcPr>
                <w:p w14:paraId="43AB498F">
                  <w:pPr>
                    <w:bidi w:val="0"/>
                    <w:jc w:val="center"/>
                    <w:rPr>
                      <w:rFonts w:hint="default"/>
                      <w:b/>
                      <w:bCs/>
                      <w:lang w:val="en-US" w:eastAsia="zh-CN"/>
                    </w:rPr>
                  </w:pPr>
                </w:p>
              </w:tc>
              <w:tc>
                <w:tcPr>
                  <w:tcW w:w="2184" w:type="pct"/>
                  <w:vAlign w:val="center"/>
                </w:tcPr>
                <w:p w14:paraId="02646E16">
                  <w:pPr>
                    <w:bidi w:val="0"/>
                    <w:jc w:val="both"/>
                    <w:rPr>
                      <w:rFonts w:hint="default"/>
                      <w:lang w:val="en-US" w:eastAsia="zh-CN"/>
                    </w:rPr>
                  </w:pPr>
                  <w:r>
                    <w:rPr>
                      <w:rFonts w:hint="eastAsia"/>
                      <w:lang w:val="en-US" w:eastAsia="zh-CN"/>
                    </w:rPr>
                    <w:t>（5）半封闭仓库+</w:t>
                  </w:r>
                </w:p>
              </w:tc>
              <w:tc>
                <w:tcPr>
                  <w:tcW w:w="1359" w:type="pct"/>
                  <w:vMerge w:val="restart"/>
                </w:tcPr>
                <w:p w14:paraId="2347CEF8">
                  <w:pPr>
                    <w:bidi w:val="0"/>
                    <w:rPr>
                      <w:rFonts w:hint="eastAsia"/>
                      <w:lang w:val="en-US" w:eastAsia="zh-CN"/>
                    </w:rPr>
                  </w:pPr>
                  <w:r>
                    <w:rPr>
                      <w:rFonts w:hint="eastAsia"/>
                      <w:lang w:val="en-US" w:eastAsia="zh-CN"/>
                    </w:rPr>
                    <w:t>a）喷洒水</w:t>
                  </w:r>
                </w:p>
                <w:p w14:paraId="7890402B">
                  <w:pPr>
                    <w:bidi w:val="0"/>
                    <w:rPr>
                      <w:rFonts w:hint="default"/>
                      <w:lang w:val="en-US" w:eastAsia="zh-CN"/>
                    </w:rPr>
                  </w:pPr>
                  <w:r>
                    <w:rPr>
                      <w:rFonts w:hint="eastAsia"/>
                      <w:lang w:val="en-US" w:eastAsia="zh-CN"/>
                    </w:rPr>
                    <w:t>b）覆盖</w:t>
                  </w:r>
                </w:p>
                <w:p w14:paraId="585AF179">
                  <w:pPr>
                    <w:bidi w:val="0"/>
                    <w:rPr>
                      <w:rFonts w:hint="default"/>
                      <w:lang w:val="en-US" w:eastAsia="zh-CN"/>
                    </w:rPr>
                  </w:pPr>
                  <w:r>
                    <w:rPr>
                      <w:rFonts w:hint="eastAsia"/>
                      <w:lang w:val="en-US" w:eastAsia="zh-CN"/>
                    </w:rPr>
                    <w:t>c）喷洒抑尘剂</w:t>
                  </w:r>
                </w:p>
                <w:p w14:paraId="6BF8CBA7">
                  <w:pPr>
                    <w:bidi w:val="0"/>
                    <w:rPr>
                      <w:rFonts w:hint="default"/>
                      <w:lang w:val="en-US" w:eastAsia="zh-CN"/>
                    </w:rPr>
                  </w:pPr>
                  <w:r>
                    <w:rPr>
                      <w:rFonts w:hint="eastAsia"/>
                      <w:lang w:val="en-US" w:eastAsia="zh-CN"/>
                    </w:rPr>
                    <w:t>d）干雾抑尘</w:t>
                  </w:r>
                </w:p>
              </w:tc>
            </w:tr>
            <w:tr w14:paraId="051F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55" w:type="pct"/>
                  <w:vMerge w:val="continue"/>
                  <w:vAlign w:val="center"/>
                </w:tcPr>
                <w:p w14:paraId="08BFBA6C">
                  <w:pPr>
                    <w:bidi w:val="0"/>
                    <w:jc w:val="center"/>
                    <w:rPr>
                      <w:rFonts w:hint="default"/>
                      <w:b/>
                      <w:bCs/>
                      <w:lang w:val="en-US" w:eastAsia="zh-CN"/>
                    </w:rPr>
                  </w:pPr>
                </w:p>
              </w:tc>
              <w:tc>
                <w:tcPr>
                  <w:tcW w:w="2184" w:type="pct"/>
                  <w:vAlign w:val="center"/>
                </w:tcPr>
                <w:p w14:paraId="682B14D8">
                  <w:pPr>
                    <w:bidi w:val="0"/>
                    <w:jc w:val="both"/>
                    <w:rPr>
                      <w:rFonts w:hint="default"/>
                      <w:lang w:val="en-US" w:eastAsia="zh-CN"/>
                    </w:rPr>
                  </w:pPr>
                  <w:r>
                    <w:rPr>
                      <w:rFonts w:hint="eastAsia"/>
                      <w:lang w:val="en-US" w:eastAsia="zh-CN"/>
                    </w:rPr>
                    <w:t>（6）防风抑尘网（强）+</w:t>
                  </w:r>
                </w:p>
              </w:tc>
              <w:tc>
                <w:tcPr>
                  <w:tcW w:w="1359" w:type="pct"/>
                  <w:vMerge w:val="continue"/>
                </w:tcPr>
                <w:p w14:paraId="7AFB57D7">
                  <w:pPr>
                    <w:bidi w:val="0"/>
                    <w:rPr>
                      <w:rFonts w:hint="default"/>
                      <w:lang w:val="en-US" w:eastAsia="zh-CN"/>
                    </w:rPr>
                  </w:pPr>
                </w:p>
              </w:tc>
            </w:tr>
            <w:tr w14:paraId="38CC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vMerge w:val="restart"/>
                  <w:vAlign w:val="center"/>
                </w:tcPr>
                <w:p w14:paraId="0A29F524">
                  <w:pPr>
                    <w:bidi w:val="0"/>
                    <w:jc w:val="center"/>
                    <w:rPr>
                      <w:rFonts w:hint="default"/>
                      <w:b/>
                      <w:bCs/>
                      <w:lang w:val="en-US" w:eastAsia="zh-CN"/>
                    </w:rPr>
                  </w:pPr>
                  <w:r>
                    <w:rPr>
                      <w:rFonts w:hint="eastAsia"/>
                      <w:b/>
                      <w:bCs/>
                      <w:lang w:val="en-US" w:eastAsia="zh-CN"/>
                    </w:rPr>
                    <w:t>Ⅲ类料堆场</w:t>
                  </w:r>
                </w:p>
              </w:tc>
              <w:tc>
                <w:tcPr>
                  <w:tcW w:w="3544" w:type="pct"/>
                  <w:gridSpan w:val="2"/>
                </w:tcPr>
                <w:p w14:paraId="0DF957CC">
                  <w:pPr>
                    <w:bidi w:val="0"/>
                    <w:rPr>
                      <w:rFonts w:hint="default"/>
                      <w:lang w:val="en-US" w:eastAsia="zh-CN"/>
                    </w:rPr>
                  </w:pPr>
                  <w:r>
                    <w:rPr>
                      <w:rFonts w:hint="eastAsia"/>
                      <w:lang w:val="en-US" w:eastAsia="zh-CN"/>
                    </w:rPr>
                    <w:t>（7）可用Ⅰ和Ⅱ类料堆场防治方案</w:t>
                  </w:r>
                </w:p>
              </w:tc>
            </w:tr>
            <w:tr w14:paraId="4844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55" w:type="pct"/>
                  <w:vMerge w:val="continue"/>
                </w:tcPr>
                <w:p w14:paraId="6F8982A9">
                  <w:pPr>
                    <w:bidi w:val="0"/>
                    <w:rPr>
                      <w:rFonts w:hint="default"/>
                      <w:lang w:val="en-US" w:eastAsia="zh-CN"/>
                    </w:rPr>
                  </w:pPr>
                </w:p>
              </w:tc>
              <w:tc>
                <w:tcPr>
                  <w:tcW w:w="2184" w:type="pct"/>
                  <w:vAlign w:val="center"/>
                </w:tcPr>
                <w:p w14:paraId="07DE6D0A">
                  <w:pPr>
                    <w:bidi w:val="0"/>
                    <w:jc w:val="both"/>
                    <w:rPr>
                      <w:rFonts w:hint="default"/>
                      <w:lang w:val="en-US" w:eastAsia="zh-CN"/>
                    </w:rPr>
                  </w:pPr>
                  <w:r>
                    <w:rPr>
                      <w:rFonts w:hint="eastAsia"/>
                      <w:lang w:val="en-US" w:eastAsia="zh-CN"/>
                    </w:rPr>
                    <w:t>（8）覆盖</w:t>
                  </w:r>
                </w:p>
              </w:tc>
              <w:tc>
                <w:tcPr>
                  <w:tcW w:w="1359" w:type="pct"/>
                </w:tcPr>
                <w:p w14:paraId="51CBB97F">
                  <w:pPr>
                    <w:bidi w:val="0"/>
                    <w:rPr>
                      <w:rFonts w:hint="eastAsia"/>
                      <w:lang w:val="en-US" w:eastAsia="zh-CN"/>
                    </w:rPr>
                  </w:pPr>
                  <w:r>
                    <w:rPr>
                      <w:rFonts w:hint="eastAsia"/>
                      <w:lang w:val="en-US" w:eastAsia="zh-CN"/>
                    </w:rPr>
                    <w:t>a）喷洒水</w:t>
                  </w:r>
                </w:p>
                <w:p w14:paraId="215165E5">
                  <w:pPr>
                    <w:bidi w:val="0"/>
                    <w:rPr>
                      <w:rFonts w:hint="default"/>
                      <w:lang w:val="en-US" w:eastAsia="zh-CN"/>
                    </w:rPr>
                  </w:pPr>
                  <w:r>
                    <w:rPr>
                      <w:rFonts w:hint="eastAsia"/>
                      <w:lang w:val="en-US" w:eastAsia="zh-CN"/>
                    </w:rPr>
                    <w:t>b）喷洒抑尘剂</w:t>
                  </w:r>
                </w:p>
              </w:tc>
            </w:tr>
          </w:tbl>
          <w:p w14:paraId="573E08A2">
            <w:pPr>
              <w:numPr>
                <w:ilvl w:val="0"/>
                <w:numId w:val="0"/>
              </w:numPr>
              <w:spacing w:line="360" w:lineRule="auto"/>
              <w:ind w:firstLine="480" w:firstLineChars="200"/>
              <w:jc w:val="left"/>
              <w:rPr>
                <w:rFonts w:hint="default" w:ascii="Times New Roman" w:hAnsi="Times New Roman" w:eastAsia="宋体" w:cs="Times New Roman"/>
                <w:b w:val="0"/>
                <w:bCs w:val="0"/>
                <w:sz w:val="24"/>
                <w:szCs w:val="32"/>
                <w:lang w:val="en-US" w:eastAsia="zh-CN"/>
              </w:rPr>
            </w:pPr>
            <w:r>
              <w:rPr>
                <w:rFonts w:hint="default" w:ascii="Times New Roman" w:hAnsi="Times New Roman" w:eastAsia="宋体" w:cs="Times New Roman"/>
                <w:sz w:val="24"/>
                <w:szCs w:val="32"/>
                <w:lang w:val="en-US" w:eastAsia="zh-CN"/>
              </w:rPr>
              <w:t>《工业料堆场扬尘整治规范》（DB65/T4061-2017）要求：“对于</w:t>
            </w:r>
            <w:r>
              <w:rPr>
                <w:rFonts w:hint="default" w:ascii="Times New Roman" w:hAnsi="Times New Roman" w:eastAsia="宋体" w:cs="Times New Roman"/>
                <w:b w:val="0"/>
                <w:bCs w:val="0"/>
                <w:sz w:val="24"/>
                <w:szCs w:val="32"/>
                <w:lang w:val="en-US" w:eastAsia="zh-CN"/>
              </w:rPr>
              <w:t>Ⅱ类料堆场，除选取（5）和（6）两种措施之一外，根据物料特性还应至少选取a、b、c和d四种防治措施之一”。</w:t>
            </w:r>
          </w:p>
          <w:p w14:paraId="6346760C">
            <w:pPr>
              <w:numPr>
                <w:ilvl w:val="0"/>
                <w:numId w:val="0"/>
              </w:numPr>
              <w:spacing w:line="360" w:lineRule="auto"/>
              <w:ind w:firstLine="480" w:firstLineChars="200"/>
              <w:jc w:val="left"/>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本项目采取的料堆场类型为Ⅱ类料堆场中的半封闭仓库，同时采用了a和b两种防治措施，</w:t>
            </w:r>
            <w:r>
              <w:rPr>
                <w:rFonts w:hint="eastAsia" w:ascii="Times New Roman" w:hAnsi="Times New Roman" w:eastAsia="宋体" w:cs="Times New Roman"/>
                <w:sz w:val="24"/>
                <w:szCs w:val="32"/>
                <w:lang w:val="en-US" w:eastAsia="zh-CN"/>
              </w:rPr>
              <w:t>即</w:t>
            </w:r>
            <w:r>
              <w:rPr>
                <w:rFonts w:hint="default" w:ascii="Times New Roman" w:hAnsi="Times New Roman" w:eastAsia="宋体" w:cs="Times New Roman"/>
                <w:sz w:val="24"/>
                <w:szCs w:val="32"/>
                <w:lang w:val="en-US" w:eastAsia="zh-CN"/>
              </w:rPr>
              <w:t>喷洒水和覆盖。半封闭仓库周边的路面均采取硬化，并路面保持湿润。因此项目的建设符合《工业料堆场扬尘整治规范》（DB65/T4061-2017）的相关要求。</w:t>
            </w:r>
          </w:p>
          <w:p w14:paraId="268E8CD6">
            <w:pPr>
              <w:numPr>
                <w:ilvl w:val="0"/>
                <w:numId w:val="0"/>
              </w:numPr>
              <w:spacing w:line="360" w:lineRule="auto"/>
              <w:jc w:val="left"/>
              <w:rPr>
                <w:b/>
                <w:bCs/>
                <w:color w:val="auto"/>
                <w:kern w:val="0"/>
                <w:sz w:val="24"/>
              </w:rPr>
            </w:pPr>
            <w:r>
              <w:rPr>
                <w:rFonts w:hint="eastAsia" w:cs="Times New Roman"/>
                <w:b/>
                <w:bCs/>
                <w:color w:val="auto"/>
                <w:kern w:val="0"/>
                <w:sz w:val="24"/>
                <w:szCs w:val="24"/>
                <w:lang w:val="en-US" w:eastAsia="zh-CN" w:bidi="ar-SA"/>
              </w:rPr>
              <w:t>9</w:t>
            </w:r>
            <w:r>
              <w:rPr>
                <w:rFonts w:ascii="Times New Roman" w:hAnsi="Times New Roman" w:eastAsia="宋体" w:cs="Times New Roman"/>
                <w:b/>
                <w:bCs/>
                <w:color w:val="auto"/>
                <w:kern w:val="0"/>
                <w:sz w:val="24"/>
                <w:szCs w:val="24"/>
                <w:lang w:val="en-US" w:eastAsia="zh-CN" w:bidi="ar-SA"/>
              </w:rPr>
              <w:t>.</w:t>
            </w:r>
            <w:r>
              <w:rPr>
                <w:b/>
                <w:bCs/>
                <w:color w:val="auto"/>
                <w:kern w:val="0"/>
                <w:sz w:val="24"/>
              </w:rPr>
              <w:t>选址的符合性分析</w:t>
            </w:r>
          </w:p>
          <w:p w14:paraId="321A005B">
            <w:pPr>
              <w:autoSpaceDE w:val="0"/>
              <w:autoSpaceDN w:val="0"/>
              <w:adjustRightInd w:val="0"/>
              <w:snapToGrid w:val="0"/>
              <w:spacing w:line="360" w:lineRule="auto"/>
              <w:ind w:firstLine="480" w:firstLineChars="200"/>
              <w:rPr>
                <w:color w:val="auto"/>
                <w:kern w:val="0"/>
                <w:sz w:val="24"/>
              </w:rPr>
            </w:pPr>
            <w:r>
              <w:rPr>
                <w:color w:val="auto"/>
                <w:kern w:val="0"/>
                <w:sz w:val="24"/>
              </w:rPr>
              <w:t>本项目建设地点位于新疆维吾尔自治区木垒县</w:t>
            </w:r>
            <w:r>
              <w:rPr>
                <w:rFonts w:hint="eastAsia"/>
                <w:color w:val="auto"/>
                <w:kern w:val="0"/>
                <w:sz w:val="24"/>
                <w:lang w:eastAsia="zh-CN"/>
              </w:rPr>
              <w:t>照壁山乡霍斯阔拉村</w:t>
            </w:r>
            <w:r>
              <w:rPr>
                <w:color w:val="auto"/>
                <w:kern w:val="0"/>
                <w:sz w:val="24"/>
              </w:rPr>
              <w:t>，中心地理坐标为：</w:t>
            </w:r>
            <w:r>
              <w:rPr>
                <w:rFonts w:hint="eastAsia"/>
                <w:color w:val="auto"/>
                <w:kern w:val="0"/>
                <w:sz w:val="24"/>
              </w:rPr>
              <w:t>东经：</w:t>
            </w:r>
            <w:r>
              <w:rPr>
                <w:rFonts w:hint="default" w:ascii="Times New Roman" w:hAnsi="Times New Roman" w:cs="Times New Roman"/>
                <w:color w:val="auto"/>
                <w:kern w:val="0"/>
                <w:sz w:val="24"/>
              </w:rPr>
              <w:t>90°22′38.005″</w:t>
            </w:r>
            <w:r>
              <w:rPr>
                <w:rFonts w:hint="eastAsia"/>
                <w:color w:val="auto"/>
                <w:kern w:val="0"/>
                <w:sz w:val="24"/>
              </w:rPr>
              <w:t>，</w:t>
            </w:r>
            <w:r>
              <w:rPr>
                <w:rFonts w:hint="default" w:ascii="Times New Roman" w:hAnsi="Times New Roman" w:cs="Times New Roman"/>
                <w:color w:val="auto"/>
                <w:kern w:val="0"/>
                <w:sz w:val="24"/>
              </w:rPr>
              <w:t xml:space="preserve"> 北纬：44°00′16.314″，</w:t>
            </w:r>
            <w:r>
              <w:rPr>
                <w:color w:val="auto"/>
                <w:kern w:val="0"/>
                <w:sz w:val="24"/>
              </w:rPr>
              <w:t>项目</w:t>
            </w:r>
            <w:r>
              <w:rPr>
                <w:rFonts w:hint="eastAsia"/>
                <w:color w:val="auto"/>
                <w:kern w:val="0"/>
                <w:sz w:val="24"/>
                <w:lang w:val="en-US" w:eastAsia="zh-CN"/>
              </w:rPr>
              <w:t>周边</w:t>
            </w:r>
            <w:r>
              <w:rPr>
                <w:color w:val="auto"/>
                <w:kern w:val="0"/>
                <w:sz w:val="24"/>
              </w:rPr>
              <w:t>均为空地</w:t>
            </w:r>
            <w:r>
              <w:rPr>
                <w:rFonts w:hint="eastAsia"/>
                <w:color w:val="auto"/>
                <w:kern w:val="0"/>
                <w:sz w:val="24"/>
                <w:lang w:eastAsia="zh-CN"/>
              </w:rPr>
              <w:t>。</w:t>
            </w:r>
            <w:r>
              <w:rPr>
                <w:color w:val="auto"/>
                <w:kern w:val="0"/>
                <w:sz w:val="24"/>
              </w:rPr>
              <w:t>本项目周边无</w:t>
            </w:r>
            <w:r>
              <w:rPr>
                <w:rFonts w:hint="eastAsia"/>
                <w:color w:val="auto"/>
                <w:kern w:val="0"/>
                <w:sz w:val="24"/>
                <w:lang w:val="en-US" w:eastAsia="zh-CN"/>
              </w:rPr>
              <w:t>居民区</w:t>
            </w:r>
            <w:r>
              <w:rPr>
                <w:color w:val="auto"/>
                <w:kern w:val="0"/>
                <w:sz w:val="24"/>
              </w:rPr>
              <w:t>、学校及医院等敏感建筑，无风景名胜区、文物古迹</w:t>
            </w:r>
            <w:r>
              <w:rPr>
                <w:rFonts w:hint="eastAsia"/>
                <w:color w:val="auto"/>
                <w:kern w:val="0"/>
                <w:sz w:val="24"/>
                <w:lang w:eastAsia="zh-CN"/>
              </w:rPr>
              <w:t>，</w:t>
            </w:r>
            <w:r>
              <w:rPr>
                <w:rFonts w:hint="eastAsia"/>
                <w:color w:val="auto"/>
                <w:kern w:val="0"/>
                <w:sz w:val="24"/>
                <w:lang w:val="en-US" w:eastAsia="zh-CN"/>
              </w:rPr>
              <w:t>项目</w:t>
            </w:r>
            <w:r>
              <w:rPr>
                <w:color w:val="auto"/>
                <w:kern w:val="0"/>
                <w:sz w:val="24"/>
              </w:rPr>
              <w:t>周边自然环境良好，</w:t>
            </w:r>
            <w:r>
              <w:rPr>
                <w:rFonts w:hint="eastAsia"/>
                <w:color w:val="auto"/>
                <w:kern w:val="0"/>
                <w:sz w:val="24"/>
                <w:lang w:val="en-US" w:eastAsia="zh-CN"/>
              </w:rPr>
              <w:t>地形平坦，</w:t>
            </w:r>
            <w:r>
              <w:rPr>
                <w:color w:val="auto"/>
                <w:kern w:val="0"/>
                <w:sz w:val="24"/>
              </w:rPr>
              <w:t>地理位置优越，</w:t>
            </w:r>
            <w:r>
              <w:rPr>
                <w:rFonts w:hint="eastAsia"/>
                <w:color w:val="auto"/>
                <w:kern w:val="0"/>
                <w:sz w:val="24"/>
                <w:lang w:val="en-US" w:eastAsia="zh-CN"/>
              </w:rPr>
              <w:t>场区北侧、东侧均有公路通过，</w:t>
            </w:r>
            <w:r>
              <w:rPr>
                <w:color w:val="auto"/>
                <w:kern w:val="0"/>
                <w:sz w:val="24"/>
              </w:rPr>
              <w:t>交通便利，为项目的顺利实施提供了保障。</w:t>
            </w:r>
          </w:p>
          <w:p w14:paraId="3D4EC63D">
            <w:pPr>
              <w:autoSpaceDE w:val="0"/>
              <w:autoSpaceDN w:val="0"/>
              <w:adjustRightInd w:val="0"/>
              <w:snapToGrid w:val="0"/>
              <w:spacing w:line="360" w:lineRule="auto"/>
              <w:ind w:firstLine="480" w:firstLineChars="200"/>
              <w:rPr>
                <w:rFonts w:hint="eastAsia"/>
                <w:color w:val="auto"/>
                <w:kern w:val="0"/>
                <w:sz w:val="24"/>
                <w:lang w:val="en-US" w:eastAsia="zh-CN"/>
              </w:rPr>
            </w:pPr>
            <w:r>
              <w:rPr>
                <w:rFonts w:hint="eastAsia"/>
                <w:color w:val="auto"/>
                <w:kern w:val="0"/>
                <w:sz w:val="24"/>
                <w:lang w:val="en-US" w:eastAsia="zh-CN"/>
              </w:rPr>
              <w:t>本项目属于混凝土搅拌站建设项目，项目的土地利用现状地类为天然牧草地，项目建成后为附近的风电场建设提供商品混凝土，项目的服务年限为2年，项目在土地使用期满后完成土地复垦，使土地恢复到可利用的状态。因此，本项目的建设对当地环境的影响是短期的，项目服务期满完成土地复垦后，对周边环境的影响会消失。</w:t>
            </w:r>
          </w:p>
          <w:p w14:paraId="305EBEE7">
            <w:pPr>
              <w:pStyle w:val="26"/>
              <w:spacing w:line="360" w:lineRule="auto"/>
              <w:ind w:left="0" w:leftChars="0" w:firstLine="480" w:firstLineChars="200"/>
              <w:rPr>
                <w:rFonts w:hint="default"/>
                <w:lang w:val="en-US"/>
              </w:rPr>
            </w:pPr>
            <w:r>
              <w:rPr>
                <w:rFonts w:hint="eastAsia"/>
                <w:lang w:val="en-US" w:eastAsia="zh-CN"/>
              </w:rPr>
              <w:t>本项目的生产工艺简单，产生的废水、废气、噪声、固废经环保设施治理后，均能满足相关政策要求，得到妥善处置，对周边环境影响较小。</w:t>
            </w:r>
          </w:p>
          <w:p w14:paraId="21D25355">
            <w:pPr>
              <w:autoSpaceDE w:val="0"/>
              <w:autoSpaceDN w:val="0"/>
              <w:adjustRightInd w:val="0"/>
              <w:snapToGrid w:val="0"/>
              <w:spacing w:line="360" w:lineRule="auto"/>
              <w:ind w:firstLine="480" w:firstLineChars="200"/>
              <w:rPr>
                <w:color w:val="auto"/>
                <w:kern w:val="0"/>
                <w:sz w:val="24"/>
              </w:rPr>
            </w:pPr>
            <w:r>
              <w:rPr>
                <w:color w:val="auto"/>
                <w:kern w:val="0"/>
                <w:sz w:val="24"/>
              </w:rPr>
              <w:t>综上，项目地理位置及基础设施条件良好，选址</w:t>
            </w:r>
            <w:r>
              <w:rPr>
                <w:rFonts w:hint="eastAsia"/>
                <w:color w:val="auto"/>
                <w:kern w:val="0"/>
                <w:sz w:val="24"/>
                <w:lang w:val="en-US" w:eastAsia="zh-CN"/>
              </w:rPr>
              <w:t>较为</w:t>
            </w:r>
            <w:r>
              <w:rPr>
                <w:color w:val="auto"/>
                <w:kern w:val="0"/>
                <w:sz w:val="24"/>
              </w:rPr>
              <w:t>合理</w:t>
            </w:r>
            <w:r>
              <w:rPr>
                <w:rFonts w:hint="eastAsia"/>
                <w:color w:val="auto"/>
                <w:kern w:val="0"/>
                <w:sz w:val="24"/>
                <w:lang w:eastAsia="zh-CN"/>
              </w:rPr>
              <w:t>，</w:t>
            </w:r>
            <w:r>
              <w:rPr>
                <w:rFonts w:hint="eastAsia"/>
                <w:color w:val="auto"/>
                <w:kern w:val="0"/>
                <w:sz w:val="24"/>
                <w:lang w:val="en-US" w:eastAsia="zh-CN"/>
              </w:rPr>
              <w:t>项目地理位置图见附图1，</w:t>
            </w:r>
            <w:r>
              <w:rPr>
                <w:color w:val="auto"/>
                <w:kern w:val="0"/>
                <w:sz w:val="24"/>
              </w:rPr>
              <w:t>项目周边关系图见附图</w:t>
            </w:r>
            <w:r>
              <w:rPr>
                <w:rFonts w:hint="eastAsia"/>
                <w:color w:val="auto"/>
                <w:kern w:val="0"/>
                <w:sz w:val="24"/>
                <w:lang w:val="en-US" w:eastAsia="zh-CN"/>
              </w:rPr>
              <w:t>2</w:t>
            </w:r>
            <w:r>
              <w:rPr>
                <w:color w:val="auto"/>
                <w:kern w:val="0"/>
                <w:sz w:val="24"/>
              </w:rPr>
              <w:t>。</w:t>
            </w:r>
          </w:p>
        </w:tc>
      </w:tr>
    </w:tbl>
    <w:p w14:paraId="238C201F">
      <w:pPr>
        <w:spacing w:line="360" w:lineRule="auto"/>
        <w:outlineLvl w:val="0"/>
        <w:rPr>
          <w:rFonts w:eastAsia="黑体"/>
          <w:color w:val="auto"/>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532927E8">
      <w:pPr>
        <w:pStyle w:val="24"/>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161"/>
      </w:tblGrid>
      <w:tr w14:paraId="03AC4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331" w:hRule="atLeast"/>
          <w:jc w:val="center"/>
        </w:trPr>
        <w:tc>
          <w:tcPr>
            <w:tcW w:w="823" w:type="dxa"/>
            <w:vAlign w:val="center"/>
          </w:tcPr>
          <w:p w14:paraId="61077F7C">
            <w:pPr>
              <w:pStyle w:val="24"/>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建设内容</w:t>
            </w:r>
          </w:p>
        </w:tc>
        <w:tc>
          <w:tcPr>
            <w:tcW w:w="8161" w:type="dxa"/>
          </w:tcPr>
          <w:p w14:paraId="548314B7">
            <w:pPr>
              <w:numPr>
                <w:ilvl w:val="0"/>
                <w:numId w:val="0"/>
              </w:numPr>
              <w:tabs>
                <w:tab w:val="left" w:pos="255"/>
              </w:tabs>
              <w:spacing w:before="120" w:beforeLines="50" w:line="360" w:lineRule="auto"/>
              <w:rPr>
                <w:b/>
                <w:color w:val="auto"/>
                <w:sz w:val="24"/>
                <w:highlight w:val="none"/>
              </w:rPr>
            </w:pPr>
            <w:r>
              <w:rPr>
                <w:rFonts w:ascii="Times New Roman" w:hAnsi="Times New Roman" w:eastAsia="宋体" w:cs="Times New Roman"/>
                <w:b/>
                <w:color w:val="auto"/>
                <w:kern w:val="2"/>
                <w:sz w:val="24"/>
                <w:szCs w:val="24"/>
                <w:lang w:val="en-US" w:eastAsia="zh-CN" w:bidi="ar-SA"/>
              </w:rPr>
              <w:t>1.</w:t>
            </w:r>
            <w:r>
              <w:rPr>
                <w:b/>
                <w:color w:val="auto"/>
                <w:sz w:val="24"/>
                <w:highlight w:val="none"/>
                <w:lang w:val="en-GB"/>
              </w:rPr>
              <w:t>建设项目基本情况</w:t>
            </w:r>
          </w:p>
          <w:p w14:paraId="64B8F0A3">
            <w:pPr>
              <w:tabs>
                <w:tab w:val="left" w:pos="435"/>
              </w:tabs>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项目名称：</w:t>
            </w:r>
            <w:r>
              <w:rPr>
                <w:rFonts w:hint="default" w:ascii="Times New Roman" w:hAnsi="Times New Roman" w:eastAsia="宋体" w:cs="Times New Roman"/>
                <w:sz w:val="24"/>
                <w:szCs w:val="24"/>
              </w:rPr>
              <w:t>新疆乾进商砼有限公司木垒光伏区商砼站项目</w:t>
            </w:r>
            <w:r>
              <w:rPr>
                <w:rFonts w:ascii="Times New Roman" w:hAnsi="Times New Roman" w:eastAsia="宋体" w:cs="Times New Roman"/>
                <w:color w:val="auto"/>
                <w:kern w:val="0"/>
                <w:sz w:val="24"/>
              </w:rPr>
              <w:t>；</w:t>
            </w:r>
          </w:p>
          <w:p w14:paraId="47A5AC1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总 投 资：</w:t>
            </w:r>
            <w:r>
              <w:rPr>
                <w:rFonts w:hint="eastAsia" w:cs="Times New Roman"/>
                <w:color w:val="auto"/>
                <w:kern w:val="0"/>
                <w:sz w:val="24"/>
                <w:highlight w:val="none"/>
                <w:lang w:val="en-US" w:eastAsia="zh-CN"/>
              </w:rPr>
              <w:t>450</w:t>
            </w:r>
            <w:r>
              <w:rPr>
                <w:rFonts w:ascii="Times New Roman" w:hAnsi="Times New Roman" w:eastAsia="宋体" w:cs="Times New Roman"/>
                <w:color w:val="auto"/>
                <w:kern w:val="0"/>
                <w:sz w:val="24"/>
                <w:highlight w:val="none"/>
              </w:rPr>
              <w:t>万元，</w:t>
            </w:r>
            <w:r>
              <w:rPr>
                <w:rFonts w:hint="eastAsia" w:cs="Times New Roman"/>
                <w:color w:val="auto"/>
                <w:kern w:val="0"/>
                <w:sz w:val="24"/>
                <w:highlight w:val="none"/>
                <w:lang w:val="en-US" w:eastAsia="zh-CN"/>
              </w:rPr>
              <w:t>企业</w:t>
            </w:r>
            <w:r>
              <w:rPr>
                <w:rFonts w:ascii="Times New Roman" w:hAnsi="Times New Roman" w:eastAsia="宋体" w:cs="Times New Roman"/>
                <w:color w:val="auto"/>
                <w:kern w:val="0"/>
                <w:sz w:val="24"/>
                <w:highlight w:val="none"/>
              </w:rPr>
              <w:t>自筹</w:t>
            </w:r>
            <w:r>
              <w:rPr>
                <w:rFonts w:ascii="Times New Roman" w:hAnsi="Times New Roman" w:eastAsia="宋体" w:cs="Times New Roman"/>
                <w:color w:val="auto"/>
                <w:kern w:val="0"/>
                <w:sz w:val="24"/>
              </w:rPr>
              <w:t>；</w:t>
            </w:r>
          </w:p>
          <w:p w14:paraId="3E17CDCF">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建设单位：</w:t>
            </w:r>
            <w:r>
              <w:rPr>
                <w:rFonts w:hint="default" w:ascii="Times New Roman" w:hAnsi="Times New Roman" w:eastAsia="宋体" w:cs="Times New Roman"/>
                <w:sz w:val="24"/>
                <w:szCs w:val="24"/>
              </w:rPr>
              <w:t>新疆乾进商砼有限公司</w:t>
            </w:r>
            <w:r>
              <w:rPr>
                <w:rFonts w:ascii="Times New Roman" w:hAnsi="Times New Roman" w:eastAsia="宋体" w:cs="Times New Roman"/>
                <w:color w:val="auto"/>
                <w:kern w:val="0"/>
                <w:sz w:val="24"/>
              </w:rPr>
              <w:t>；</w:t>
            </w:r>
          </w:p>
          <w:p w14:paraId="15D94F84">
            <w:pPr>
              <w:autoSpaceDE w:val="0"/>
              <w:autoSpaceDN w:val="0"/>
              <w:adjustRightInd w:val="0"/>
              <w:snapToGrid w:val="0"/>
              <w:spacing w:line="360" w:lineRule="auto"/>
              <w:ind w:firstLine="480" w:firstLineChars="200"/>
              <w:rPr>
                <w:color w:val="auto"/>
                <w:sz w:val="24"/>
              </w:rPr>
            </w:pPr>
            <w:r>
              <w:rPr>
                <w:rFonts w:ascii="Times New Roman" w:hAnsi="Times New Roman" w:eastAsia="宋体" w:cs="Times New Roman"/>
                <w:color w:val="auto"/>
                <w:kern w:val="0"/>
                <w:sz w:val="24"/>
              </w:rPr>
              <w:t>建设性质：</w:t>
            </w:r>
            <w:r>
              <w:rPr>
                <w:rFonts w:hint="eastAsia" w:cs="Times New Roman"/>
                <w:color w:val="auto"/>
                <w:kern w:val="0"/>
                <w:sz w:val="24"/>
                <w:lang w:val="en-US" w:eastAsia="zh-CN"/>
              </w:rPr>
              <w:t>新建</w:t>
            </w:r>
            <w:r>
              <w:rPr>
                <w:color w:val="auto"/>
                <w:sz w:val="24"/>
              </w:rPr>
              <w:t>；</w:t>
            </w:r>
          </w:p>
          <w:p w14:paraId="0B707C39">
            <w:pPr>
              <w:keepNext w:val="0"/>
              <w:keepLines w:val="0"/>
              <w:widowControl/>
              <w:suppressLineNumbers w:val="0"/>
              <w:spacing w:line="360" w:lineRule="auto"/>
              <w:ind w:firstLine="480" w:firstLineChars="200"/>
              <w:jc w:val="left"/>
              <w:rPr>
                <w:rFonts w:hint="eastAsia" w:ascii="Times New Roman" w:hAnsi="Times New Roman" w:eastAsia="宋体" w:cs="Times New Roman"/>
                <w:color w:val="auto"/>
                <w:kern w:val="0"/>
                <w:sz w:val="24"/>
                <w:lang w:eastAsia="zh-CN"/>
              </w:rPr>
            </w:pPr>
            <w:r>
              <w:rPr>
                <w:rFonts w:ascii="Times New Roman" w:hAnsi="Times New Roman" w:eastAsia="宋体" w:cs="Times New Roman"/>
                <w:color w:val="auto"/>
                <w:kern w:val="0"/>
                <w:sz w:val="24"/>
              </w:rPr>
              <w:t>建设地点：项目区位于</w:t>
            </w:r>
            <w:r>
              <w:rPr>
                <w:rFonts w:ascii="Times New Roman" w:hAnsi="Times New Roman" w:eastAsia="宋体" w:cs="Times New Roman"/>
                <w:color w:val="auto"/>
                <w:kern w:val="0"/>
                <w:sz w:val="24"/>
                <w:lang w:val="en-US" w:eastAsia="zh-CN"/>
              </w:rPr>
              <w:t>木垒哈萨克自治县</w:t>
            </w:r>
            <w:r>
              <w:rPr>
                <w:rFonts w:hint="eastAsia" w:cs="Times New Roman"/>
                <w:color w:val="auto"/>
                <w:kern w:val="0"/>
                <w:sz w:val="24"/>
                <w:lang w:val="en-US" w:eastAsia="zh-CN"/>
              </w:rPr>
              <w:t>照壁山乡霍斯阔拉村</w:t>
            </w:r>
            <w:r>
              <w:rPr>
                <w:rFonts w:ascii="Times New Roman" w:hAnsi="Times New Roman" w:eastAsia="宋体" w:cs="Times New Roman"/>
                <w:color w:val="auto"/>
                <w:kern w:val="0"/>
                <w:sz w:val="24"/>
              </w:rPr>
              <w:t>，</w:t>
            </w:r>
            <w:r>
              <w:rPr>
                <w:color w:val="auto"/>
                <w:kern w:val="0"/>
                <w:sz w:val="24"/>
              </w:rPr>
              <w:t>中心地理坐标为：</w:t>
            </w:r>
            <w:r>
              <w:rPr>
                <w:rFonts w:hint="default" w:ascii="Times New Roman" w:hAnsi="Times New Roman" w:eastAsia="宋体" w:cs="Times New Roman"/>
                <w:sz w:val="24"/>
                <w:szCs w:val="24"/>
                <w:lang w:val="en-US" w:eastAsia="zh-CN"/>
              </w:rPr>
              <w:t>东经：</w:t>
            </w:r>
            <w:r>
              <w:rPr>
                <w:rFonts w:hint="default" w:ascii="Times New Roman" w:hAnsi="Times New Roman" w:cs="Times New Roman"/>
                <w:color w:val="auto"/>
                <w:kern w:val="0"/>
                <w:sz w:val="24"/>
              </w:rPr>
              <w:t>90°22′38.005″</w:t>
            </w:r>
            <w:r>
              <w:rPr>
                <w:rFonts w:hint="eastAsia"/>
                <w:color w:val="auto"/>
                <w:kern w:val="0"/>
                <w:sz w:val="24"/>
              </w:rPr>
              <w:t>，</w:t>
            </w:r>
            <w:r>
              <w:rPr>
                <w:rFonts w:hint="default" w:ascii="Times New Roman" w:hAnsi="Times New Roman" w:cs="Times New Roman"/>
                <w:color w:val="auto"/>
                <w:kern w:val="0"/>
                <w:sz w:val="24"/>
              </w:rPr>
              <w:t xml:space="preserve"> 北纬：44°00′16.314″</w:t>
            </w:r>
            <w:r>
              <w:rPr>
                <w:rFonts w:hint="eastAsia"/>
                <w:color w:val="auto"/>
                <w:kern w:val="0"/>
                <w:sz w:val="24"/>
                <w:lang w:eastAsia="zh-CN"/>
              </w:rPr>
              <w:t>，</w:t>
            </w:r>
            <w:r>
              <w:rPr>
                <w:rFonts w:ascii="Times New Roman" w:hAnsi="Times New Roman" w:eastAsia="宋体" w:cs="Times New Roman"/>
                <w:color w:val="auto"/>
                <w:kern w:val="0"/>
                <w:sz w:val="24"/>
              </w:rPr>
              <w:t>项目占地面积</w:t>
            </w:r>
            <w:r>
              <w:rPr>
                <w:rFonts w:hint="eastAsia" w:cs="Times New Roman"/>
                <w:color w:val="auto"/>
                <w:kern w:val="0"/>
                <w:sz w:val="24"/>
                <w:lang w:val="en-US" w:eastAsia="zh-CN"/>
              </w:rPr>
              <w:t>23633.72</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2</w:t>
            </w:r>
            <w:r>
              <w:rPr>
                <w:rFonts w:hint="eastAsia" w:cs="Times New Roman"/>
                <w:color w:val="auto"/>
                <w:kern w:val="0"/>
                <w:sz w:val="24"/>
                <w:vertAlign w:val="baseline"/>
                <w:lang w:eastAsia="zh-CN"/>
              </w:rPr>
              <w:t>，</w:t>
            </w:r>
            <w:r>
              <w:rPr>
                <w:rFonts w:ascii="Times New Roman" w:hAnsi="Times New Roman" w:eastAsia="宋体" w:cs="Times New Roman"/>
                <w:color w:val="auto"/>
                <w:kern w:val="0"/>
                <w:sz w:val="24"/>
              </w:rPr>
              <w:t>项目区</w:t>
            </w:r>
            <w:r>
              <w:rPr>
                <w:rFonts w:hint="eastAsia" w:cs="Times New Roman"/>
                <w:color w:val="auto"/>
                <w:kern w:val="0"/>
                <w:sz w:val="24"/>
                <w:lang w:val="en-US" w:eastAsia="zh-CN"/>
              </w:rPr>
              <w:t>四周</w:t>
            </w:r>
            <w:r>
              <w:rPr>
                <w:rFonts w:ascii="Times New Roman" w:hAnsi="Times New Roman" w:eastAsia="宋体" w:cs="Times New Roman"/>
                <w:color w:val="auto"/>
                <w:kern w:val="0"/>
                <w:sz w:val="24"/>
              </w:rPr>
              <w:t>均为空地</w:t>
            </w:r>
            <w:r>
              <w:rPr>
                <w:rFonts w:hint="eastAsia" w:cs="Times New Roman"/>
                <w:color w:val="auto"/>
                <w:kern w:val="0"/>
                <w:sz w:val="24"/>
                <w:lang w:eastAsia="zh-CN"/>
              </w:rPr>
              <w:t>。</w:t>
            </w:r>
          </w:p>
          <w:p w14:paraId="13BAB49A">
            <w:pPr>
              <w:pStyle w:val="3"/>
              <w:numPr>
                <w:ilvl w:val="0"/>
                <w:numId w:val="0"/>
              </w:numPr>
              <w:spacing w:line="360" w:lineRule="auto"/>
              <w:rPr>
                <w:color w:val="auto"/>
                <w:szCs w:val="24"/>
              </w:rPr>
            </w:pPr>
            <w:r>
              <w:rPr>
                <w:rFonts w:ascii="Times New Roman" w:hAnsi="Times New Roman" w:eastAsia="宋体" w:cs="Times New Roman"/>
                <w:b/>
                <w:bCs/>
                <w:color w:val="auto"/>
                <w:kern w:val="0"/>
                <w:sz w:val="24"/>
                <w:szCs w:val="24"/>
                <w:lang w:val="en-US" w:eastAsia="zh-CN" w:bidi="ar-SA"/>
              </w:rPr>
              <w:t>2.</w:t>
            </w:r>
            <w:r>
              <w:rPr>
                <w:color w:val="auto"/>
                <w:szCs w:val="24"/>
              </w:rPr>
              <w:t>建设项目内容</w:t>
            </w:r>
          </w:p>
          <w:p w14:paraId="460D62AA">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本项目占地面积</w:t>
            </w:r>
            <w:r>
              <w:rPr>
                <w:rFonts w:hint="eastAsia" w:cs="Times New Roman"/>
                <w:color w:val="auto"/>
                <w:kern w:val="0"/>
                <w:sz w:val="24"/>
                <w:lang w:val="en-US" w:eastAsia="zh-CN"/>
              </w:rPr>
              <w:t>23633.72</w:t>
            </w:r>
            <w:r>
              <w:rPr>
                <w:rFonts w:hint="eastAsia" w:ascii="Times New Roman" w:hAnsi="Times New Roman" w:cs="Times New Roman"/>
                <w:color w:val="auto"/>
                <w:kern w:val="0"/>
                <w:sz w:val="24"/>
                <w:lang w:val="en-US" w:eastAsia="zh-CN"/>
              </w:rPr>
              <w:t>m</w:t>
            </w:r>
            <w:r>
              <w:rPr>
                <w:rFonts w:hint="eastAsia" w:ascii="Times New Roman" w:hAnsi="Times New Roman" w:cs="Times New Roman"/>
                <w:color w:val="auto"/>
                <w:kern w:val="0"/>
                <w:sz w:val="24"/>
                <w:vertAlign w:val="superscript"/>
                <w:lang w:val="en-US" w:eastAsia="zh-CN"/>
              </w:rPr>
              <w:t>2</w:t>
            </w:r>
            <w:r>
              <w:rPr>
                <w:rFonts w:hint="default" w:ascii="Times New Roman" w:hAnsi="Times New Roman" w:eastAsia="宋体" w:cs="Times New Roman"/>
                <w:color w:val="auto"/>
                <w:kern w:val="0"/>
                <w:sz w:val="24"/>
              </w:rPr>
              <w:t>，</w:t>
            </w:r>
            <w:r>
              <w:rPr>
                <w:rFonts w:hint="eastAsia" w:cs="Times New Roman"/>
                <w:color w:val="auto"/>
                <w:kern w:val="0"/>
                <w:sz w:val="24"/>
                <w:lang w:val="en-US" w:eastAsia="zh-CN"/>
              </w:rPr>
              <w:t>包括生产厂房、办公室、实验室等附属设施，项目新建2条240混凝土生产线等配套附属设施，</w:t>
            </w:r>
            <w:r>
              <w:rPr>
                <w:rFonts w:hint="default" w:ascii="Times New Roman" w:hAnsi="Times New Roman" w:eastAsia="宋体" w:cs="Times New Roman"/>
                <w:color w:val="auto"/>
                <w:kern w:val="0"/>
                <w:sz w:val="24"/>
                <w:highlight w:val="none"/>
              </w:rPr>
              <w:t>项目投产后建成后年产20万立方米混凝土。</w:t>
            </w:r>
            <w:r>
              <w:rPr>
                <w:rFonts w:hint="default" w:ascii="Times New Roman" w:hAnsi="Times New Roman" w:eastAsia="宋体" w:cs="Times New Roman"/>
                <w:color w:val="auto"/>
                <w:kern w:val="0"/>
                <w:sz w:val="24"/>
              </w:rPr>
              <w:t>项目</w:t>
            </w:r>
            <w:r>
              <w:rPr>
                <w:rFonts w:hint="eastAsia" w:cs="Times New Roman"/>
                <w:color w:val="auto"/>
                <w:kern w:val="0"/>
                <w:sz w:val="24"/>
                <w:lang w:val="en-US" w:eastAsia="zh-CN"/>
              </w:rPr>
              <w:t>工程</w:t>
            </w:r>
            <w:r>
              <w:rPr>
                <w:rFonts w:hint="default" w:ascii="Times New Roman" w:hAnsi="Times New Roman" w:eastAsia="宋体" w:cs="Times New Roman"/>
                <w:color w:val="auto"/>
                <w:kern w:val="0"/>
                <w:sz w:val="24"/>
              </w:rPr>
              <w:t>组成情况见表2-1。</w:t>
            </w:r>
          </w:p>
          <w:p w14:paraId="3F666A14">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表2-1    项目工程组成一览表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325"/>
              <w:gridCol w:w="2781"/>
              <w:gridCol w:w="1444"/>
              <w:gridCol w:w="1148"/>
            </w:tblGrid>
            <w:tr w14:paraId="7032B6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73" w:hRule="exact"/>
                <w:jc w:val="center"/>
              </w:trPr>
              <w:tc>
                <w:tcPr>
                  <w:tcW w:w="783" w:type="pct"/>
                  <w:tcBorders>
                    <w:bottom w:val="single" w:color="auto" w:sz="12" w:space="0"/>
                  </w:tcBorders>
                  <w:vAlign w:val="center"/>
                </w:tcPr>
                <w:p w14:paraId="7F995836">
                  <w:pPr>
                    <w:pStyle w:val="61"/>
                    <w:rPr>
                      <w:b/>
                      <w:bCs/>
                      <w:color w:val="auto"/>
                      <w:sz w:val="21"/>
                      <w:szCs w:val="21"/>
                    </w:rPr>
                  </w:pPr>
                  <w:r>
                    <w:rPr>
                      <w:b/>
                      <w:bCs/>
                      <w:color w:val="auto"/>
                      <w:sz w:val="21"/>
                      <w:szCs w:val="21"/>
                    </w:rPr>
                    <w:t>工程类型</w:t>
                  </w:r>
                </w:p>
              </w:tc>
              <w:tc>
                <w:tcPr>
                  <w:tcW w:w="834" w:type="pct"/>
                  <w:tcBorders>
                    <w:bottom w:val="single" w:color="auto" w:sz="12" w:space="0"/>
                  </w:tcBorders>
                  <w:vAlign w:val="center"/>
                </w:tcPr>
                <w:p w14:paraId="08C800B1">
                  <w:pPr>
                    <w:pStyle w:val="61"/>
                    <w:rPr>
                      <w:b/>
                      <w:bCs/>
                      <w:color w:val="auto"/>
                      <w:sz w:val="21"/>
                      <w:szCs w:val="21"/>
                    </w:rPr>
                  </w:pPr>
                  <w:r>
                    <w:rPr>
                      <w:b/>
                      <w:bCs/>
                      <w:color w:val="auto"/>
                      <w:sz w:val="21"/>
                      <w:szCs w:val="21"/>
                    </w:rPr>
                    <w:t>工程名称</w:t>
                  </w:r>
                </w:p>
              </w:tc>
              <w:tc>
                <w:tcPr>
                  <w:tcW w:w="1750" w:type="pct"/>
                  <w:tcBorders>
                    <w:bottom w:val="single" w:color="auto" w:sz="12" w:space="0"/>
                  </w:tcBorders>
                  <w:vAlign w:val="center"/>
                </w:tcPr>
                <w:p w14:paraId="6F187CC5">
                  <w:pPr>
                    <w:pStyle w:val="61"/>
                    <w:rPr>
                      <w:b/>
                      <w:bCs/>
                      <w:color w:val="auto"/>
                      <w:sz w:val="21"/>
                      <w:szCs w:val="21"/>
                    </w:rPr>
                  </w:pPr>
                  <w:r>
                    <w:rPr>
                      <w:b/>
                      <w:bCs/>
                      <w:color w:val="auto"/>
                      <w:sz w:val="21"/>
                      <w:szCs w:val="21"/>
                    </w:rPr>
                    <w:t>工程内容</w:t>
                  </w:r>
                </w:p>
              </w:tc>
              <w:tc>
                <w:tcPr>
                  <w:tcW w:w="909" w:type="pct"/>
                  <w:tcBorders>
                    <w:bottom w:val="single" w:color="auto" w:sz="12" w:space="0"/>
                  </w:tcBorders>
                  <w:vAlign w:val="center"/>
                </w:tcPr>
                <w:p w14:paraId="23BDB56A">
                  <w:pPr>
                    <w:pStyle w:val="61"/>
                    <w:rPr>
                      <w:b/>
                      <w:bCs/>
                      <w:color w:val="auto"/>
                      <w:sz w:val="21"/>
                      <w:szCs w:val="21"/>
                    </w:rPr>
                  </w:pPr>
                  <w:r>
                    <w:rPr>
                      <w:b/>
                      <w:bCs/>
                      <w:color w:val="auto"/>
                      <w:sz w:val="21"/>
                      <w:szCs w:val="21"/>
                    </w:rPr>
                    <w:t>工程规模</w:t>
                  </w:r>
                </w:p>
              </w:tc>
              <w:tc>
                <w:tcPr>
                  <w:tcW w:w="722" w:type="pct"/>
                  <w:tcBorders>
                    <w:bottom w:val="single" w:color="auto" w:sz="12" w:space="0"/>
                  </w:tcBorders>
                  <w:vAlign w:val="center"/>
                </w:tcPr>
                <w:p w14:paraId="527EBE88">
                  <w:pPr>
                    <w:pStyle w:val="61"/>
                    <w:rPr>
                      <w:b/>
                      <w:bCs/>
                      <w:color w:val="auto"/>
                      <w:sz w:val="21"/>
                      <w:szCs w:val="21"/>
                    </w:rPr>
                  </w:pPr>
                  <w:r>
                    <w:rPr>
                      <w:b/>
                      <w:bCs/>
                      <w:color w:val="auto"/>
                      <w:sz w:val="21"/>
                      <w:szCs w:val="21"/>
                    </w:rPr>
                    <w:t>备注</w:t>
                  </w:r>
                </w:p>
              </w:tc>
            </w:tr>
            <w:tr w14:paraId="7E8649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83" w:type="pct"/>
                  <w:tcBorders>
                    <w:top w:val="single" w:color="auto" w:sz="12" w:space="0"/>
                    <w:tl2br w:val="nil"/>
                    <w:tr2bl w:val="nil"/>
                  </w:tcBorders>
                  <w:vAlign w:val="center"/>
                </w:tcPr>
                <w:p w14:paraId="6E5D2CD9">
                  <w:pPr>
                    <w:pStyle w:val="61"/>
                    <w:rPr>
                      <w:color w:val="auto"/>
                      <w:sz w:val="21"/>
                      <w:szCs w:val="21"/>
                    </w:rPr>
                  </w:pPr>
                  <w:r>
                    <w:rPr>
                      <w:color w:val="auto"/>
                      <w:sz w:val="21"/>
                      <w:szCs w:val="21"/>
                    </w:rPr>
                    <w:t>主体工程</w:t>
                  </w:r>
                </w:p>
              </w:tc>
              <w:tc>
                <w:tcPr>
                  <w:tcW w:w="834" w:type="pct"/>
                  <w:tcBorders>
                    <w:top w:val="single" w:color="auto" w:sz="12" w:space="0"/>
                    <w:tl2br w:val="nil"/>
                    <w:tr2bl w:val="nil"/>
                  </w:tcBorders>
                  <w:vAlign w:val="center"/>
                </w:tcPr>
                <w:p w14:paraId="12B78A5B">
                  <w:pPr>
                    <w:pStyle w:val="61"/>
                    <w:rPr>
                      <w:rFonts w:hint="default" w:eastAsia="宋体"/>
                      <w:color w:val="auto"/>
                      <w:sz w:val="21"/>
                      <w:szCs w:val="21"/>
                      <w:lang w:val="en-US" w:eastAsia="zh-CN"/>
                    </w:rPr>
                  </w:pPr>
                  <w:r>
                    <w:rPr>
                      <w:rFonts w:hint="eastAsia"/>
                      <w:color w:val="auto"/>
                      <w:sz w:val="21"/>
                      <w:szCs w:val="21"/>
                      <w:lang w:val="en-US" w:eastAsia="zh-CN"/>
                    </w:rPr>
                    <w:t>搅拌楼</w:t>
                  </w:r>
                </w:p>
              </w:tc>
              <w:tc>
                <w:tcPr>
                  <w:tcW w:w="1750" w:type="pct"/>
                  <w:tcBorders>
                    <w:top w:val="single" w:color="auto" w:sz="12" w:space="0"/>
                    <w:bottom w:val="single" w:color="auto" w:sz="6" w:space="0"/>
                  </w:tcBorders>
                  <w:vAlign w:val="center"/>
                </w:tcPr>
                <w:p w14:paraId="20A27C66">
                  <w:pPr>
                    <w:jc w:val="center"/>
                    <w:rPr>
                      <w:color w:val="auto"/>
                      <w:sz w:val="21"/>
                      <w:szCs w:val="21"/>
                    </w:rPr>
                  </w:pPr>
                  <w:r>
                    <w:rPr>
                      <w:color w:val="auto"/>
                      <w:sz w:val="21"/>
                      <w:szCs w:val="21"/>
                    </w:rPr>
                    <w:t>密闭搅拌楼，内设</w:t>
                  </w:r>
                  <w:r>
                    <w:rPr>
                      <w:rFonts w:hint="eastAsia"/>
                      <w:color w:val="auto"/>
                      <w:sz w:val="21"/>
                      <w:szCs w:val="21"/>
                      <w:lang w:val="en-US" w:eastAsia="zh-CN"/>
                    </w:rPr>
                    <w:t>2</w:t>
                  </w:r>
                  <w:r>
                    <w:rPr>
                      <w:color w:val="auto"/>
                      <w:sz w:val="21"/>
                      <w:szCs w:val="21"/>
                    </w:rPr>
                    <w:t>条240</w:t>
                  </w:r>
                  <w:r>
                    <w:rPr>
                      <w:rFonts w:hint="eastAsia"/>
                      <w:color w:val="auto"/>
                      <w:sz w:val="21"/>
                      <w:szCs w:val="21"/>
                      <w:lang w:val="en-US" w:eastAsia="zh-CN"/>
                    </w:rPr>
                    <w:t>m</w:t>
                  </w:r>
                  <w:r>
                    <w:rPr>
                      <w:rFonts w:hint="eastAsia"/>
                      <w:color w:val="auto"/>
                      <w:sz w:val="21"/>
                      <w:szCs w:val="21"/>
                      <w:vertAlign w:val="superscript"/>
                      <w:lang w:val="en-US" w:eastAsia="zh-CN"/>
                    </w:rPr>
                    <w:t>3</w:t>
                  </w:r>
                  <w:r>
                    <w:rPr>
                      <w:rFonts w:hint="eastAsia"/>
                      <w:color w:val="auto"/>
                      <w:sz w:val="21"/>
                      <w:szCs w:val="21"/>
                      <w:vertAlign w:val="baseline"/>
                      <w:lang w:val="en-US" w:eastAsia="zh-CN"/>
                    </w:rPr>
                    <w:t>/h</w:t>
                  </w:r>
                  <w:r>
                    <w:rPr>
                      <w:color w:val="auto"/>
                      <w:sz w:val="21"/>
                      <w:szCs w:val="21"/>
                    </w:rPr>
                    <w:t>混凝土生产线，配置</w:t>
                  </w:r>
                  <w:r>
                    <w:rPr>
                      <w:rFonts w:hint="eastAsia"/>
                      <w:color w:val="auto"/>
                      <w:sz w:val="21"/>
                      <w:szCs w:val="21"/>
                      <w:lang w:val="en-US" w:eastAsia="zh-CN"/>
                    </w:rPr>
                    <w:t>2</w:t>
                  </w:r>
                  <w:r>
                    <w:rPr>
                      <w:color w:val="auto"/>
                      <w:sz w:val="21"/>
                      <w:szCs w:val="21"/>
                    </w:rPr>
                    <w:t>套搅拌设备</w:t>
                  </w:r>
                </w:p>
              </w:tc>
              <w:tc>
                <w:tcPr>
                  <w:tcW w:w="909" w:type="pct"/>
                  <w:tcBorders>
                    <w:top w:val="single" w:color="auto" w:sz="12" w:space="0"/>
                    <w:bottom w:val="single" w:color="auto" w:sz="6" w:space="0"/>
                  </w:tcBorders>
                  <w:vAlign w:val="center"/>
                </w:tcPr>
                <w:p w14:paraId="4DD5D3FF">
                  <w:pPr>
                    <w:pStyle w:val="61"/>
                    <w:rPr>
                      <w:color w:val="auto"/>
                      <w:sz w:val="21"/>
                      <w:szCs w:val="21"/>
                    </w:rPr>
                  </w:pPr>
                  <w:r>
                    <w:rPr>
                      <w:color w:val="auto"/>
                      <w:sz w:val="21"/>
                      <w:szCs w:val="21"/>
                    </w:rPr>
                    <w:t>占地</w:t>
                  </w:r>
                  <w:r>
                    <w:rPr>
                      <w:rFonts w:hint="eastAsia"/>
                      <w:color w:val="auto"/>
                      <w:sz w:val="21"/>
                      <w:szCs w:val="21"/>
                      <w:lang w:val="en-US" w:eastAsia="zh-CN"/>
                    </w:rPr>
                    <w:t>5</w:t>
                  </w:r>
                  <w:r>
                    <w:rPr>
                      <w:color w:val="auto"/>
                      <w:sz w:val="21"/>
                      <w:szCs w:val="21"/>
                    </w:rPr>
                    <w:t>00</w:t>
                  </w:r>
                  <w:r>
                    <w:rPr>
                      <w:color w:val="auto"/>
                      <w:sz w:val="21"/>
                      <w:szCs w:val="21"/>
                      <w:lang w:val="zh-CN"/>
                    </w:rPr>
                    <w:t>m</w:t>
                  </w:r>
                  <w:r>
                    <w:rPr>
                      <w:color w:val="auto"/>
                      <w:sz w:val="21"/>
                      <w:szCs w:val="21"/>
                      <w:vertAlign w:val="superscript"/>
                      <w:lang w:val="zh-CN"/>
                    </w:rPr>
                    <w:t>2</w:t>
                  </w:r>
                </w:p>
              </w:tc>
              <w:tc>
                <w:tcPr>
                  <w:tcW w:w="722" w:type="pct"/>
                  <w:tcBorders>
                    <w:top w:val="single" w:color="auto" w:sz="12" w:space="0"/>
                    <w:bottom w:val="single" w:color="auto" w:sz="6" w:space="0"/>
                  </w:tcBorders>
                  <w:vAlign w:val="center"/>
                </w:tcPr>
                <w:p w14:paraId="4A55D59A">
                  <w:pPr>
                    <w:pStyle w:val="61"/>
                    <w:rPr>
                      <w:rFonts w:hint="eastAsia" w:eastAsia="宋体"/>
                      <w:color w:val="auto"/>
                      <w:sz w:val="21"/>
                      <w:szCs w:val="21"/>
                      <w:lang w:eastAsia="zh-CN"/>
                    </w:rPr>
                  </w:pPr>
                  <w:r>
                    <w:rPr>
                      <w:rFonts w:hint="eastAsia"/>
                      <w:color w:val="auto"/>
                      <w:sz w:val="21"/>
                      <w:szCs w:val="21"/>
                      <w:lang w:val="en-US" w:eastAsia="zh-CN"/>
                    </w:rPr>
                    <w:t>新建</w:t>
                  </w:r>
                </w:p>
              </w:tc>
            </w:tr>
            <w:tr w14:paraId="0FDA13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83" w:type="pct"/>
                  <w:vMerge w:val="restart"/>
                  <w:tcBorders>
                    <w:tl2br w:val="nil"/>
                    <w:tr2bl w:val="nil"/>
                  </w:tcBorders>
                  <w:vAlign w:val="center"/>
                </w:tcPr>
                <w:p w14:paraId="5EA01D1A">
                  <w:pPr>
                    <w:pStyle w:val="61"/>
                    <w:rPr>
                      <w:rFonts w:hint="eastAsia" w:eastAsia="宋体"/>
                      <w:color w:val="auto"/>
                      <w:sz w:val="21"/>
                      <w:szCs w:val="21"/>
                      <w:lang w:val="en-US" w:eastAsia="zh-CN"/>
                    </w:rPr>
                  </w:pPr>
                  <w:r>
                    <w:rPr>
                      <w:rFonts w:hint="eastAsia"/>
                      <w:color w:val="auto"/>
                      <w:sz w:val="21"/>
                      <w:szCs w:val="21"/>
                      <w:lang w:val="en-US" w:eastAsia="zh-CN"/>
                    </w:rPr>
                    <w:t>储运工程</w:t>
                  </w:r>
                </w:p>
              </w:tc>
              <w:tc>
                <w:tcPr>
                  <w:tcW w:w="834" w:type="pct"/>
                  <w:tcBorders>
                    <w:tl2br w:val="nil"/>
                    <w:tr2bl w:val="nil"/>
                  </w:tcBorders>
                  <w:vAlign w:val="center"/>
                </w:tcPr>
                <w:p w14:paraId="18ED7E83">
                  <w:pPr>
                    <w:pStyle w:val="61"/>
                    <w:rPr>
                      <w:color w:val="auto"/>
                      <w:sz w:val="21"/>
                      <w:szCs w:val="21"/>
                    </w:rPr>
                  </w:pPr>
                  <w:r>
                    <w:rPr>
                      <w:color w:val="auto"/>
                      <w:sz w:val="21"/>
                      <w:szCs w:val="21"/>
                    </w:rPr>
                    <w:t>筒仓</w:t>
                  </w:r>
                </w:p>
              </w:tc>
              <w:tc>
                <w:tcPr>
                  <w:tcW w:w="1750" w:type="pct"/>
                  <w:tcBorders>
                    <w:tl2br w:val="nil"/>
                    <w:tr2bl w:val="nil"/>
                  </w:tcBorders>
                  <w:vAlign w:val="center"/>
                </w:tcPr>
                <w:p w14:paraId="7E730244">
                  <w:pPr>
                    <w:pStyle w:val="61"/>
                    <w:rPr>
                      <w:color w:val="auto"/>
                      <w:sz w:val="21"/>
                      <w:szCs w:val="21"/>
                    </w:rPr>
                  </w:pPr>
                  <w:r>
                    <w:rPr>
                      <w:color w:val="auto"/>
                      <w:sz w:val="21"/>
                      <w:szCs w:val="21"/>
                    </w:rPr>
                    <w:t>粉料筒仓</w:t>
                  </w:r>
                </w:p>
              </w:tc>
              <w:tc>
                <w:tcPr>
                  <w:tcW w:w="909" w:type="pct"/>
                  <w:tcBorders>
                    <w:tl2br w:val="nil"/>
                    <w:tr2bl w:val="nil"/>
                  </w:tcBorders>
                  <w:vAlign w:val="center"/>
                </w:tcPr>
                <w:p w14:paraId="4AFA8055">
                  <w:pPr>
                    <w:pStyle w:val="61"/>
                    <w:rPr>
                      <w:color w:val="auto"/>
                      <w:sz w:val="21"/>
                      <w:szCs w:val="21"/>
                    </w:rPr>
                  </w:pPr>
                  <w:r>
                    <w:rPr>
                      <w:rFonts w:hint="eastAsia"/>
                      <w:color w:val="auto"/>
                      <w:sz w:val="21"/>
                      <w:szCs w:val="21"/>
                      <w:lang w:val="en-US" w:eastAsia="zh-CN"/>
                    </w:rPr>
                    <w:t>4</w:t>
                  </w:r>
                  <w:r>
                    <w:rPr>
                      <w:color w:val="auto"/>
                      <w:sz w:val="21"/>
                      <w:szCs w:val="21"/>
                    </w:rPr>
                    <w:t>个，</w:t>
                  </w:r>
                  <w:r>
                    <w:rPr>
                      <w:rFonts w:hint="eastAsia"/>
                      <w:color w:val="auto"/>
                      <w:sz w:val="21"/>
                      <w:szCs w:val="21"/>
                    </w:rPr>
                    <w:t>300</w:t>
                  </w:r>
                  <w:r>
                    <w:rPr>
                      <w:color w:val="auto"/>
                      <w:sz w:val="21"/>
                      <w:szCs w:val="21"/>
                      <w:lang w:val="zh-CN"/>
                    </w:rPr>
                    <w:t>m</w:t>
                  </w:r>
                  <w:r>
                    <w:rPr>
                      <w:rFonts w:hint="eastAsia"/>
                      <w:color w:val="auto"/>
                      <w:sz w:val="21"/>
                      <w:szCs w:val="21"/>
                      <w:vertAlign w:val="superscript"/>
                    </w:rPr>
                    <w:t>3</w:t>
                  </w:r>
                  <w:r>
                    <w:rPr>
                      <w:color w:val="auto"/>
                      <w:sz w:val="21"/>
                      <w:szCs w:val="21"/>
                    </w:rPr>
                    <w:t>/个</w:t>
                  </w:r>
                </w:p>
              </w:tc>
              <w:tc>
                <w:tcPr>
                  <w:tcW w:w="722" w:type="pct"/>
                  <w:tcBorders>
                    <w:tl2br w:val="nil"/>
                    <w:tr2bl w:val="nil"/>
                  </w:tcBorders>
                  <w:vAlign w:val="center"/>
                </w:tcPr>
                <w:p w14:paraId="73E89FE9">
                  <w:pPr>
                    <w:pStyle w:val="61"/>
                    <w:rPr>
                      <w:rFonts w:hint="eastAsia" w:eastAsia="宋体"/>
                      <w:color w:val="auto"/>
                      <w:sz w:val="21"/>
                      <w:szCs w:val="21"/>
                      <w:lang w:val="en-US" w:eastAsia="zh-CN"/>
                    </w:rPr>
                  </w:pPr>
                  <w:r>
                    <w:rPr>
                      <w:rFonts w:hint="eastAsia"/>
                      <w:color w:val="auto"/>
                      <w:sz w:val="21"/>
                      <w:szCs w:val="21"/>
                      <w:lang w:val="en-US" w:eastAsia="zh-CN"/>
                    </w:rPr>
                    <w:t>新建</w:t>
                  </w:r>
                </w:p>
              </w:tc>
            </w:tr>
            <w:tr w14:paraId="7115B4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83" w:type="pct"/>
                  <w:vMerge w:val="continue"/>
                  <w:tcBorders>
                    <w:tl2br w:val="nil"/>
                    <w:tr2bl w:val="nil"/>
                  </w:tcBorders>
                  <w:vAlign w:val="center"/>
                </w:tcPr>
                <w:p w14:paraId="66579583">
                  <w:pPr>
                    <w:pStyle w:val="61"/>
                    <w:rPr>
                      <w:rFonts w:hint="eastAsia"/>
                      <w:color w:val="auto"/>
                      <w:sz w:val="21"/>
                      <w:szCs w:val="21"/>
                      <w:lang w:val="en-US" w:eastAsia="zh-CN"/>
                    </w:rPr>
                  </w:pPr>
                </w:p>
              </w:tc>
              <w:tc>
                <w:tcPr>
                  <w:tcW w:w="834" w:type="pct"/>
                  <w:tcBorders>
                    <w:tl2br w:val="nil"/>
                    <w:tr2bl w:val="nil"/>
                  </w:tcBorders>
                  <w:vAlign w:val="center"/>
                </w:tcPr>
                <w:p w14:paraId="6581D1F1">
                  <w:pPr>
                    <w:pStyle w:val="61"/>
                    <w:rPr>
                      <w:rFonts w:hint="eastAsia" w:eastAsia="宋体"/>
                      <w:color w:val="auto"/>
                      <w:sz w:val="21"/>
                      <w:szCs w:val="21"/>
                      <w:lang w:val="en-US" w:eastAsia="zh-CN"/>
                    </w:rPr>
                  </w:pPr>
                  <w:r>
                    <w:rPr>
                      <w:rFonts w:hint="eastAsia"/>
                      <w:color w:val="auto"/>
                      <w:sz w:val="21"/>
                      <w:szCs w:val="21"/>
                      <w:lang w:val="en-US" w:eastAsia="zh-CN"/>
                    </w:rPr>
                    <w:t>砂石料堆场</w:t>
                  </w:r>
                </w:p>
              </w:tc>
              <w:tc>
                <w:tcPr>
                  <w:tcW w:w="1750" w:type="pct"/>
                  <w:tcBorders>
                    <w:tl2br w:val="nil"/>
                    <w:tr2bl w:val="nil"/>
                  </w:tcBorders>
                  <w:vAlign w:val="center"/>
                </w:tcPr>
                <w:p w14:paraId="4D121503">
                  <w:pPr>
                    <w:pStyle w:val="61"/>
                    <w:rPr>
                      <w:rFonts w:hint="default" w:eastAsia="宋体"/>
                      <w:color w:val="auto"/>
                      <w:sz w:val="21"/>
                      <w:szCs w:val="21"/>
                      <w:lang w:val="en-US" w:eastAsia="zh-CN"/>
                    </w:rPr>
                  </w:pPr>
                  <w:r>
                    <w:rPr>
                      <w:rFonts w:hint="eastAsia"/>
                      <w:color w:val="auto"/>
                      <w:sz w:val="21"/>
                      <w:szCs w:val="21"/>
                      <w:lang w:val="en-US" w:eastAsia="zh-CN"/>
                    </w:rPr>
                    <w:t>半封闭式，用于存放砂石料</w:t>
                  </w:r>
                </w:p>
              </w:tc>
              <w:tc>
                <w:tcPr>
                  <w:tcW w:w="909" w:type="pct"/>
                  <w:tcBorders>
                    <w:tl2br w:val="nil"/>
                    <w:tr2bl w:val="nil"/>
                  </w:tcBorders>
                  <w:vAlign w:val="center"/>
                </w:tcPr>
                <w:p w14:paraId="028B4063">
                  <w:pPr>
                    <w:pStyle w:val="61"/>
                    <w:rPr>
                      <w:rFonts w:hint="eastAsia"/>
                      <w:color w:val="auto"/>
                      <w:sz w:val="21"/>
                      <w:szCs w:val="21"/>
                    </w:rPr>
                  </w:pPr>
                  <w:r>
                    <w:rPr>
                      <w:color w:val="auto"/>
                      <w:sz w:val="21"/>
                      <w:szCs w:val="21"/>
                    </w:rPr>
                    <w:t>30</w:t>
                  </w:r>
                  <w:r>
                    <w:rPr>
                      <w:rFonts w:hint="eastAsia"/>
                      <w:color w:val="auto"/>
                      <w:sz w:val="21"/>
                      <w:szCs w:val="21"/>
                      <w:lang w:val="en-US" w:eastAsia="zh-CN"/>
                    </w:rPr>
                    <w:t>0</w:t>
                  </w:r>
                  <w:r>
                    <w:rPr>
                      <w:color w:val="auto"/>
                      <w:sz w:val="21"/>
                      <w:szCs w:val="21"/>
                    </w:rPr>
                    <w:t>0</w:t>
                  </w:r>
                  <w:r>
                    <w:rPr>
                      <w:color w:val="auto"/>
                      <w:sz w:val="21"/>
                      <w:szCs w:val="21"/>
                      <w:lang w:val="zh-CN"/>
                    </w:rPr>
                    <w:t>m</w:t>
                  </w:r>
                  <w:r>
                    <w:rPr>
                      <w:color w:val="auto"/>
                      <w:sz w:val="21"/>
                      <w:szCs w:val="21"/>
                      <w:vertAlign w:val="superscript"/>
                      <w:lang w:val="zh-CN"/>
                    </w:rPr>
                    <w:t>2</w:t>
                  </w:r>
                </w:p>
              </w:tc>
              <w:tc>
                <w:tcPr>
                  <w:tcW w:w="722" w:type="pct"/>
                  <w:tcBorders>
                    <w:tl2br w:val="nil"/>
                    <w:tr2bl w:val="nil"/>
                  </w:tcBorders>
                  <w:vAlign w:val="center"/>
                </w:tcPr>
                <w:p w14:paraId="300A762E">
                  <w:pPr>
                    <w:pStyle w:val="61"/>
                    <w:rPr>
                      <w:rFonts w:hint="eastAsia"/>
                      <w:color w:val="auto"/>
                      <w:sz w:val="21"/>
                      <w:szCs w:val="21"/>
                      <w:lang w:val="en-US" w:eastAsia="zh-CN"/>
                    </w:rPr>
                  </w:pPr>
                  <w:r>
                    <w:rPr>
                      <w:rFonts w:hint="eastAsia"/>
                      <w:color w:val="auto"/>
                      <w:sz w:val="21"/>
                      <w:szCs w:val="21"/>
                      <w:lang w:val="en-US" w:eastAsia="zh-CN"/>
                    </w:rPr>
                    <w:t>新建</w:t>
                  </w:r>
                </w:p>
              </w:tc>
            </w:tr>
            <w:tr w14:paraId="71BEB3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3" w:type="pct"/>
                  <w:vMerge w:val="continue"/>
                  <w:tcBorders>
                    <w:tl2br w:val="nil"/>
                    <w:tr2bl w:val="nil"/>
                  </w:tcBorders>
                  <w:vAlign w:val="center"/>
                </w:tcPr>
                <w:p w14:paraId="3991BC05">
                  <w:pPr>
                    <w:pStyle w:val="61"/>
                    <w:rPr>
                      <w:color w:val="auto"/>
                      <w:sz w:val="21"/>
                      <w:szCs w:val="21"/>
                    </w:rPr>
                  </w:pPr>
                </w:p>
              </w:tc>
              <w:tc>
                <w:tcPr>
                  <w:tcW w:w="834" w:type="pct"/>
                  <w:tcBorders>
                    <w:tl2br w:val="nil"/>
                    <w:tr2bl w:val="nil"/>
                  </w:tcBorders>
                  <w:vAlign w:val="center"/>
                </w:tcPr>
                <w:p w14:paraId="347A667E">
                  <w:pPr>
                    <w:pStyle w:val="61"/>
                    <w:rPr>
                      <w:color w:val="auto"/>
                      <w:sz w:val="21"/>
                      <w:szCs w:val="21"/>
                    </w:rPr>
                  </w:pPr>
                  <w:r>
                    <w:rPr>
                      <w:color w:val="auto"/>
                      <w:sz w:val="21"/>
                      <w:szCs w:val="21"/>
                    </w:rPr>
                    <w:t>输送廊道</w:t>
                  </w:r>
                </w:p>
              </w:tc>
              <w:tc>
                <w:tcPr>
                  <w:tcW w:w="1750" w:type="pct"/>
                  <w:tcBorders>
                    <w:tl2br w:val="nil"/>
                    <w:tr2bl w:val="nil"/>
                  </w:tcBorders>
                  <w:vAlign w:val="center"/>
                </w:tcPr>
                <w:p w14:paraId="229F9E63">
                  <w:pPr>
                    <w:pStyle w:val="61"/>
                    <w:rPr>
                      <w:color w:val="auto"/>
                      <w:sz w:val="21"/>
                      <w:szCs w:val="21"/>
                    </w:rPr>
                  </w:pPr>
                  <w:r>
                    <w:rPr>
                      <w:color w:val="auto"/>
                      <w:sz w:val="21"/>
                      <w:szCs w:val="21"/>
                    </w:rPr>
                    <w:t>封闭输送廊道</w:t>
                  </w:r>
                </w:p>
              </w:tc>
              <w:tc>
                <w:tcPr>
                  <w:tcW w:w="909" w:type="pct"/>
                  <w:tcBorders>
                    <w:tl2br w:val="nil"/>
                    <w:tr2bl w:val="nil"/>
                  </w:tcBorders>
                  <w:vAlign w:val="center"/>
                </w:tcPr>
                <w:p w14:paraId="75F9DFE1">
                  <w:pPr>
                    <w:pStyle w:val="61"/>
                    <w:rPr>
                      <w:color w:val="auto"/>
                      <w:sz w:val="21"/>
                      <w:szCs w:val="21"/>
                    </w:rPr>
                  </w:pPr>
                  <w:r>
                    <w:rPr>
                      <w:color w:val="auto"/>
                      <w:sz w:val="21"/>
                      <w:szCs w:val="21"/>
                    </w:rPr>
                    <w:t>/</w:t>
                  </w:r>
                </w:p>
              </w:tc>
              <w:tc>
                <w:tcPr>
                  <w:tcW w:w="722" w:type="pct"/>
                  <w:tcBorders>
                    <w:tl2br w:val="nil"/>
                    <w:tr2bl w:val="nil"/>
                  </w:tcBorders>
                  <w:vAlign w:val="center"/>
                </w:tcPr>
                <w:p w14:paraId="29A9558D">
                  <w:pPr>
                    <w:pStyle w:val="61"/>
                    <w:rPr>
                      <w:rFonts w:hint="eastAsia" w:eastAsia="宋体"/>
                      <w:color w:val="auto"/>
                      <w:sz w:val="21"/>
                      <w:szCs w:val="21"/>
                      <w:lang w:val="en-US" w:eastAsia="zh-CN"/>
                    </w:rPr>
                  </w:pPr>
                  <w:r>
                    <w:rPr>
                      <w:rFonts w:hint="eastAsia"/>
                      <w:color w:val="auto"/>
                      <w:sz w:val="21"/>
                      <w:szCs w:val="21"/>
                      <w:lang w:val="en-US" w:eastAsia="zh-CN"/>
                    </w:rPr>
                    <w:t>新建</w:t>
                  </w:r>
                </w:p>
              </w:tc>
            </w:tr>
            <w:tr w14:paraId="67ACDF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3" w:type="pct"/>
                  <w:vMerge w:val="continue"/>
                  <w:tcBorders>
                    <w:tl2br w:val="nil"/>
                    <w:tr2bl w:val="nil"/>
                  </w:tcBorders>
                  <w:vAlign w:val="center"/>
                </w:tcPr>
                <w:p w14:paraId="15BB6312">
                  <w:pPr>
                    <w:pStyle w:val="61"/>
                    <w:rPr>
                      <w:color w:val="auto"/>
                      <w:sz w:val="21"/>
                      <w:szCs w:val="21"/>
                    </w:rPr>
                  </w:pPr>
                </w:p>
              </w:tc>
              <w:tc>
                <w:tcPr>
                  <w:tcW w:w="834" w:type="pct"/>
                  <w:tcBorders>
                    <w:tl2br w:val="nil"/>
                    <w:tr2bl w:val="nil"/>
                  </w:tcBorders>
                  <w:vAlign w:val="center"/>
                </w:tcPr>
                <w:p w14:paraId="2B95ABDA">
                  <w:pPr>
                    <w:pStyle w:val="11"/>
                    <w:spacing w:after="0"/>
                    <w:ind w:left="0" w:leftChars="0"/>
                    <w:jc w:val="center"/>
                    <w:rPr>
                      <w:color w:val="auto"/>
                      <w:sz w:val="21"/>
                      <w:szCs w:val="21"/>
                    </w:rPr>
                  </w:pPr>
                  <w:r>
                    <w:rPr>
                      <w:color w:val="auto"/>
                      <w:sz w:val="21"/>
                      <w:szCs w:val="21"/>
                    </w:rPr>
                    <w:t>运输</w:t>
                  </w:r>
                </w:p>
              </w:tc>
              <w:tc>
                <w:tcPr>
                  <w:tcW w:w="1750" w:type="pct"/>
                  <w:tcBorders>
                    <w:tl2br w:val="nil"/>
                    <w:tr2bl w:val="nil"/>
                  </w:tcBorders>
                  <w:vAlign w:val="center"/>
                </w:tcPr>
                <w:p w14:paraId="0EEDB24F">
                  <w:pPr>
                    <w:pStyle w:val="11"/>
                    <w:spacing w:after="0"/>
                    <w:ind w:left="0" w:leftChars="0"/>
                    <w:jc w:val="center"/>
                    <w:rPr>
                      <w:color w:val="auto"/>
                      <w:sz w:val="21"/>
                      <w:szCs w:val="21"/>
                    </w:rPr>
                  </w:pPr>
                  <w:r>
                    <w:rPr>
                      <w:color w:val="auto"/>
                      <w:sz w:val="21"/>
                      <w:szCs w:val="21"/>
                    </w:rPr>
                    <w:t>装载机</w:t>
                  </w:r>
                  <w:r>
                    <w:rPr>
                      <w:rFonts w:hint="eastAsia"/>
                      <w:color w:val="auto"/>
                      <w:sz w:val="21"/>
                      <w:szCs w:val="21"/>
                      <w:lang w:val="en-US" w:eastAsia="zh-CN"/>
                    </w:rPr>
                    <w:t>4</w:t>
                  </w:r>
                  <w:r>
                    <w:rPr>
                      <w:color w:val="auto"/>
                      <w:sz w:val="21"/>
                      <w:szCs w:val="21"/>
                    </w:rPr>
                    <w:t>辆，混凝土罐车</w:t>
                  </w:r>
                  <w:r>
                    <w:rPr>
                      <w:rFonts w:hint="eastAsia"/>
                      <w:color w:val="auto"/>
                      <w:sz w:val="21"/>
                      <w:szCs w:val="21"/>
                      <w:lang w:val="en-US" w:eastAsia="zh-CN"/>
                    </w:rPr>
                    <w:t>20</w:t>
                  </w:r>
                  <w:r>
                    <w:rPr>
                      <w:color w:val="auto"/>
                      <w:sz w:val="21"/>
                      <w:szCs w:val="21"/>
                    </w:rPr>
                    <w:t>台</w:t>
                  </w:r>
                </w:p>
              </w:tc>
              <w:tc>
                <w:tcPr>
                  <w:tcW w:w="909" w:type="pct"/>
                  <w:tcBorders>
                    <w:tl2br w:val="nil"/>
                    <w:tr2bl w:val="nil"/>
                  </w:tcBorders>
                  <w:vAlign w:val="center"/>
                </w:tcPr>
                <w:p w14:paraId="652B2E56">
                  <w:pPr>
                    <w:pStyle w:val="11"/>
                    <w:spacing w:after="0"/>
                    <w:ind w:left="0" w:leftChars="0"/>
                    <w:jc w:val="center"/>
                    <w:rPr>
                      <w:color w:val="auto"/>
                      <w:sz w:val="21"/>
                      <w:szCs w:val="21"/>
                    </w:rPr>
                  </w:pPr>
                  <w:r>
                    <w:rPr>
                      <w:color w:val="auto"/>
                      <w:sz w:val="21"/>
                      <w:szCs w:val="21"/>
                    </w:rPr>
                    <w:t>/</w:t>
                  </w:r>
                </w:p>
              </w:tc>
              <w:tc>
                <w:tcPr>
                  <w:tcW w:w="722" w:type="pct"/>
                  <w:tcBorders>
                    <w:tl2br w:val="nil"/>
                    <w:tr2bl w:val="nil"/>
                  </w:tcBorders>
                  <w:vAlign w:val="center"/>
                </w:tcPr>
                <w:p w14:paraId="13BD1A7C">
                  <w:pPr>
                    <w:pStyle w:val="11"/>
                    <w:spacing w:after="0"/>
                    <w:ind w:left="0" w:leftChars="0"/>
                    <w:jc w:val="center"/>
                    <w:rPr>
                      <w:color w:val="auto"/>
                      <w:sz w:val="21"/>
                      <w:szCs w:val="21"/>
                    </w:rPr>
                  </w:pPr>
                  <w:r>
                    <w:rPr>
                      <w:color w:val="auto"/>
                      <w:sz w:val="21"/>
                      <w:szCs w:val="21"/>
                    </w:rPr>
                    <w:t>运输</w:t>
                  </w:r>
                </w:p>
              </w:tc>
            </w:tr>
            <w:tr w14:paraId="7095AE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3" w:type="pct"/>
                  <w:vMerge w:val="continue"/>
                  <w:tcBorders>
                    <w:tl2br w:val="nil"/>
                    <w:tr2bl w:val="nil"/>
                  </w:tcBorders>
                  <w:vAlign w:val="center"/>
                </w:tcPr>
                <w:p w14:paraId="13481C52">
                  <w:pPr>
                    <w:pStyle w:val="61"/>
                    <w:rPr>
                      <w:color w:val="auto"/>
                      <w:sz w:val="21"/>
                      <w:szCs w:val="21"/>
                    </w:rPr>
                  </w:pPr>
                </w:p>
              </w:tc>
              <w:tc>
                <w:tcPr>
                  <w:tcW w:w="834" w:type="pct"/>
                  <w:tcBorders>
                    <w:tl2br w:val="nil"/>
                    <w:tr2bl w:val="nil"/>
                  </w:tcBorders>
                  <w:vAlign w:val="center"/>
                </w:tcPr>
                <w:p w14:paraId="2125B7AC">
                  <w:pPr>
                    <w:pStyle w:val="11"/>
                    <w:spacing w:after="0"/>
                    <w:ind w:left="0" w:leftChars="0"/>
                    <w:jc w:val="center"/>
                    <w:rPr>
                      <w:rFonts w:hint="eastAsia" w:eastAsia="宋体"/>
                      <w:color w:val="auto"/>
                      <w:sz w:val="21"/>
                      <w:szCs w:val="21"/>
                      <w:lang w:val="en-US" w:eastAsia="zh-CN"/>
                    </w:rPr>
                  </w:pPr>
                  <w:r>
                    <w:rPr>
                      <w:rFonts w:hint="eastAsia" w:cs="Times New Roman"/>
                      <w:color w:val="auto"/>
                      <w:kern w:val="0"/>
                      <w:sz w:val="21"/>
                      <w:szCs w:val="16"/>
                      <w:vertAlign w:val="baseline"/>
                      <w:lang w:val="en-US" w:eastAsia="zh-CN"/>
                    </w:rPr>
                    <w:t>蓄水罐</w:t>
                  </w:r>
                </w:p>
              </w:tc>
              <w:tc>
                <w:tcPr>
                  <w:tcW w:w="1750" w:type="pct"/>
                  <w:tcBorders>
                    <w:tl2br w:val="nil"/>
                    <w:tr2bl w:val="nil"/>
                  </w:tcBorders>
                  <w:vAlign w:val="center"/>
                </w:tcPr>
                <w:p w14:paraId="1AC6D1CD">
                  <w:pPr>
                    <w:pStyle w:val="11"/>
                    <w:spacing w:after="0"/>
                    <w:ind w:left="0" w:leftChars="0"/>
                    <w:jc w:val="center"/>
                    <w:rPr>
                      <w:rFonts w:hint="default" w:eastAsia="宋体"/>
                      <w:color w:val="auto"/>
                      <w:sz w:val="21"/>
                      <w:szCs w:val="21"/>
                      <w:lang w:val="en-US" w:eastAsia="zh-CN"/>
                    </w:rPr>
                  </w:pPr>
                  <w:r>
                    <w:rPr>
                      <w:rFonts w:hint="eastAsia"/>
                      <w:color w:val="auto"/>
                      <w:sz w:val="21"/>
                      <w:szCs w:val="21"/>
                      <w:lang w:val="en-US" w:eastAsia="zh-CN"/>
                    </w:rPr>
                    <w:t>储存生活用水及生产用水</w:t>
                  </w:r>
                </w:p>
              </w:tc>
              <w:tc>
                <w:tcPr>
                  <w:tcW w:w="909" w:type="pct"/>
                  <w:tcBorders>
                    <w:tl2br w:val="nil"/>
                    <w:tr2bl w:val="nil"/>
                  </w:tcBorders>
                  <w:vAlign w:val="center"/>
                </w:tcPr>
                <w:p w14:paraId="0B98AA87">
                  <w:pPr>
                    <w:pStyle w:val="11"/>
                    <w:spacing w:after="0"/>
                    <w:ind w:left="0" w:leftChars="0"/>
                    <w:jc w:val="center"/>
                    <w:rPr>
                      <w:rFonts w:hint="default" w:eastAsia="宋体"/>
                      <w:color w:val="auto"/>
                      <w:sz w:val="21"/>
                      <w:szCs w:val="21"/>
                      <w:lang w:val="en-US" w:eastAsia="zh-CN"/>
                    </w:rPr>
                  </w:pPr>
                  <w:r>
                    <w:rPr>
                      <w:rFonts w:hint="eastAsia"/>
                      <w:color w:val="auto"/>
                      <w:sz w:val="21"/>
                      <w:szCs w:val="21"/>
                      <w:lang w:val="en-US" w:eastAsia="zh-CN"/>
                    </w:rPr>
                    <w:t>600m</w:t>
                  </w:r>
                  <w:r>
                    <w:rPr>
                      <w:rFonts w:hint="eastAsia"/>
                      <w:color w:val="auto"/>
                      <w:sz w:val="21"/>
                      <w:szCs w:val="21"/>
                      <w:vertAlign w:val="superscript"/>
                      <w:lang w:val="en-US" w:eastAsia="zh-CN"/>
                    </w:rPr>
                    <w:t>3</w:t>
                  </w:r>
                </w:p>
              </w:tc>
              <w:tc>
                <w:tcPr>
                  <w:tcW w:w="722" w:type="pct"/>
                  <w:tcBorders>
                    <w:tl2br w:val="nil"/>
                    <w:tr2bl w:val="nil"/>
                  </w:tcBorders>
                  <w:vAlign w:val="center"/>
                </w:tcPr>
                <w:p w14:paraId="53A666C4">
                  <w:pPr>
                    <w:pStyle w:val="11"/>
                    <w:spacing w:after="0"/>
                    <w:ind w:left="0" w:leftChars="0"/>
                    <w:jc w:val="center"/>
                    <w:rPr>
                      <w:rFonts w:hint="eastAsia" w:eastAsia="宋体"/>
                      <w:color w:val="auto"/>
                      <w:sz w:val="21"/>
                      <w:szCs w:val="21"/>
                      <w:lang w:val="en-US" w:eastAsia="zh-CN"/>
                    </w:rPr>
                  </w:pPr>
                  <w:r>
                    <w:rPr>
                      <w:rFonts w:hint="eastAsia"/>
                      <w:color w:val="auto"/>
                      <w:sz w:val="21"/>
                      <w:szCs w:val="21"/>
                      <w:lang w:val="en-US" w:eastAsia="zh-CN"/>
                    </w:rPr>
                    <w:t>新建</w:t>
                  </w:r>
                </w:p>
              </w:tc>
            </w:tr>
            <w:tr w14:paraId="0FF430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3" w:type="pct"/>
                  <w:vMerge w:val="restart"/>
                  <w:tcBorders>
                    <w:tl2br w:val="nil"/>
                    <w:tr2bl w:val="nil"/>
                  </w:tcBorders>
                  <w:vAlign w:val="center"/>
                </w:tcPr>
                <w:p w14:paraId="4163BDA2">
                  <w:pPr>
                    <w:pStyle w:val="61"/>
                    <w:rPr>
                      <w:color w:val="auto"/>
                      <w:sz w:val="21"/>
                      <w:szCs w:val="21"/>
                    </w:rPr>
                  </w:pPr>
                  <w:r>
                    <w:rPr>
                      <w:color w:val="auto"/>
                      <w:sz w:val="21"/>
                      <w:szCs w:val="21"/>
                    </w:rPr>
                    <w:t>辅助工程</w:t>
                  </w:r>
                </w:p>
              </w:tc>
              <w:tc>
                <w:tcPr>
                  <w:tcW w:w="834" w:type="pct"/>
                  <w:tcBorders>
                    <w:tl2br w:val="nil"/>
                    <w:tr2bl w:val="nil"/>
                  </w:tcBorders>
                  <w:vAlign w:val="center"/>
                </w:tcPr>
                <w:p w14:paraId="6ACB8A21">
                  <w:pPr>
                    <w:pStyle w:val="61"/>
                    <w:rPr>
                      <w:color w:val="auto"/>
                      <w:sz w:val="21"/>
                      <w:szCs w:val="21"/>
                    </w:rPr>
                  </w:pPr>
                  <w:r>
                    <w:rPr>
                      <w:color w:val="auto"/>
                      <w:sz w:val="21"/>
                      <w:szCs w:val="21"/>
                    </w:rPr>
                    <w:t>实验室</w:t>
                  </w:r>
                </w:p>
              </w:tc>
              <w:tc>
                <w:tcPr>
                  <w:tcW w:w="1750" w:type="pct"/>
                  <w:tcBorders>
                    <w:tl2br w:val="nil"/>
                    <w:tr2bl w:val="nil"/>
                  </w:tcBorders>
                  <w:vAlign w:val="center"/>
                </w:tcPr>
                <w:p w14:paraId="0B696AAB">
                  <w:pPr>
                    <w:pStyle w:val="61"/>
                    <w:rPr>
                      <w:color w:val="auto"/>
                      <w:sz w:val="21"/>
                      <w:szCs w:val="21"/>
                    </w:rPr>
                  </w:pPr>
                  <w:r>
                    <w:rPr>
                      <w:color w:val="auto"/>
                      <w:sz w:val="21"/>
                      <w:szCs w:val="21"/>
                    </w:rPr>
                    <w:t>1间，彩钢房</w:t>
                  </w:r>
                </w:p>
              </w:tc>
              <w:tc>
                <w:tcPr>
                  <w:tcW w:w="909" w:type="pct"/>
                  <w:tcBorders>
                    <w:tl2br w:val="nil"/>
                    <w:tr2bl w:val="nil"/>
                  </w:tcBorders>
                  <w:vAlign w:val="center"/>
                </w:tcPr>
                <w:p w14:paraId="40AFE755">
                  <w:pPr>
                    <w:pStyle w:val="61"/>
                    <w:rPr>
                      <w:color w:val="auto"/>
                      <w:sz w:val="21"/>
                      <w:szCs w:val="21"/>
                    </w:rPr>
                  </w:pPr>
                  <w:r>
                    <w:rPr>
                      <w:rFonts w:hint="eastAsia"/>
                      <w:color w:val="auto"/>
                      <w:sz w:val="21"/>
                      <w:szCs w:val="21"/>
                      <w:lang w:val="en-US" w:eastAsia="zh-CN"/>
                    </w:rPr>
                    <w:t>2</w:t>
                  </w:r>
                  <w:r>
                    <w:rPr>
                      <w:color w:val="auto"/>
                      <w:sz w:val="21"/>
                      <w:szCs w:val="21"/>
                    </w:rPr>
                    <w:t>00</w:t>
                  </w:r>
                  <w:r>
                    <w:rPr>
                      <w:color w:val="auto"/>
                      <w:sz w:val="21"/>
                      <w:szCs w:val="21"/>
                      <w:lang w:val="zh-CN"/>
                    </w:rPr>
                    <w:t>m</w:t>
                  </w:r>
                  <w:r>
                    <w:rPr>
                      <w:color w:val="auto"/>
                      <w:sz w:val="21"/>
                      <w:szCs w:val="21"/>
                      <w:vertAlign w:val="superscript"/>
                      <w:lang w:val="zh-CN"/>
                    </w:rPr>
                    <w:t>2</w:t>
                  </w:r>
                </w:p>
              </w:tc>
              <w:tc>
                <w:tcPr>
                  <w:tcW w:w="722" w:type="pct"/>
                  <w:tcBorders>
                    <w:tl2br w:val="nil"/>
                    <w:tr2bl w:val="nil"/>
                  </w:tcBorders>
                  <w:vAlign w:val="center"/>
                </w:tcPr>
                <w:p w14:paraId="7D68A4F0">
                  <w:pPr>
                    <w:pStyle w:val="61"/>
                    <w:rPr>
                      <w:rFonts w:hint="eastAsia" w:eastAsia="宋体"/>
                      <w:color w:val="auto"/>
                      <w:sz w:val="21"/>
                      <w:szCs w:val="21"/>
                      <w:lang w:val="en-US" w:eastAsia="zh-CN"/>
                    </w:rPr>
                  </w:pPr>
                  <w:r>
                    <w:rPr>
                      <w:rFonts w:hint="eastAsia"/>
                      <w:color w:val="auto"/>
                      <w:sz w:val="21"/>
                      <w:szCs w:val="21"/>
                      <w:lang w:val="en-US" w:eastAsia="zh-CN"/>
                    </w:rPr>
                    <w:t>新建</w:t>
                  </w:r>
                </w:p>
              </w:tc>
            </w:tr>
            <w:tr w14:paraId="66D11F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3" w:type="pct"/>
                  <w:vMerge w:val="continue"/>
                  <w:tcBorders>
                    <w:tl2br w:val="nil"/>
                    <w:tr2bl w:val="nil"/>
                  </w:tcBorders>
                  <w:vAlign w:val="center"/>
                </w:tcPr>
                <w:p w14:paraId="30BF32F3">
                  <w:pPr>
                    <w:pStyle w:val="61"/>
                    <w:rPr>
                      <w:color w:val="auto"/>
                      <w:sz w:val="21"/>
                      <w:szCs w:val="21"/>
                    </w:rPr>
                  </w:pPr>
                </w:p>
              </w:tc>
              <w:tc>
                <w:tcPr>
                  <w:tcW w:w="834" w:type="pct"/>
                  <w:tcBorders>
                    <w:tl2br w:val="nil"/>
                    <w:tr2bl w:val="nil"/>
                  </w:tcBorders>
                  <w:vAlign w:val="center"/>
                </w:tcPr>
                <w:p w14:paraId="69E9963F">
                  <w:pPr>
                    <w:pStyle w:val="61"/>
                    <w:rPr>
                      <w:color w:val="auto"/>
                      <w:sz w:val="21"/>
                      <w:szCs w:val="21"/>
                    </w:rPr>
                  </w:pPr>
                  <w:r>
                    <w:rPr>
                      <w:color w:val="auto"/>
                      <w:sz w:val="21"/>
                      <w:szCs w:val="21"/>
                    </w:rPr>
                    <w:t>磅房</w:t>
                  </w:r>
                </w:p>
              </w:tc>
              <w:tc>
                <w:tcPr>
                  <w:tcW w:w="1750" w:type="pct"/>
                  <w:tcBorders>
                    <w:tl2br w:val="nil"/>
                    <w:tr2bl w:val="nil"/>
                  </w:tcBorders>
                  <w:vAlign w:val="center"/>
                </w:tcPr>
                <w:p w14:paraId="3FD6341C">
                  <w:pPr>
                    <w:pStyle w:val="61"/>
                    <w:rPr>
                      <w:rFonts w:hint="default" w:eastAsia="宋体"/>
                      <w:color w:val="auto"/>
                      <w:sz w:val="21"/>
                      <w:szCs w:val="21"/>
                      <w:lang w:val="en-US" w:eastAsia="zh-CN"/>
                    </w:rPr>
                  </w:pPr>
                  <w:r>
                    <w:rPr>
                      <w:rFonts w:hint="eastAsia"/>
                      <w:color w:val="auto"/>
                      <w:sz w:val="21"/>
                      <w:szCs w:val="21"/>
                      <w:lang w:val="en-US" w:eastAsia="zh-CN"/>
                    </w:rPr>
                    <w:t>磅房，用于混凝土出场过磅</w:t>
                  </w:r>
                </w:p>
              </w:tc>
              <w:tc>
                <w:tcPr>
                  <w:tcW w:w="909" w:type="pct"/>
                  <w:tcBorders>
                    <w:tl2br w:val="nil"/>
                    <w:tr2bl w:val="nil"/>
                  </w:tcBorders>
                  <w:vAlign w:val="center"/>
                </w:tcPr>
                <w:p w14:paraId="7F2A6D9A">
                  <w:pPr>
                    <w:pStyle w:val="61"/>
                    <w:rPr>
                      <w:color w:val="auto"/>
                      <w:sz w:val="21"/>
                      <w:szCs w:val="21"/>
                    </w:rPr>
                  </w:pPr>
                  <w:r>
                    <w:rPr>
                      <w:rFonts w:hint="eastAsia"/>
                      <w:color w:val="auto"/>
                      <w:sz w:val="21"/>
                      <w:szCs w:val="21"/>
                      <w:lang w:val="en-US" w:eastAsia="zh-CN"/>
                    </w:rPr>
                    <w:t>2</w:t>
                  </w:r>
                  <w:r>
                    <w:rPr>
                      <w:color w:val="auto"/>
                      <w:sz w:val="21"/>
                      <w:szCs w:val="21"/>
                    </w:rPr>
                    <w:t>00</w:t>
                  </w:r>
                  <w:r>
                    <w:rPr>
                      <w:color w:val="auto"/>
                      <w:sz w:val="21"/>
                      <w:szCs w:val="21"/>
                      <w:lang w:val="zh-CN"/>
                    </w:rPr>
                    <w:t>m</w:t>
                  </w:r>
                  <w:r>
                    <w:rPr>
                      <w:color w:val="auto"/>
                      <w:sz w:val="21"/>
                      <w:szCs w:val="21"/>
                      <w:vertAlign w:val="superscript"/>
                      <w:lang w:val="zh-CN"/>
                    </w:rPr>
                    <w:t>2</w:t>
                  </w:r>
                </w:p>
              </w:tc>
              <w:tc>
                <w:tcPr>
                  <w:tcW w:w="722" w:type="pct"/>
                  <w:tcBorders>
                    <w:tl2br w:val="nil"/>
                    <w:tr2bl w:val="nil"/>
                  </w:tcBorders>
                  <w:vAlign w:val="center"/>
                </w:tcPr>
                <w:p w14:paraId="1E407A19">
                  <w:pPr>
                    <w:pStyle w:val="61"/>
                    <w:rPr>
                      <w:rFonts w:hint="eastAsia" w:eastAsia="宋体"/>
                      <w:color w:val="auto"/>
                      <w:sz w:val="21"/>
                      <w:szCs w:val="21"/>
                      <w:lang w:val="en-US" w:eastAsia="zh-CN"/>
                    </w:rPr>
                  </w:pPr>
                  <w:r>
                    <w:rPr>
                      <w:rFonts w:hint="eastAsia"/>
                      <w:color w:val="auto"/>
                      <w:sz w:val="21"/>
                      <w:szCs w:val="21"/>
                      <w:lang w:val="en-US" w:eastAsia="zh-CN"/>
                    </w:rPr>
                    <w:t>新建</w:t>
                  </w:r>
                </w:p>
              </w:tc>
            </w:tr>
            <w:tr w14:paraId="4D00CB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3" w:type="pct"/>
                  <w:vMerge w:val="continue"/>
                  <w:tcBorders>
                    <w:tl2br w:val="nil"/>
                    <w:tr2bl w:val="nil"/>
                  </w:tcBorders>
                  <w:vAlign w:val="center"/>
                </w:tcPr>
                <w:p w14:paraId="3D77C732">
                  <w:pPr>
                    <w:pStyle w:val="61"/>
                    <w:rPr>
                      <w:color w:val="auto"/>
                      <w:sz w:val="21"/>
                      <w:szCs w:val="21"/>
                    </w:rPr>
                  </w:pPr>
                </w:p>
              </w:tc>
              <w:tc>
                <w:tcPr>
                  <w:tcW w:w="834" w:type="pct"/>
                  <w:tcBorders>
                    <w:tl2br w:val="nil"/>
                    <w:tr2bl w:val="nil"/>
                  </w:tcBorders>
                  <w:vAlign w:val="center"/>
                </w:tcPr>
                <w:p w14:paraId="1162752A">
                  <w:pPr>
                    <w:pStyle w:val="61"/>
                    <w:rPr>
                      <w:color w:val="auto"/>
                      <w:sz w:val="21"/>
                      <w:szCs w:val="21"/>
                    </w:rPr>
                  </w:pPr>
                  <w:r>
                    <w:rPr>
                      <w:color w:val="auto"/>
                      <w:sz w:val="21"/>
                      <w:szCs w:val="21"/>
                    </w:rPr>
                    <w:t>办公室</w:t>
                  </w:r>
                </w:p>
              </w:tc>
              <w:tc>
                <w:tcPr>
                  <w:tcW w:w="1750" w:type="pct"/>
                  <w:tcBorders>
                    <w:tl2br w:val="nil"/>
                    <w:tr2bl w:val="nil"/>
                  </w:tcBorders>
                  <w:vAlign w:val="center"/>
                </w:tcPr>
                <w:p w14:paraId="4CBCE38E">
                  <w:pPr>
                    <w:pStyle w:val="61"/>
                    <w:rPr>
                      <w:color w:val="auto"/>
                      <w:sz w:val="21"/>
                      <w:szCs w:val="21"/>
                    </w:rPr>
                  </w:pPr>
                  <w:r>
                    <w:rPr>
                      <w:color w:val="auto"/>
                      <w:sz w:val="21"/>
                      <w:szCs w:val="21"/>
                    </w:rPr>
                    <w:t>1层，彩钢房</w:t>
                  </w:r>
                </w:p>
              </w:tc>
              <w:tc>
                <w:tcPr>
                  <w:tcW w:w="909" w:type="pct"/>
                  <w:tcBorders>
                    <w:tl2br w:val="nil"/>
                    <w:tr2bl w:val="nil"/>
                  </w:tcBorders>
                  <w:vAlign w:val="center"/>
                </w:tcPr>
                <w:p w14:paraId="23B195F5">
                  <w:pPr>
                    <w:pStyle w:val="61"/>
                    <w:rPr>
                      <w:color w:val="auto"/>
                      <w:sz w:val="21"/>
                      <w:szCs w:val="21"/>
                    </w:rPr>
                  </w:pPr>
                  <w:r>
                    <w:rPr>
                      <w:rFonts w:hint="eastAsia"/>
                      <w:color w:val="auto"/>
                      <w:sz w:val="21"/>
                      <w:szCs w:val="21"/>
                      <w:lang w:val="en-US" w:eastAsia="zh-CN"/>
                    </w:rPr>
                    <w:t>5</w:t>
                  </w:r>
                  <w:r>
                    <w:rPr>
                      <w:color w:val="auto"/>
                      <w:sz w:val="21"/>
                      <w:szCs w:val="21"/>
                    </w:rPr>
                    <w:t>00</w:t>
                  </w:r>
                  <w:r>
                    <w:rPr>
                      <w:color w:val="auto"/>
                      <w:sz w:val="21"/>
                      <w:szCs w:val="21"/>
                      <w:lang w:val="zh-CN"/>
                    </w:rPr>
                    <w:t>m</w:t>
                  </w:r>
                  <w:r>
                    <w:rPr>
                      <w:color w:val="auto"/>
                      <w:sz w:val="21"/>
                      <w:szCs w:val="21"/>
                      <w:vertAlign w:val="superscript"/>
                      <w:lang w:val="zh-CN"/>
                    </w:rPr>
                    <w:t>2</w:t>
                  </w:r>
                </w:p>
              </w:tc>
              <w:tc>
                <w:tcPr>
                  <w:tcW w:w="722" w:type="pct"/>
                  <w:tcBorders>
                    <w:tl2br w:val="nil"/>
                    <w:tr2bl w:val="nil"/>
                  </w:tcBorders>
                  <w:vAlign w:val="center"/>
                </w:tcPr>
                <w:p w14:paraId="53B654B2">
                  <w:pPr>
                    <w:pStyle w:val="61"/>
                    <w:rPr>
                      <w:rFonts w:hint="eastAsia" w:eastAsia="宋体"/>
                      <w:color w:val="auto"/>
                      <w:sz w:val="21"/>
                      <w:szCs w:val="21"/>
                      <w:lang w:val="en-US" w:eastAsia="zh-CN"/>
                    </w:rPr>
                  </w:pPr>
                  <w:r>
                    <w:rPr>
                      <w:rFonts w:hint="eastAsia"/>
                      <w:color w:val="auto"/>
                      <w:sz w:val="21"/>
                      <w:szCs w:val="21"/>
                      <w:lang w:val="en-US" w:eastAsia="zh-CN"/>
                    </w:rPr>
                    <w:t>新建</w:t>
                  </w:r>
                </w:p>
              </w:tc>
            </w:tr>
            <w:tr w14:paraId="18E739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pct"/>
                  <w:vMerge w:val="continue"/>
                  <w:tcBorders>
                    <w:tl2br w:val="nil"/>
                    <w:tr2bl w:val="nil"/>
                  </w:tcBorders>
                  <w:vAlign w:val="center"/>
                </w:tcPr>
                <w:p w14:paraId="69C9B28F">
                  <w:pPr>
                    <w:pStyle w:val="61"/>
                    <w:rPr>
                      <w:color w:val="auto"/>
                      <w:sz w:val="21"/>
                      <w:szCs w:val="21"/>
                    </w:rPr>
                  </w:pPr>
                </w:p>
              </w:tc>
              <w:tc>
                <w:tcPr>
                  <w:tcW w:w="834" w:type="pct"/>
                  <w:tcBorders>
                    <w:tl2br w:val="nil"/>
                    <w:tr2bl w:val="nil"/>
                  </w:tcBorders>
                  <w:vAlign w:val="center"/>
                </w:tcPr>
                <w:p w14:paraId="42D3F958">
                  <w:pPr>
                    <w:pStyle w:val="61"/>
                    <w:rPr>
                      <w:color w:val="auto"/>
                      <w:sz w:val="21"/>
                      <w:szCs w:val="21"/>
                    </w:rPr>
                  </w:pPr>
                  <w:r>
                    <w:rPr>
                      <w:color w:val="auto"/>
                      <w:sz w:val="21"/>
                      <w:szCs w:val="21"/>
                    </w:rPr>
                    <w:t>门卫室</w:t>
                  </w:r>
                </w:p>
              </w:tc>
              <w:tc>
                <w:tcPr>
                  <w:tcW w:w="1750" w:type="pct"/>
                  <w:tcBorders>
                    <w:tl2br w:val="nil"/>
                    <w:tr2bl w:val="nil"/>
                  </w:tcBorders>
                  <w:vAlign w:val="center"/>
                </w:tcPr>
                <w:p w14:paraId="67961B99">
                  <w:pPr>
                    <w:pStyle w:val="61"/>
                    <w:rPr>
                      <w:color w:val="auto"/>
                      <w:sz w:val="21"/>
                      <w:szCs w:val="21"/>
                    </w:rPr>
                  </w:pPr>
                  <w:r>
                    <w:rPr>
                      <w:color w:val="auto"/>
                      <w:sz w:val="21"/>
                      <w:szCs w:val="21"/>
                    </w:rPr>
                    <w:t>1间，彩钢房</w:t>
                  </w:r>
                </w:p>
              </w:tc>
              <w:tc>
                <w:tcPr>
                  <w:tcW w:w="909" w:type="pct"/>
                  <w:tcBorders>
                    <w:tl2br w:val="nil"/>
                    <w:tr2bl w:val="nil"/>
                  </w:tcBorders>
                  <w:vAlign w:val="center"/>
                </w:tcPr>
                <w:p w14:paraId="7DC8B776">
                  <w:pPr>
                    <w:pStyle w:val="61"/>
                    <w:rPr>
                      <w:color w:val="auto"/>
                      <w:sz w:val="21"/>
                      <w:szCs w:val="21"/>
                    </w:rPr>
                  </w:pPr>
                  <w:r>
                    <w:rPr>
                      <w:color w:val="auto"/>
                      <w:sz w:val="21"/>
                      <w:szCs w:val="21"/>
                    </w:rPr>
                    <w:t>30</w:t>
                  </w:r>
                  <w:r>
                    <w:rPr>
                      <w:color w:val="auto"/>
                      <w:sz w:val="21"/>
                      <w:szCs w:val="21"/>
                      <w:lang w:val="zh-CN"/>
                    </w:rPr>
                    <w:t>m</w:t>
                  </w:r>
                  <w:r>
                    <w:rPr>
                      <w:color w:val="auto"/>
                      <w:sz w:val="21"/>
                      <w:szCs w:val="21"/>
                      <w:vertAlign w:val="superscript"/>
                      <w:lang w:val="zh-CN"/>
                    </w:rPr>
                    <w:t>2</w:t>
                  </w:r>
                </w:p>
              </w:tc>
              <w:tc>
                <w:tcPr>
                  <w:tcW w:w="722" w:type="pct"/>
                  <w:tcBorders>
                    <w:tl2br w:val="nil"/>
                    <w:tr2bl w:val="nil"/>
                  </w:tcBorders>
                  <w:vAlign w:val="center"/>
                </w:tcPr>
                <w:p w14:paraId="32E8FED6">
                  <w:pPr>
                    <w:pStyle w:val="61"/>
                    <w:rPr>
                      <w:rFonts w:hint="eastAsia" w:eastAsia="宋体"/>
                      <w:color w:val="auto"/>
                      <w:sz w:val="21"/>
                      <w:szCs w:val="21"/>
                      <w:lang w:val="en-US" w:eastAsia="zh-CN"/>
                    </w:rPr>
                  </w:pPr>
                  <w:r>
                    <w:rPr>
                      <w:rFonts w:hint="eastAsia"/>
                      <w:color w:val="auto"/>
                      <w:sz w:val="21"/>
                      <w:szCs w:val="21"/>
                      <w:lang w:val="en-US" w:eastAsia="zh-CN"/>
                    </w:rPr>
                    <w:t>新建</w:t>
                  </w:r>
                </w:p>
              </w:tc>
            </w:tr>
            <w:tr w14:paraId="5E386E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3" w:type="pct"/>
                  <w:vMerge w:val="continue"/>
                  <w:tcBorders>
                    <w:tl2br w:val="nil"/>
                    <w:tr2bl w:val="nil"/>
                  </w:tcBorders>
                  <w:vAlign w:val="center"/>
                </w:tcPr>
                <w:p w14:paraId="35CD08D6">
                  <w:pPr>
                    <w:pStyle w:val="61"/>
                    <w:rPr>
                      <w:color w:val="auto"/>
                      <w:sz w:val="21"/>
                      <w:szCs w:val="21"/>
                    </w:rPr>
                  </w:pPr>
                </w:p>
              </w:tc>
              <w:tc>
                <w:tcPr>
                  <w:tcW w:w="834" w:type="pct"/>
                  <w:tcBorders>
                    <w:tl2br w:val="nil"/>
                    <w:tr2bl w:val="nil"/>
                  </w:tcBorders>
                  <w:vAlign w:val="center"/>
                </w:tcPr>
                <w:p w14:paraId="3E480D91">
                  <w:pPr>
                    <w:pStyle w:val="61"/>
                    <w:rPr>
                      <w:color w:val="auto"/>
                      <w:sz w:val="21"/>
                      <w:szCs w:val="21"/>
                    </w:rPr>
                  </w:pPr>
                  <w:r>
                    <w:rPr>
                      <w:color w:val="auto"/>
                      <w:sz w:val="21"/>
                      <w:szCs w:val="21"/>
                    </w:rPr>
                    <w:t>食堂</w:t>
                  </w:r>
                </w:p>
              </w:tc>
              <w:tc>
                <w:tcPr>
                  <w:tcW w:w="1750" w:type="pct"/>
                  <w:tcBorders>
                    <w:tl2br w:val="nil"/>
                    <w:tr2bl w:val="nil"/>
                  </w:tcBorders>
                  <w:vAlign w:val="center"/>
                </w:tcPr>
                <w:p w14:paraId="64D3D72C">
                  <w:pPr>
                    <w:pStyle w:val="61"/>
                    <w:rPr>
                      <w:rFonts w:hint="default" w:eastAsia="宋体"/>
                      <w:color w:val="auto"/>
                      <w:sz w:val="21"/>
                      <w:szCs w:val="21"/>
                      <w:lang w:val="en-US" w:eastAsia="zh-CN"/>
                    </w:rPr>
                  </w:pPr>
                  <w:r>
                    <w:rPr>
                      <w:rFonts w:hint="eastAsia"/>
                      <w:color w:val="auto"/>
                      <w:sz w:val="21"/>
                      <w:szCs w:val="21"/>
                      <w:lang w:val="en-US" w:eastAsia="zh-CN"/>
                    </w:rPr>
                    <w:t>1间，彩钢房</w:t>
                  </w:r>
                </w:p>
              </w:tc>
              <w:tc>
                <w:tcPr>
                  <w:tcW w:w="909" w:type="pct"/>
                  <w:tcBorders>
                    <w:tl2br w:val="nil"/>
                    <w:tr2bl w:val="nil"/>
                  </w:tcBorders>
                  <w:vAlign w:val="center"/>
                </w:tcPr>
                <w:p w14:paraId="60DAF487">
                  <w:pPr>
                    <w:pStyle w:val="61"/>
                    <w:rPr>
                      <w:rFonts w:hint="default" w:eastAsia="宋体"/>
                      <w:color w:val="auto"/>
                      <w:sz w:val="21"/>
                      <w:szCs w:val="21"/>
                      <w:vertAlign w:val="superscript"/>
                      <w:lang w:val="en-US" w:eastAsia="zh-CN"/>
                    </w:rPr>
                  </w:pPr>
                  <w:r>
                    <w:rPr>
                      <w:rFonts w:hint="eastAsia"/>
                      <w:color w:val="auto"/>
                      <w:sz w:val="21"/>
                      <w:szCs w:val="21"/>
                      <w:lang w:val="en-US" w:eastAsia="zh-CN"/>
                    </w:rPr>
                    <w:t>100m</w:t>
                  </w:r>
                  <w:r>
                    <w:rPr>
                      <w:rFonts w:hint="eastAsia"/>
                      <w:color w:val="auto"/>
                      <w:sz w:val="21"/>
                      <w:szCs w:val="21"/>
                      <w:vertAlign w:val="superscript"/>
                      <w:lang w:val="en-US" w:eastAsia="zh-CN"/>
                    </w:rPr>
                    <w:t>2</w:t>
                  </w:r>
                </w:p>
              </w:tc>
              <w:tc>
                <w:tcPr>
                  <w:tcW w:w="722" w:type="pct"/>
                  <w:tcBorders>
                    <w:tl2br w:val="nil"/>
                    <w:tr2bl w:val="nil"/>
                  </w:tcBorders>
                  <w:vAlign w:val="center"/>
                </w:tcPr>
                <w:p w14:paraId="0FF5AE56">
                  <w:pPr>
                    <w:pStyle w:val="61"/>
                    <w:rPr>
                      <w:rFonts w:hint="default" w:eastAsia="宋体"/>
                      <w:color w:val="auto"/>
                      <w:sz w:val="21"/>
                      <w:szCs w:val="21"/>
                      <w:lang w:val="en-US" w:eastAsia="zh-CN"/>
                    </w:rPr>
                  </w:pPr>
                  <w:r>
                    <w:rPr>
                      <w:rFonts w:hint="eastAsia"/>
                      <w:color w:val="auto"/>
                      <w:sz w:val="21"/>
                      <w:szCs w:val="21"/>
                      <w:lang w:val="en-US" w:eastAsia="zh-CN"/>
                    </w:rPr>
                    <w:t>新建</w:t>
                  </w:r>
                </w:p>
              </w:tc>
            </w:tr>
            <w:tr w14:paraId="677DCB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3" w:type="pct"/>
                  <w:vMerge w:val="continue"/>
                  <w:tcBorders>
                    <w:tl2br w:val="nil"/>
                    <w:tr2bl w:val="nil"/>
                  </w:tcBorders>
                  <w:vAlign w:val="center"/>
                </w:tcPr>
                <w:p w14:paraId="102278BA">
                  <w:pPr>
                    <w:pStyle w:val="61"/>
                    <w:rPr>
                      <w:color w:val="auto"/>
                      <w:sz w:val="21"/>
                      <w:szCs w:val="21"/>
                    </w:rPr>
                  </w:pPr>
                </w:p>
              </w:tc>
              <w:tc>
                <w:tcPr>
                  <w:tcW w:w="834" w:type="pct"/>
                  <w:tcBorders>
                    <w:tl2br w:val="nil"/>
                    <w:tr2bl w:val="nil"/>
                  </w:tcBorders>
                  <w:vAlign w:val="center"/>
                </w:tcPr>
                <w:p w14:paraId="7BBE5EAD">
                  <w:pPr>
                    <w:pStyle w:val="61"/>
                    <w:rPr>
                      <w:color w:val="auto"/>
                      <w:sz w:val="21"/>
                      <w:szCs w:val="21"/>
                    </w:rPr>
                  </w:pPr>
                  <w:r>
                    <w:rPr>
                      <w:color w:val="auto"/>
                      <w:sz w:val="21"/>
                      <w:szCs w:val="21"/>
                    </w:rPr>
                    <w:t>员工宿舍</w:t>
                  </w:r>
                </w:p>
              </w:tc>
              <w:tc>
                <w:tcPr>
                  <w:tcW w:w="1750" w:type="pct"/>
                  <w:tcBorders>
                    <w:tl2br w:val="nil"/>
                    <w:tr2bl w:val="nil"/>
                  </w:tcBorders>
                  <w:vAlign w:val="center"/>
                </w:tcPr>
                <w:p w14:paraId="779E05AC">
                  <w:pPr>
                    <w:pStyle w:val="61"/>
                    <w:rPr>
                      <w:color w:val="auto"/>
                      <w:sz w:val="21"/>
                      <w:szCs w:val="21"/>
                    </w:rPr>
                  </w:pPr>
                  <w:r>
                    <w:rPr>
                      <w:color w:val="auto"/>
                      <w:sz w:val="21"/>
                      <w:szCs w:val="21"/>
                    </w:rPr>
                    <w:t>彩钢房</w:t>
                  </w:r>
                </w:p>
              </w:tc>
              <w:tc>
                <w:tcPr>
                  <w:tcW w:w="909" w:type="pct"/>
                  <w:tcBorders>
                    <w:tl2br w:val="nil"/>
                    <w:tr2bl w:val="nil"/>
                  </w:tcBorders>
                  <w:vAlign w:val="center"/>
                </w:tcPr>
                <w:p w14:paraId="670AF8F4">
                  <w:pPr>
                    <w:pStyle w:val="61"/>
                    <w:rPr>
                      <w:color w:val="auto"/>
                      <w:sz w:val="21"/>
                      <w:szCs w:val="21"/>
                    </w:rPr>
                  </w:pPr>
                  <w:r>
                    <w:rPr>
                      <w:rFonts w:hint="eastAsia"/>
                      <w:color w:val="auto"/>
                      <w:sz w:val="21"/>
                      <w:szCs w:val="21"/>
                      <w:lang w:val="en-US" w:eastAsia="zh-CN"/>
                    </w:rPr>
                    <w:t>4</w:t>
                  </w:r>
                  <w:r>
                    <w:rPr>
                      <w:color w:val="auto"/>
                      <w:sz w:val="21"/>
                      <w:szCs w:val="21"/>
                    </w:rPr>
                    <w:t>00</w:t>
                  </w:r>
                  <w:r>
                    <w:rPr>
                      <w:color w:val="auto"/>
                      <w:sz w:val="21"/>
                      <w:szCs w:val="21"/>
                      <w:lang w:val="zh-CN"/>
                    </w:rPr>
                    <w:t>m</w:t>
                  </w:r>
                  <w:r>
                    <w:rPr>
                      <w:color w:val="auto"/>
                      <w:sz w:val="21"/>
                      <w:szCs w:val="21"/>
                      <w:vertAlign w:val="superscript"/>
                      <w:lang w:val="zh-CN"/>
                    </w:rPr>
                    <w:t>2</w:t>
                  </w:r>
                </w:p>
              </w:tc>
              <w:tc>
                <w:tcPr>
                  <w:tcW w:w="722" w:type="pct"/>
                  <w:tcBorders>
                    <w:tl2br w:val="nil"/>
                    <w:tr2bl w:val="nil"/>
                  </w:tcBorders>
                  <w:vAlign w:val="center"/>
                </w:tcPr>
                <w:p w14:paraId="445E817D">
                  <w:pPr>
                    <w:pStyle w:val="61"/>
                    <w:rPr>
                      <w:rFonts w:hint="eastAsia" w:eastAsia="宋体"/>
                      <w:color w:val="auto"/>
                      <w:sz w:val="21"/>
                      <w:szCs w:val="21"/>
                      <w:lang w:val="en-US" w:eastAsia="zh-CN"/>
                    </w:rPr>
                  </w:pPr>
                  <w:r>
                    <w:rPr>
                      <w:rFonts w:hint="eastAsia"/>
                      <w:color w:val="auto"/>
                      <w:sz w:val="21"/>
                      <w:szCs w:val="21"/>
                      <w:lang w:val="en-US" w:eastAsia="zh-CN"/>
                    </w:rPr>
                    <w:t>新建</w:t>
                  </w:r>
                </w:p>
              </w:tc>
            </w:tr>
            <w:tr w14:paraId="188BF5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1" w:hRule="atLeast"/>
                <w:jc w:val="center"/>
              </w:trPr>
              <w:tc>
                <w:tcPr>
                  <w:tcW w:w="783" w:type="pct"/>
                  <w:vMerge w:val="restart"/>
                  <w:tcBorders>
                    <w:tl2br w:val="nil"/>
                    <w:tr2bl w:val="nil"/>
                  </w:tcBorders>
                  <w:vAlign w:val="center"/>
                </w:tcPr>
                <w:p w14:paraId="57D838B0">
                  <w:pPr>
                    <w:pStyle w:val="61"/>
                    <w:rPr>
                      <w:color w:val="auto"/>
                      <w:sz w:val="21"/>
                      <w:szCs w:val="21"/>
                    </w:rPr>
                  </w:pPr>
                  <w:r>
                    <w:rPr>
                      <w:color w:val="auto"/>
                      <w:sz w:val="21"/>
                      <w:szCs w:val="21"/>
                    </w:rPr>
                    <w:t>公用工程</w:t>
                  </w:r>
                </w:p>
              </w:tc>
              <w:tc>
                <w:tcPr>
                  <w:tcW w:w="834" w:type="pct"/>
                  <w:tcBorders>
                    <w:tl2br w:val="nil"/>
                    <w:tr2bl w:val="nil"/>
                  </w:tcBorders>
                  <w:vAlign w:val="center"/>
                </w:tcPr>
                <w:p w14:paraId="54C10766">
                  <w:pPr>
                    <w:pStyle w:val="61"/>
                    <w:rPr>
                      <w:color w:val="auto"/>
                      <w:sz w:val="21"/>
                      <w:szCs w:val="21"/>
                    </w:rPr>
                  </w:pPr>
                  <w:r>
                    <w:rPr>
                      <w:color w:val="auto"/>
                      <w:sz w:val="21"/>
                      <w:szCs w:val="21"/>
                    </w:rPr>
                    <w:t>供水工程</w:t>
                  </w:r>
                </w:p>
              </w:tc>
              <w:tc>
                <w:tcPr>
                  <w:tcW w:w="2659" w:type="pct"/>
                  <w:gridSpan w:val="2"/>
                  <w:tcBorders>
                    <w:tl2br w:val="nil"/>
                    <w:tr2bl w:val="nil"/>
                  </w:tcBorders>
                  <w:vAlign w:val="center"/>
                </w:tcPr>
                <w:p w14:paraId="270728E6">
                  <w:pPr>
                    <w:pStyle w:val="61"/>
                    <w:rPr>
                      <w:rFonts w:hint="default" w:eastAsia="宋体"/>
                      <w:color w:val="auto"/>
                      <w:sz w:val="21"/>
                      <w:szCs w:val="21"/>
                      <w:lang w:val="en-US" w:eastAsia="zh-CN"/>
                    </w:rPr>
                  </w:pPr>
                  <w:r>
                    <w:rPr>
                      <w:rFonts w:hint="eastAsia"/>
                      <w:color w:val="auto"/>
                      <w:sz w:val="21"/>
                      <w:szCs w:val="21"/>
                      <w:lang w:val="en-US" w:eastAsia="zh-CN"/>
                    </w:rPr>
                    <w:t>从距离本项目6km左右的东沟村拉运，</w:t>
                  </w:r>
                </w:p>
              </w:tc>
              <w:tc>
                <w:tcPr>
                  <w:tcW w:w="722" w:type="pct"/>
                  <w:tcBorders>
                    <w:tl2br w:val="nil"/>
                    <w:tr2bl w:val="nil"/>
                  </w:tcBorders>
                  <w:vAlign w:val="center"/>
                </w:tcPr>
                <w:p w14:paraId="29231355">
                  <w:pPr>
                    <w:pStyle w:val="61"/>
                    <w:rPr>
                      <w:rFonts w:hint="default" w:eastAsia="宋体"/>
                      <w:color w:val="auto"/>
                      <w:sz w:val="21"/>
                      <w:szCs w:val="21"/>
                      <w:lang w:val="en-US" w:eastAsia="zh-CN"/>
                    </w:rPr>
                  </w:pPr>
                  <w:r>
                    <w:rPr>
                      <w:rFonts w:hint="eastAsia"/>
                      <w:color w:val="auto"/>
                      <w:sz w:val="21"/>
                      <w:szCs w:val="21"/>
                      <w:lang w:val="en-US" w:eastAsia="zh-CN"/>
                    </w:rPr>
                    <w:t>/</w:t>
                  </w:r>
                </w:p>
              </w:tc>
            </w:tr>
            <w:tr w14:paraId="301F44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3" w:type="pct"/>
                  <w:vMerge w:val="continue"/>
                  <w:tcBorders>
                    <w:tl2br w:val="nil"/>
                    <w:tr2bl w:val="nil"/>
                  </w:tcBorders>
                  <w:vAlign w:val="center"/>
                </w:tcPr>
                <w:p w14:paraId="49A3211A">
                  <w:pPr>
                    <w:pStyle w:val="61"/>
                    <w:rPr>
                      <w:color w:val="auto"/>
                      <w:sz w:val="21"/>
                      <w:szCs w:val="21"/>
                    </w:rPr>
                  </w:pPr>
                </w:p>
              </w:tc>
              <w:tc>
                <w:tcPr>
                  <w:tcW w:w="834" w:type="pct"/>
                  <w:tcBorders>
                    <w:tl2br w:val="nil"/>
                    <w:tr2bl w:val="nil"/>
                  </w:tcBorders>
                  <w:vAlign w:val="center"/>
                </w:tcPr>
                <w:p w14:paraId="7E396BE1">
                  <w:pPr>
                    <w:pStyle w:val="61"/>
                    <w:rPr>
                      <w:color w:val="auto"/>
                      <w:sz w:val="21"/>
                      <w:szCs w:val="21"/>
                    </w:rPr>
                  </w:pPr>
                  <w:r>
                    <w:rPr>
                      <w:color w:val="auto"/>
                      <w:sz w:val="21"/>
                      <w:szCs w:val="21"/>
                    </w:rPr>
                    <w:t>供电工程</w:t>
                  </w:r>
                </w:p>
              </w:tc>
              <w:tc>
                <w:tcPr>
                  <w:tcW w:w="2659" w:type="pct"/>
                  <w:gridSpan w:val="2"/>
                  <w:tcBorders>
                    <w:tl2br w:val="nil"/>
                    <w:tr2bl w:val="nil"/>
                  </w:tcBorders>
                  <w:vAlign w:val="center"/>
                </w:tcPr>
                <w:p w14:paraId="03572634">
                  <w:pPr>
                    <w:pStyle w:val="61"/>
                    <w:rPr>
                      <w:color w:val="auto"/>
                      <w:sz w:val="21"/>
                      <w:szCs w:val="21"/>
                    </w:rPr>
                  </w:pPr>
                  <w:r>
                    <w:rPr>
                      <w:rFonts w:hint="eastAsia"/>
                      <w:color w:val="auto"/>
                      <w:sz w:val="21"/>
                      <w:szCs w:val="21"/>
                    </w:rPr>
                    <w:t>由电网直接接入</w:t>
                  </w:r>
                </w:p>
              </w:tc>
              <w:tc>
                <w:tcPr>
                  <w:tcW w:w="722" w:type="pct"/>
                  <w:tcBorders>
                    <w:tl2br w:val="nil"/>
                    <w:tr2bl w:val="nil"/>
                  </w:tcBorders>
                  <w:vAlign w:val="center"/>
                </w:tcPr>
                <w:p w14:paraId="21C5A3A8">
                  <w:pPr>
                    <w:pStyle w:val="61"/>
                    <w:rPr>
                      <w:color w:val="auto"/>
                      <w:sz w:val="21"/>
                      <w:szCs w:val="21"/>
                    </w:rPr>
                  </w:pPr>
                  <w:r>
                    <w:rPr>
                      <w:color w:val="auto"/>
                      <w:sz w:val="21"/>
                      <w:szCs w:val="21"/>
                    </w:rPr>
                    <w:t>/</w:t>
                  </w:r>
                </w:p>
              </w:tc>
            </w:tr>
            <w:tr w14:paraId="213B8A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pct"/>
                  <w:vMerge w:val="continue"/>
                  <w:tcBorders>
                    <w:tl2br w:val="nil"/>
                    <w:tr2bl w:val="nil"/>
                  </w:tcBorders>
                  <w:vAlign w:val="center"/>
                </w:tcPr>
                <w:p w14:paraId="42F4C047">
                  <w:pPr>
                    <w:pStyle w:val="61"/>
                    <w:rPr>
                      <w:color w:val="auto"/>
                      <w:sz w:val="21"/>
                      <w:szCs w:val="21"/>
                    </w:rPr>
                  </w:pPr>
                </w:p>
              </w:tc>
              <w:tc>
                <w:tcPr>
                  <w:tcW w:w="834" w:type="pct"/>
                  <w:tcBorders>
                    <w:tl2br w:val="nil"/>
                    <w:tr2bl w:val="nil"/>
                  </w:tcBorders>
                  <w:vAlign w:val="center"/>
                </w:tcPr>
                <w:p w14:paraId="0C9021D9">
                  <w:pPr>
                    <w:pStyle w:val="61"/>
                    <w:rPr>
                      <w:color w:val="auto"/>
                      <w:sz w:val="21"/>
                      <w:szCs w:val="21"/>
                    </w:rPr>
                  </w:pPr>
                  <w:r>
                    <w:rPr>
                      <w:color w:val="auto"/>
                      <w:sz w:val="21"/>
                      <w:szCs w:val="21"/>
                    </w:rPr>
                    <w:t>供热工程</w:t>
                  </w:r>
                </w:p>
              </w:tc>
              <w:tc>
                <w:tcPr>
                  <w:tcW w:w="2659" w:type="pct"/>
                  <w:gridSpan w:val="2"/>
                  <w:tcBorders>
                    <w:tl2br w:val="nil"/>
                    <w:tr2bl w:val="nil"/>
                  </w:tcBorders>
                  <w:vAlign w:val="center"/>
                </w:tcPr>
                <w:p w14:paraId="4019E050">
                  <w:pPr>
                    <w:pStyle w:val="61"/>
                    <w:rPr>
                      <w:color w:val="auto"/>
                      <w:sz w:val="21"/>
                      <w:szCs w:val="21"/>
                    </w:rPr>
                  </w:pPr>
                  <w:r>
                    <w:rPr>
                      <w:color w:val="auto"/>
                      <w:sz w:val="21"/>
                      <w:szCs w:val="21"/>
                    </w:rPr>
                    <w:t>冬季不生产，值班人员采用电采暖</w:t>
                  </w:r>
                </w:p>
              </w:tc>
              <w:tc>
                <w:tcPr>
                  <w:tcW w:w="722" w:type="pct"/>
                  <w:tcBorders>
                    <w:tl2br w:val="nil"/>
                    <w:tr2bl w:val="nil"/>
                  </w:tcBorders>
                  <w:vAlign w:val="center"/>
                </w:tcPr>
                <w:p w14:paraId="156DBEFF">
                  <w:pPr>
                    <w:pStyle w:val="61"/>
                    <w:rPr>
                      <w:color w:val="auto"/>
                      <w:sz w:val="21"/>
                      <w:szCs w:val="21"/>
                    </w:rPr>
                  </w:pPr>
                  <w:r>
                    <w:rPr>
                      <w:color w:val="auto"/>
                      <w:sz w:val="21"/>
                      <w:szCs w:val="21"/>
                    </w:rPr>
                    <w:t>/</w:t>
                  </w:r>
                </w:p>
              </w:tc>
            </w:tr>
            <w:tr w14:paraId="703889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pct"/>
                  <w:vMerge w:val="continue"/>
                  <w:tcBorders>
                    <w:tl2br w:val="nil"/>
                    <w:tr2bl w:val="nil"/>
                  </w:tcBorders>
                  <w:vAlign w:val="center"/>
                </w:tcPr>
                <w:p w14:paraId="1D9A6B71">
                  <w:pPr>
                    <w:pStyle w:val="61"/>
                    <w:rPr>
                      <w:color w:val="auto"/>
                      <w:sz w:val="21"/>
                      <w:szCs w:val="21"/>
                    </w:rPr>
                  </w:pPr>
                </w:p>
              </w:tc>
              <w:tc>
                <w:tcPr>
                  <w:tcW w:w="834" w:type="pct"/>
                  <w:tcBorders>
                    <w:tl2br w:val="nil"/>
                    <w:tr2bl w:val="nil"/>
                  </w:tcBorders>
                  <w:vAlign w:val="center"/>
                </w:tcPr>
                <w:p w14:paraId="7CC3FE56">
                  <w:pPr>
                    <w:pStyle w:val="61"/>
                    <w:rPr>
                      <w:color w:val="auto"/>
                      <w:sz w:val="21"/>
                      <w:szCs w:val="21"/>
                    </w:rPr>
                  </w:pPr>
                  <w:r>
                    <w:rPr>
                      <w:color w:val="auto"/>
                      <w:sz w:val="21"/>
                      <w:szCs w:val="21"/>
                    </w:rPr>
                    <w:t>排水工程</w:t>
                  </w:r>
                </w:p>
              </w:tc>
              <w:tc>
                <w:tcPr>
                  <w:tcW w:w="2659" w:type="pct"/>
                  <w:gridSpan w:val="2"/>
                  <w:tcBorders>
                    <w:tl2br w:val="nil"/>
                    <w:tr2bl w:val="nil"/>
                  </w:tcBorders>
                  <w:vAlign w:val="center"/>
                </w:tcPr>
                <w:p w14:paraId="10B4EB1E">
                  <w:pPr>
                    <w:pStyle w:val="61"/>
                    <w:rPr>
                      <w:rFonts w:hint="default"/>
                      <w:color w:val="auto"/>
                      <w:sz w:val="21"/>
                      <w:szCs w:val="21"/>
                      <w:lang w:val="en-US" w:eastAsia="zh-CN"/>
                    </w:rPr>
                  </w:pPr>
                  <w:r>
                    <w:rPr>
                      <w:color w:val="auto"/>
                      <w:sz w:val="21"/>
                      <w:szCs w:val="21"/>
                    </w:rPr>
                    <w:t>生产废水经</w:t>
                  </w:r>
                  <w:r>
                    <w:rPr>
                      <w:rFonts w:hint="eastAsia"/>
                      <w:color w:val="auto"/>
                      <w:sz w:val="21"/>
                      <w:szCs w:val="21"/>
                      <w:lang w:val="en-US" w:eastAsia="zh-CN"/>
                    </w:rPr>
                    <w:t>三级</w:t>
                  </w:r>
                  <w:r>
                    <w:rPr>
                      <w:color w:val="auto"/>
                      <w:sz w:val="21"/>
                      <w:szCs w:val="21"/>
                    </w:rPr>
                    <w:t>沉淀池沉淀后回用于生产，生活污水经一体化污水处理系统处理达标后用于</w:t>
                  </w:r>
                  <w:r>
                    <w:rPr>
                      <w:rFonts w:hint="eastAsia"/>
                      <w:color w:val="auto"/>
                      <w:sz w:val="21"/>
                      <w:szCs w:val="21"/>
                      <w:lang w:val="en-US" w:eastAsia="zh-CN"/>
                    </w:rPr>
                    <w:t>厂区绿化</w:t>
                  </w:r>
                </w:p>
              </w:tc>
              <w:tc>
                <w:tcPr>
                  <w:tcW w:w="722" w:type="pct"/>
                  <w:tcBorders>
                    <w:tl2br w:val="nil"/>
                    <w:tr2bl w:val="nil"/>
                  </w:tcBorders>
                  <w:vAlign w:val="center"/>
                </w:tcPr>
                <w:p w14:paraId="767B0CBF">
                  <w:pPr>
                    <w:pStyle w:val="61"/>
                    <w:rPr>
                      <w:rFonts w:hint="eastAsia" w:eastAsia="宋体"/>
                      <w:color w:val="auto"/>
                      <w:sz w:val="21"/>
                      <w:szCs w:val="21"/>
                      <w:lang w:eastAsia="zh-CN"/>
                    </w:rPr>
                  </w:pPr>
                  <w:r>
                    <w:rPr>
                      <w:rFonts w:hint="eastAsia"/>
                      <w:color w:val="auto"/>
                      <w:sz w:val="21"/>
                      <w:szCs w:val="21"/>
                      <w:lang w:val="en-US" w:eastAsia="zh-CN"/>
                    </w:rPr>
                    <w:t>新建</w:t>
                  </w:r>
                </w:p>
              </w:tc>
            </w:tr>
            <w:tr w14:paraId="3A4CD0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83" w:type="pct"/>
                  <w:vMerge w:val="restart"/>
                  <w:tcBorders>
                    <w:tl2br w:val="nil"/>
                    <w:tr2bl w:val="nil"/>
                  </w:tcBorders>
                  <w:vAlign w:val="center"/>
                </w:tcPr>
                <w:p w14:paraId="1F3B3BA3">
                  <w:pPr>
                    <w:pStyle w:val="61"/>
                    <w:rPr>
                      <w:color w:val="auto"/>
                      <w:sz w:val="21"/>
                      <w:szCs w:val="21"/>
                    </w:rPr>
                  </w:pPr>
                  <w:r>
                    <w:rPr>
                      <w:color w:val="auto"/>
                      <w:sz w:val="21"/>
                      <w:szCs w:val="21"/>
                    </w:rPr>
                    <w:t>环保工程</w:t>
                  </w:r>
                </w:p>
              </w:tc>
              <w:tc>
                <w:tcPr>
                  <w:tcW w:w="834" w:type="pct"/>
                  <w:tcBorders>
                    <w:tl2br w:val="nil"/>
                    <w:tr2bl w:val="nil"/>
                  </w:tcBorders>
                  <w:vAlign w:val="center"/>
                </w:tcPr>
                <w:p w14:paraId="6CE8E64F">
                  <w:pPr>
                    <w:pStyle w:val="61"/>
                    <w:rPr>
                      <w:color w:val="auto"/>
                      <w:sz w:val="21"/>
                      <w:szCs w:val="21"/>
                    </w:rPr>
                  </w:pPr>
                  <w:r>
                    <w:rPr>
                      <w:color w:val="auto"/>
                      <w:sz w:val="21"/>
                      <w:szCs w:val="21"/>
                    </w:rPr>
                    <w:t>废气治理</w:t>
                  </w:r>
                </w:p>
              </w:tc>
              <w:tc>
                <w:tcPr>
                  <w:tcW w:w="2659" w:type="pct"/>
                  <w:gridSpan w:val="2"/>
                  <w:tcBorders>
                    <w:tl2br w:val="nil"/>
                    <w:tr2bl w:val="nil"/>
                  </w:tcBorders>
                  <w:vAlign w:val="center"/>
                </w:tcPr>
                <w:p w14:paraId="7E823782">
                  <w:pPr>
                    <w:pStyle w:val="61"/>
                    <w:rPr>
                      <w:rFonts w:hint="default" w:eastAsia="宋体"/>
                      <w:color w:val="auto"/>
                      <w:sz w:val="21"/>
                      <w:szCs w:val="21"/>
                      <w:lang w:val="en-US" w:eastAsia="zh-CN"/>
                    </w:rPr>
                  </w:pPr>
                  <w:r>
                    <w:rPr>
                      <w:rFonts w:hint="eastAsia"/>
                      <w:color w:val="auto"/>
                      <w:sz w:val="21"/>
                      <w:szCs w:val="21"/>
                      <w:lang w:val="en-US" w:eastAsia="zh-CN"/>
                    </w:rPr>
                    <w:t>砂石料</w:t>
                  </w:r>
                  <w:r>
                    <w:rPr>
                      <w:color w:val="auto"/>
                      <w:sz w:val="21"/>
                      <w:szCs w:val="21"/>
                    </w:rPr>
                    <w:t>料场</w:t>
                  </w:r>
                  <w:r>
                    <w:rPr>
                      <w:rFonts w:hint="eastAsia"/>
                      <w:color w:val="auto"/>
                      <w:sz w:val="21"/>
                      <w:szCs w:val="21"/>
                      <w:lang w:val="en-US" w:eastAsia="zh-CN"/>
                    </w:rPr>
                    <w:t>为半封闭式，采用篷布覆盖</w:t>
                  </w:r>
                  <w:r>
                    <w:rPr>
                      <w:color w:val="auto"/>
                      <w:sz w:val="21"/>
                      <w:szCs w:val="21"/>
                    </w:rPr>
                    <w:t>，洒水降尘；物料装卸及厂区道路运输及时清扫，洒水降尘；物料输送采取封闭廊道；</w:t>
                  </w:r>
                  <w:r>
                    <w:rPr>
                      <w:rFonts w:hint="eastAsia"/>
                      <w:color w:val="auto"/>
                      <w:sz w:val="21"/>
                      <w:szCs w:val="21"/>
                      <w:lang w:val="en-US" w:eastAsia="zh-CN"/>
                    </w:rPr>
                    <w:t>搅拌废气经</w:t>
                  </w:r>
                  <w:r>
                    <w:rPr>
                      <w:color w:val="auto"/>
                      <w:sz w:val="21"/>
                      <w:szCs w:val="21"/>
                    </w:rPr>
                    <w:t>搅拌机自带布袋除尘器</w:t>
                  </w:r>
                  <w:r>
                    <w:rPr>
                      <w:rFonts w:hint="eastAsia"/>
                      <w:color w:val="auto"/>
                      <w:sz w:val="21"/>
                      <w:szCs w:val="21"/>
                      <w:lang w:val="en-US" w:eastAsia="zh-CN"/>
                    </w:rPr>
                    <w:t>处理后由1根15m高的排气筒（DA001）排放</w:t>
                  </w:r>
                  <w:r>
                    <w:rPr>
                      <w:color w:val="auto"/>
                      <w:sz w:val="21"/>
                      <w:szCs w:val="21"/>
                    </w:rPr>
                    <w:t>；</w:t>
                  </w:r>
                  <w:r>
                    <w:rPr>
                      <w:rFonts w:hint="eastAsia"/>
                      <w:color w:val="auto"/>
                      <w:sz w:val="21"/>
                      <w:szCs w:val="21"/>
                      <w:lang w:val="en-US" w:eastAsia="zh-CN"/>
                    </w:rPr>
                    <w:t>筒仓废气由</w:t>
                  </w:r>
                  <w:r>
                    <w:rPr>
                      <w:color w:val="auto"/>
                      <w:sz w:val="21"/>
                      <w:szCs w:val="21"/>
                    </w:rPr>
                    <w:t>筒仓配套安装</w:t>
                  </w:r>
                  <w:r>
                    <w:rPr>
                      <w:rFonts w:hint="eastAsia"/>
                      <w:color w:val="auto"/>
                      <w:sz w:val="21"/>
                      <w:szCs w:val="21"/>
                      <w:lang w:val="en-US" w:eastAsia="zh-CN"/>
                    </w:rPr>
                    <w:t>的脉冲</w:t>
                  </w:r>
                  <w:r>
                    <w:rPr>
                      <w:color w:val="auto"/>
                      <w:sz w:val="21"/>
                      <w:szCs w:val="21"/>
                    </w:rPr>
                    <w:t>布袋除尘器</w:t>
                  </w:r>
                  <w:r>
                    <w:rPr>
                      <w:rFonts w:hint="eastAsia"/>
                      <w:color w:val="auto"/>
                      <w:sz w:val="21"/>
                      <w:szCs w:val="21"/>
                      <w:lang w:val="en-US" w:eastAsia="zh-CN"/>
                    </w:rPr>
                    <w:t>处理后以无组织形式排放。</w:t>
                  </w:r>
                </w:p>
              </w:tc>
              <w:tc>
                <w:tcPr>
                  <w:tcW w:w="722" w:type="pct"/>
                  <w:vMerge w:val="restart"/>
                  <w:tcBorders>
                    <w:tl2br w:val="nil"/>
                    <w:tr2bl w:val="nil"/>
                  </w:tcBorders>
                  <w:vAlign w:val="center"/>
                </w:tcPr>
                <w:p w14:paraId="0D92306E">
                  <w:pPr>
                    <w:pStyle w:val="61"/>
                    <w:rPr>
                      <w:rFonts w:hint="eastAsia" w:eastAsia="宋体"/>
                      <w:color w:val="auto"/>
                      <w:sz w:val="21"/>
                      <w:szCs w:val="21"/>
                      <w:lang w:val="en-US" w:eastAsia="zh-CN"/>
                    </w:rPr>
                  </w:pPr>
                  <w:r>
                    <w:rPr>
                      <w:rFonts w:hint="eastAsia"/>
                      <w:color w:val="auto"/>
                      <w:sz w:val="21"/>
                      <w:szCs w:val="21"/>
                      <w:lang w:val="en-US" w:eastAsia="zh-CN"/>
                    </w:rPr>
                    <w:t>新建</w:t>
                  </w:r>
                </w:p>
              </w:tc>
            </w:tr>
            <w:tr w14:paraId="05FE68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3" w:type="pct"/>
                  <w:vMerge w:val="continue"/>
                  <w:tcBorders>
                    <w:tl2br w:val="nil"/>
                    <w:tr2bl w:val="nil"/>
                  </w:tcBorders>
                </w:tcPr>
                <w:p w14:paraId="7CFB1B03">
                  <w:pPr>
                    <w:pStyle w:val="61"/>
                    <w:rPr>
                      <w:color w:val="auto"/>
                      <w:sz w:val="21"/>
                      <w:szCs w:val="21"/>
                    </w:rPr>
                  </w:pPr>
                </w:p>
              </w:tc>
              <w:tc>
                <w:tcPr>
                  <w:tcW w:w="834" w:type="pct"/>
                  <w:tcBorders>
                    <w:tl2br w:val="nil"/>
                    <w:tr2bl w:val="nil"/>
                  </w:tcBorders>
                  <w:vAlign w:val="center"/>
                </w:tcPr>
                <w:p w14:paraId="045F38AE">
                  <w:pPr>
                    <w:pStyle w:val="61"/>
                    <w:rPr>
                      <w:color w:val="auto"/>
                      <w:sz w:val="21"/>
                      <w:szCs w:val="21"/>
                    </w:rPr>
                  </w:pPr>
                  <w:r>
                    <w:rPr>
                      <w:color w:val="auto"/>
                      <w:sz w:val="21"/>
                      <w:szCs w:val="21"/>
                    </w:rPr>
                    <w:t>废水治理</w:t>
                  </w:r>
                </w:p>
              </w:tc>
              <w:tc>
                <w:tcPr>
                  <w:tcW w:w="2659" w:type="pct"/>
                  <w:gridSpan w:val="2"/>
                  <w:tcBorders>
                    <w:tl2br w:val="nil"/>
                    <w:tr2bl w:val="nil"/>
                  </w:tcBorders>
                  <w:vAlign w:val="center"/>
                </w:tcPr>
                <w:p w14:paraId="109BBA47">
                  <w:pPr>
                    <w:pStyle w:val="61"/>
                    <w:rPr>
                      <w:color w:val="auto"/>
                      <w:sz w:val="21"/>
                      <w:szCs w:val="21"/>
                    </w:rPr>
                  </w:pPr>
                  <w:r>
                    <w:rPr>
                      <w:color w:val="auto"/>
                      <w:sz w:val="21"/>
                      <w:szCs w:val="21"/>
                    </w:rPr>
                    <w:t>生产废水经</w:t>
                  </w:r>
                  <w:r>
                    <w:rPr>
                      <w:rFonts w:hint="eastAsia"/>
                      <w:color w:val="auto"/>
                      <w:sz w:val="21"/>
                      <w:szCs w:val="21"/>
                      <w:lang w:val="en-US" w:eastAsia="zh-CN"/>
                    </w:rPr>
                    <w:t>三级</w:t>
                  </w:r>
                  <w:r>
                    <w:rPr>
                      <w:color w:val="auto"/>
                      <w:sz w:val="21"/>
                      <w:szCs w:val="21"/>
                    </w:rPr>
                    <w:t>沉淀池沉淀后回用于生产，生活污水经一体化污水处理系统处理达标后用于</w:t>
                  </w:r>
                  <w:r>
                    <w:rPr>
                      <w:rFonts w:hint="eastAsia"/>
                      <w:color w:val="auto"/>
                      <w:sz w:val="21"/>
                      <w:szCs w:val="21"/>
                      <w:lang w:val="en-US" w:eastAsia="zh-CN"/>
                    </w:rPr>
                    <w:t>厂区绿化</w:t>
                  </w:r>
                  <w:r>
                    <w:rPr>
                      <w:rFonts w:hint="eastAsia"/>
                      <w:color w:val="auto"/>
                      <w:sz w:val="21"/>
                      <w:szCs w:val="21"/>
                    </w:rPr>
                    <w:t>。</w:t>
                  </w:r>
                </w:p>
              </w:tc>
              <w:tc>
                <w:tcPr>
                  <w:tcW w:w="722" w:type="pct"/>
                  <w:vMerge w:val="continue"/>
                  <w:tcBorders>
                    <w:tl2br w:val="nil"/>
                    <w:tr2bl w:val="nil"/>
                  </w:tcBorders>
                  <w:vAlign w:val="center"/>
                </w:tcPr>
                <w:p w14:paraId="3B110FED">
                  <w:pPr>
                    <w:pStyle w:val="61"/>
                    <w:rPr>
                      <w:color w:val="auto"/>
                      <w:sz w:val="21"/>
                      <w:szCs w:val="21"/>
                    </w:rPr>
                  </w:pPr>
                </w:p>
              </w:tc>
            </w:tr>
            <w:tr w14:paraId="2122C8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3" w:type="pct"/>
                  <w:vMerge w:val="continue"/>
                  <w:tcBorders>
                    <w:tl2br w:val="nil"/>
                    <w:tr2bl w:val="nil"/>
                  </w:tcBorders>
                </w:tcPr>
                <w:p w14:paraId="2C479115">
                  <w:pPr>
                    <w:pStyle w:val="61"/>
                    <w:rPr>
                      <w:color w:val="auto"/>
                      <w:sz w:val="21"/>
                      <w:szCs w:val="21"/>
                    </w:rPr>
                  </w:pPr>
                </w:p>
              </w:tc>
              <w:tc>
                <w:tcPr>
                  <w:tcW w:w="834" w:type="pct"/>
                  <w:tcBorders>
                    <w:tl2br w:val="nil"/>
                    <w:tr2bl w:val="nil"/>
                  </w:tcBorders>
                  <w:vAlign w:val="center"/>
                </w:tcPr>
                <w:p w14:paraId="0B0DB49B">
                  <w:pPr>
                    <w:pStyle w:val="61"/>
                    <w:rPr>
                      <w:color w:val="auto"/>
                      <w:sz w:val="21"/>
                      <w:szCs w:val="21"/>
                    </w:rPr>
                  </w:pPr>
                  <w:r>
                    <w:rPr>
                      <w:color w:val="auto"/>
                      <w:sz w:val="21"/>
                      <w:szCs w:val="21"/>
                    </w:rPr>
                    <w:t>固废治理</w:t>
                  </w:r>
                </w:p>
              </w:tc>
              <w:tc>
                <w:tcPr>
                  <w:tcW w:w="2659" w:type="pct"/>
                  <w:gridSpan w:val="2"/>
                  <w:tcBorders>
                    <w:tl2br w:val="nil"/>
                    <w:tr2bl w:val="nil"/>
                  </w:tcBorders>
                  <w:vAlign w:val="center"/>
                </w:tcPr>
                <w:p w14:paraId="0BA1B502">
                  <w:pPr>
                    <w:pStyle w:val="61"/>
                    <w:rPr>
                      <w:color w:val="auto"/>
                      <w:sz w:val="21"/>
                      <w:szCs w:val="21"/>
                    </w:rPr>
                  </w:pPr>
                  <w:r>
                    <w:rPr>
                      <w:color w:val="auto"/>
                      <w:sz w:val="21"/>
                      <w:szCs w:val="21"/>
                    </w:rPr>
                    <w:t>生活垃圾经收集后，委托环卫部门处理；</w:t>
                  </w:r>
                  <w:r>
                    <w:rPr>
                      <w:rFonts w:hint="eastAsia"/>
                      <w:color w:val="auto"/>
                      <w:sz w:val="21"/>
                      <w:szCs w:val="21"/>
                      <w:lang w:val="en-US" w:eastAsia="zh-CN"/>
                    </w:rPr>
                    <w:t>污泥定</w:t>
                  </w:r>
                  <w:r>
                    <w:rPr>
                      <w:rFonts w:hint="eastAsia" w:ascii="Times New Roman" w:hAnsi="Times New Roman" w:cs="Times New Roman"/>
                      <w:color w:val="auto"/>
                      <w:highlight w:val="none"/>
                      <w:lang w:val="en-US" w:eastAsia="zh-CN"/>
                    </w:rPr>
                    <w:t>期</w:t>
                  </w:r>
                  <w:r>
                    <w:rPr>
                      <w:rFonts w:hint="default" w:ascii="Times New Roman" w:hAnsi="Times New Roman" w:cs="Times New Roman"/>
                      <w:color w:val="auto"/>
                      <w:highlight w:val="none"/>
                    </w:rPr>
                    <w:t>拉运至生活垃圾填埋场处置</w:t>
                  </w:r>
                  <w:r>
                    <w:rPr>
                      <w:rFonts w:hint="eastAsia" w:cs="Times New Roman"/>
                      <w:color w:val="auto"/>
                      <w:highlight w:val="none"/>
                      <w:lang w:eastAsia="zh-CN"/>
                    </w:rPr>
                    <w:t>；</w:t>
                  </w:r>
                  <w:r>
                    <w:rPr>
                      <w:color w:val="auto"/>
                      <w:sz w:val="21"/>
                      <w:szCs w:val="21"/>
                    </w:rPr>
                    <w:t>不合格</w:t>
                  </w:r>
                  <w:r>
                    <w:rPr>
                      <w:rFonts w:hint="eastAsia"/>
                      <w:color w:val="auto"/>
                      <w:sz w:val="21"/>
                      <w:szCs w:val="21"/>
                      <w:lang w:val="en-US" w:eastAsia="zh-CN"/>
                    </w:rPr>
                    <w:t>混凝土</w:t>
                  </w:r>
                  <w:r>
                    <w:rPr>
                      <w:color w:val="auto"/>
                      <w:sz w:val="21"/>
                      <w:szCs w:val="21"/>
                    </w:rPr>
                    <w:t>、</w:t>
                  </w:r>
                  <w:r>
                    <w:rPr>
                      <w:rFonts w:hint="eastAsia"/>
                      <w:color w:val="auto"/>
                      <w:sz w:val="21"/>
                      <w:szCs w:val="21"/>
                      <w:lang w:eastAsia="zh-CN"/>
                    </w:rPr>
                    <w:t>沉淀池沉淀物</w:t>
                  </w:r>
                  <w:r>
                    <w:rPr>
                      <w:rFonts w:hint="eastAsia"/>
                      <w:color w:val="auto"/>
                      <w:sz w:val="21"/>
                      <w:szCs w:val="21"/>
                      <w:lang w:val="en-US" w:eastAsia="zh-CN"/>
                    </w:rPr>
                    <w:t>集中收集后回用于生产</w:t>
                  </w:r>
                  <w:r>
                    <w:rPr>
                      <w:color w:val="auto"/>
                      <w:sz w:val="21"/>
                      <w:szCs w:val="21"/>
                    </w:rPr>
                    <w:t>；废机油暂存于危废暂存间，委托有资质的单位处置</w:t>
                  </w:r>
                </w:p>
              </w:tc>
              <w:tc>
                <w:tcPr>
                  <w:tcW w:w="722" w:type="pct"/>
                  <w:vMerge w:val="continue"/>
                  <w:tcBorders>
                    <w:tl2br w:val="nil"/>
                    <w:tr2bl w:val="nil"/>
                  </w:tcBorders>
                  <w:vAlign w:val="center"/>
                </w:tcPr>
                <w:p w14:paraId="4C918C0E">
                  <w:pPr>
                    <w:pStyle w:val="61"/>
                    <w:rPr>
                      <w:color w:val="auto"/>
                      <w:sz w:val="21"/>
                      <w:szCs w:val="21"/>
                    </w:rPr>
                  </w:pPr>
                </w:p>
              </w:tc>
            </w:tr>
          </w:tbl>
          <w:p w14:paraId="1966BC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b/>
                <w:color w:val="auto"/>
                <w:sz w:val="24"/>
              </w:rPr>
            </w:pPr>
            <w:r>
              <w:rPr>
                <w:rFonts w:hint="eastAsia" w:cs="Times New Roman"/>
                <w:b/>
                <w:color w:val="auto"/>
                <w:kern w:val="2"/>
                <w:sz w:val="24"/>
                <w:szCs w:val="24"/>
                <w:lang w:val="en-US" w:eastAsia="zh-CN" w:bidi="ar-SA"/>
              </w:rPr>
              <w:t>2</w:t>
            </w:r>
            <w:r>
              <w:rPr>
                <w:rFonts w:ascii="Times New Roman" w:hAnsi="Times New Roman" w:eastAsia="宋体" w:cs="Times New Roman"/>
                <w:b/>
                <w:color w:val="auto"/>
                <w:kern w:val="2"/>
                <w:sz w:val="24"/>
                <w:szCs w:val="24"/>
                <w:lang w:val="en-US" w:eastAsia="zh-CN" w:bidi="ar-SA"/>
              </w:rPr>
              <w:t>.</w:t>
            </w:r>
            <w:r>
              <w:rPr>
                <w:b/>
                <w:color w:val="auto"/>
                <w:sz w:val="24"/>
              </w:rPr>
              <w:t>主要生产设备</w:t>
            </w:r>
          </w:p>
          <w:p w14:paraId="137C0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本项目主要设备情况见表2-2。</w:t>
            </w:r>
          </w:p>
          <w:p w14:paraId="2974F5E4">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表2-2    本项目主要设备一览表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924"/>
              <w:gridCol w:w="1398"/>
              <w:gridCol w:w="1405"/>
              <w:gridCol w:w="1397"/>
              <w:gridCol w:w="930"/>
            </w:tblGrid>
            <w:tr w14:paraId="261499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9" w:type="pct"/>
                  <w:vMerge w:val="restart"/>
                  <w:tcBorders>
                    <w:bottom w:val="single" w:color="auto" w:sz="6" w:space="0"/>
                    <w:right w:val="single" w:color="auto" w:sz="6" w:space="0"/>
                  </w:tcBorders>
                  <w:vAlign w:val="center"/>
                </w:tcPr>
                <w:p w14:paraId="46F54265">
                  <w:pPr>
                    <w:widowControl/>
                    <w:snapToGrid w:val="0"/>
                    <w:jc w:val="center"/>
                    <w:rPr>
                      <w:b/>
                      <w:bCs/>
                      <w:color w:val="auto"/>
                      <w:sz w:val="21"/>
                      <w:szCs w:val="21"/>
                    </w:rPr>
                  </w:pPr>
                  <w:r>
                    <w:rPr>
                      <w:b/>
                      <w:bCs/>
                      <w:color w:val="auto"/>
                      <w:sz w:val="21"/>
                      <w:szCs w:val="21"/>
                    </w:rPr>
                    <w:t>序号</w:t>
                  </w:r>
                </w:p>
              </w:tc>
              <w:tc>
                <w:tcPr>
                  <w:tcW w:w="1211" w:type="pct"/>
                  <w:vMerge w:val="restart"/>
                  <w:tcBorders>
                    <w:left w:val="single" w:color="auto" w:sz="6" w:space="0"/>
                    <w:bottom w:val="single" w:color="auto" w:sz="6" w:space="0"/>
                    <w:right w:val="single" w:color="auto" w:sz="6" w:space="0"/>
                  </w:tcBorders>
                  <w:vAlign w:val="center"/>
                </w:tcPr>
                <w:p w14:paraId="03A88003">
                  <w:pPr>
                    <w:widowControl/>
                    <w:snapToGrid w:val="0"/>
                    <w:jc w:val="center"/>
                    <w:rPr>
                      <w:b/>
                      <w:bCs/>
                      <w:color w:val="auto"/>
                      <w:sz w:val="21"/>
                      <w:szCs w:val="21"/>
                    </w:rPr>
                  </w:pPr>
                  <w:r>
                    <w:rPr>
                      <w:b/>
                      <w:bCs/>
                      <w:color w:val="auto"/>
                      <w:sz w:val="21"/>
                      <w:szCs w:val="21"/>
                    </w:rPr>
                    <w:t>设备名称</w:t>
                  </w:r>
                </w:p>
              </w:tc>
              <w:tc>
                <w:tcPr>
                  <w:tcW w:w="2643" w:type="pct"/>
                  <w:gridSpan w:val="3"/>
                  <w:tcBorders>
                    <w:left w:val="single" w:color="auto" w:sz="6" w:space="0"/>
                    <w:bottom w:val="single" w:color="auto" w:sz="6" w:space="0"/>
                  </w:tcBorders>
                  <w:vAlign w:val="center"/>
                </w:tcPr>
                <w:p w14:paraId="14CCE06E">
                  <w:pPr>
                    <w:widowControl/>
                    <w:snapToGrid w:val="0"/>
                    <w:jc w:val="center"/>
                    <w:rPr>
                      <w:b/>
                      <w:bCs/>
                      <w:color w:val="auto"/>
                      <w:sz w:val="21"/>
                      <w:szCs w:val="21"/>
                    </w:rPr>
                  </w:pPr>
                  <w:r>
                    <w:rPr>
                      <w:b/>
                      <w:bCs/>
                      <w:color w:val="auto"/>
                      <w:sz w:val="21"/>
                      <w:szCs w:val="21"/>
                    </w:rPr>
                    <w:t>设施参数</w:t>
                  </w:r>
                </w:p>
              </w:tc>
              <w:tc>
                <w:tcPr>
                  <w:tcW w:w="585" w:type="pct"/>
                  <w:vMerge w:val="restart"/>
                  <w:vAlign w:val="center"/>
                </w:tcPr>
                <w:p w14:paraId="0D251D97">
                  <w:pPr>
                    <w:widowControl/>
                    <w:snapToGrid w:val="0"/>
                    <w:jc w:val="center"/>
                    <w:rPr>
                      <w:b/>
                      <w:bCs/>
                      <w:color w:val="auto"/>
                      <w:sz w:val="21"/>
                      <w:szCs w:val="21"/>
                    </w:rPr>
                  </w:pPr>
                  <w:r>
                    <w:rPr>
                      <w:b/>
                      <w:bCs/>
                      <w:color w:val="auto"/>
                      <w:sz w:val="21"/>
                      <w:szCs w:val="21"/>
                    </w:rPr>
                    <w:t>数量</w:t>
                  </w:r>
                </w:p>
              </w:tc>
            </w:tr>
            <w:tr w14:paraId="7C075A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9" w:type="pct"/>
                  <w:vMerge w:val="continue"/>
                  <w:tcBorders>
                    <w:top w:val="single" w:color="auto" w:sz="6" w:space="0"/>
                    <w:bottom w:val="single" w:color="auto" w:sz="12" w:space="0"/>
                    <w:right w:val="single" w:color="auto" w:sz="6" w:space="0"/>
                  </w:tcBorders>
                  <w:vAlign w:val="center"/>
                </w:tcPr>
                <w:p w14:paraId="57C0CD53">
                  <w:pPr>
                    <w:widowControl/>
                    <w:snapToGrid w:val="0"/>
                    <w:jc w:val="center"/>
                    <w:rPr>
                      <w:color w:val="auto"/>
                      <w:sz w:val="21"/>
                      <w:szCs w:val="21"/>
                    </w:rPr>
                  </w:pPr>
                </w:p>
              </w:tc>
              <w:tc>
                <w:tcPr>
                  <w:tcW w:w="1211" w:type="pct"/>
                  <w:vMerge w:val="continue"/>
                  <w:tcBorders>
                    <w:top w:val="single" w:color="auto" w:sz="6" w:space="0"/>
                    <w:left w:val="single" w:color="auto" w:sz="6" w:space="0"/>
                    <w:bottom w:val="single" w:color="auto" w:sz="12" w:space="0"/>
                    <w:right w:val="single" w:color="auto" w:sz="6" w:space="0"/>
                  </w:tcBorders>
                  <w:vAlign w:val="center"/>
                </w:tcPr>
                <w:p w14:paraId="6F004C65">
                  <w:pPr>
                    <w:widowControl/>
                    <w:jc w:val="center"/>
                    <w:rPr>
                      <w:color w:val="auto"/>
                      <w:sz w:val="21"/>
                      <w:szCs w:val="21"/>
                    </w:rPr>
                  </w:pPr>
                </w:p>
              </w:tc>
              <w:tc>
                <w:tcPr>
                  <w:tcW w:w="880" w:type="pct"/>
                  <w:tcBorders>
                    <w:top w:val="single" w:color="auto" w:sz="6" w:space="0"/>
                    <w:left w:val="single" w:color="auto" w:sz="6" w:space="0"/>
                    <w:bottom w:val="single" w:color="auto" w:sz="12" w:space="0"/>
                    <w:right w:val="single" w:color="auto" w:sz="6" w:space="0"/>
                  </w:tcBorders>
                  <w:vAlign w:val="center"/>
                </w:tcPr>
                <w:p w14:paraId="4BA82DBA">
                  <w:pPr>
                    <w:widowControl/>
                    <w:jc w:val="center"/>
                    <w:rPr>
                      <w:b/>
                      <w:bCs/>
                      <w:color w:val="auto"/>
                      <w:sz w:val="21"/>
                      <w:szCs w:val="21"/>
                    </w:rPr>
                  </w:pPr>
                  <w:r>
                    <w:rPr>
                      <w:b/>
                      <w:bCs/>
                      <w:color w:val="auto"/>
                      <w:sz w:val="21"/>
                      <w:szCs w:val="21"/>
                    </w:rPr>
                    <w:t>参数</w:t>
                  </w:r>
                </w:p>
                <w:p w14:paraId="3A63D0A6">
                  <w:pPr>
                    <w:widowControl/>
                    <w:jc w:val="center"/>
                    <w:rPr>
                      <w:b/>
                      <w:bCs/>
                      <w:color w:val="auto"/>
                      <w:sz w:val="21"/>
                      <w:szCs w:val="21"/>
                    </w:rPr>
                  </w:pPr>
                  <w:r>
                    <w:rPr>
                      <w:b/>
                      <w:bCs/>
                      <w:color w:val="auto"/>
                      <w:sz w:val="21"/>
                      <w:szCs w:val="21"/>
                    </w:rPr>
                    <w:t>名称</w:t>
                  </w:r>
                </w:p>
              </w:tc>
              <w:tc>
                <w:tcPr>
                  <w:tcW w:w="884" w:type="pct"/>
                  <w:tcBorders>
                    <w:top w:val="single" w:color="auto" w:sz="6" w:space="0"/>
                    <w:left w:val="single" w:color="auto" w:sz="6" w:space="0"/>
                    <w:bottom w:val="single" w:color="auto" w:sz="12" w:space="0"/>
                    <w:right w:val="single" w:color="auto" w:sz="6" w:space="0"/>
                  </w:tcBorders>
                  <w:vAlign w:val="center"/>
                </w:tcPr>
                <w:p w14:paraId="1D352152">
                  <w:pPr>
                    <w:widowControl/>
                    <w:jc w:val="center"/>
                    <w:rPr>
                      <w:b/>
                      <w:bCs/>
                      <w:color w:val="auto"/>
                      <w:sz w:val="21"/>
                      <w:szCs w:val="21"/>
                    </w:rPr>
                  </w:pPr>
                  <w:r>
                    <w:rPr>
                      <w:rFonts w:hint="eastAsia"/>
                      <w:b/>
                      <w:bCs/>
                      <w:color w:val="auto"/>
                      <w:sz w:val="21"/>
                      <w:szCs w:val="21"/>
                    </w:rPr>
                    <w:t>规格</w:t>
                  </w:r>
                </w:p>
              </w:tc>
              <w:tc>
                <w:tcPr>
                  <w:tcW w:w="878" w:type="pct"/>
                  <w:tcBorders>
                    <w:top w:val="single" w:color="auto" w:sz="6" w:space="0"/>
                    <w:left w:val="single" w:color="auto" w:sz="6" w:space="0"/>
                    <w:bottom w:val="single" w:color="auto" w:sz="12" w:space="0"/>
                  </w:tcBorders>
                  <w:vAlign w:val="center"/>
                </w:tcPr>
                <w:p w14:paraId="19A4D28F">
                  <w:pPr>
                    <w:widowControl/>
                    <w:jc w:val="center"/>
                    <w:rPr>
                      <w:b/>
                      <w:bCs/>
                      <w:color w:val="auto"/>
                      <w:sz w:val="21"/>
                      <w:szCs w:val="21"/>
                    </w:rPr>
                  </w:pPr>
                  <w:r>
                    <w:rPr>
                      <w:b/>
                      <w:bCs/>
                      <w:color w:val="auto"/>
                      <w:sz w:val="21"/>
                      <w:szCs w:val="21"/>
                    </w:rPr>
                    <w:t>计量</w:t>
                  </w:r>
                </w:p>
                <w:p w14:paraId="60871E73">
                  <w:pPr>
                    <w:widowControl/>
                    <w:jc w:val="center"/>
                    <w:rPr>
                      <w:b/>
                      <w:bCs/>
                      <w:color w:val="auto"/>
                      <w:sz w:val="21"/>
                      <w:szCs w:val="21"/>
                    </w:rPr>
                  </w:pPr>
                  <w:r>
                    <w:rPr>
                      <w:b/>
                      <w:bCs/>
                      <w:color w:val="auto"/>
                      <w:sz w:val="21"/>
                      <w:szCs w:val="21"/>
                    </w:rPr>
                    <w:t>单位</w:t>
                  </w:r>
                </w:p>
              </w:tc>
              <w:tc>
                <w:tcPr>
                  <w:tcW w:w="585" w:type="pct"/>
                  <w:vMerge w:val="continue"/>
                  <w:tcBorders>
                    <w:tl2br w:val="nil"/>
                    <w:tr2bl w:val="nil"/>
                  </w:tcBorders>
                  <w:vAlign w:val="center"/>
                </w:tcPr>
                <w:p w14:paraId="0817205F">
                  <w:pPr>
                    <w:widowControl/>
                    <w:jc w:val="center"/>
                    <w:rPr>
                      <w:color w:val="auto"/>
                      <w:sz w:val="21"/>
                      <w:szCs w:val="21"/>
                    </w:rPr>
                  </w:pPr>
                </w:p>
              </w:tc>
            </w:tr>
            <w:tr w14:paraId="4327A6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9" w:type="pct"/>
                  <w:tcBorders>
                    <w:top w:val="single" w:color="auto" w:sz="12" w:space="0"/>
                    <w:tl2br w:val="nil"/>
                    <w:tr2bl w:val="nil"/>
                  </w:tcBorders>
                  <w:vAlign w:val="center"/>
                </w:tcPr>
                <w:p w14:paraId="1DB479AF">
                  <w:pPr>
                    <w:widowControl/>
                    <w:snapToGrid w:val="0"/>
                    <w:jc w:val="center"/>
                    <w:rPr>
                      <w:color w:val="auto"/>
                      <w:sz w:val="21"/>
                      <w:szCs w:val="21"/>
                    </w:rPr>
                  </w:pPr>
                  <w:r>
                    <w:rPr>
                      <w:color w:val="auto"/>
                      <w:sz w:val="21"/>
                      <w:szCs w:val="21"/>
                    </w:rPr>
                    <w:t>1</w:t>
                  </w:r>
                </w:p>
              </w:tc>
              <w:tc>
                <w:tcPr>
                  <w:tcW w:w="1211" w:type="pct"/>
                  <w:tcBorders>
                    <w:top w:val="single" w:color="auto" w:sz="12" w:space="0"/>
                    <w:tl2br w:val="nil"/>
                    <w:tr2bl w:val="nil"/>
                  </w:tcBorders>
                  <w:vAlign w:val="center"/>
                </w:tcPr>
                <w:p w14:paraId="62F8BD06">
                  <w:pPr>
                    <w:widowControl/>
                    <w:jc w:val="center"/>
                    <w:rPr>
                      <w:color w:val="auto"/>
                      <w:sz w:val="21"/>
                      <w:szCs w:val="21"/>
                    </w:rPr>
                  </w:pPr>
                  <w:r>
                    <w:rPr>
                      <w:color w:val="auto"/>
                      <w:sz w:val="21"/>
                      <w:szCs w:val="21"/>
                    </w:rPr>
                    <w:t>搅拌机（主机）</w:t>
                  </w:r>
                </w:p>
              </w:tc>
              <w:tc>
                <w:tcPr>
                  <w:tcW w:w="880" w:type="pct"/>
                  <w:tcBorders>
                    <w:top w:val="single" w:color="auto" w:sz="12" w:space="0"/>
                    <w:tl2br w:val="nil"/>
                    <w:tr2bl w:val="nil"/>
                  </w:tcBorders>
                  <w:vAlign w:val="center"/>
                </w:tcPr>
                <w:p w14:paraId="69889C84">
                  <w:pPr>
                    <w:widowControl/>
                    <w:jc w:val="center"/>
                    <w:rPr>
                      <w:color w:val="auto"/>
                      <w:sz w:val="21"/>
                      <w:szCs w:val="21"/>
                    </w:rPr>
                  </w:pPr>
                  <w:r>
                    <w:rPr>
                      <w:color w:val="auto"/>
                      <w:sz w:val="21"/>
                      <w:szCs w:val="21"/>
                    </w:rPr>
                    <w:t>搅拌</w:t>
                  </w:r>
                </w:p>
                <w:p w14:paraId="7406083B">
                  <w:pPr>
                    <w:widowControl/>
                    <w:jc w:val="center"/>
                    <w:rPr>
                      <w:color w:val="auto"/>
                      <w:sz w:val="21"/>
                      <w:szCs w:val="21"/>
                    </w:rPr>
                  </w:pPr>
                  <w:r>
                    <w:rPr>
                      <w:color w:val="auto"/>
                      <w:sz w:val="21"/>
                      <w:szCs w:val="21"/>
                    </w:rPr>
                    <w:t>能力</w:t>
                  </w:r>
                </w:p>
              </w:tc>
              <w:tc>
                <w:tcPr>
                  <w:tcW w:w="884" w:type="pct"/>
                  <w:tcBorders>
                    <w:top w:val="single" w:color="auto" w:sz="12" w:space="0"/>
                    <w:tl2br w:val="nil"/>
                    <w:tr2bl w:val="nil"/>
                  </w:tcBorders>
                  <w:vAlign w:val="center"/>
                </w:tcPr>
                <w:p w14:paraId="4342E675">
                  <w:pPr>
                    <w:widowControl/>
                    <w:jc w:val="center"/>
                    <w:rPr>
                      <w:color w:val="auto"/>
                      <w:sz w:val="21"/>
                      <w:szCs w:val="21"/>
                    </w:rPr>
                  </w:pPr>
                  <w:r>
                    <w:rPr>
                      <w:rFonts w:hint="eastAsia"/>
                      <w:color w:val="auto"/>
                      <w:sz w:val="21"/>
                      <w:szCs w:val="21"/>
                    </w:rPr>
                    <w:t>240</w:t>
                  </w:r>
                </w:p>
              </w:tc>
              <w:tc>
                <w:tcPr>
                  <w:tcW w:w="878" w:type="pct"/>
                  <w:tcBorders>
                    <w:top w:val="single" w:color="auto" w:sz="12" w:space="0"/>
                    <w:tl2br w:val="nil"/>
                    <w:tr2bl w:val="nil"/>
                  </w:tcBorders>
                  <w:vAlign w:val="center"/>
                </w:tcPr>
                <w:p w14:paraId="6CAD551A">
                  <w:pPr>
                    <w:widowControl/>
                    <w:jc w:val="center"/>
                    <w:rPr>
                      <w:color w:val="auto"/>
                      <w:sz w:val="21"/>
                      <w:szCs w:val="21"/>
                    </w:rPr>
                  </w:pPr>
                  <w:r>
                    <w:rPr>
                      <w:color w:val="auto"/>
                      <w:sz w:val="21"/>
                      <w:szCs w:val="21"/>
                    </w:rPr>
                    <w:t>m</w:t>
                  </w:r>
                  <w:r>
                    <w:rPr>
                      <w:color w:val="auto"/>
                      <w:sz w:val="21"/>
                      <w:szCs w:val="21"/>
                      <w:vertAlign w:val="superscript"/>
                    </w:rPr>
                    <w:t>3</w:t>
                  </w:r>
                  <w:r>
                    <w:rPr>
                      <w:color w:val="auto"/>
                      <w:sz w:val="21"/>
                      <w:szCs w:val="21"/>
                    </w:rPr>
                    <w:t>/</w:t>
                  </w:r>
                  <w:r>
                    <w:rPr>
                      <w:rFonts w:hint="eastAsia"/>
                      <w:color w:val="auto"/>
                      <w:sz w:val="21"/>
                      <w:szCs w:val="21"/>
                    </w:rPr>
                    <w:t>h</w:t>
                  </w:r>
                </w:p>
              </w:tc>
              <w:tc>
                <w:tcPr>
                  <w:tcW w:w="585" w:type="pct"/>
                  <w:tcBorders>
                    <w:top w:val="single" w:color="auto" w:sz="12" w:space="0"/>
                    <w:tl2br w:val="nil"/>
                    <w:tr2bl w:val="nil"/>
                  </w:tcBorders>
                  <w:vAlign w:val="center"/>
                </w:tcPr>
                <w:p w14:paraId="585B2D2D">
                  <w:pPr>
                    <w:widowControl/>
                    <w:jc w:val="center"/>
                    <w:rPr>
                      <w:rFonts w:hint="eastAsia" w:eastAsia="宋体"/>
                      <w:color w:val="auto"/>
                      <w:sz w:val="21"/>
                      <w:szCs w:val="21"/>
                      <w:lang w:val="en-US" w:eastAsia="zh-CN"/>
                    </w:rPr>
                  </w:pPr>
                  <w:r>
                    <w:rPr>
                      <w:rFonts w:hint="eastAsia"/>
                      <w:color w:val="auto"/>
                      <w:sz w:val="21"/>
                      <w:szCs w:val="21"/>
                      <w:lang w:val="en-US" w:eastAsia="zh-CN"/>
                    </w:rPr>
                    <w:t>2</w:t>
                  </w:r>
                </w:p>
              </w:tc>
            </w:tr>
            <w:tr w14:paraId="18FE24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59" w:type="pct"/>
                  <w:tcBorders>
                    <w:tl2br w:val="nil"/>
                    <w:tr2bl w:val="nil"/>
                  </w:tcBorders>
                  <w:vAlign w:val="center"/>
                </w:tcPr>
                <w:p w14:paraId="5139FB1D">
                  <w:pPr>
                    <w:widowControl/>
                    <w:snapToGrid w:val="0"/>
                    <w:jc w:val="center"/>
                    <w:rPr>
                      <w:color w:val="auto"/>
                      <w:sz w:val="21"/>
                      <w:szCs w:val="21"/>
                    </w:rPr>
                  </w:pPr>
                  <w:r>
                    <w:rPr>
                      <w:color w:val="auto"/>
                      <w:sz w:val="21"/>
                      <w:szCs w:val="21"/>
                    </w:rPr>
                    <w:t>2</w:t>
                  </w:r>
                </w:p>
              </w:tc>
              <w:tc>
                <w:tcPr>
                  <w:tcW w:w="1211" w:type="pct"/>
                  <w:tcBorders>
                    <w:tl2br w:val="nil"/>
                    <w:tr2bl w:val="nil"/>
                  </w:tcBorders>
                  <w:vAlign w:val="center"/>
                </w:tcPr>
                <w:p w14:paraId="07912FE6">
                  <w:pPr>
                    <w:widowControl/>
                    <w:jc w:val="center"/>
                    <w:rPr>
                      <w:color w:val="auto"/>
                      <w:sz w:val="21"/>
                      <w:szCs w:val="21"/>
                    </w:rPr>
                  </w:pPr>
                  <w:r>
                    <w:rPr>
                      <w:color w:val="auto"/>
                      <w:sz w:val="21"/>
                      <w:szCs w:val="21"/>
                    </w:rPr>
                    <w:t>筒仓</w:t>
                  </w:r>
                </w:p>
              </w:tc>
              <w:tc>
                <w:tcPr>
                  <w:tcW w:w="880" w:type="pct"/>
                  <w:tcBorders>
                    <w:tl2br w:val="nil"/>
                    <w:tr2bl w:val="nil"/>
                  </w:tcBorders>
                  <w:vAlign w:val="center"/>
                </w:tcPr>
                <w:p w14:paraId="7FE7A83D">
                  <w:pPr>
                    <w:widowControl/>
                    <w:jc w:val="center"/>
                    <w:rPr>
                      <w:color w:val="auto"/>
                      <w:sz w:val="21"/>
                      <w:szCs w:val="21"/>
                    </w:rPr>
                  </w:pPr>
                  <w:r>
                    <w:rPr>
                      <w:color w:val="auto"/>
                      <w:sz w:val="21"/>
                      <w:szCs w:val="21"/>
                    </w:rPr>
                    <w:t>容积</w:t>
                  </w:r>
                </w:p>
              </w:tc>
              <w:tc>
                <w:tcPr>
                  <w:tcW w:w="884" w:type="pct"/>
                  <w:tcBorders>
                    <w:tl2br w:val="nil"/>
                    <w:tr2bl w:val="nil"/>
                  </w:tcBorders>
                  <w:vAlign w:val="center"/>
                </w:tcPr>
                <w:p w14:paraId="7458541E">
                  <w:pPr>
                    <w:widowControl/>
                    <w:jc w:val="center"/>
                    <w:rPr>
                      <w:color w:val="auto"/>
                      <w:sz w:val="21"/>
                      <w:szCs w:val="21"/>
                    </w:rPr>
                  </w:pPr>
                  <w:r>
                    <w:rPr>
                      <w:color w:val="auto"/>
                      <w:sz w:val="21"/>
                      <w:szCs w:val="21"/>
                    </w:rPr>
                    <w:t>300</w:t>
                  </w:r>
                </w:p>
              </w:tc>
              <w:tc>
                <w:tcPr>
                  <w:tcW w:w="878" w:type="pct"/>
                  <w:tcBorders>
                    <w:tl2br w:val="nil"/>
                    <w:tr2bl w:val="nil"/>
                  </w:tcBorders>
                  <w:vAlign w:val="center"/>
                </w:tcPr>
                <w:p w14:paraId="34252CE7">
                  <w:pPr>
                    <w:widowControl/>
                    <w:jc w:val="center"/>
                    <w:rPr>
                      <w:color w:val="auto"/>
                      <w:sz w:val="21"/>
                      <w:szCs w:val="21"/>
                    </w:rPr>
                  </w:pPr>
                  <w:r>
                    <w:rPr>
                      <w:color w:val="auto"/>
                      <w:sz w:val="21"/>
                      <w:szCs w:val="21"/>
                    </w:rPr>
                    <w:t>m</w:t>
                  </w:r>
                  <w:r>
                    <w:rPr>
                      <w:color w:val="auto"/>
                      <w:sz w:val="21"/>
                      <w:szCs w:val="21"/>
                      <w:vertAlign w:val="superscript"/>
                    </w:rPr>
                    <w:t>3</w:t>
                  </w:r>
                </w:p>
              </w:tc>
              <w:tc>
                <w:tcPr>
                  <w:tcW w:w="585" w:type="pct"/>
                  <w:tcBorders>
                    <w:tl2br w:val="nil"/>
                    <w:tr2bl w:val="nil"/>
                  </w:tcBorders>
                  <w:vAlign w:val="center"/>
                </w:tcPr>
                <w:p w14:paraId="08B71603">
                  <w:pPr>
                    <w:widowControl/>
                    <w:jc w:val="center"/>
                    <w:rPr>
                      <w:rFonts w:hint="eastAsia" w:eastAsia="宋体"/>
                      <w:color w:val="auto"/>
                      <w:sz w:val="21"/>
                      <w:szCs w:val="21"/>
                      <w:lang w:eastAsia="zh-CN"/>
                    </w:rPr>
                  </w:pPr>
                  <w:r>
                    <w:rPr>
                      <w:rFonts w:hint="eastAsia"/>
                      <w:color w:val="auto"/>
                      <w:sz w:val="21"/>
                      <w:szCs w:val="21"/>
                      <w:lang w:val="en-US" w:eastAsia="zh-CN"/>
                    </w:rPr>
                    <w:t>4</w:t>
                  </w:r>
                </w:p>
              </w:tc>
            </w:tr>
            <w:tr w14:paraId="7BCD81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9" w:type="pct"/>
                  <w:tcBorders>
                    <w:tl2br w:val="nil"/>
                    <w:tr2bl w:val="nil"/>
                  </w:tcBorders>
                  <w:vAlign w:val="center"/>
                </w:tcPr>
                <w:p w14:paraId="05A046E7">
                  <w:pPr>
                    <w:widowControl/>
                    <w:snapToGrid w:val="0"/>
                    <w:jc w:val="center"/>
                    <w:rPr>
                      <w:color w:val="auto"/>
                      <w:sz w:val="21"/>
                      <w:szCs w:val="21"/>
                    </w:rPr>
                  </w:pPr>
                  <w:r>
                    <w:rPr>
                      <w:color w:val="auto"/>
                      <w:sz w:val="21"/>
                      <w:szCs w:val="21"/>
                    </w:rPr>
                    <w:t>3</w:t>
                  </w:r>
                </w:p>
              </w:tc>
              <w:tc>
                <w:tcPr>
                  <w:tcW w:w="1211" w:type="pct"/>
                  <w:tcBorders>
                    <w:tl2br w:val="nil"/>
                    <w:tr2bl w:val="nil"/>
                  </w:tcBorders>
                  <w:vAlign w:val="center"/>
                </w:tcPr>
                <w:p w14:paraId="29F51991">
                  <w:pPr>
                    <w:widowControl/>
                    <w:jc w:val="center"/>
                    <w:rPr>
                      <w:color w:val="auto"/>
                      <w:sz w:val="21"/>
                      <w:szCs w:val="21"/>
                    </w:rPr>
                  </w:pPr>
                  <w:r>
                    <w:rPr>
                      <w:color w:val="auto"/>
                      <w:sz w:val="21"/>
                      <w:szCs w:val="21"/>
                    </w:rPr>
                    <w:t>泵车</w:t>
                  </w:r>
                </w:p>
              </w:tc>
              <w:tc>
                <w:tcPr>
                  <w:tcW w:w="880" w:type="pct"/>
                  <w:tcBorders>
                    <w:tl2br w:val="nil"/>
                    <w:tr2bl w:val="nil"/>
                  </w:tcBorders>
                  <w:vAlign w:val="center"/>
                </w:tcPr>
                <w:p w14:paraId="63AD88BE">
                  <w:pPr>
                    <w:widowControl/>
                    <w:jc w:val="center"/>
                    <w:rPr>
                      <w:color w:val="auto"/>
                      <w:sz w:val="21"/>
                      <w:szCs w:val="21"/>
                    </w:rPr>
                  </w:pPr>
                  <w:r>
                    <w:rPr>
                      <w:color w:val="auto"/>
                      <w:sz w:val="21"/>
                      <w:szCs w:val="21"/>
                    </w:rPr>
                    <w:t>容积</w:t>
                  </w:r>
                </w:p>
              </w:tc>
              <w:tc>
                <w:tcPr>
                  <w:tcW w:w="884" w:type="pct"/>
                  <w:tcBorders>
                    <w:tl2br w:val="nil"/>
                    <w:tr2bl w:val="nil"/>
                  </w:tcBorders>
                  <w:vAlign w:val="center"/>
                </w:tcPr>
                <w:p w14:paraId="23B09BEA">
                  <w:pPr>
                    <w:widowControl/>
                    <w:jc w:val="center"/>
                    <w:rPr>
                      <w:color w:val="auto"/>
                      <w:sz w:val="21"/>
                      <w:szCs w:val="21"/>
                    </w:rPr>
                  </w:pPr>
                  <w:r>
                    <w:rPr>
                      <w:color w:val="auto"/>
                      <w:sz w:val="21"/>
                      <w:szCs w:val="21"/>
                    </w:rPr>
                    <w:t>/</w:t>
                  </w:r>
                </w:p>
              </w:tc>
              <w:tc>
                <w:tcPr>
                  <w:tcW w:w="878" w:type="pct"/>
                  <w:tcBorders>
                    <w:tl2br w:val="nil"/>
                    <w:tr2bl w:val="nil"/>
                  </w:tcBorders>
                  <w:vAlign w:val="center"/>
                </w:tcPr>
                <w:p w14:paraId="7D45538C">
                  <w:pPr>
                    <w:widowControl/>
                    <w:jc w:val="center"/>
                    <w:rPr>
                      <w:color w:val="auto"/>
                      <w:sz w:val="21"/>
                      <w:szCs w:val="21"/>
                    </w:rPr>
                  </w:pPr>
                  <w:r>
                    <w:rPr>
                      <w:color w:val="auto"/>
                      <w:sz w:val="21"/>
                      <w:szCs w:val="21"/>
                    </w:rPr>
                    <w:t>/</w:t>
                  </w:r>
                </w:p>
              </w:tc>
              <w:tc>
                <w:tcPr>
                  <w:tcW w:w="585" w:type="pct"/>
                  <w:tcBorders>
                    <w:tl2br w:val="nil"/>
                    <w:tr2bl w:val="nil"/>
                  </w:tcBorders>
                  <w:vAlign w:val="center"/>
                </w:tcPr>
                <w:p w14:paraId="6FAA3F8A">
                  <w:pPr>
                    <w:widowControl/>
                    <w:jc w:val="center"/>
                    <w:rPr>
                      <w:color w:val="auto"/>
                      <w:sz w:val="21"/>
                      <w:szCs w:val="21"/>
                    </w:rPr>
                  </w:pPr>
                  <w:r>
                    <w:rPr>
                      <w:rFonts w:hint="eastAsia"/>
                      <w:color w:val="auto"/>
                      <w:sz w:val="21"/>
                      <w:szCs w:val="21"/>
                    </w:rPr>
                    <w:t>6</w:t>
                  </w:r>
                </w:p>
              </w:tc>
            </w:tr>
            <w:tr w14:paraId="1E859E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9" w:type="pct"/>
                  <w:tcBorders>
                    <w:tl2br w:val="nil"/>
                    <w:tr2bl w:val="nil"/>
                  </w:tcBorders>
                  <w:vAlign w:val="center"/>
                </w:tcPr>
                <w:p w14:paraId="46FF9CDD">
                  <w:pPr>
                    <w:widowControl/>
                    <w:snapToGrid w:val="0"/>
                    <w:jc w:val="center"/>
                    <w:rPr>
                      <w:color w:val="auto"/>
                      <w:sz w:val="21"/>
                      <w:szCs w:val="21"/>
                    </w:rPr>
                  </w:pPr>
                  <w:r>
                    <w:rPr>
                      <w:color w:val="auto"/>
                      <w:sz w:val="21"/>
                      <w:szCs w:val="21"/>
                    </w:rPr>
                    <w:t>4</w:t>
                  </w:r>
                </w:p>
              </w:tc>
              <w:tc>
                <w:tcPr>
                  <w:tcW w:w="1211" w:type="pct"/>
                  <w:tcBorders>
                    <w:tl2br w:val="nil"/>
                    <w:tr2bl w:val="nil"/>
                  </w:tcBorders>
                  <w:vAlign w:val="center"/>
                </w:tcPr>
                <w:p w14:paraId="7E0FF7B4">
                  <w:pPr>
                    <w:widowControl/>
                    <w:jc w:val="center"/>
                    <w:rPr>
                      <w:color w:val="auto"/>
                      <w:sz w:val="21"/>
                      <w:szCs w:val="21"/>
                    </w:rPr>
                  </w:pPr>
                  <w:r>
                    <w:rPr>
                      <w:color w:val="auto"/>
                      <w:sz w:val="21"/>
                      <w:szCs w:val="21"/>
                    </w:rPr>
                    <w:t>装载机</w:t>
                  </w:r>
                </w:p>
              </w:tc>
              <w:tc>
                <w:tcPr>
                  <w:tcW w:w="880" w:type="pct"/>
                  <w:tcBorders>
                    <w:tl2br w:val="nil"/>
                    <w:tr2bl w:val="nil"/>
                  </w:tcBorders>
                  <w:vAlign w:val="center"/>
                </w:tcPr>
                <w:p w14:paraId="61ADD989">
                  <w:pPr>
                    <w:widowControl/>
                    <w:jc w:val="center"/>
                    <w:rPr>
                      <w:color w:val="auto"/>
                      <w:sz w:val="21"/>
                      <w:szCs w:val="21"/>
                    </w:rPr>
                  </w:pPr>
                  <w:r>
                    <w:rPr>
                      <w:color w:val="auto"/>
                      <w:sz w:val="21"/>
                      <w:szCs w:val="21"/>
                    </w:rPr>
                    <w:t>容积</w:t>
                  </w:r>
                </w:p>
              </w:tc>
              <w:tc>
                <w:tcPr>
                  <w:tcW w:w="884" w:type="pct"/>
                  <w:tcBorders>
                    <w:tl2br w:val="nil"/>
                    <w:tr2bl w:val="nil"/>
                  </w:tcBorders>
                  <w:vAlign w:val="center"/>
                </w:tcPr>
                <w:p w14:paraId="69A169A8">
                  <w:pPr>
                    <w:widowControl/>
                    <w:jc w:val="center"/>
                    <w:rPr>
                      <w:color w:val="auto"/>
                      <w:sz w:val="21"/>
                      <w:szCs w:val="21"/>
                    </w:rPr>
                  </w:pPr>
                  <w:r>
                    <w:rPr>
                      <w:color w:val="auto"/>
                      <w:sz w:val="21"/>
                      <w:szCs w:val="21"/>
                    </w:rPr>
                    <w:t>/</w:t>
                  </w:r>
                </w:p>
              </w:tc>
              <w:tc>
                <w:tcPr>
                  <w:tcW w:w="878" w:type="pct"/>
                  <w:tcBorders>
                    <w:tl2br w:val="nil"/>
                    <w:tr2bl w:val="nil"/>
                  </w:tcBorders>
                  <w:vAlign w:val="center"/>
                </w:tcPr>
                <w:p w14:paraId="7395A13E">
                  <w:pPr>
                    <w:widowControl/>
                    <w:jc w:val="center"/>
                    <w:rPr>
                      <w:color w:val="auto"/>
                      <w:sz w:val="21"/>
                      <w:szCs w:val="21"/>
                    </w:rPr>
                  </w:pPr>
                  <w:r>
                    <w:rPr>
                      <w:color w:val="auto"/>
                      <w:sz w:val="21"/>
                      <w:szCs w:val="21"/>
                    </w:rPr>
                    <w:t>/</w:t>
                  </w:r>
                </w:p>
              </w:tc>
              <w:tc>
                <w:tcPr>
                  <w:tcW w:w="585" w:type="pct"/>
                  <w:tcBorders>
                    <w:tl2br w:val="nil"/>
                    <w:tr2bl w:val="nil"/>
                  </w:tcBorders>
                  <w:vAlign w:val="center"/>
                </w:tcPr>
                <w:p w14:paraId="3C755256">
                  <w:pPr>
                    <w:widowControl/>
                    <w:jc w:val="center"/>
                    <w:rPr>
                      <w:rFonts w:hint="eastAsia" w:eastAsia="宋体"/>
                      <w:color w:val="auto"/>
                      <w:sz w:val="21"/>
                      <w:szCs w:val="21"/>
                      <w:lang w:eastAsia="zh-CN"/>
                    </w:rPr>
                  </w:pPr>
                  <w:r>
                    <w:rPr>
                      <w:rFonts w:hint="eastAsia"/>
                      <w:color w:val="auto"/>
                      <w:sz w:val="21"/>
                      <w:szCs w:val="21"/>
                      <w:lang w:val="en-US" w:eastAsia="zh-CN"/>
                    </w:rPr>
                    <w:t>4</w:t>
                  </w:r>
                </w:p>
              </w:tc>
            </w:tr>
            <w:tr w14:paraId="4B945D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9" w:type="pct"/>
                  <w:tcBorders>
                    <w:tl2br w:val="nil"/>
                    <w:tr2bl w:val="nil"/>
                  </w:tcBorders>
                  <w:vAlign w:val="center"/>
                </w:tcPr>
                <w:p w14:paraId="3F16A393">
                  <w:pPr>
                    <w:widowControl/>
                    <w:snapToGrid w:val="0"/>
                    <w:jc w:val="center"/>
                    <w:rPr>
                      <w:color w:val="auto"/>
                      <w:sz w:val="21"/>
                      <w:szCs w:val="21"/>
                    </w:rPr>
                  </w:pPr>
                  <w:r>
                    <w:rPr>
                      <w:color w:val="auto"/>
                      <w:sz w:val="21"/>
                      <w:szCs w:val="21"/>
                    </w:rPr>
                    <w:t>5</w:t>
                  </w:r>
                </w:p>
              </w:tc>
              <w:tc>
                <w:tcPr>
                  <w:tcW w:w="1211" w:type="pct"/>
                  <w:tcBorders>
                    <w:tl2br w:val="nil"/>
                    <w:tr2bl w:val="nil"/>
                  </w:tcBorders>
                  <w:vAlign w:val="center"/>
                </w:tcPr>
                <w:p w14:paraId="077086D5">
                  <w:pPr>
                    <w:widowControl/>
                    <w:jc w:val="center"/>
                    <w:rPr>
                      <w:color w:val="auto"/>
                      <w:sz w:val="21"/>
                      <w:szCs w:val="21"/>
                    </w:rPr>
                  </w:pPr>
                  <w:r>
                    <w:rPr>
                      <w:color w:val="auto"/>
                      <w:sz w:val="21"/>
                      <w:szCs w:val="21"/>
                    </w:rPr>
                    <w:t>混凝土罐车</w:t>
                  </w:r>
                </w:p>
              </w:tc>
              <w:tc>
                <w:tcPr>
                  <w:tcW w:w="880" w:type="pct"/>
                  <w:tcBorders>
                    <w:tl2br w:val="nil"/>
                    <w:tr2bl w:val="nil"/>
                  </w:tcBorders>
                  <w:vAlign w:val="center"/>
                </w:tcPr>
                <w:p w14:paraId="203D87E8">
                  <w:pPr>
                    <w:widowControl/>
                    <w:jc w:val="center"/>
                    <w:rPr>
                      <w:color w:val="auto"/>
                      <w:sz w:val="21"/>
                      <w:szCs w:val="21"/>
                    </w:rPr>
                  </w:pPr>
                  <w:r>
                    <w:rPr>
                      <w:color w:val="auto"/>
                      <w:sz w:val="21"/>
                      <w:szCs w:val="21"/>
                    </w:rPr>
                    <w:t>容积</w:t>
                  </w:r>
                </w:p>
              </w:tc>
              <w:tc>
                <w:tcPr>
                  <w:tcW w:w="884" w:type="pct"/>
                  <w:tcBorders>
                    <w:tl2br w:val="nil"/>
                    <w:tr2bl w:val="nil"/>
                  </w:tcBorders>
                  <w:vAlign w:val="center"/>
                </w:tcPr>
                <w:p w14:paraId="5AE0EED6">
                  <w:pPr>
                    <w:widowControl/>
                    <w:jc w:val="center"/>
                    <w:rPr>
                      <w:color w:val="auto"/>
                      <w:sz w:val="21"/>
                      <w:szCs w:val="21"/>
                    </w:rPr>
                  </w:pPr>
                  <w:r>
                    <w:rPr>
                      <w:color w:val="auto"/>
                      <w:sz w:val="21"/>
                      <w:szCs w:val="21"/>
                    </w:rPr>
                    <w:t>/</w:t>
                  </w:r>
                </w:p>
              </w:tc>
              <w:tc>
                <w:tcPr>
                  <w:tcW w:w="878" w:type="pct"/>
                  <w:tcBorders>
                    <w:tl2br w:val="nil"/>
                    <w:tr2bl w:val="nil"/>
                  </w:tcBorders>
                  <w:vAlign w:val="center"/>
                </w:tcPr>
                <w:p w14:paraId="22269153">
                  <w:pPr>
                    <w:widowControl/>
                    <w:jc w:val="center"/>
                    <w:rPr>
                      <w:color w:val="auto"/>
                      <w:sz w:val="21"/>
                      <w:szCs w:val="21"/>
                    </w:rPr>
                  </w:pPr>
                  <w:r>
                    <w:rPr>
                      <w:color w:val="auto"/>
                      <w:sz w:val="21"/>
                      <w:szCs w:val="21"/>
                    </w:rPr>
                    <w:t>/</w:t>
                  </w:r>
                </w:p>
              </w:tc>
              <w:tc>
                <w:tcPr>
                  <w:tcW w:w="585" w:type="pct"/>
                  <w:tcBorders>
                    <w:tl2br w:val="nil"/>
                    <w:tr2bl w:val="nil"/>
                  </w:tcBorders>
                  <w:vAlign w:val="center"/>
                </w:tcPr>
                <w:p w14:paraId="5A60F35E">
                  <w:pPr>
                    <w:widowControl/>
                    <w:jc w:val="center"/>
                    <w:rPr>
                      <w:rFonts w:hint="eastAsia" w:eastAsia="宋体"/>
                      <w:color w:val="auto"/>
                      <w:sz w:val="21"/>
                      <w:szCs w:val="21"/>
                      <w:lang w:eastAsia="zh-CN"/>
                    </w:rPr>
                  </w:pPr>
                  <w:r>
                    <w:rPr>
                      <w:rFonts w:hint="eastAsia"/>
                      <w:color w:val="auto"/>
                      <w:sz w:val="21"/>
                      <w:szCs w:val="21"/>
                    </w:rPr>
                    <w:t>2</w:t>
                  </w:r>
                  <w:r>
                    <w:rPr>
                      <w:rFonts w:hint="eastAsia"/>
                      <w:color w:val="auto"/>
                      <w:sz w:val="21"/>
                      <w:szCs w:val="21"/>
                      <w:lang w:val="en-US" w:eastAsia="zh-CN"/>
                    </w:rPr>
                    <w:t>0</w:t>
                  </w:r>
                </w:p>
              </w:tc>
            </w:tr>
            <w:tr w14:paraId="32E401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9" w:type="pct"/>
                  <w:tcBorders>
                    <w:tl2br w:val="nil"/>
                    <w:tr2bl w:val="nil"/>
                  </w:tcBorders>
                  <w:vAlign w:val="center"/>
                </w:tcPr>
                <w:p w14:paraId="5BDDB0E4">
                  <w:pPr>
                    <w:widowControl/>
                    <w:snapToGrid w:val="0"/>
                    <w:jc w:val="center"/>
                    <w:rPr>
                      <w:rFonts w:hint="eastAsia" w:eastAsia="宋体"/>
                      <w:color w:val="auto"/>
                      <w:sz w:val="21"/>
                      <w:szCs w:val="21"/>
                      <w:lang w:val="en-US" w:eastAsia="zh-CN"/>
                    </w:rPr>
                  </w:pPr>
                  <w:r>
                    <w:rPr>
                      <w:rFonts w:hint="eastAsia"/>
                      <w:color w:val="auto"/>
                      <w:sz w:val="21"/>
                      <w:szCs w:val="21"/>
                      <w:lang w:val="en-US" w:eastAsia="zh-CN"/>
                    </w:rPr>
                    <w:t>6</w:t>
                  </w:r>
                </w:p>
              </w:tc>
              <w:tc>
                <w:tcPr>
                  <w:tcW w:w="1211" w:type="pct"/>
                  <w:tcBorders>
                    <w:tl2br w:val="nil"/>
                    <w:tr2bl w:val="nil"/>
                  </w:tcBorders>
                  <w:vAlign w:val="center"/>
                </w:tcPr>
                <w:p w14:paraId="053D260F">
                  <w:pPr>
                    <w:widowControl/>
                    <w:jc w:val="center"/>
                    <w:rPr>
                      <w:rFonts w:hint="eastAsia" w:eastAsia="宋体"/>
                      <w:color w:val="auto"/>
                      <w:sz w:val="21"/>
                      <w:szCs w:val="21"/>
                      <w:lang w:val="en-US" w:eastAsia="zh-CN"/>
                    </w:rPr>
                  </w:pPr>
                  <w:r>
                    <w:rPr>
                      <w:rFonts w:hint="eastAsia"/>
                      <w:color w:val="auto"/>
                      <w:sz w:val="21"/>
                      <w:szCs w:val="21"/>
                      <w:lang w:val="en-US" w:eastAsia="zh-CN"/>
                    </w:rPr>
                    <w:t>储水罐</w:t>
                  </w:r>
                </w:p>
              </w:tc>
              <w:tc>
                <w:tcPr>
                  <w:tcW w:w="880" w:type="pct"/>
                  <w:tcBorders>
                    <w:tl2br w:val="nil"/>
                    <w:tr2bl w:val="nil"/>
                  </w:tcBorders>
                  <w:vAlign w:val="center"/>
                </w:tcPr>
                <w:p w14:paraId="373324B4">
                  <w:pPr>
                    <w:widowControl/>
                    <w:jc w:val="center"/>
                    <w:rPr>
                      <w:rFonts w:hint="eastAsia" w:eastAsia="宋体"/>
                      <w:color w:val="auto"/>
                      <w:sz w:val="21"/>
                      <w:szCs w:val="21"/>
                      <w:lang w:val="en-US" w:eastAsia="zh-CN"/>
                    </w:rPr>
                  </w:pPr>
                  <w:r>
                    <w:rPr>
                      <w:rFonts w:hint="eastAsia"/>
                      <w:color w:val="auto"/>
                      <w:sz w:val="21"/>
                      <w:szCs w:val="21"/>
                      <w:lang w:val="en-US" w:eastAsia="zh-CN"/>
                    </w:rPr>
                    <w:t>容积</w:t>
                  </w:r>
                </w:p>
              </w:tc>
              <w:tc>
                <w:tcPr>
                  <w:tcW w:w="884" w:type="pct"/>
                  <w:tcBorders>
                    <w:tl2br w:val="nil"/>
                    <w:tr2bl w:val="nil"/>
                  </w:tcBorders>
                  <w:vAlign w:val="center"/>
                </w:tcPr>
                <w:p w14:paraId="5AC68003">
                  <w:pPr>
                    <w:widowControl/>
                    <w:jc w:val="center"/>
                    <w:rPr>
                      <w:rFonts w:hint="default" w:eastAsia="宋体"/>
                      <w:color w:val="auto"/>
                      <w:sz w:val="21"/>
                      <w:szCs w:val="21"/>
                      <w:lang w:val="en-US" w:eastAsia="zh-CN"/>
                    </w:rPr>
                  </w:pPr>
                  <w:r>
                    <w:rPr>
                      <w:rFonts w:hint="eastAsia"/>
                      <w:color w:val="auto"/>
                      <w:sz w:val="21"/>
                      <w:szCs w:val="21"/>
                      <w:lang w:val="en-US" w:eastAsia="zh-CN"/>
                    </w:rPr>
                    <w:t>600</w:t>
                  </w:r>
                </w:p>
              </w:tc>
              <w:tc>
                <w:tcPr>
                  <w:tcW w:w="878" w:type="pct"/>
                  <w:tcBorders>
                    <w:tl2br w:val="nil"/>
                    <w:tr2bl w:val="nil"/>
                  </w:tcBorders>
                  <w:vAlign w:val="center"/>
                </w:tcPr>
                <w:p w14:paraId="5D8EFDEB">
                  <w:pPr>
                    <w:widowControl/>
                    <w:jc w:val="center"/>
                    <w:rPr>
                      <w:color w:val="auto"/>
                      <w:sz w:val="21"/>
                      <w:szCs w:val="21"/>
                    </w:rPr>
                  </w:pPr>
                  <w:r>
                    <w:rPr>
                      <w:color w:val="auto"/>
                      <w:sz w:val="21"/>
                      <w:szCs w:val="21"/>
                    </w:rPr>
                    <w:t>m</w:t>
                  </w:r>
                  <w:r>
                    <w:rPr>
                      <w:color w:val="auto"/>
                      <w:sz w:val="21"/>
                      <w:szCs w:val="21"/>
                      <w:vertAlign w:val="superscript"/>
                    </w:rPr>
                    <w:t>3</w:t>
                  </w:r>
                </w:p>
              </w:tc>
              <w:tc>
                <w:tcPr>
                  <w:tcW w:w="585" w:type="pct"/>
                  <w:tcBorders>
                    <w:tl2br w:val="nil"/>
                    <w:tr2bl w:val="nil"/>
                  </w:tcBorders>
                  <w:vAlign w:val="center"/>
                </w:tcPr>
                <w:p w14:paraId="6AE42776">
                  <w:pPr>
                    <w:widowControl/>
                    <w:jc w:val="center"/>
                    <w:rPr>
                      <w:rFonts w:hint="eastAsia" w:eastAsia="宋体"/>
                      <w:color w:val="auto"/>
                      <w:sz w:val="21"/>
                      <w:szCs w:val="21"/>
                      <w:lang w:val="en-US" w:eastAsia="zh-CN"/>
                    </w:rPr>
                  </w:pPr>
                  <w:r>
                    <w:rPr>
                      <w:rFonts w:hint="eastAsia"/>
                      <w:color w:val="auto"/>
                      <w:sz w:val="21"/>
                      <w:szCs w:val="21"/>
                      <w:lang w:val="en-US" w:eastAsia="zh-CN"/>
                    </w:rPr>
                    <w:t>1</w:t>
                  </w:r>
                </w:p>
              </w:tc>
            </w:tr>
          </w:tbl>
          <w:p w14:paraId="1E467E45">
            <w:pPr>
              <w:numPr>
                <w:ilvl w:val="0"/>
                <w:numId w:val="0"/>
              </w:numPr>
              <w:spacing w:line="360" w:lineRule="auto"/>
              <w:ind w:left="0" w:leftChars="0" w:firstLine="0" w:firstLineChars="0"/>
              <w:rPr>
                <w:b/>
                <w:bCs/>
                <w:color w:val="auto"/>
                <w:sz w:val="24"/>
              </w:rPr>
            </w:pPr>
            <w:r>
              <w:rPr>
                <w:rFonts w:hint="eastAsia" w:cs="Times New Roman"/>
                <w:b/>
                <w:bCs/>
                <w:color w:val="auto"/>
                <w:kern w:val="2"/>
                <w:sz w:val="24"/>
                <w:szCs w:val="24"/>
                <w:lang w:val="en-US" w:eastAsia="zh-CN" w:bidi="ar-SA"/>
              </w:rPr>
              <w:t>3</w:t>
            </w:r>
            <w:r>
              <w:rPr>
                <w:rFonts w:ascii="Times New Roman" w:hAnsi="Times New Roman" w:eastAsia="宋体" w:cs="Times New Roman"/>
                <w:b/>
                <w:bCs/>
                <w:color w:val="auto"/>
                <w:kern w:val="2"/>
                <w:sz w:val="24"/>
                <w:szCs w:val="24"/>
                <w:lang w:val="en-US" w:eastAsia="zh-CN" w:bidi="ar-SA"/>
              </w:rPr>
              <w:t>.</w:t>
            </w:r>
            <w:r>
              <w:rPr>
                <w:b/>
                <w:bCs/>
                <w:color w:val="auto"/>
                <w:sz w:val="24"/>
              </w:rPr>
              <w:t>原辅材料消耗情况</w:t>
            </w:r>
          </w:p>
          <w:p w14:paraId="42B6D94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本项目主要原料为水泥、砂石、</w:t>
            </w:r>
            <w:r>
              <w:rPr>
                <w:rFonts w:hint="eastAsia" w:cs="Times New Roman"/>
                <w:color w:val="auto"/>
                <w:kern w:val="0"/>
                <w:sz w:val="24"/>
                <w:lang w:val="en-US" w:eastAsia="zh-CN"/>
              </w:rPr>
              <w:t>减水剂、缓凝</w:t>
            </w:r>
            <w:r>
              <w:rPr>
                <w:rFonts w:ascii="Times New Roman" w:hAnsi="Times New Roman" w:eastAsia="宋体" w:cs="Times New Roman"/>
                <w:color w:val="auto"/>
                <w:kern w:val="0"/>
                <w:sz w:val="24"/>
              </w:rPr>
              <w:t>剂、粉煤灰、矿粉、水等，供货渠道根据生产情况与企业实际情况进行选择、货源充足。本项目主要原辅材料消耗情况见表2-3。</w:t>
            </w:r>
          </w:p>
          <w:p w14:paraId="05220E84">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表2-3    本项目原辅材料消耗情况一览表</w:t>
            </w:r>
          </w:p>
          <w:tbl>
            <w:tblPr>
              <w:tblStyle w:val="28"/>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07"/>
              <w:gridCol w:w="1085"/>
              <w:gridCol w:w="1710"/>
              <w:gridCol w:w="1242"/>
              <w:gridCol w:w="1549"/>
              <w:gridCol w:w="866"/>
            </w:tblGrid>
            <w:tr w14:paraId="7C48C9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28" w:type="pct"/>
                  <w:vAlign w:val="center"/>
                </w:tcPr>
                <w:p w14:paraId="750A27CA">
                  <w:pPr>
                    <w:pStyle w:val="63"/>
                    <w:rPr>
                      <w:color w:val="auto"/>
                      <w:sz w:val="21"/>
                      <w:szCs w:val="21"/>
                    </w:rPr>
                  </w:pPr>
                  <w:r>
                    <w:rPr>
                      <w:color w:val="auto"/>
                      <w:sz w:val="21"/>
                      <w:szCs w:val="21"/>
                    </w:rPr>
                    <w:t>序号</w:t>
                  </w:r>
                </w:p>
              </w:tc>
              <w:tc>
                <w:tcPr>
                  <w:tcW w:w="508" w:type="pct"/>
                  <w:vAlign w:val="center"/>
                </w:tcPr>
                <w:p w14:paraId="5E2432BA">
                  <w:pPr>
                    <w:pStyle w:val="61"/>
                    <w:rPr>
                      <w:color w:val="auto"/>
                      <w:sz w:val="21"/>
                      <w:szCs w:val="21"/>
                    </w:rPr>
                  </w:pPr>
                  <w:r>
                    <w:rPr>
                      <w:color w:val="auto"/>
                      <w:sz w:val="21"/>
                      <w:szCs w:val="21"/>
                    </w:rPr>
                    <w:t>种类</w:t>
                  </w:r>
                </w:p>
              </w:tc>
              <w:tc>
                <w:tcPr>
                  <w:tcW w:w="683" w:type="pct"/>
                  <w:vAlign w:val="center"/>
                </w:tcPr>
                <w:p w14:paraId="37FB66F6">
                  <w:pPr>
                    <w:pStyle w:val="61"/>
                    <w:rPr>
                      <w:color w:val="auto"/>
                      <w:sz w:val="21"/>
                      <w:szCs w:val="21"/>
                    </w:rPr>
                  </w:pPr>
                  <w:r>
                    <w:rPr>
                      <w:color w:val="auto"/>
                      <w:sz w:val="21"/>
                      <w:szCs w:val="21"/>
                    </w:rPr>
                    <w:t>名称</w:t>
                  </w:r>
                </w:p>
              </w:tc>
              <w:tc>
                <w:tcPr>
                  <w:tcW w:w="1076" w:type="pct"/>
                  <w:vAlign w:val="center"/>
                </w:tcPr>
                <w:p w14:paraId="420A2DC5">
                  <w:pPr>
                    <w:pStyle w:val="61"/>
                    <w:rPr>
                      <w:color w:val="auto"/>
                      <w:sz w:val="21"/>
                      <w:szCs w:val="21"/>
                    </w:rPr>
                  </w:pPr>
                  <w:r>
                    <w:rPr>
                      <w:color w:val="auto"/>
                      <w:sz w:val="21"/>
                      <w:szCs w:val="21"/>
                    </w:rPr>
                    <w:t>产品</w:t>
                  </w:r>
                </w:p>
                <w:p w14:paraId="64ADCBD5">
                  <w:pPr>
                    <w:pStyle w:val="61"/>
                    <w:rPr>
                      <w:color w:val="auto"/>
                      <w:sz w:val="21"/>
                      <w:szCs w:val="21"/>
                    </w:rPr>
                  </w:pPr>
                  <w:r>
                    <w:rPr>
                      <w:color w:val="auto"/>
                      <w:sz w:val="21"/>
                      <w:szCs w:val="21"/>
                    </w:rPr>
                    <w:t>单耗</w:t>
                  </w:r>
                </w:p>
              </w:tc>
              <w:tc>
                <w:tcPr>
                  <w:tcW w:w="782" w:type="pct"/>
                  <w:vAlign w:val="center"/>
                </w:tcPr>
                <w:p w14:paraId="351D23A8">
                  <w:pPr>
                    <w:pStyle w:val="61"/>
                    <w:rPr>
                      <w:color w:val="auto"/>
                      <w:sz w:val="21"/>
                      <w:szCs w:val="21"/>
                    </w:rPr>
                  </w:pPr>
                  <w:r>
                    <w:rPr>
                      <w:color w:val="auto"/>
                      <w:sz w:val="21"/>
                      <w:szCs w:val="21"/>
                    </w:rPr>
                    <w:t>年消耗量</w:t>
                  </w:r>
                </w:p>
                <w:p w14:paraId="0BAABEDB">
                  <w:pPr>
                    <w:pStyle w:val="61"/>
                    <w:rPr>
                      <w:color w:val="auto"/>
                      <w:sz w:val="21"/>
                      <w:szCs w:val="21"/>
                    </w:rPr>
                  </w:pPr>
                  <w:r>
                    <w:rPr>
                      <w:color w:val="auto"/>
                      <w:sz w:val="21"/>
                      <w:szCs w:val="21"/>
                    </w:rPr>
                    <w:t>（t/a）</w:t>
                  </w:r>
                </w:p>
              </w:tc>
              <w:tc>
                <w:tcPr>
                  <w:tcW w:w="975" w:type="pct"/>
                  <w:tcBorders>
                    <w:bottom w:val="single" w:color="auto" w:sz="12" w:space="0"/>
                  </w:tcBorders>
                  <w:vAlign w:val="center"/>
                </w:tcPr>
                <w:p w14:paraId="12F6E106">
                  <w:pPr>
                    <w:pStyle w:val="63"/>
                    <w:rPr>
                      <w:color w:val="auto"/>
                      <w:sz w:val="21"/>
                      <w:szCs w:val="21"/>
                    </w:rPr>
                  </w:pPr>
                  <w:r>
                    <w:rPr>
                      <w:color w:val="auto"/>
                      <w:sz w:val="21"/>
                      <w:szCs w:val="21"/>
                    </w:rPr>
                    <w:t>储运</w:t>
                  </w:r>
                </w:p>
                <w:p w14:paraId="3EDA07C8">
                  <w:pPr>
                    <w:pStyle w:val="63"/>
                    <w:rPr>
                      <w:color w:val="auto"/>
                      <w:sz w:val="21"/>
                      <w:szCs w:val="21"/>
                    </w:rPr>
                  </w:pPr>
                  <w:r>
                    <w:rPr>
                      <w:color w:val="auto"/>
                      <w:sz w:val="21"/>
                      <w:szCs w:val="21"/>
                    </w:rPr>
                    <w:t>方式</w:t>
                  </w:r>
                </w:p>
              </w:tc>
              <w:tc>
                <w:tcPr>
                  <w:tcW w:w="545" w:type="pct"/>
                  <w:tcBorders>
                    <w:bottom w:val="single" w:color="auto" w:sz="12" w:space="0"/>
                  </w:tcBorders>
                  <w:vAlign w:val="center"/>
                </w:tcPr>
                <w:p w14:paraId="0FE705FE">
                  <w:pPr>
                    <w:pStyle w:val="63"/>
                    <w:rPr>
                      <w:color w:val="auto"/>
                      <w:sz w:val="21"/>
                      <w:szCs w:val="21"/>
                    </w:rPr>
                  </w:pPr>
                  <w:r>
                    <w:rPr>
                      <w:color w:val="auto"/>
                      <w:sz w:val="21"/>
                      <w:szCs w:val="21"/>
                    </w:rPr>
                    <w:t>备注</w:t>
                  </w:r>
                </w:p>
              </w:tc>
            </w:tr>
            <w:tr w14:paraId="7B6197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28" w:type="pct"/>
                  <w:tcBorders>
                    <w:top w:val="single" w:color="auto" w:sz="12" w:space="0"/>
                    <w:tl2br w:val="nil"/>
                    <w:tr2bl w:val="nil"/>
                  </w:tcBorders>
                  <w:vAlign w:val="center"/>
                </w:tcPr>
                <w:p w14:paraId="0620DF92">
                  <w:pPr>
                    <w:pStyle w:val="63"/>
                    <w:rPr>
                      <w:color w:val="auto"/>
                      <w:sz w:val="21"/>
                      <w:szCs w:val="21"/>
                    </w:rPr>
                  </w:pPr>
                  <w:r>
                    <w:rPr>
                      <w:color w:val="auto"/>
                      <w:sz w:val="21"/>
                      <w:szCs w:val="21"/>
                    </w:rPr>
                    <w:t>1</w:t>
                  </w:r>
                </w:p>
              </w:tc>
              <w:tc>
                <w:tcPr>
                  <w:tcW w:w="508" w:type="pct"/>
                  <w:vMerge w:val="restart"/>
                  <w:tcBorders>
                    <w:top w:val="single" w:color="auto" w:sz="12" w:space="0"/>
                    <w:tl2br w:val="nil"/>
                    <w:tr2bl w:val="nil"/>
                  </w:tcBorders>
                  <w:vAlign w:val="center"/>
                </w:tcPr>
                <w:p w14:paraId="79060498">
                  <w:pPr>
                    <w:adjustRightInd w:val="0"/>
                    <w:snapToGrid w:val="0"/>
                    <w:spacing w:line="360" w:lineRule="exact"/>
                    <w:jc w:val="center"/>
                    <w:rPr>
                      <w:color w:val="auto"/>
                      <w:sz w:val="21"/>
                      <w:szCs w:val="21"/>
                    </w:rPr>
                  </w:pPr>
                  <w:r>
                    <w:rPr>
                      <w:color w:val="auto"/>
                      <w:sz w:val="21"/>
                      <w:szCs w:val="21"/>
                    </w:rPr>
                    <w:t>原料</w:t>
                  </w:r>
                </w:p>
                <w:p w14:paraId="3633BF86">
                  <w:pPr>
                    <w:adjustRightInd w:val="0"/>
                    <w:snapToGrid w:val="0"/>
                    <w:spacing w:line="360" w:lineRule="exact"/>
                    <w:jc w:val="center"/>
                    <w:rPr>
                      <w:color w:val="auto"/>
                      <w:sz w:val="21"/>
                      <w:szCs w:val="21"/>
                    </w:rPr>
                  </w:pPr>
                </w:p>
              </w:tc>
              <w:tc>
                <w:tcPr>
                  <w:tcW w:w="683" w:type="pct"/>
                  <w:tcBorders>
                    <w:top w:val="single" w:color="auto" w:sz="12" w:space="0"/>
                    <w:tl2br w:val="nil"/>
                    <w:tr2bl w:val="nil"/>
                  </w:tcBorders>
                  <w:vAlign w:val="center"/>
                </w:tcPr>
                <w:p w14:paraId="4CA18A95">
                  <w:pPr>
                    <w:adjustRightInd w:val="0"/>
                    <w:snapToGrid w:val="0"/>
                    <w:spacing w:line="360" w:lineRule="exact"/>
                    <w:jc w:val="center"/>
                    <w:rPr>
                      <w:color w:val="auto"/>
                      <w:sz w:val="21"/>
                      <w:szCs w:val="21"/>
                    </w:rPr>
                  </w:pPr>
                  <w:r>
                    <w:rPr>
                      <w:color w:val="auto"/>
                      <w:sz w:val="21"/>
                      <w:szCs w:val="21"/>
                    </w:rPr>
                    <w:t>水泥</w:t>
                  </w:r>
                </w:p>
              </w:tc>
              <w:tc>
                <w:tcPr>
                  <w:tcW w:w="1076" w:type="pct"/>
                  <w:tcBorders>
                    <w:top w:val="single" w:color="auto" w:sz="12" w:space="0"/>
                    <w:tl2br w:val="nil"/>
                    <w:tr2bl w:val="nil"/>
                  </w:tcBorders>
                  <w:vAlign w:val="center"/>
                </w:tcPr>
                <w:p w14:paraId="5993B5B2">
                  <w:pPr>
                    <w:adjustRightInd w:val="0"/>
                    <w:snapToGrid w:val="0"/>
                    <w:spacing w:line="360" w:lineRule="exact"/>
                    <w:jc w:val="center"/>
                    <w:rPr>
                      <w:color w:val="auto"/>
                      <w:sz w:val="21"/>
                      <w:szCs w:val="21"/>
                    </w:rPr>
                  </w:pPr>
                  <w:r>
                    <w:rPr>
                      <w:color w:val="auto"/>
                      <w:sz w:val="21"/>
                      <w:szCs w:val="21"/>
                    </w:rPr>
                    <w:t>0.326t/m</w:t>
                  </w:r>
                  <w:r>
                    <w:rPr>
                      <w:color w:val="auto"/>
                      <w:sz w:val="21"/>
                      <w:szCs w:val="21"/>
                      <w:vertAlign w:val="superscript"/>
                    </w:rPr>
                    <w:t>3</w:t>
                  </w:r>
                </w:p>
              </w:tc>
              <w:tc>
                <w:tcPr>
                  <w:tcW w:w="782" w:type="pct"/>
                  <w:tcBorders>
                    <w:top w:val="single" w:color="auto" w:sz="12" w:space="0"/>
                    <w:tl2br w:val="nil"/>
                    <w:tr2bl w:val="nil"/>
                  </w:tcBorders>
                  <w:vAlign w:val="center"/>
                </w:tcPr>
                <w:p w14:paraId="00AB3CBD">
                  <w:pPr>
                    <w:adjustRightInd w:val="0"/>
                    <w:snapToGrid w:val="0"/>
                    <w:spacing w:line="360" w:lineRule="exact"/>
                    <w:jc w:val="center"/>
                    <w:rPr>
                      <w:color w:val="auto"/>
                      <w:sz w:val="21"/>
                      <w:szCs w:val="21"/>
                    </w:rPr>
                  </w:pPr>
                  <w:r>
                    <w:rPr>
                      <w:rFonts w:hint="eastAsia"/>
                      <w:color w:val="auto"/>
                      <w:sz w:val="21"/>
                      <w:szCs w:val="21"/>
                    </w:rPr>
                    <w:t>65200</w:t>
                  </w:r>
                </w:p>
              </w:tc>
              <w:tc>
                <w:tcPr>
                  <w:tcW w:w="975" w:type="pct"/>
                  <w:tcBorders>
                    <w:top w:val="single" w:color="auto" w:sz="12" w:space="0"/>
                  </w:tcBorders>
                  <w:vAlign w:val="center"/>
                </w:tcPr>
                <w:p w14:paraId="6269B8A9">
                  <w:pPr>
                    <w:pStyle w:val="63"/>
                    <w:rPr>
                      <w:color w:val="auto"/>
                      <w:sz w:val="21"/>
                      <w:szCs w:val="21"/>
                    </w:rPr>
                  </w:pPr>
                  <w:r>
                    <w:rPr>
                      <w:color w:val="auto"/>
                      <w:sz w:val="21"/>
                      <w:szCs w:val="21"/>
                    </w:rPr>
                    <w:t>筒仓</w:t>
                  </w:r>
                </w:p>
              </w:tc>
              <w:tc>
                <w:tcPr>
                  <w:tcW w:w="545" w:type="pct"/>
                  <w:tcBorders>
                    <w:top w:val="single" w:color="auto" w:sz="12" w:space="0"/>
                  </w:tcBorders>
                  <w:vAlign w:val="center"/>
                </w:tcPr>
                <w:p w14:paraId="6DE1B90A">
                  <w:pPr>
                    <w:pStyle w:val="63"/>
                    <w:rPr>
                      <w:color w:val="auto"/>
                      <w:sz w:val="21"/>
                      <w:szCs w:val="21"/>
                    </w:rPr>
                  </w:pPr>
                  <w:r>
                    <w:rPr>
                      <w:color w:val="auto"/>
                      <w:sz w:val="21"/>
                      <w:szCs w:val="21"/>
                    </w:rPr>
                    <w:t>外购</w:t>
                  </w:r>
                </w:p>
              </w:tc>
            </w:tr>
            <w:tr w14:paraId="275344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28" w:type="pct"/>
                  <w:tcBorders>
                    <w:tl2br w:val="nil"/>
                    <w:tr2bl w:val="nil"/>
                  </w:tcBorders>
                  <w:vAlign w:val="center"/>
                </w:tcPr>
                <w:p w14:paraId="31C86F90">
                  <w:pPr>
                    <w:pStyle w:val="63"/>
                    <w:rPr>
                      <w:rFonts w:hint="eastAsia" w:eastAsia="宋体"/>
                      <w:color w:val="auto"/>
                      <w:sz w:val="21"/>
                      <w:szCs w:val="21"/>
                      <w:lang w:val="en-US" w:eastAsia="zh-CN"/>
                    </w:rPr>
                  </w:pPr>
                  <w:r>
                    <w:rPr>
                      <w:rFonts w:hint="eastAsia"/>
                      <w:color w:val="auto"/>
                      <w:sz w:val="21"/>
                      <w:szCs w:val="21"/>
                      <w:lang w:val="en-US" w:eastAsia="zh-CN"/>
                    </w:rPr>
                    <w:t>2</w:t>
                  </w:r>
                </w:p>
              </w:tc>
              <w:tc>
                <w:tcPr>
                  <w:tcW w:w="508" w:type="pct"/>
                  <w:vMerge w:val="continue"/>
                  <w:tcBorders>
                    <w:tl2br w:val="nil"/>
                    <w:tr2bl w:val="nil"/>
                  </w:tcBorders>
                  <w:vAlign w:val="center"/>
                </w:tcPr>
                <w:p w14:paraId="79DE9A3D">
                  <w:pPr>
                    <w:adjustRightInd w:val="0"/>
                    <w:snapToGrid w:val="0"/>
                    <w:spacing w:line="360" w:lineRule="exact"/>
                    <w:jc w:val="center"/>
                    <w:rPr>
                      <w:color w:val="auto"/>
                      <w:sz w:val="21"/>
                      <w:szCs w:val="21"/>
                    </w:rPr>
                  </w:pPr>
                </w:p>
              </w:tc>
              <w:tc>
                <w:tcPr>
                  <w:tcW w:w="683" w:type="pct"/>
                  <w:tcBorders>
                    <w:tl2br w:val="nil"/>
                    <w:tr2bl w:val="nil"/>
                  </w:tcBorders>
                  <w:vAlign w:val="center"/>
                </w:tcPr>
                <w:p w14:paraId="5E74B563">
                  <w:pPr>
                    <w:adjustRightInd w:val="0"/>
                    <w:snapToGrid w:val="0"/>
                    <w:spacing w:line="360" w:lineRule="exact"/>
                    <w:jc w:val="center"/>
                    <w:rPr>
                      <w:color w:val="auto"/>
                      <w:sz w:val="21"/>
                      <w:szCs w:val="21"/>
                    </w:rPr>
                  </w:pPr>
                  <w:r>
                    <w:rPr>
                      <w:color w:val="auto"/>
                      <w:sz w:val="21"/>
                      <w:szCs w:val="21"/>
                    </w:rPr>
                    <w:t>粉煤灰</w:t>
                  </w:r>
                </w:p>
              </w:tc>
              <w:tc>
                <w:tcPr>
                  <w:tcW w:w="1076" w:type="pct"/>
                  <w:tcBorders>
                    <w:tl2br w:val="nil"/>
                    <w:tr2bl w:val="nil"/>
                  </w:tcBorders>
                  <w:vAlign w:val="center"/>
                </w:tcPr>
                <w:p w14:paraId="6BA08889">
                  <w:pPr>
                    <w:adjustRightInd w:val="0"/>
                    <w:snapToGrid w:val="0"/>
                    <w:spacing w:line="360" w:lineRule="exact"/>
                    <w:jc w:val="center"/>
                    <w:rPr>
                      <w:color w:val="auto"/>
                      <w:sz w:val="21"/>
                      <w:szCs w:val="21"/>
                    </w:rPr>
                  </w:pPr>
                  <w:r>
                    <w:rPr>
                      <w:color w:val="auto"/>
                      <w:sz w:val="21"/>
                      <w:szCs w:val="21"/>
                    </w:rPr>
                    <w:t>0.017t/m</w:t>
                  </w:r>
                  <w:r>
                    <w:rPr>
                      <w:color w:val="auto"/>
                      <w:sz w:val="21"/>
                      <w:szCs w:val="21"/>
                      <w:vertAlign w:val="superscript"/>
                    </w:rPr>
                    <w:t>3</w:t>
                  </w:r>
                </w:p>
              </w:tc>
              <w:tc>
                <w:tcPr>
                  <w:tcW w:w="782" w:type="pct"/>
                  <w:tcBorders>
                    <w:tl2br w:val="nil"/>
                    <w:tr2bl w:val="nil"/>
                  </w:tcBorders>
                  <w:vAlign w:val="center"/>
                </w:tcPr>
                <w:p w14:paraId="2473FD07">
                  <w:pPr>
                    <w:adjustRightInd w:val="0"/>
                    <w:snapToGrid w:val="0"/>
                    <w:spacing w:line="360" w:lineRule="exact"/>
                    <w:jc w:val="center"/>
                    <w:rPr>
                      <w:color w:val="auto"/>
                      <w:sz w:val="21"/>
                      <w:szCs w:val="21"/>
                    </w:rPr>
                  </w:pPr>
                  <w:r>
                    <w:rPr>
                      <w:rFonts w:hint="eastAsia"/>
                      <w:color w:val="auto"/>
                      <w:sz w:val="21"/>
                      <w:szCs w:val="21"/>
                    </w:rPr>
                    <w:t>3400</w:t>
                  </w:r>
                </w:p>
              </w:tc>
              <w:tc>
                <w:tcPr>
                  <w:tcW w:w="975" w:type="pct"/>
                  <w:tcBorders>
                    <w:tl2br w:val="nil"/>
                    <w:tr2bl w:val="nil"/>
                  </w:tcBorders>
                  <w:vAlign w:val="center"/>
                </w:tcPr>
                <w:p w14:paraId="0487C31C">
                  <w:pPr>
                    <w:jc w:val="center"/>
                    <w:rPr>
                      <w:color w:val="auto"/>
                      <w:sz w:val="21"/>
                      <w:szCs w:val="21"/>
                    </w:rPr>
                  </w:pPr>
                  <w:r>
                    <w:rPr>
                      <w:color w:val="auto"/>
                      <w:sz w:val="21"/>
                      <w:szCs w:val="21"/>
                    </w:rPr>
                    <w:t>筒仓</w:t>
                  </w:r>
                </w:p>
              </w:tc>
              <w:tc>
                <w:tcPr>
                  <w:tcW w:w="545" w:type="pct"/>
                  <w:tcBorders>
                    <w:tl2br w:val="nil"/>
                    <w:tr2bl w:val="nil"/>
                  </w:tcBorders>
                  <w:vAlign w:val="center"/>
                </w:tcPr>
                <w:p w14:paraId="4C18A658">
                  <w:pPr>
                    <w:pStyle w:val="63"/>
                    <w:rPr>
                      <w:color w:val="auto"/>
                      <w:sz w:val="21"/>
                      <w:szCs w:val="21"/>
                    </w:rPr>
                  </w:pPr>
                  <w:r>
                    <w:rPr>
                      <w:color w:val="auto"/>
                      <w:sz w:val="21"/>
                      <w:szCs w:val="21"/>
                    </w:rPr>
                    <w:t>外购</w:t>
                  </w:r>
                </w:p>
              </w:tc>
            </w:tr>
            <w:tr w14:paraId="590154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28" w:type="pct"/>
                  <w:tcBorders>
                    <w:tl2br w:val="nil"/>
                    <w:tr2bl w:val="nil"/>
                  </w:tcBorders>
                  <w:vAlign w:val="center"/>
                </w:tcPr>
                <w:p w14:paraId="1010523D">
                  <w:pPr>
                    <w:pStyle w:val="63"/>
                    <w:rPr>
                      <w:color w:val="auto"/>
                      <w:sz w:val="21"/>
                      <w:szCs w:val="21"/>
                    </w:rPr>
                  </w:pPr>
                  <w:r>
                    <w:rPr>
                      <w:rFonts w:hint="eastAsia"/>
                      <w:color w:val="auto"/>
                      <w:sz w:val="21"/>
                      <w:szCs w:val="21"/>
                      <w:lang w:val="en-US" w:eastAsia="zh-CN"/>
                    </w:rPr>
                    <w:t>3</w:t>
                  </w:r>
                </w:p>
              </w:tc>
              <w:tc>
                <w:tcPr>
                  <w:tcW w:w="508" w:type="pct"/>
                  <w:vMerge w:val="continue"/>
                  <w:tcBorders>
                    <w:tl2br w:val="nil"/>
                    <w:tr2bl w:val="nil"/>
                  </w:tcBorders>
                  <w:vAlign w:val="center"/>
                </w:tcPr>
                <w:p w14:paraId="4BA593E1">
                  <w:pPr>
                    <w:adjustRightInd w:val="0"/>
                    <w:snapToGrid w:val="0"/>
                    <w:spacing w:line="360" w:lineRule="exact"/>
                    <w:jc w:val="center"/>
                    <w:rPr>
                      <w:color w:val="auto"/>
                      <w:sz w:val="21"/>
                      <w:szCs w:val="21"/>
                    </w:rPr>
                  </w:pPr>
                </w:p>
              </w:tc>
              <w:tc>
                <w:tcPr>
                  <w:tcW w:w="683" w:type="pct"/>
                  <w:tcBorders>
                    <w:tl2br w:val="nil"/>
                    <w:tr2bl w:val="nil"/>
                  </w:tcBorders>
                  <w:vAlign w:val="center"/>
                </w:tcPr>
                <w:p w14:paraId="737283A9">
                  <w:pPr>
                    <w:adjustRightInd w:val="0"/>
                    <w:snapToGrid w:val="0"/>
                    <w:spacing w:line="360" w:lineRule="exact"/>
                    <w:jc w:val="center"/>
                    <w:rPr>
                      <w:color w:val="auto"/>
                      <w:sz w:val="21"/>
                      <w:szCs w:val="21"/>
                    </w:rPr>
                  </w:pPr>
                  <w:r>
                    <w:rPr>
                      <w:color w:val="auto"/>
                      <w:sz w:val="21"/>
                      <w:szCs w:val="21"/>
                    </w:rPr>
                    <w:t>砂子</w:t>
                  </w:r>
                </w:p>
              </w:tc>
              <w:tc>
                <w:tcPr>
                  <w:tcW w:w="1076" w:type="pct"/>
                  <w:tcBorders>
                    <w:tl2br w:val="nil"/>
                    <w:tr2bl w:val="nil"/>
                  </w:tcBorders>
                  <w:vAlign w:val="center"/>
                </w:tcPr>
                <w:p w14:paraId="6DA80DBE">
                  <w:pPr>
                    <w:adjustRightInd w:val="0"/>
                    <w:snapToGrid w:val="0"/>
                    <w:spacing w:line="360" w:lineRule="exact"/>
                    <w:jc w:val="center"/>
                    <w:rPr>
                      <w:color w:val="auto"/>
                      <w:sz w:val="21"/>
                      <w:szCs w:val="21"/>
                    </w:rPr>
                  </w:pPr>
                  <w:r>
                    <w:rPr>
                      <w:color w:val="auto"/>
                      <w:sz w:val="21"/>
                      <w:szCs w:val="21"/>
                    </w:rPr>
                    <w:t>0.622t/m</w:t>
                  </w:r>
                  <w:r>
                    <w:rPr>
                      <w:color w:val="auto"/>
                      <w:sz w:val="21"/>
                      <w:szCs w:val="21"/>
                      <w:vertAlign w:val="superscript"/>
                    </w:rPr>
                    <w:t>3</w:t>
                  </w:r>
                </w:p>
              </w:tc>
              <w:tc>
                <w:tcPr>
                  <w:tcW w:w="782" w:type="pct"/>
                  <w:tcBorders>
                    <w:tl2br w:val="nil"/>
                    <w:tr2bl w:val="nil"/>
                  </w:tcBorders>
                  <w:vAlign w:val="center"/>
                </w:tcPr>
                <w:p w14:paraId="6F6CBB75">
                  <w:pPr>
                    <w:adjustRightInd w:val="0"/>
                    <w:snapToGrid w:val="0"/>
                    <w:spacing w:line="360" w:lineRule="exact"/>
                    <w:jc w:val="center"/>
                    <w:rPr>
                      <w:color w:val="auto"/>
                      <w:sz w:val="21"/>
                      <w:szCs w:val="21"/>
                    </w:rPr>
                  </w:pPr>
                  <w:r>
                    <w:rPr>
                      <w:rFonts w:hint="eastAsia"/>
                      <w:color w:val="auto"/>
                      <w:sz w:val="21"/>
                      <w:szCs w:val="21"/>
                    </w:rPr>
                    <w:t>124400</w:t>
                  </w:r>
                </w:p>
              </w:tc>
              <w:tc>
                <w:tcPr>
                  <w:tcW w:w="975" w:type="pct"/>
                  <w:tcBorders>
                    <w:tl2br w:val="nil"/>
                    <w:tr2bl w:val="nil"/>
                  </w:tcBorders>
                  <w:vAlign w:val="center"/>
                </w:tcPr>
                <w:p w14:paraId="636CFEED">
                  <w:pPr>
                    <w:jc w:val="center"/>
                    <w:rPr>
                      <w:color w:val="auto"/>
                      <w:sz w:val="21"/>
                      <w:szCs w:val="21"/>
                    </w:rPr>
                  </w:pPr>
                  <w:r>
                    <w:rPr>
                      <w:color w:val="auto"/>
                      <w:sz w:val="21"/>
                      <w:szCs w:val="21"/>
                    </w:rPr>
                    <w:t>散装</w:t>
                  </w:r>
                </w:p>
              </w:tc>
              <w:tc>
                <w:tcPr>
                  <w:tcW w:w="545" w:type="pct"/>
                  <w:tcBorders>
                    <w:tl2br w:val="nil"/>
                    <w:tr2bl w:val="nil"/>
                  </w:tcBorders>
                  <w:vAlign w:val="center"/>
                </w:tcPr>
                <w:p w14:paraId="349B185F">
                  <w:pPr>
                    <w:pStyle w:val="63"/>
                    <w:rPr>
                      <w:color w:val="auto"/>
                      <w:sz w:val="21"/>
                      <w:szCs w:val="21"/>
                    </w:rPr>
                  </w:pPr>
                  <w:r>
                    <w:rPr>
                      <w:color w:val="auto"/>
                      <w:sz w:val="21"/>
                      <w:szCs w:val="21"/>
                    </w:rPr>
                    <w:t>外购</w:t>
                  </w:r>
                </w:p>
              </w:tc>
            </w:tr>
            <w:tr w14:paraId="19F838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28" w:type="pct"/>
                  <w:tcBorders>
                    <w:tl2br w:val="nil"/>
                    <w:tr2bl w:val="nil"/>
                  </w:tcBorders>
                  <w:vAlign w:val="center"/>
                </w:tcPr>
                <w:p w14:paraId="71B5F0EC">
                  <w:pPr>
                    <w:pStyle w:val="63"/>
                    <w:rPr>
                      <w:rFonts w:hint="eastAsia" w:eastAsia="宋体"/>
                      <w:color w:val="auto"/>
                      <w:sz w:val="21"/>
                      <w:szCs w:val="21"/>
                      <w:lang w:eastAsia="zh-CN"/>
                    </w:rPr>
                  </w:pPr>
                  <w:r>
                    <w:rPr>
                      <w:rFonts w:hint="eastAsia"/>
                      <w:color w:val="auto"/>
                      <w:sz w:val="21"/>
                      <w:szCs w:val="21"/>
                      <w:lang w:val="en-US" w:eastAsia="zh-CN"/>
                    </w:rPr>
                    <w:t>4</w:t>
                  </w:r>
                </w:p>
              </w:tc>
              <w:tc>
                <w:tcPr>
                  <w:tcW w:w="508" w:type="pct"/>
                  <w:vMerge w:val="continue"/>
                  <w:tcBorders>
                    <w:tl2br w:val="nil"/>
                    <w:tr2bl w:val="nil"/>
                  </w:tcBorders>
                  <w:vAlign w:val="center"/>
                </w:tcPr>
                <w:p w14:paraId="6F1C3384">
                  <w:pPr>
                    <w:adjustRightInd w:val="0"/>
                    <w:snapToGrid w:val="0"/>
                    <w:spacing w:line="360" w:lineRule="exact"/>
                    <w:jc w:val="center"/>
                    <w:rPr>
                      <w:color w:val="auto"/>
                      <w:sz w:val="21"/>
                      <w:szCs w:val="21"/>
                    </w:rPr>
                  </w:pPr>
                </w:p>
              </w:tc>
              <w:tc>
                <w:tcPr>
                  <w:tcW w:w="683" w:type="pct"/>
                  <w:tcBorders>
                    <w:tl2br w:val="nil"/>
                    <w:tr2bl w:val="nil"/>
                  </w:tcBorders>
                  <w:vAlign w:val="center"/>
                </w:tcPr>
                <w:p w14:paraId="6B1DB892">
                  <w:pPr>
                    <w:adjustRightInd w:val="0"/>
                    <w:snapToGrid w:val="0"/>
                    <w:spacing w:line="360" w:lineRule="exact"/>
                    <w:jc w:val="center"/>
                    <w:rPr>
                      <w:color w:val="auto"/>
                      <w:sz w:val="21"/>
                      <w:szCs w:val="21"/>
                    </w:rPr>
                  </w:pPr>
                  <w:r>
                    <w:rPr>
                      <w:color w:val="auto"/>
                      <w:sz w:val="21"/>
                      <w:szCs w:val="21"/>
                    </w:rPr>
                    <w:t>碎石</w:t>
                  </w:r>
                </w:p>
              </w:tc>
              <w:tc>
                <w:tcPr>
                  <w:tcW w:w="1076" w:type="pct"/>
                  <w:tcBorders>
                    <w:tl2br w:val="nil"/>
                    <w:tr2bl w:val="nil"/>
                  </w:tcBorders>
                  <w:vAlign w:val="center"/>
                </w:tcPr>
                <w:p w14:paraId="70F925C7">
                  <w:pPr>
                    <w:adjustRightInd w:val="0"/>
                    <w:snapToGrid w:val="0"/>
                    <w:spacing w:line="360" w:lineRule="exact"/>
                    <w:jc w:val="center"/>
                    <w:rPr>
                      <w:color w:val="auto"/>
                      <w:sz w:val="21"/>
                      <w:szCs w:val="21"/>
                    </w:rPr>
                  </w:pPr>
                  <w:r>
                    <w:rPr>
                      <w:color w:val="auto"/>
                      <w:sz w:val="21"/>
                      <w:szCs w:val="21"/>
                    </w:rPr>
                    <w:t>1.164t/m</w:t>
                  </w:r>
                  <w:r>
                    <w:rPr>
                      <w:color w:val="auto"/>
                      <w:sz w:val="21"/>
                      <w:szCs w:val="21"/>
                      <w:vertAlign w:val="superscript"/>
                    </w:rPr>
                    <w:t>3</w:t>
                  </w:r>
                </w:p>
              </w:tc>
              <w:tc>
                <w:tcPr>
                  <w:tcW w:w="782" w:type="pct"/>
                  <w:tcBorders>
                    <w:tl2br w:val="nil"/>
                    <w:tr2bl w:val="nil"/>
                  </w:tcBorders>
                  <w:vAlign w:val="center"/>
                </w:tcPr>
                <w:p w14:paraId="1ABE9B40">
                  <w:pPr>
                    <w:adjustRightInd w:val="0"/>
                    <w:snapToGrid w:val="0"/>
                    <w:spacing w:line="360" w:lineRule="exact"/>
                    <w:jc w:val="center"/>
                    <w:rPr>
                      <w:color w:val="auto"/>
                      <w:sz w:val="21"/>
                      <w:szCs w:val="21"/>
                    </w:rPr>
                  </w:pPr>
                  <w:r>
                    <w:rPr>
                      <w:rFonts w:hint="eastAsia"/>
                      <w:color w:val="auto"/>
                      <w:sz w:val="21"/>
                      <w:szCs w:val="21"/>
                    </w:rPr>
                    <w:t>232800</w:t>
                  </w:r>
                </w:p>
              </w:tc>
              <w:tc>
                <w:tcPr>
                  <w:tcW w:w="975" w:type="pct"/>
                  <w:tcBorders>
                    <w:tl2br w:val="nil"/>
                    <w:tr2bl w:val="nil"/>
                  </w:tcBorders>
                  <w:vAlign w:val="center"/>
                </w:tcPr>
                <w:p w14:paraId="737D7F42">
                  <w:pPr>
                    <w:jc w:val="center"/>
                    <w:rPr>
                      <w:color w:val="auto"/>
                      <w:sz w:val="21"/>
                      <w:szCs w:val="21"/>
                    </w:rPr>
                  </w:pPr>
                  <w:r>
                    <w:rPr>
                      <w:color w:val="auto"/>
                      <w:sz w:val="21"/>
                      <w:szCs w:val="21"/>
                    </w:rPr>
                    <w:t>散装</w:t>
                  </w:r>
                </w:p>
              </w:tc>
              <w:tc>
                <w:tcPr>
                  <w:tcW w:w="545" w:type="pct"/>
                  <w:tcBorders>
                    <w:tl2br w:val="nil"/>
                    <w:tr2bl w:val="nil"/>
                  </w:tcBorders>
                  <w:vAlign w:val="center"/>
                </w:tcPr>
                <w:p w14:paraId="08413E78">
                  <w:pPr>
                    <w:pStyle w:val="63"/>
                    <w:rPr>
                      <w:color w:val="auto"/>
                      <w:sz w:val="21"/>
                      <w:szCs w:val="21"/>
                    </w:rPr>
                  </w:pPr>
                  <w:r>
                    <w:rPr>
                      <w:color w:val="auto"/>
                      <w:sz w:val="21"/>
                      <w:szCs w:val="21"/>
                    </w:rPr>
                    <w:t>外购</w:t>
                  </w:r>
                </w:p>
              </w:tc>
            </w:tr>
            <w:tr w14:paraId="7F31B8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28" w:type="pct"/>
                  <w:tcBorders>
                    <w:tl2br w:val="nil"/>
                    <w:tr2bl w:val="nil"/>
                  </w:tcBorders>
                  <w:vAlign w:val="center"/>
                </w:tcPr>
                <w:p w14:paraId="4A6F1EE0">
                  <w:pPr>
                    <w:pStyle w:val="63"/>
                    <w:rPr>
                      <w:rFonts w:hint="eastAsia" w:eastAsia="宋体"/>
                      <w:color w:val="auto"/>
                      <w:sz w:val="21"/>
                      <w:szCs w:val="21"/>
                      <w:lang w:eastAsia="zh-CN"/>
                    </w:rPr>
                  </w:pPr>
                  <w:r>
                    <w:rPr>
                      <w:rFonts w:hint="eastAsia"/>
                      <w:color w:val="auto"/>
                      <w:sz w:val="21"/>
                      <w:szCs w:val="21"/>
                      <w:lang w:val="en-US" w:eastAsia="zh-CN"/>
                    </w:rPr>
                    <w:t>5</w:t>
                  </w:r>
                </w:p>
              </w:tc>
              <w:tc>
                <w:tcPr>
                  <w:tcW w:w="508" w:type="pct"/>
                  <w:vMerge w:val="restart"/>
                  <w:tcBorders>
                    <w:tl2br w:val="nil"/>
                    <w:tr2bl w:val="nil"/>
                  </w:tcBorders>
                  <w:vAlign w:val="center"/>
                </w:tcPr>
                <w:p w14:paraId="2A337CDE">
                  <w:pPr>
                    <w:adjustRightInd w:val="0"/>
                    <w:snapToGrid w:val="0"/>
                    <w:spacing w:line="360" w:lineRule="exact"/>
                    <w:jc w:val="center"/>
                    <w:rPr>
                      <w:color w:val="auto"/>
                      <w:sz w:val="21"/>
                      <w:szCs w:val="21"/>
                    </w:rPr>
                  </w:pPr>
                  <w:r>
                    <w:rPr>
                      <w:color w:val="auto"/>
                      <w:sz w:val="21"/>
                      <w:szCs w:val="21"/>
                    </w:rPr>
                    <w:t>辅料</w:t>
                  </w:r>
                </w:p>
              </w:tc>
              <w:tc>
                <w:tcPr>
                  <w:tcW w:w="683" w:type="pct"/>
                  <w:tcBorders>
                    <w:tl2br w:val="nil"/>
                    <w:tr2bl w:val="nil"/>
                  </w:tcBorders>
                  <w:vAlign w:val="center"/>
                </w:tcPr>
                <w:p w14:paraId="20DEE92C">
                  <w:pPr>
                    <w:adjustRightInd w:val="0"/>
                    <w:snapToGrid w:val="0"/>
                    <w:spacing w:line="360" w:lineRule="exact"/>
                    <w:jc w:val="center"/>
                    <w:rPr>
                      <w:color w:val="auto"/>
                      <w:sz w:val="21"/>
                      <w:szCs w:val="21"/>
                    </w:rPr>
                  </w:pPr>
                  <w:r>
                    <w:rPr>
                      <w:rFonts w:hint="eastAsia"/>
                      <w:color w:val="auto"/>
                      <w:sz w:val="21"/>
                      <w:szCs w:val="21"/>
                      <w:lang w:val="en-US" w:eastAsia="zh-CN"/>
                    </w:rPr>
                    <w:t>减水</w:t>
                  </w:r>
                  <w:r>
                    <w:rPr>
                      <w:color w:val="auto"/>
                      <w:sz w:val="21"/>
                      <w:szCs w:val="21"/>
                    </w:rPr>
                    <w:t>剂</w:t>
                  </w:r>
                </w:p>
              </w:tc>
              <w:tc>
                <w:tcPr>
                  <w:tcW w:w="1076" w:type="pct"/>
                  <w:tcBorders>
                    <w:tl2br w:val="nil"/>
                    <w:tr2bl w:val="nil"/>
                  </w:tcBorders>
                  <w:vAlign w:val="center"/>
                </w:tcPr>
                <w:p w14:paraId="0F9984CE">
                  <w:pPr>
                    <w:adjustRightInd w:val="0"/>
                    <w:snapToGrid w:val="0"/>
                    <w:spacing w:line="360" w:lineRule="exact"/>
                    <w:jc w:val="center"/>
                    <w:rPr>
                      <w:color w:val="auto"/>
                      <w:sz w:val="21"/>
                      <w:szCs w:val="21"/>
                    </w:rPr>
                  </w:pPr>
                  <w:r>
                    <w:rPr>
                      <w:color w:val="auto"/>
                      <w:sz w:val="21"/>
                      <w:szCs w:val="21"/>
                    </w:rPr>
                    <w:t>0.0</w:t>
                  </w:r>
                  <w:r>
                    <w:rPr>
                      <w:rFonts w:hint="eastAsia"/>
                      <w:color w:val="auto"/>
                      <w:sz w:val="21"/>
                      <w:szCs w:val="21"/>
                      <w:lang w:val="en-US" w:eastAsia="zh-CN"/>
                    </w:rPr>
                    <w:t>36</w:t>
                  </w:r>
                  <w:r>
                    <w:rPr>
                      <w:color w:val="auto"/>
                      <w:sz w:val="21"/>
                      <w:szCs w:val="21"/>
                    </w:rPr>
                    <w:t>t/m</w:t>
                  </w:r>
                  <w:r>
                    <w:rPr>
                      <w:color w:val="auto"/>
                      <w:sz w:val="21"/>
                      <w:szCs w:val="21"/>
                      <w:vertAlign w:val="superscript"/>
                    </w:rPr>
                    <w:t>3</w:t>
                  </w:r>
                </w:p>
              </w:tc>
              <w:tc>
                <w:tcPr>
                  <w:tcW w:w="782" w:type="pct"/>
                  <w:tcBorders>
                    <w:tl2br w:val="nil"/>
                    <w:tr2bl w:val="nil"/>
                  </w:tcBorders>
                  <w:vAlign w:val="center"/>
                </w:tcPr>
                <w:p w14:paraId="7B2DFED0">
                  <w:pPr>
                    <w:adjustRightInd w:val="0"/>
                    <w:snapToGrid w:val="0"/>
                    <w:spacing w:line="360" w:lineRule="exact"/>
                    <w:jc w:val="center"/>
                    <w:rPr>
                      <w:color w:val="auto"/>
                      <w:sz w:val="21"/>
                      <w:szCs w:val="21"/>
                    </w:rPr>
                  </w:pPr>
                  <w:r>
                    <w:rPr>
                      <w:rFonts w:hint="eastAsia"/>
                      <w:color w:val="auto"/>
                      <w:sz w:val="21"/>
                      <w:szCs w:val="21"/>
                      <w:lang w:val="en-US" w:eastAsia="zh-CN"/>
                    </w:rPr>
                    <w:t>72</w:t>
                  </w:r>
                  <w:r>
                    <w:rPr>
                      <w:rFonts w:hint="eastAsia"/>
                      <w:color w:val="auto"/>
                      <w:sz w:val="21"/>
                      <w:szCs w:val="21"/>
                    </w:rPr>
                    <w:t>00</w:t>
                  </w:r>
                </w:p>
              </w:tc>
              <w:tc>
                <w:tcPr>
                  <w:tcW w:w="975" w:type="pct"/>
                  <w:tcBorders>
                    <w:tl2br w:val="nil"/>
                    <w:tr2bl w:val="nil"/>
                  </w:tcBorders>
                  <w:vAlign w:val="center"/>
                </w:tcPr>
                <w:p w14:paraId="70102DCC">
                  <w:pPr>
                    <w:jc w:val="center"/>
                    <w:rPr>
                      <w:color w:val="auto"/>
                      <w:sz w:val="21"/>
                      <w:szCs w:val="21"/>
                    </w:rPr>
                  </w:pPr>
                  <w:r>
                    <w:rPr>
                      <w:color w:val="auto"/>
                      <w:sz w:val="21"/>
                      <w:szCs w:val="21"/>
                    </w:rPr>
                    <w:t>塑料桶或铁桶</w:t>
                  </w:r>
                </w:p>
              </w:tc>
              <w:tc>
                <w:tcPr>
                  <w:tcW w:w="545" w:type="pct"/>
                  <w:tcBorders>
                    <w:tl2br w:val="nil"/>
                    <w:tr2bl w:val="nil"/>
                  </w:tcBorders>
                  <w:vAlign w:val="center"/>
                </w:tcPr>
                <w:p w14:paraId="492747D7">
                  <w:pPr>
                    <w:pStyle w:val="63"/>
                    <w:rPr>
                      <w:color w:val="auto"/>
                      <w:sz w:val="21"/>
                      <w:szCs w:val="21"/>
                    </w:rPr>
                  </w:pPr>
                  <w:r>
                    <w:rPr>
                      <w:color w:val="auto"/>
                      <w:sz w:val="21"/>
                      <w:szCs w:val="21"/>
                    </w:rPr>
                    <w:t>外购</w:t>
                  </w:r>
                </w:p>
              </w:tc>
            </w:tr>
            <w:tr w14:paraId="3048C2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28" w:type="pct"/>
                  <w:tcBorders>
                    <w:tl2br w:val="nil"/>
                    <w:tr2bl w:val="nil"/>
                  </w:tcBorders>
                  <w:vAlign w:val="center"/>
                </w:tcPr>
                <w:p w14:paraId="6B581047">
                  <w:pPr>
                    <w:pStyle w:val="63"/>
                    <w:rPr>
                      <w:rFonts w:hint="default"/>
                      <w:color w:val="auto"/>
                      <w:sz w:val="21"/>
                      <w:szCs w:val="21"/>
                      <w:lang w:val="en-US" w:eastAsia="zh-CN"/>
                    </w:rPr>
                  </w:pPr>
                  <w:r>
                    <w:rPr>
                      <w:rFonts w:hint="eastAsia"/>
                      <w:color w:val="auto"/>
                      <w:sz w:val="21"/>
                      <w:szCs w:val="21"/>
                      <w:lang w:val="en-US" w:eastAsia="zh-CN"/>
                    </w:rPr>
                    <w:t>6</w:t>
                  </w:r>
                </w:p>
              </w:tc>
              <w:tc>
                <w:tcPr>
                  <w:tcW w:w="508" w:type="pct"/>
                  <w:vMerge w:val="continue"/>
                  <w:tcBorders>
                    <w:tl2br w:val="nil"/>
                    <w:tr2bl w:val="nil"/>
                  </w:tcBorders>
                  <w:vAlign w:val="center"/>
                </w:tcPr>
                <w:p w14:paraId="0E5D86B4">
                  <w:pPr>
                    <w:adjustRightInd w:val="0"/>
                    <w:snapToGrid w:val="0"/>
                    <w:spacing w:line="360" w:lineRule="exact"/>
                    <w:jc w:val="center"/>
                    <w:rPr>
                      <w:color w:val="auto"/>
                      <w:sz w:val="21"/>
                      <w:szCs w:val="21"/>
                    </w:rPr>
                  </w:pPr>
                </w:p>
              </w:tc>
              <w:tc>
                <w:tcPr>
                  <w:tcW w:w="683" w:type="pct"/>
                  <w:tcBorders>
                    <w:tl2br w:val="nil"/>
                    <w:tr2bl w:val="nil"/>
                  </w:tcBorders>
                  <w:vAlign w:val="center"/>
                </w:tcPr>
                <w:p w14:paraId="5FB4F448">
                  <w:pPr>
                    <w:adjustRightInd w:val="0"/>
                    <w:snapToGrid w:val="0"/>
                    <w:spacing w:line="360" w:lineRule="exact"/>
                    <w:jc w:val="center"/>
                    <w:rPr>
                      <w:rFonts w:hint="eastAsia" w:eastAsia="宋体"/>
                      <w:color w:val="auto"/>
                      <w:sz w:val="21"/>
                      <w:szCs w:val="21"/>
                      <w:lang w:val="en-US" w:eastAsia="zh-CN"/>
                    </w:rPr>
                  </w:pPr>
                  <w:r>
                    <w:rPr>
                      <w:rFonts w:hint="eastAsia"/>
                      <w:color w:val="auto"/>
                      <w:sz w:val="21"/>
                      <w:szCs w:val="21"/>
                      <w:lang w:val="en-US" w:eastAsia="zh-CN"/>
                    </w:rPr>
                    <w:t>缓凝剂</w:t>
                  </w:r>
                </w:p>
              </w:tc>
              <w:tc>
                <w:tcPr>
                  <w:tcW w:w="1076" w:type="pct"/>
                  <w:tcBorders>
                    <w:tl2br w:val="nil"/>
                    <w:tr2bl w:val="nil"/>
                  </w:tcBorders>
                  <w:vAlign w:val="center"/>
                </w:tcPr>
                <w:p w14:paraId="7F530AB1">
                  <w:pPr>
                    <w:adjustRightInd w:val="0"/>
                    <w:snapToGrid w:val="0"/>
                    <w:spacing w:line="360" w:lineRule="exact"/>
                    <w:jc w:val="center"/>
                    <w:rPr>
                      <w:color w:val="auto"/>
                      <w:sz w:val="21"/>
                      <w:szCs w:val="21"/>
                    </w:rPr>
                  </w:pPr>
                  <w:r>
                    <w:rPr>
                      <w:color w:val="auto"/>
                      <w:sz w:val="21"/>
                      <w:szCs w:val="21"/>
                    </w:rPr>
                    <w:t>0.0</w:t>
                  </w:r>
                  <w:r>
                    <w:rPr>
                      <w:rFonts w:hint="eastAsia"/>
                      <w:color w:val="auto"/>
                      <w:sz w:val="21"/>
                      <w:szCs w:val="21"/>
                      <w:lang w:val="en-US" w:eastAsia="zh-CN"/>
                    </w:rPr>
                    <w:t>36</w:t>
                  </w:r>
                  <w:r>
                    <w:rPr>
                      <w:color w:val="auto"/>
                      <w:sz w:val="21"/>
                      <w:szCs w:val="21"/>
                    </w:rPr>
                    <w:t>t/m</w:t>
                  </w:r>
                  <w:r>
                    <w:rPr>
                      <w:color w:val="auto"/>
                      <w:sz w:val="21"/>
                      <w:szCs w:val="21"/>
                      <w:vertAlign w:val="superscript"/>
                    </w:rPr>
                    <w:t>3</w:t>
                  </w:r>
                </w:p>
              </w:tc>
              <w:tc>
                <w:tcPr>
                  <w:tcW w:w="782" w:type="pct"/>
                  <w:tcBorders>
                    <w:tl2br w:val="nil"/>
                    <w:tr2bl w:val="nil"/>
                  </w:tcBorders>
                  <w:vAlign w:val="center"/>
                </w:tcPr>
                <w:p w14:paraId="70D35CD6">
                  <w:pPr>
                    <w:adjustRightInd w:val="0"/>
                    <w:snapToGrid w:val="0"/>
                    <w:spacing w:line="360" w:lineRule="exact"/>
                    <w:jc w:val="center"/>
                    <w:rPr>
                      <w:color w:val="auto"/>
                      <w:sz w:val="21"/>
                      <w:szCs w:val="21"/>
                    </w:rPr>
                  </w:pPr>
                  <w:r>
                    <w:rPr>
                      <w:rFonts w:hint="eastAsia"/>
                      <w:color w:val="auto"/>
                      <w:sz w:val="21"/>
                      <w:szCs w:val="21"/>
                      <w:lang w:val="en-US" w:eastAsia="zh-CN"/>
                    </w:rPr>
                    <w:t>72</w:t>
                  </w:r>
                  <w:r>
                    <w:rPr>
                      <w:rFonts w:hint="eastAsia"/>
                      <w:color w:val="auto"/>
                      <w:sz w:val="21"/>
                      <w:szCs w:val="21"/>
                    </w:rPr>
                    <w:t>00</w:t>
                  </w:r>
                </w:p>
              </w:tc>
              <w:tc>
                <w:tcPr>
                  <w:tcW w:w="975" w:type="pct"/>
                  <w:tcBorders>
                    <w:tl2br w:val="nil"/>
                    <w:tr2bl w:val="nil"/>
                  </w:tcBorders>
                  <w:vAlign w:val="center"/>
                </w:tcPr>
                <w:p w14:paraId="3276CFF3">
                  <w:pPr>
                    <w:jc w:val="center"/>
                    <w:rPr>
                      <w:color w:val="auto"/>
                      <w:sz w:val="21"/>
                      <w:szCs w:val="21"/>
                    </w:rPr>
                  </w:pPr>
                  <w:r>
                    <w:rPr>
                      <w:color w:val="auto"/>
                      <w:sz w:val="21"/>
                      <w:szCs w:val="21"/>
                    </w:rPr>
                    <w:t>塑料桶或铁桶</w:t>
                  </w:r>
                </w:p>
              </w:tc>
              <w:tc>
                <w:tcPr>
                  <w:tcW w:w="545" w:type="pct"/>
                  <w:tcBorders>
                    <w:tl2br w:val="nil"/>
                    <w:tr2bl w:val="nil"/>
                  </w:tcBorders>
                  <w:vAlign w:val="center"/>
                </w:tcPr>
                <w:p w14:paraId="5185024D">
                  <w:pPr>
                    <w:pStyle w:val="63"/>
                    <w:rPr>
                      <w:color w:val="auto"/>
                      <w:sz w:val="21"/>
                      <w:szCs w:val="21"/>
                    </w:rPr>
                  </w:pPr>
                  <w:r>
                    <w:rPr>
                      <w:color w:val="auto"/>
                      <w:sz w:val="21"/>
                      <w:szCs w:val="21"/>
                    </w:rPr>
                    <w:t>外购</w:t>
                  </w:r>
                </w:p>
              </w:tc>
            </w:tr>
            <w:tr w14:paraId="6FB9F5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28" w:type="pct"/>
                  <w:tcBorders>
                    <w:tl2br w:val="nil"/>
                    <w:tr2bl w:val="nil"/>
                  </w:tcBorders>
                  <w:vAlign w:val="center"/>
                </w:tcPr>
                <w:p w14:paraId="5758AF02">
                  <w:pPr>
                    <w:pStyle w:val="63"/>
                    <w:rPr>
                      <w:rFonts w:hint="eastAsia" w:eastAsia="宋体"/>
                      <w:color w:val="auto"/>
                      <w:sz w:val="21"/>
                      <w:szCs w:val="21"/>
                      <w:lang w:eastAsia="zh-CN"/>
                    </w:rPr>
                  </w:pPr>
                  <w:r>
                    <w:rPr>
                      <w:rFonts w:hint="eastAsia"/>
                      <w:color w:val="auto"/>
                      <w:sz w:val="21"/>
                      <w:szCs w:val="21"/>
                      <w:lang w:val="en-US" w:eastAsia="zh-CN"/>
                    </w:rPr>
                    <w:t>7</w:t>
                  </w:r>
                </w:p>
              </w:tc>
              <w:tc>
                <w:tcPr>
                  <w:tcW w:w="508" w:type="pct"/>
                  <w:vMerge w:val="restart"/>
                  <w:tcBorders>
                    <w:tl2br w:val="nil"/>
                    <w:tr2bl w:val="nil"/>
                  </w:tcBorders>
                  <w:vAlign w:val="center"/>
                </w:tcPr>
                <w:p w14:paraId="32C4655E">
                  <w:pPr>
                    <w:pStyle w:val="61"/>
                    <w:rPr>
                      <w:color w:val="auto"/>
                      <w:sz w:val="21"/>
                      <w:szCs w:val="21"/>
                    </w:rPr>
                  </w:pPr>
                  <w:r>
                    <w:rPr>
                      <w:color w:val="auto"/>
                      <w:sz w:val="21"/>
                      <w:szCs w:val="21"/>
                    </w:rPr>
                    <w:t>能源</w:t>
                  </w:r>
                </w:p>
                <w:p w14:paraId="15506D00">
                  <w:pPr>
                    <w:pStyle w:val="61"/>
                    <w:rPr>
                      <w:color w:val="auto"/>
                      <w:sz w:val="21"/>
                      <w:szCs w:val="21"/>
                    </w:rPr>
                  </w:pPr>
                  <w:r>
                    <w:rPr>
                      <w:color w:val="auto"/>
                      <w:sz w:val="21"/>
                      <w:szCs w:val="21"/>
                    </w:rPr>
                    <w:t>消耗</w:t>
                  </w:r>
                </w:p>
                <w:p w14:paraId="3EE0FEA6">
                  <w:pPr>
                    <w:pStyle w:val="61"/>
                    <w:rPr>
                      <w:color w:val="auto"/>
                      <w:sz w:val="21"/>
                      <w:szCs w:val="21"/>
                    </w:rPr>
                  </w:pPr>
                </w:p>
              </w:tc>
              <w:tc>
                <w:tcPr>
                  <w:tcW w:w="683" w:type="pct"/>
                  <w:tcBorders>
                    <w:tl2br w:val="nil"/>
                    <w:tr2bl w:val="nil"/>
                  </w:tcBorders>
                  <w:vAlign w:val="center"/>
                </w:tcPr>
                <w:p w14:paraId="0E35EF54">
                  <w:pPr>
                    <w:pStyle w:val="61"/>
                    <w:rPr>
                      <w:rFonts w:hint="eastAsia" w:eastAsia="宋体"/>
                      <w:color w:val="auto"/>
                      <w:sz w:val="21"/>
                      <w:szCs w:val="21"/>
                      <w:lang w:eastAsia="zh-CN"/>
                    </w:rPr>
                  </w:pPr>
                  <w:r>
                    <w:rPr>
                      <w:color w:val="auto"/>
                      <w:sz w:val="21"/>
                      <w:szCs w:val="21"/>
                    </w:rPr>
                    <w:t>水</w:t>
                  </w:r>
                  <w:r>
                    <w:rPr>
                      <w:rFonts w:hint="eastAsia"/>
                      <w:color w:val="auto"/>
                      <w:sz w:val="21"/>
                      <w:szCs w:val="21"/>
                      <w:lang w:eastAsia="zh-CN"/>
                    </w:rPr>
                    <w:t>（</w:t>
                  </w:r>
                  <w:r>
                    <w:rPr>
                      <w:rFonts w:hint="eastAsia"/>
                      <w:color w:val="auto"/>
                      <w:sz w:val="21"/>
                      <w:szCs w:val="21"/>
                      <w:lang w:val="en-US" w:eastAsia="zh-CN"/>
                    </w:rPr>
                    <w:t>生产</w:t>
                  </w:r>
                  <w:r>
                    <w:rPr>
                      <w:rFonts w:hint="eastAsia"/>
                      <w:color w:val="auto"/>
                      <w:sz w:val="21"/>
                      <w:szCs w:val="21"/>
                      <w:lang w:eastAsia="zh-CN"/>
                    </w:rPr>
                    <w:t>）</w:t>
                  </w:r>
                </w:p>
              </w:tc>
              <w:tc>
                <w:tcPr>
                  <w:tcW w:w="1076" w:type="pct"/>
                  <w:tcBorders>
                    <w:tl2br w:val="nil"/>
                    <w:tr2bl w:val="nil"/>
                  </w:tcBorders>
                  <w:vAlign w:val="center"/>
                </w:tcPr>
                <w:p w14:paraId="49E8F194">
                  <w:pPr>
                    <w:pStyle w:val="61"/>
                    <w:rPr>
                      <w:color w:val="auto"/>
                      <w:sz w:val="21"/>
                      <w:szCs w:val="21"/>
                    </w:rPr>
                  </w:pPr>
                  <w:r>
                    <w:rPr>
                      <w:color w:val="auto"/>
                      <w:sz w:val="21"/>
                      <w:szCs w:val="21"/>
                    </w:rPr>
                    <w:t>0.2m</w:t>
                  </w:r>
                  <w:r>
                    <w:rPr>
                      <w:color w:val="auto"/>
                      <w:sz w:val="21"/>
                      <w:szCs w:val="21"/>
                      <w:vertAlign w:val="superscript"/>
                    </w:rPr>
                    <w:t>3</w:t>
                  </w:r>
                  <w:r>
                    <w:rPr>
                      <w:color w:val="auto"/>
                      <w:sz w:val="21"/>
                      <w:szCs w:val="21"/>
                    </w:rPr>
                    <w:t>/m</w:t>
                  </w:r>
                  <w:r>
                    <w:rPr>
                      <w:color w:val="auto"/>
                      <w:sz w:val="21"/>
                      <w:szCs w:val="21"/>
                      <w:vertAlign w:val="superscript"/>
                    </w:rPr>
                    <w:t>3</w:t>
                  </w:r>
                </w:p>
              </w:tc>
              <w:tc>
                <w:tcPr>
                  <w:tcW w:w="782" w:type="pct"/>
                  <w:tcBorders>
                    <w:tl2br w:val="nil"/>
                    <w:tr2bl w:val="nil"/>
                  </w:tcBorders>
                  <w:vAlign w:val="center"/>
                </w:tcPr>
                <w:p w14:paraId="0AB1B476">
                  <w:pPr>
                    <w:pStyle w:val="61"/>
                    <w:rPr>
                      <w:rFonts w:hint="default" w:eastAsia="宋体"/>
                      <w:color w:val="auto"/>
                      <w:sz w:val="21"/>
                      <w:szCs w:val="21"/>
                      <w:lang w:val="en-US" w:eastAsia="zh-CN"/>
                    </w:rPr>
                  </w:pPr>
                  <w:r>
                    <w:rPr>
                      <w:rFonts w:hint="eastAsia"/>
                      <w:color w:val="auto"/>
                      <w:sz w:val="21"/>
                      <w:szCs w:val="21"/>
                    </w:rPr>
                    <w:t>4</w:t>
                  </w:r>
                  <w:r>
                    <w:rPr>
                      <w:rFonts w:hint="eastAsia"/>
                      <w:color w:val="auto"/>
                      <w:sz w:val="21"/>
                      <w:szCs w:val="21"/>
                      <w:lang w:val="en-US" w:eastAsia="zh-CN"/>
                    </w:rPr>
                    <w:t>0000</w:t>
                  </w:r>
                </w:p>
              </w:tc>
              <w:tc>
                <w:tcPr>
                  <w:tcW w:w="975" w:type="pct"/>
                  <w:tcBorders>
                    <w:tl2br w:val="nil"/>
                    <w:tr2bl w:val="nil"/>
                  </w:tcBorders>
                  <w:vAlign w:val="center"/>
                </w:tcPr>
                <w:p w14:paraId="04A6E712">
                  <w:pPr>
                    <w:jc w:val="center"/>
                    <w:rPr>
                      <w:color w:val="auto"/>
                      <w:sz w:val="21"/>
                      <w:szCs w:val="21"/>
                    </w:rPr>
                  </w:pPr>
                  <w:r>
                    <w:rPr>
                      <w:color w:val="auto"/>
                      <w:sz w:val="21"/>
                      <w:szCs w:val="21"/>
                    </w:rPr>
                    <w:t>/</w:t>
                  </w:r>
                </w:p>
              </w:tc>
              <w:tc>
                <w:tcPr>
                  <w:tcW w:w="545" w:type="pct"/>
                  <w:tcBorders>
                    <w:tl2br w:val="nil"/>
                    <w:tr2bl w:val="nil"/>
                  </w:tcBorders>
                  <w:vAlign w:val="center"/>
                </w:tcPr>
                <w:p w14:paraId="3DE61063">
                  <w:pPr>
                    <w:pStyle w:val="63"/>
                    <w:rPr>
                      <w:color w:val="auto"/>
                      <w:sz w:val="21"/>
                      <w:szCs w:val="21"/>
                    </w:rPr>
                  </w:pPr>
                  <w:r>
                    <w:rPr>
                      <w:color w:val="auto"/>
                      <w:sz w:val="21"/>
                      <w:szCs w:val="21"/>
                    </w:rPr>
                    <w:t>/</w:t>
                  </w:r>
                </w:p>
              </w:tc>
            </w:tr>
            <w:tr w14:paraId="69961B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28" w:type="pct"/>
                  <w:tcBorders>
                    <w:tl2br w:val="nil"/>
                    <w:tr2bl w:val="nil"/>
                  </w:tcBorders>
                  <w:vAlign w:val="center"/>
                </w:tcPr>
                <w:p w14:paraId="77596CBF">
                  <w:pPr>
                    <w:pStyle w:val="63"/>
                    <w:rPr>
                      <w:rFonts w:hint="default"/>
                      <w:color w:val="auto"/>
                      <w:sz w:val="21"/>
                      <w:szCs w:val="21"/>
                      <w:lang w:val="en-US" w:eastAsia="zh-CN"/>
                    </w:rPr>
                  </w:pPr>
                  <w:r>
                    <w:rPr>
                      <w:rFonts w:hint="eastAsia"/>
                      <w:color w:val="auto"/>
                      <w:sz w:val="21"/>
                      <w:szCs w:val="21"/>
                      <w:lang w:val="en-US" w:eastAsia="zh-CN"/>
                    </w:rPr>
                    <w:t>8</w:t>
                  </w:r>
                </w:p>
              </w:tc>
              <w:tc>
                <w:tcPr>
                  <w:tcW w:w="508" w:type="pct"/>
                  <w:vMerge w:val="continue"/>
                  <w:tcBorders>
                    <w:tl2br w:val="nil"/>
                    <w:tr2bl w:val="nil"/>
                  </w:tcBorders>
                  <w:vAlign w:val="center"/>
                </w:tcPr>
                <w:p w14:paraId="7C39C601">
                  <w:pPr>
                    <w:pStyle w:val="61"/>
                    <w:rPr>
                      <w:color w:val="auto"/>
                      <w:sz w:val="21"/>
                      <w:szCs w:val="21"/>
                    </w:rPr>
                  </w:pPr>
                </w:p>
              </w:tc>
              <w:tc>
                <w:tcPr>
                  <w:tcW w:w="683" w:type="pct"/>
                  <w:tcBorders>
                    <w:tl2br w:val="nil"/>
                    <w:tr2bl w:val="nil"/>
                  </w:tcBorders>
                  <w:vAlign w:val="center"/>
                </w:tcPr>
                <w:p w14:paraId="294C26B6">
                  <w:pPr>
                    <w:pStyle w:val="61"/>
                    <w:rPr>
                      <w:rFonts w:hint="default" w:eastAsia="宋体"/>
                      <w:color w:val="auto"/>
                      <w:sz w:val="21"/>
                      <w:szCs w:val="21"/>
                      <w:lang w:val="en-US" w:eastAsia="zh-CN"/>
                    </w:rPr>
                  </w:pPr>
                  <w:r>
                    <w:rPr>
                      <w:rFonts w:hint="eastAsia"/>
                      <w:color w:val="auto"/>
                      <w:sz w:val="21"/>
                      <w:szCs w:val="21"/>
                      <w:lang w:val="en-US" w:eastAsia="zh-CN"/>
                    </w:rPr>
                    <w:t>电</w:t>
                  </w:r>
                </w:p>
              </w:tc>
              <w:tc>
                <w:tcPr>
                  <w:tcW w:w="1076" w:type="pct"/>
                  <w:tcBorders>
                    <w:tl2br w:val="nil"/>
                    <w:tr2bl w:val="nil"/>
                  </w:tcBorders>
                  <w:vAlign w:val="center"/>
                </w:tcPr>
                <w:p w14:paraId="1A97F2F9">
                  <w:pPr>
                    <w:pStyle w:val="61"/>
                    <w:jc w:val="center"/>
                    <w:rPr>
                      <w:rFonts w:hint="eastAsia" w:eastAsia="宋体"/>
                      <w:color w:val="auto"/>
                      <w:sz w:val="21"/>
                      <w:szCs w:val="21"/>
                      <w:lang w:val="en-US" w:eastAsia="zh-CN"/>
                    </w:rPr>
                  </w:pPr>
                  <w:r>
                    <w:rPr>
                      <w:rFonts w:hint="eastAsia"/>
                      <w:color w:val="auto"/>
                      <w:sz w:val="21"/>
                      <w:szCs w:val="21"/>
                      <w:lang w:val="en-US" w:eastAsia="zh-CN"/>
                    </w:rPr>
                    <w:t>/</w:t>
                  </w:r>
                </w:p>
              </w:tc>
              <w:tc>
                <w:tcPr>
                  <w:tcW w:w="782" w:type="pct"/>
                  <w:tcBorders>
                    <w:tl2br w:val="nil"/>
                    <w:tr2bl w:val="nil"/>
                  </w:tcBorders>
                  <w:vAlign w:val="center"/>
                </w:tcPr>
                <w:p w14:paraId="01BCACF7">
                  <w:pPr>
                    <w:pStyle w:val="61"/>
                    <w:rPr>
                      <w:rFonts w:hint="default" w:eastAsia="宋体"/>
                      <w:color w:val="auto"/>
                      <w:sz w:val="21"/>
                      <w:szCs w:val="21"/>
                      <w:lang w:val="en-US" w:eastAsia="zh-CN"/>
                    </w:rPr>
                  </w:pPr>
                  <w:r>
                    <w:rPr>
                      <w:rFonts w:hint="eastAsia"/>
                      <w:color w:val="auto"/>
                      <w:sz w:val="21"/>
                      <w:szCs w:val="21"/>
                      <w:lang w:val="en-US" w:eastAsia="zh-CN"/>
                    </w:rPr>
                    <w:t>90万kw/h</w:t>
                  </w:r>
                </w:p>
              </w:tc>
              <w:tc>
                <w:tcPr>
                  <w:tcW w:w="975" w:type="pct"/>
                  <w:tcBorders>
                    <w:tl2br w:val="nil"/>
                    <w:tr2bl w:val="nil"/>
                  </w:tcBorders>
                  <w:vAlign w:val="center"/>
                </w:tcPr>
                <w:p w14:paraId="6A4715EE">
                  <w:pPr>
                    <w:jc w:val="center"/>
                    <w:rPr>
                      <w:rFonts w:hint="eastAsia" w:eastAsia="宋体"/>
                      <w:color w:val="auto"/>
                      <w:sz w:val="21"/>
                      <w:szCs w:val="21"/>
                      <w:lang w:val="en-US" w:eastAsia="zh-CN"/>
                    </w:rPr>
                  </w:pPr>
                  <w:r>
                    <w:rPr>
                      <w:rFonts w:hint="eastAsia"/>
                      <w:color w:val="auto"/>
                      <w:sz w:val="21"/>
                      <w:szCs w:val="21"/>
                      <w:lang w:val="en-US" w:eastAsia="zh-CN"/>
                    </w:rPr>
                    <w:t>/</w:t>
                  </w:r>
                </w:p>
              </w:tc>
              <w:tc>
                <w:tcPr>
                  <w:tcW w:w="545" w:type="pct"/>
                  <w:tcBorders>
                    <w:tl2br w:val="nil"/>
                    <w:tr2bl w:val="nil"/>
                  </w:tcBorders>
                  <w:vAlign w:val="center"/>
                </w:tcPr>
                <w:p w14:paraId="4FF7ADF0">
                  <w:pPr>
                    <w:pStyle w:val="63"/>
                    <w:rPr>
                      <w:rFonts w:hint="eastAsia" w:eastAsia="宋体"/>
                      <w:color w:val="auto"/>
                      <w:sz w:val="21"/>
                      <w:szCs w:val="21"/>
                      <w:lang w:val="en-US" w:eastAsia="zh-CN"/>
                    </w:rPr>
                  </w:pPr>
                  <w:r>
                    <w:rPr>
                      <w:rFonts w:hint="eastAsia"/>
                      <w:color w:val="auto"/>
                      <w:sz w:val="21"/>
                      <w:szCs w:val="21"/>
                      <w:lang w:val="en-US" w:eastAsia="zh-CN"/>
                    </w:rPr>
                    <w:t>/</w:t>
                  </w:r>
                </w:p>
              </w:tc>
            </w:tr>
          </w:tbl>
          <w:p w14:paraId="442021B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项目中水泥、粉煤灰均放置在密闭筒仓中，砂子、石子储存于砂石堆料场中，减水剂设有专门的减水剂桶储存。</w:t>
            </w:r>
          </w:p>
          <w:p w14:paraId="2D77EDF1">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原材料理化性质：</w:t>
            </w:r>
          </w:p>
          <w:p w14:paraId="6ECB829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1）水泥：水泥品种是以水泥的性能为依据划分的。我国常用的水泥都是硅酸盐系列水泥，主要是通过调整硅酸盐水泥熟料，合理掺入不同品种、不同数量的混合材料而划分的。硅酸盐水泥熟料中主要矿物有硅酸三钙、硅酸二钙、铝酸三钙和铁铝酸四钙四种。水泥的性质主要由熟料的矿物组成和矿物结构、混合材料的质量和数量、石膏掺量、</w:t>
            </w:r>
            <w:r>
              <w:rPr>
                <w:rFonts w:hint="eastAsia" w:ascii="Times New Roman" w:hAnsi="Times New Roman" w:eastAsia="宋体" w:cs="Times New Roman"/>
                <w:color w:val="auto"/>
                <w:kern w:val="0"/>
                <w:sz w:val="24"/>
                <w:lang w:eastAsia="zh-CN"/>
              </w:rPr>
              <w:t>粉末</w:t>
            </w:r>
            <w:r>
              <w:rPr>
                <w:rFonts w:ascii="Times New Roman" w:hAnsi="Times New Roman" w:eastAsia="宋体" w:cs="Times New Roman"/>
                <w:color w:val="auto"/>
                <w:kern w:val="0"/>
                <w:sz w:val="24"/>
              </w:rPr>
              <w:t>细度等决定的。所以不同生产厂和不同生产方式的水泥，其性质是不同的。</w:t>
            </w:r>
          </w:p>
          <w:p w14:paraId="2B57561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（2）粉煤灰：粉煤灰是由煤粉炉排出的烟气中收集到的细颗粒白色粉末，是由矿化程度较低的褐煤燃烧后形成的残灰，它的氧化钙含量较高，具有胶凝性质。粉煤灰一般多呈球形，且富含玻璃体，含量在</w:t>
            </w:r>
            <w:r>
              <w:rPr>
                <w:rFonts w:hint="eastAsia" w:ascii="Times New Roman" w:hAnsi="Times New Roman" w:eastAsia="宋体" w:cs="Times New Roman"/>
                <w:color w:val="auto"/>
                <w:kern w:val="0"/>
                <w:sz w:val="24"/>
                <w:lang w:eastAsia="zh-CN"/>
              </w:rPr>
              <w:t>50％</w:t>
            </w:r>
            <w:r>
              <w:rPr>
                <w:rFonts w:hint="eastAsia" w:cs="Times New Roman"/>
                <w:color w:val="auto"/>
                <w:kern w:val="0"/>
                <w:sz w:val="24"/>
                <w:lang w:eastAsia="zh-CN"/>
              </w:rPr>
              <w:t>-</w:t>
            </w:r>
            <w:r>
              <w:rPr>
                <w:rFonts w:hint="eastAsia" w:ascii="Times New Roman" w:hAnsi="Times New Roman" w:eastAsia="宋体" w:cs="Times New Roman"/>
                <w:color w:val="auto"/>
                <w:kern w:val="0"/>
                <w:sz w:val="24"/>
                <w:lang w:eastAsia="zh-CN"/>
              </w:rPr>
              <w:t>70％</w:t>
            </w:r>
            <w:r>
              <w:rPr>
                <w:rFonts w:ascii="Times New Roman" w:hAnsi="Times New Roman" w:eastAsia="宋体" w:cs="Times New Roman"/>
                <w:color w:val="auto"/>
                <w:kern w:val="0"/>
                <w:sz w:val="24"/>
              </w:rPr>
              <w:t>之间。晶体部分主要是莫来石和石英，还有一定量的未燃尽炭，含量约为1</w:t>
            </w:r>
            <w:r>
              <w:rPr>
                <w:rFonts w:hint="eastAsia" w:cs="Times New Roman"/>
                <w:color w:val="auto"/>
                <w:kern w:val="0"/>
                <w:sz w:val="24"/>
                <w:lang w:eastAsia="zh-CN"/>
              </w:rPr>
              <w:t>-</w:t>
            </w:r>
            <w:r>
              <w:rPr>
                <w:rFonts w:ascii="Times New Roman" w:hAnsi="Times New Roman" w:eastAsia="宋体" w:cs="Times New Roman"/>
                <w:color w:val="auto"/>
                <w:kern w:val="0"/>
                <w:sz w:val="24"/>
              </w:rPr>
              <w:t>24％。从</w:t>
            </w:r>
            <w:r>
              <w:rPr>
                <w:rFonts w:hint="eastAsia" w:ascii="Times New Roman" w:hAnsi="Times New Roman" w:eastAsia="宋体" w:cs="Times New Roman"/>
                <w:color w:val="auto"/>
                <w:kern w:val="0"/>
                <w:sz w:val="24"/>
                <w:lang w:eastAsia="zh-CN"/>
              </w:rPr>
              <w:t>化学成分</w:t>
            </w:r>
            <w:r>
              <w:rPr>
                <w:rFonts w:ascii="Times New Roman" w:hAnsi="Times New Roman" w:eastAsia="宋体" w:cs="Times New Roman"/>
                <w:color w:val="auto"/>
                <w:kern w:val="0"/>
                <w:sz w:val="24"/>
              </w:rPr>
              <w:t>看，粉煤灰主要含有SiO</w:t>
            </w:r>
            <w:r>
              <w:rPr>
                <w:rFonts w:ascii="Times New Roman" w:hAnsi="Times New Roman" w:eastAsia="宋体" w:cs="Times New Roman"/>
                <w:color w:val="auto"/>
                <w:kern w:val="0"/>
                <w:sz w:val="24"/>
                <w:vertAlign w:val="subscript"/>
              </w:rPr>
              <w:t>2</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eastAsia="zh-CN"/>
              </w:rPr>
              <w:t>35%</w:t>
            </w:r>
            <w:r>
              <w:rPr>
                <w:rFonts w:hint="eastAsia" w:cs="Times New Roman"/>
                <w:color w:val="auto"/>
                <w:kern w:val="0"/>
                <w:sz w:val="24"/>
                <w:lang w:eastAsia="zh-CN"/>
              </w:rPr>
              <w:t>-</w:t>
            </w:r>
            <w:r>
              <w:rPr>
                <w:rFonts w:hint="eastAsia" w:ascii="Times New Roman" w:hAnsi="Times New Roman" w:eastAsia="宋体" w:cs="Times New Roman"/>
                <w:color w:val="auto"/>
                <w:kern w:val="0"/>
                <w:sz w:val="24"/>
                <w:lang w:eastAsia="zh-CN"/>
              </w:rPr>
              <w:t>60%</w:t>
            </w:r>
            <w:r>
              <w:rPr>
                <w:rFonts w:ascii="Times New Roman" w:hAnsi="Times New Roman" w:eastAsia="宋体" w:cs="Times New Roman"/>
                <w:color w:val="auto"/>
                <w:kern w:val="0"/>
                <w:sz w:val="24"/>
              </w:rPr>
              <w:t>），Al</w:t>
            </w:r>
            <w:r>
              <w:rPr>
                <w:rFonts w:ascii="Times New Roman" w:hAnsi="Times New Roman" w:eastAsia="宋体" w:cs="Times New Roman"/>
                <w:color w:val="auto"/>
                <w:kern w:val="0"/>
                <w:sz w:val="24"/>
                <w:vertAlign w:val="subscript"/>
              </w:rPr>
              <w:t>2</w:t>
            </w:r>
            <w:r>
              <w:rPr>
                <w:rFonts w:ascii="Times New Roman" w:hAnsi="Times New Roman" w:eastAsia="宋体" w:cs="Times New Roman"/>
                <w:color w:val="auto"/>
                <w:kern w:val="0"/>
                <w:sz w:val="24"/>
              </w:rPr>
              <w:t>O</w:t>
            </w:r>
            <w:r>
              <w:rPr>
                <w:rFonts w:ascii="Times New Roman" w:hAnsi="Times New Roman" w:eastAsia="宋体" w:cs="Times New Roman"/>
                <w:color w:val="auto"/>
                <w:kern w:val="0"/>
                <w:sz w:val="24"/>
                <w:vertAlign w:val="subscript"/>
              </w:rPr>
              <w:t>3</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eastAsia="zh-CN"/>
              </w:rPr>
              <w:t>13%</w:t>
            </w:r>
            <w:r>
              <w:rPr>
                <w:rFonts w:hint="eastAsia" w:cs="Times New Roman"/>
                <w:color w:val="auto"/>
                <w:kern w:val="0"/>
                <w:sz w:val="24"/>
                <w:lang w:eastAsia="zh-CN"/>
              </w:rPr>
              <w:t>-</w:t>
            </w:r>
            <w:r>
              <w:rPr>
                <w:rFonts w:hint="eastAsia" w:ascii="Times New Roman" w:hAnsi="Times New Roman" w:eastAsia="宋体" w:cs="Times New Roman"/>
                <w:color w:val="auto"/>
                <w:kern w:val="0"/>
                <w:sz w:val="24"/>
                <w:lang w:eastAsia="zh-CN"/>
              </w:rPr>
              <w:t>40%</w:t>
            </w:r>
            <w:r>
              <w:rPr>
                <w:rFonts w:ascii="Times New Roman" w:hAnsi="Times New Roman" w:eastAsia="宋体" w:cs="Times New Roman"/>
                <w:color w:val="auto"/>
                <w:kern w:val="0"/>
                <w:sz w:val="24"/>
              </w:rPr>
              <w:t>），CaO（</w:t>
            </w:r>
            <w:r>
              <w:rPr>
                <w:rFonts w:hint="eastAsia" w:ascii="Times New Roman" w:hAnsi="Times New Roman" w:eastAsia="宋体" w:cs="Times New Roman"/>
                <w:color w:val="auto"/>
                <w:kern w:val="0"/>
                <w:sz w:val="24"/>
                <w:lang w:eastAsia="zh-CN"/>
              </w:rPr>
              <w:t>2%</w:t>
            </w:r>
            <w:r>
              <w:rPr>
                <w:rFonts w:hint="eastAsia" w:cs="Times New Roman"/>
                <w:color w:val="auto"/>
                <w:kern w:val="0"/>
                <w:sz w:val="24"/>
                <w:lang w:eastAsia="zh-CN"/>
              </w:rPr>
              <w:t>-</w:t>
            </w:r>
            <w:r>
              <w:rPr>
                <w:rFonts w:hint="eastAsia" w:ascii="Times New Roman" w:hAnsi="Times New Roman" w:eastAsia="宋体" w:cs="Times New Roman"/>
                <w:color w:val="auto"/>
                <w:kern w:val="0"/>
                <w:sz w:val="24"/>
                <w:lang w:eastAsia="zh-CN"/>
              </w:rPr>
              <w:t>5%</w:t>
            </w:r>
            <w:r>
              <w:rPr>
                <w:rFonts w:ascii="Times New Roman" w:hAnsi="Times New Roman" w:eastAsia="宋体" w:cs="Times New Roman"/>
                <w:color w:val="auto"/>
                <w:kern w:val="0"/>
                <w:sz w:val="24"/>
              </w:rPr>
              <w:t>），Fe</w:t>
            </w:r>
            <w:r>
              <w:rPr>
                <w:rFonts w:ascii="Times New Roman" w:hAnsi="Times New Roman" w:eastAsia="宋体" w:cs="Times New Roman"/>
                <w:color w:val="auto"/>
                <w:kern w:val="0"/>
                <w:sz w:val="24"/>
                <w:vertAlign w:val="subscript"/>
              </w:rPr>
              <w:t>2</w:t>
            </w:r>
            <w:r>
              <w:rPr>
                <w:rFonts w:ascii="Times New Roman" w:hAnsi="Times New Roman" w:eastAsia="宋体" w:cs="Times New Roman"/>
                <w:color w:val="auto"/>
                <w:kern w:val="0"/>
                <w:sz w:val="24"/>
              </w:rPr>
              <w:t>O</w:t>
            </w:r>
            <w:r>
              <w:rPr>
                <w:rFonts w:ascii="Times New Roman" w:hAnsi="Times New Roman" w:eastAsia="宋体" w:cs="Times New Roman"/>
                <w:color w:val="auto"/>
                <w:kern w:val="0"/>
                <w:sz w:val="24"/>
                <w:vertAlign w:val="subscript"/>
              </w:rPr>
              <w:t>3</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eastAsia="zh-CN"/>
              </w:rPr>
              <w:t>3%</w:t>
            </w:r>
            <w:r>
              <w:rPr>
                <w:rFonts w:hint="eastAsia" w:cs="Times New Roman"/>
                <w:color w:val="auto"/>
                <w:kern w:val="0"/>
                <w:sz w:val="24"/>
                <w:lang w:eastAsia="zh-CN"/>
              </w:rPr>
              <w:t>-</w:t>
            </w:r>
            <w:r>
              <w:rPr>
                <w:rFonts w:hint="eastAsia" w:ascii="Times New Roman" w:hAnsi="Times New Roman" w:eastAsia="宋体" w:cs="Times New Roman"/>
                <w:color w:val="auto"/>
                <w:kern w:val="0"/>
                <w:sz w:val="24"/>
                <w:lang w:eastAsia="zh-CN"/>
              </w:rPr>
              <w:t>10%</w:t>
            </w:r>
            <w:r>
              <w:rPr>
                <w:rFonts w:ascii="Times New Roman" w:hAnsi="Times New Roman" w:eastAsia="宋体" w:cs="Times New Roman"/>
                <w:color w:val="auto"/>
                <w:kern w:val="0"/>
                <w:sz w:val="24"/>
              </w:rPr>
              <w:t>）等。由于粉煤灰经高温熔融，所以其结构非常致密。</w:t>
            </w:r>
          </w:p>
          <w:p w14:paraId="25CF587F">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3）减水剂：减水剂是一种在维持混凝土坍落度不变的条件下，能减少拌合用水量的混凝土外加剂。大多属于阴离子表面活性剂，有木质素磺酸盐、萘磺酸盐甲醛聚合物等。加入混凝土拌合物后对水泥颗粒有分散作用，能改善其工作性，减少单位用水量，改善混凝土拌合物的流动性；或减少单位水泥用量，节约水泥。外观形态为水剂，水剂含固量一般有20%，40%（又称母液）。按化学成分组成通常分为：木质素磺酸盐类减水剂类，萘系高效减水剂类，三聚氰胺系高效减水剂类，氨基磺酸盐系高效减水剂类，脂肪酸系高减水剂类，聚羧酸盐系高效减水剂类。</w:t>
            </w:r>
          </w:p>
          <w:p w14:paraId="18575DD7">
            <w:pPr>
              <w:spacing w:line="360" w:lineRule="auto"/>
              <w:rPr>
                <w:b/>
                <w:bCs/>
                <w:color w:val="auto"/>
                <w:sz w:val="24"/>
                <w:highlight w:val="yellow"/>
              </w:rPr>
            </w:pPr>
            <w:r>
              <w:rPr>
                <w:rFonts w:hint="eastAsia"/>
                <w:b/>
                <w:bCs/>
                <w:color w:val="auto"/>
                <w:sz w:val="24"/>
                <w:lang w:val="en-US" w:eastAsia="zh-CN"/>
              </w:rPr>
              <w:t>4</w:t>
            </w:r>
            <w:r>
              <w:rPr>
                <w:b/>
                <w:bCs/>
                <w:color w:val="auto"/>
                <w:sz w:val="24"/>
              </w:rPr>
              <w:t>. 本项目产品方案</w:t>
            </w:r>
          </w:p>
          <w:p w14:paraId="2CC0ADC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最终产品为商品混凝土。按《混凝土结构设计规范》（GB50010-2010及其修订）的设计规定，混凝土强度分为C15、C20、C25、C30、C35、C40、C45、C50、C55、C60、C65、C70、C75、C80等十四个等级。本项目常规生产的混凝土等级主要有C20、C25、C30</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C35</w:t>
            </w:r>
            <w:r>
              <w:rPr>
                <w:rFonts w:hint="eastAsia" w:cs="Times New Roman"/>
                <w:color w:val="auto"/>
                <w:kern w:val="0"/>
                <w:sz w:val="24"/>
                <w:lang w:eastAsia="zh-CN"/>
              </w:rPr>
              <w:t>、</w:t>
            </w:r>
            <w:r>
              <w:rPr>
                <w:rFonts w:ascii="Times New Roman" w:hAnsi="Times New Roman" w:eastAsia="宋体" w:cs="Times New Roman"/>
                <w:color w:val="auto"/>
                <w:kern w:val="0"/>
                <w:sz w:val="24"/>
              </w:rPr>
              <w:t>C40、C45</w:t>
            </w:r>
            <w:r>
              <w:rPr>
                <w:rFonts w:hint="eastAsia" w:cs="Times New Roman"/>
                <w:color w:val="auto"/>
                <w:kern w:val="0"/>
                <w:sz w:val="24"/>
                <w:lang w:val="en-US" w:eastAsia="zh-CN"/>
              </w:rPr>
              <w:t>共6</w:t>
            </w:r>
            <w:r>
              <w:rPr>
                <w:rFonts w:ascii="Times New Roman" w:hAnsi="Times New Roman" w:eastAsia="宋体" w:cs="Times New Roman"/>
                <w:color w:val="auto"/>
                <w:kern w:val="0"/>
                <w:sz w:val="24"/>
              </w:rPr>
              <w:t>种，产品方案见表2-4。</w:t>
            </w:r>
          </w:p>
          <w:p w14:paraId="711A045C">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表2-4    本项目产品方案一览表</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710"/>
              <w:gridCol w:w="1719"/>
              <w:gridCol w:w="2530"/>
            </w:tblGrid>
            <w:tr w14:paraId="3BF718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8" w:type="pct"/>
                  <w:tcBorders>
                    <w:bottom w:val="single" w:color="auto" w:sz="12" w:space="0"/>
                  </w:tcBorders>
                  <w:vAlign w:val="center"/>
                </w:tcPr>
                <w:p w14:paraId="1A649AC7">
                  <w:pPr>
                    <w:pStyle w:val="8"/>
                    <w:spacing w:before="0" w:after="0" w:line="240" w:lineRule="auto"/>
                    <w:ind w:right="0"/>
                    <w:jc w:val="center"/>
                    <w:rPr>
                      <w:b/>
                      <w:bCs/>
                      <w:color w:val="auto"/>
                      <w:kern w:val="2"/>
                      <w:sz w:val="21"/>
                      <w:szCs w:val="21"/>
                    </w:rPr>
                  </w:pPr>
                  <w:r>
                    <w:rPr>
                      <w:b/>
                      <w:bCs/>
                      <w:color w:val="auto"/>
                      <w:kern w:val="2"/>
                      <w:sz w:val="21"/>
                      <w:szCs w:val="21"/>
                    </w:rPr>
                    <w:t>产品名称</w:t>
                  </w:r>
                </w:p>
              </w:tc>
              <w:tc>
                <w:tcPr>
                  <w:tcW w:w="1076" w:type="pct"/>
                  <w:tcBorders>
                    <w:bottom w:val="single" w:color="auto" w:sz="12" w:space="0"/>
                  </w:tcBorders>
                  <w:vAlign w:val="center"/>
                </w:tcPr>
                <w:p w14:paraId="00C70BE7">
                  <w:pPr>
                    <w:pStyle w:val="8"/>
                    <w:spacing w:before="0" w:after="0" w:line="240" w:lineRule="auto"/>
                    <w:ind w:right="0"/>
                    <w:jc w:val="center"/>
                    <w:rPr>
                      <w:b/>
                      <w:bCs/>
                      <w:color w:val="auto"/>
                      <w:kern w:val="2"/>
                      <w:sz w:val="21"/>
                      <w:szCs w:val="21"/>
                    </w:rPr>
                  </w:pPr>
                  <w:r>
                    <w:rPr>
                      <w:b/>
                      <w:bCs/>
                      <w:color w:val="auto"/>
                      <w:kern w:val="2"/>
                      <w:sz w:val="21"/>
                      <w:szCs w:val="21"/>
                    </w:rPr>
                    <w:t>数量</w:t>
                  </w:r>
                </w:p>
              </w:tc>
              <w:tc>
                <w:tcPr>
                  <w:tcW w:w="1082" w:type="pct"/>
                  <w:tcBorders>
                    <w:bottom w:val="single" w:color="auto" w:sz="12" w:space="0"/>
                  </w:tcBorders>
                  <w:vAlign w:val="center"/>
                </w:tcPr>
                <w:p w14:paraId="081EC843">
                  <w:pPr>
                    <w:pStyle w:val="8"/>
                    <w:spacing w:before="0" w:after="0" w:line="240" w:lineRule="auto"/>
                    <w:ind w:right="0"/>
                    <w:jc w:val="center"/>
                    <w:rPr>
                      <w:b/>
                      <w:bCs/>
                      <w:color w:val="auto"/>
                      <w:kern w:val="2"/>
                      <w:sz w:val="21"/>
                      <w:szCs w:val="21"/>
                    </w:rPr>
                  </w:pPr>
                  <w:r>
                    <w:rPr>
                      <w:b/>
                      <w:bCs/>
                      <w:color w:val="auto"/>
                      <w:kern w:val="2"/>
                      <w:sz w:val="21"/>
                      <w:szCs w:val="21"/>
                    </w:rPr>
                    <w:t>产品规格</w:t>
                  </w:r>
                </w:p>
              </w:tc>
              <w:tc>
                <w:tcPr>
                  <w:tcW w:w="1592" w:type="pct"/>
                  <w:tcBorders>
                    <w:bottom w:val="single" w:color="auto" w:sz="12" w:space="0"/>
                  </w:tcBorders>
                  <w:vAlign w:val="center"/>
                </w:tcPr>
                <w:p w14:paraId="4D0775E6">
                  <w:pPr>
                    <w:pStyle w:val="8"/>
                    <w:spacing w:before="0" w:after="0" w:line="240" w:lineRule="auto"/>
                    <w:ind w:right="0"/>
                    <w:jc w:val="center"/>
                    <w:rPr>
                      <w:b/>
                      <w:bCs/>
                      <w:color w:val="auto"/>
                      <w:kern w:val="2"/>
                      <w:sz w:val="21"/>
                      <w:szCs w:val="21"/>
                    </w:rPr>
                  </w:pPr>
                  <w:r>
                    <w:rPr>
                      <w:b/>
                      <w:bCs/>
                      <w:color w:val="auto"/>
                      <w:kern w:val="2"/>
                      <w:sz w:val="21"/>
                      <w:szCs w:val="21"/>
                    </w:rPr>
                    <w:t>备注</w:t>
                  </w:r>
                </w:p>
              </w:tc>
            </w:tr>
            <w:tr w14:paraId="7E9E77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8" w:type="pct"/>
                  <w:tcBorders>
                    <w:top w:val="single" w:color="auto" w:sz="12" w:space="0"/>
                    <w:bottom w:val="single" w:color="auto" w:sz="12" w:space="0"/>
                  </w:tcBorders>
                  <w:vAlign w:val="center"/>
                </w:tcPr>
                <w:p w14:paraId="38CF5B35">
                  <w:pPr>
                    <w:pStyle w:val="8"/>
                    <w:spacing w:before="0" w:after="0" w:line="240" w:lineRule="auto"/>
                    <w:ind w:right="0"/>
                    <w:jc w:val="center"/>
                    <w:rPr>
                      <w:color w:val="auto"/>
                      <w:kern w:val="2"/>
                      <w:sz w:val="21"/>
                      <w:szCs w:val="21"/>
                      <w:highlight w:val="none"/>
                    </w:rPr>
                  </w:pPr>
                  <w:r>
                    <w:rPr>
                      <w:color w:val="auto"/>
                      <w:kern w:val="2"/>
                      <w:sz w:val="21"/>
                      <w:szCs w:val="21"/>
                      <w:highlight w:val="none"/>
                    </w:rPr>
                    <w:t>商品混凝土</w:t>
                  </w:r>
                </w:p>
              </w:tc>
              <w:tc>
                <w:tcPr>
                  <w:tcW w:w="1076" w:type="pct"/>
                  <w:tcBorders>
                    <w:top w:val="single" w:color="auto" w:sz="12" w:space="0"/>
                    <w:bottom w:val="single" w:color="auto" w:sz="12" w:space="0"/>
                  </w:tcBorders>
                  <w:vAlign w:val="center"/>
                </w:tcPr>
                <w:p w14:paraId="64108F0F">
                  <w:pPr>
                    <w:pStyle w:val="8"/>
                    <w:spacing w:before="0" w:after="0" w:line="240" w:lineRule="auto"/>
                    <w:ind w:right="0"/>
                    <w:jc w:val="center"/>
                    <w:rPr>
                      <w:color w:val="auto"/>
                      <w:kern w:val="2"/>
                      <w:sz w:val="21"/>
                      <w:szCs w:val="21"/>
                      <w:highlight w:val="none"/>
                    </w:rPr>
                  </w:pPr>
                  <w:r>
                    <w:rPr>
                      <w:rFonts w:hint="eastAsia"/>
                      <w:color w:val="auto"/>
                      <w:kern w:val="2"/>
                      <w:sz w:val="21"/>
                      <w:szCs w:val="21"/>
                      <w:highlight w:val="none"/>
                      <w:lang w:val="en-US" w:eastAsia="zh-CN"/>
                    </w:rPr>
                    <w:t>20</w:t>
                  </w:r>
                  <w:r>
                    <w:rPr>
                      <w:color w:val="auto"/>
                      <w:kern w:val="2"/>
                      <w:sz w:val="21"/>
                      <w:szCs w:val="21"/>
                      <w:highlight w:val="none"/>
                    </w:rPr>
                    <w:t>万m</w:t>
                  </w:r>
                  <w:r>
                    <w:rPr>
                      <w:color w:val="auto"/>
                      <w:kern w:val="2"/>
                      <w:sz w:val="21"/>
                      <w:szCs w:val="21"/>
                      <w:highlight w:val="none"/>
                      <w:vertAlign w:val="superscript"/>
                    </w:rPr>
                    <w:t>3</w:t>
                  </w:r>
                </w:p>
              </w:tc>
              <w:tc>
                <w:tcPr>
                  <w:tcW w:w="1082" w:type="pct"/>
                  <w:tcBorders>
                    <w:top w:val="single" w:color="auto" w:sz="12" w:space="0"/>
                    <w:bottom w:val="single" w:color="auto" w:sz="12" w:space="0"/>
                  </w:tcBorders>
                  <w:vAlign w:val="center"/>
                </w:tcPr>
                <w:p w14:paraId="539D49B0">
                  <w:pPr>
                    <w:pStyle w:val="8"/>
                    <w:spacing w:before="0" w:after="0" w:line="240" w:lineRule="auto"/>
                    <w:ind w:right="0"/>
                    <w:jc w:val="center"/>
                    <w:rPr>
                      <w:color w:val="auto"/>
                      <w:kern w:val="2"/>
                      <w:sz w:val="21"/>
                      <w:szCs w:val="21"/>
                      <w:highlight w:val="none"/>
                    </w:rPr>
                  </w:pPr>
                  <w:r>
                    <w:rPr>
                      <w:rFonts w:hint="eastAsia"/>
                      <w:color w:val="auto"/>
                      <w:kern w:val="2"/>
                      <w:sz w:val="21"/>
                      <w:szCs w:val="21"/>
                      <w:highlight w:val="none"/>
                    </w:rPr>
                    <w:t>C20、C25、C30、C35、C40、C45</w:t>
                  </w:r>
                </w:p>
              </w:tc>
              <w:tc>
                <w:tcPr>
                  <w:tcW w:w="1592" w:type="pct"/>
                  <w:tcBorders>
                    <w:top w:val="single" w:color="auto" w:sz="12" w:space="0"/>
                    <w:bottom w:val="single" w:color="auto" w:sz="12" w:space="0"/>
                  </w:tcBorders>
                  <w:vAlign w:val="center"/>
                </w:tcPr>
                <w:p w14:paraId="0D4221F3">
                  <w:pPr>
                    <w:pStyle w:val="8"/>
                    <w:spacing w:before="0" w:after="0" w:line="240" w:lineRule="auto"/>
                    <w:ind w:right="0"/>
                    <w:jc w:val="center"/>
                    <w:rPr>
                      <w:rFonts w:hint="default" w:eastAsia="宋体"/>
                      <w:color w:val="auto"/>
                      <w:kern w:val="2"/>
                      <w:sz w:val="21"/>
                      <w:szCs w:val="21"/>
                      <w:highlight w:val="none"/>
                      <w:lang w:val="en-US" w:eastAsia="zh-CN"/>
                    </w:rPr>
                  </w:pPr>
                  <w:r>
                    <w:rPr>
                      <w:rFonts w:hint="eastAsia"/>
                      <w:color w:val="auto"/>
                      <w:kern w:val="2"/>
                      <w:sz w:val="21"/>
                      <w:szCs w:val="21"/>
                      <w:highlight w:val="none"/>
                      <w:lang w:val="en-US" w:eastAsia="zh-CN"/>
                    </w:rPr>
                    <w:t>每</w:t>
                  </w:r>
                  <w:r>
                    <w:rPr>
                      <w:color w:val="auto"/>
                      <w:kern w:val="2"/>
                      <w:sz w:val="21"/>
                      <w:szCs w:val="21"/>
                      <w:highlight w:val="none"/>
                    </w:rPr>
                    <w:t>m</w:t>
                  </w:r>
                  <w:r>
                    <w:rPr>
                      <w:color w:val="auto"/>
                      <w:kern w:val="2"/>
                      <w:sz w:val="21"/>
                      <w:szCs w:val="21"/>
                      <w:highlight w:val="none"/>
                      <w:vertAlign w:val="superscript"/>
                    </w:rPr>
                    <w:t>3</w:t>
                  </w:r>
                  <w:r>
                    <w:rPr>
                      <w:rFonts w:hint="eastAsia"/>
                      <w:color w:val="auto"/>
                      <w:kern w:val="2"/>
                      <w:sz w:val="21"/>
                      <w:szCs w:val="21"/>
                      <w:highlight w:val="none"/>
                      <w:vertAlign w:val="baseline"/>
                      <w:lang w:val="en-US" w:eastAsia="zh-CN"/>
                    </w:rPr>
                    <w:t>混凝土重约2.4t</w:t>
                  </w:r>
                </w:p>
              </w:tc>
            </w:tr>
          </w:tbl>
          <w:p w14:paraId="253979A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本项目物料平衡见表2-5。</w:t>
            </w:r>
          </w:p>
          <w:p w14:paraId="7A3DDF7C">
            <w:pPr>
              <w:pStyle w:val="8"/>
              <w:adjustRightInd w:val="0"/>
              <w:spacing w:before="0" w:after="0" w:line="240" w:lineRule="auto"/>
              <w:ind w:right="0"/>
              <w:jc w:val="center"/>
              <w:rPr>
                <w:b/>
                <w:bCs/>
                <w:color w:val="auto"/>
                <w:sz w:val="21"/>
                <w:szCs w:val="21"/>
                <w:highlight w:val="none"/>
              </w:rPr>
            </w:pPr>
            <w:r>
              <w:rPr>
                <w:b/>
                <w:bCs/>
                <w:color w:val="auto"/>
                <w:sz w:val="21"/>
                <w:szCs w:val="21"/>
                <w:highlight w:val="none"/>
              </w:rPr>
              <w:t>表2-5    本项目物料平衡一览表</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86"/>
              <w:gridCol w:w="1587"/>
              <w:gridCol w:w="1591"/>
              <w:gridCol w:w="1587"/>
              <w:gridCol w:w="1591"/>
            </w:tblGrid>
            <w:tr w14:paraId="4C86B9C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8" w:type="pct"/>
                  <w:vMerge w:val="restart"/>
                  <w:vAlign w:val="center"/>
                </w:tcPr>
                <w:p w14:paraId="015CBFAF">
                  <w:pPr>
                    <w:pStyle w:val="40"/>
                    <w:spacing w:after="0" w:line="240" w:lineRule="auto"/>
                    <w:jc w:val="center"/>
                    <w:rPr>
                      <w:b/>
                      <w:bCs/>
                      <w:color w:val="auto"/>
                      <w:sz w:val="21"/>
                      <w:szCs w:val="21"/>
                    </w:rPr>
                  </w:pPr>
                  <w:r>
                    <w:rPr>
                      <w:b/>
                      <w:bCs/>
                      <w:color w:val="auto"/>
                      <w:sz w:val="21"/>
                      <w:szCs w:val="21"/>
                    </w:rPr>
                    <w:t>序号</w:t>
                  </w:r>
                </w:p>
              </w:tc>
              <w:tc>
                <w:tcPr>
                  <w:tcW w:w="999" w:type="pct"/>
                  <w:vAlign w:val="center"/>
                </w:tcPr>
                <w:p w14:paraId="55B48A3C">
                  <w:pPr>
                    <w:pStyle w:val="40"/>
                    <w:spacing w:after="0" w:line="240" w:lineRule="auto"/>
                    <w:jc w:val="center"/>
                    <w:rPr>
                      <w:b/>
                      <w:bCs/>
                      <w:color w:val="auto"/>
                      <w:sz w:val="21"/>
                      <w:szCs w:val="21"/>
                    </w:rPr>
                  </w:pPr>
                  <w:r>
                    <w:rPr>
                      <w:b/>
                      <w:bCs/>
                      <w:color w:val="auto"/>
                      <w:sz w:val="21"/>
                      <w:szCs w:val="21"/>
                    </w:rPr>
                    <w:t>原料名称</w:t>
                  </w:r>
                </w:p>
              </w:tc>
              <w:tc>
                <w:tcPr>
                  <w:tcW w:w="1001" w:type="pct"/>
                  <w:vAlign w:val="center"/>
                </w:tcPr>
                <w:p w14:paraId="73903CD0">
                  <w:pPr>
                    <w:pStyle w:val="40"/>
                    <w:spacing w:after="0" w:line="240" w:lineRule="auto"/>
                    <w:jc w:val="center"/>
                    <w:rPr>
                      <w:b/>
                      <w:bCs/>
                      <w:color w:val="auto"/>
                      <w:sz w:val="21"/>
                      <w:szCs w:val="21"/>
                    </w:rPr>
                  </w:pPr>
                  <w:r>
                    <w:rPr>
                      <w:b/>
                      <w:bCs/>
                      <w:color w:val="auto"/>
                      <w:sz w:val="21"/>
                      <w:szCs w:val="21"/>
                    </w:rPr>
                    <w:t>数量t/a</w:t>
                  </w:r>
                </w:p>
              </w:tc>
              <w:tc>
                <w:tcPr>
                  <w:tcW w:w="999" w:type="pct"/>
                  <w:vAlign w:val="center"/>
                </w:tcPr>
                <w:p w14:paraId="720913A7">
                  <w:pPr>
                    <w:pStyle w:val="40"/>
                    <w:spacing w:after="0" w:line="240" w:lineRule="auto"/>
                    <w:jc w:val="center"/>
                    <w:rPr>
                      <w:b/>
                      <w:bCs/>
                      <w:color w:val="auto"/>
                      <w:sz w:val="21"/>
                      <w:szCs w:val="21"/>
                    </w:rPr>
                  </w:pPr>
                  <w:r>
                    <w:rPr>
                      <w:b/>
                      <w:bCs/>
                      <w:color w:val="auto"/>
                      <w:sz w:val="21"/>
                      <w:szCs w:val="21"/>
                    </w:rPr>
                    <w:t>成品名称</w:t>
                  </w:r>
                </w:p>
              </w:tc>
              <w:tc>
                <w:tcPr>
                  <w:tcW w:w="1001" w:type="pct"/>
                  <w:vAlign w:val="center"/>
                </w:tcPr>
                <w:p w14:paraId="22A630ED">
                  <w:pPr>
                    <w:pStyle w:val="40"/>
                    <w:spacing w:after="0" w:line="240" w:lineRule="auto"/>
                    <w:jc w:val="center"/>
                    <w:rPr>
                      <w:b/>
                      <w:bCs/>
                      <w:color w:val="auto"/>
                      <w:sz w:val="21"/>
                      <w:szCs w:val="21"/>
                    </w:rPr>
                  </w:pPr>
                  <w:r>
                    <w:rPr>
                      <w:b/>
                      <w:bCs/>
                      <w:color w:val="auto"/>
                      <w:sz w:val="21"/>
                      <w:szCs w:val="21"/>
                    </w:rPr>
                    <w:t>数量t/a</w:t>
                  </w:r>
                </w:p>
              </w:tc>
            </w:tr>
            <w:tr w14:paraId="048BB98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8" w:type="pct"/>
                  <w:vMerge w:val="continue"/>
                  <w:tcBorders>
                    <w:bottom w:val="single" w:color="auto" w:sz="12" w:space="0"/>
                  </w:tcBorders>
                  <w:vAlign w:val="center"/>
                </w:tcPr>
                <w:p w14:paraId="2574EA9B">
                  <w:pPr>
                    <w:pStyle w:val="40"/>
                    <w:spacing w:after="0" w:line="240" w:lineRule="auto"/>
                    <w:jc w:val="center"/>
                    <w:rPr>
                      <w:rFonts w:hint="default" w:eastAsia="宋体"/>
                      <w:b/>
                      <w:bCs/>
                      <w:color w:val="auto"/>
                      <w:sz w:val="21"/>
                      <w:szCs w:val="21"/>
                      <w:lang w:val="en-US" w:eastAsia="zh-CN"/>
                    </w:rPr>
                  </w:pPr>
                  <w:r>
                    <w:rPr>
                      <w:rFonts w:hint="eastAsia"/>
                      <w:b/>
                      <w:bCs/>
                      <w:color w:val="auto"/>
                      <w:sz w:val="21"/>
                      <w:szCs w:val="21"/>
                      <w:lang w:eastAsia="zh-CN"/>
                    </w:rPr>
                    <w:t xml:space="preserve"> </w:t>
                  </w:r>
                  <w:r>
                    <w:rPr>
                      <w:rFonts w:hint="eastAsia"/>
                      <w:b/>
                      <w:bCs/>
                      <w:color w:val="auto"/>
                      <w:sz w:val="21"/>
                      <w:szCs w:val="21"/>
                      <w:lang w:val="en-US" w:eastAsia="zh-CN"/>
                    </w:rPr>
                    <w:t xml:space="preserve">                                                                                                                                                                                                                                                                                                                                                                                                                                                                                                                                                                                                                                                                                                                                                                                                                                                                                                                                                                                                                                                                                                                                                                                                                                                                                                                                                                                                                                                                                                                                                                                                                                                                                                                                                                                                                                                                                                                                                                                                                                                                                                                                                                                                                                                                                                                                                                                                                                                                                                                                                                                                                                                                                                                                                                                                                                                                                                                                                                                                                                                                                                                                                                                                                                                                                                                                                                                                                                                                                                                                                                                                                                                                                                                                                                                                                                                                                                                                                                                                                                                                                                                                                                                                                </w:t>
                  </w:r>
                  <w:r>
                    <w:rPr>
                      <w:rFonts w:hint="eastAsia"/>
                      <w:b/>
                      <w:bCs/>
                      <w:color w:val="auto"/>
                      <w:sz w:val="21"/>
                      <w:szCs w:val="21"/>
                      <w:lang w:val="en-US" w:eastAsia="zh-CN"/>
                    </w:rPr>
                    <w:t xml:space="preserve">                                                                                                                                                                                                                                                                                                                                                                                                                                                                                                                                                                                                                                                                                                                                                                                                                                                                                                                                                                                                                                                                                                                                                                                                                                                                                                                                                                                                                                                                                                                                                                                                                                                                                                                                                                                                                                                                                                                                                                                                                                                                                                                                                                                                                                                                                                                                                                                                                                                                                                                         </w:t>
                  </w:r>
                </w:p>
              </w:tc>
              <w:tc>
                <w:tcPr>
                  <w:tcW w:w="2000" w:type="pct"/>
                  <w:gridSpan w:val="2"/>
                  <w:tcBorders>
                    <w:bottom w:val="single" w:color="auto" w:sz="12" w:space="0"/>
                  </w:tcBorders>
                  <w:vAlign w:val="center"/>
                </w:tcPr>
                <w:p w14:paraId="6206284B">
                  <w:pPr>
                    <w:pStyle w:val="40"/>
                    <w:spacing w:after="0" w:line="240" w:lineRule="auto"/>
                    <w:jc w:val="center"/>
                    <w:rPr>
                      <w:b/>
                      <w:bCs/>
                      <w:color w:val="auto"/>
                      <w:sz w:val="21"/>
                      <w:szCs w:val="21"/>
                    </w:rPr>
                  </w:pPr>
                  <w:r>
                    <w:rPr>
                      <w:b/>
                      <w:bCs/>
                      <w:color w:val="auto"/>
                      <w:sz w:val="21"/>
                      <w:szCs w:val="21"/>
                    </w:rPr>
                    <w:t>投入</w:t>
                  </w:r>
                </w:p>
              </w:tc>
              <w:tc>
                <w:tcPr>
                  <w:tcW w:w="2000" w:type="pct"/>
                  <w:gridSpan w:val="2"/>
                  <w:tcBorders>
                    <w:bottom w:val="single" w:color="auto" w:sz="12" w:space="0"/>
                  </w:tcBorders>
                  <w:vAlign w:val="center"/>
                </w:tcPr>
                <w:p w14:paraId="37F4A992">
                  <w:pPr>
                    <w:pStyle w:val="40"/>
                    <w:spacing w:after="0" w:line="240" w:lineRule="auto"/>
                    <w:jc w:val="center"/>
                    <w:rPr>
                      <w:b/>
                      <w:bCs/>
                      <w:color w:val="auto"/>
                      <w:sz w:val="21"/>
                      <w:szCs w:val="21"/>
                    </w:rPr>
                  </w:pPr>
                  <w:r>
                    <w:rPr>
                      <w:b/>
                      <w:bCs/>
                      <w:color w:val="auto"/>
                      <w:sz w:val="21"/>
                      <w:szCs w:val="21"/>
                    </w:rPr>
                    <w:t>产出</w:t>
                  </w:r>
                </w:p>
              </w:tc>
            </w:tr>
            <w:tr w14:paraId="11C5242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8" w:type="pct"/>
                  <w:tcBorders>
                    <w:top w:val="single" w:color="auto" w:sz="12" w:space="0"/>
                    <w:tl2br w:val="nil"/>
                    <w:tr2bl w:val="nil"/>
                  </w:tcBorders>
                  <w:vAlign w:val="center"/>
                </w:tcPr>
                <w:p w14:paraId="72FB3679">
                  <w:pPr>
                    <w:pStyle w:val="40"/>
                    <w:spacing w:after="0" w:line="240" w:lineRule="auto"/>
                    <w:jc w:val="center"/>
                    <w:rPr>
                      <w:color w:val="auto"/>
                      <w:sz w:val="21"/>
                      <w:szCs w:val="21"/>
                    </w:rPr>
                  </w:pPr>
                  <w:r>
                    <w:rPr>
                      <w:color w:val="auto"/>
                      <w:sz w:val="21"/>
                      <w:szCs w:val="21"/>
                    </w:rPr>
                    <w:t>1</w:t>
                  </w:r>
                </w:p>
              </w:tc>
              <w:tc>
                <w:tcPr>
                  <w:tcW w:w="999" w:type="pct"/>
                  <w:tcBorders>
                    <w:top w:val="single" w:color="auto" w:sz="12" w:space="0"/>
                    <w:tl2br w:val="nil"/>
                    <w:tr2bl w:val="nil"/>
                  </w:tcBorders>
                  <w:vAlign w:val="center"/>
                </w:tcPr>
                <w:p w14:paraId="47A8EDB6">
                  <w:pPr>
                    <w:adjustRightInd w:val="0"/>
                    <w:snapToGrid w:val="0"/>
                    <w:jc w:val="center"/>
                    <w:rPr>
                      <w:color w:val="auto"/>
                      <w:sz w:val="21"/>
                      <w:szCs w:val="21"/>
                    </w:rPr>
                  </w:pPr>
                  <w:r>
                    <w:rPr>
                      <w:color w:val="auto"/>
                      <w:sz w:val="21"/>
                      <w:szCs w:val="21"/>
                    </w:rPr>
                    <w:t>水泥</w:t>
                  </w:r>
                </w:p>
              </w:tc>
              <w:tc>
                <w:tcPr>
                  <w:tcW w:w="1001" w:type="pct"/>
                  <w:tcBorders>
                    <w:top w:val="single" w:color="auto" w:sz="12" w:space="0"/>
                    <w:tl2br w:val="nil"/>
                    <w:tr2bl w:val="nil"/>
                  </w:tcBorders>
                  <w:vAlign w:val="center"/>
                </w:tcPr>
                <w:p w14:paraId="3C7F42D6">
                  <w:pPr>
                    <w:widowControl/>
                    <w:jc w:val="center"/>
                    <w:textAlignment w:val="center"/>
                    <w:rPr>
                      <w:color w:val="auto"/>
                      <w:sz w:val="21"/>
                      <w:szCs w:val="21"/>
                    </w:rPr>
                  </w:pPr>
                  <w:r>
                    <w:rPr>
                      <w:color w:val="auto"/>
                      <w:kern w:val="0"/>
                      <w:sz w:val="21"/>
                      <w:szCs w:val="21"/>
                      <w:lang w:bidi="ar"/>
                    </w:rPr>
                    <w:t>65200</w:t>
                  </w:r>
                </w:p>
              </w:tc>
              <w:tc>
                <w:tcPr>
                  <w:tcW w:w="999" w:type="pct"/>
                  <w:tcBorders>
                    <w:top w:val="single" w:color="auto" w:sz="12" w:space="0"/>
                    <w:tl2br w:val="nil"/>
                    <w:tr2bl w:val="nil"/>
                  </w:tcBorders>
                  <w:vAlign w:val="center"/>
                </w:tcPr>
                <w:p w14:paraId="128A3706">
                  <w:pPr>
                    <w:pStyle w:val="40"/>
                    <w:spacing w:after="0" w:line="240" w:lineRule="auto"/>
                    <w:jc w:val="center"/>
                    <w:rPr>
                      <w:color w:val="auto"/>
                      <w:sz w:val="21"/>
                      <w:szCs w:val="21"/>
                    </w:rPr>
                  </w:pPr>
                  <w:r>
                    <w:rPr>
                      <w:color w:val="auto"/>
                      <w:sz w:val="21"/>
                      <w:szCs w:val="21"/>
                    </w:rPr>
                    <w:t>商品混凝土</w:t>
                  </w:r>
                </w:p>
              </w:tc>
              <w:tc>
                <w:tcPr>
                  <w:tcW w:w="1001" w:type="pct"/>
                  <w:tcBorders>
                    <w:top w:val="single" w:color="auto" w:sz="12" w:space="0"/>
                    <w:tl2br w:val="nil"/>
                    <w:tr2bl w:val="nil"/>
                  </w:tcBorders>
                  <w:vAlign w:val="center"/>
                </w:tcPr>
                <w:p w14:paraId="128F5AC8">
                  <w:pPr>
                    <w:pStyle w:val="40"/>
                    <w:spacing w:after="0" w:line="240" w:lineRule="auto"/>
                    <w:jc w:val="center"/>
                    <w:rPr>
                      <w:color w:val="auto"/>
                      <w:sz w:val="21"/>
                      <w:szCs w:val="21"/>
                    </w:rPr>
                  </w:pPr>
                  <w:r>
                    <w:rPr>
                      <w:rFonts w:hint="eastAsia"/>
                      <w:color w:val="auto"/>
                      <w:sz w:val="21"/>
                      <w:szCs w:val="21"/>
                    </w:rPr>
                    <w:t>480000</w:t>
                  </w:r>
                </w:p>
              </w:tc>
            </w:tr>
            <w:tr w14:paraId="3D1C39F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8" w:type="pct"/>
                  <w:tcBorders>
                    <w:tl2br w:val="nil"/>
                    <w:tr2bl w:val="nil"/>
                  </w:tcBorders>
                  <w:vAlign w:val="center"/>
                </w:tcPr>
                <w:p w14:paraId="4E4ABD59">
                  <w:pPr>
                    <w:jc w:val="center"/>
                    <w:rPr>
                      <w:color w:val="auto"/>
                      <w:sz w:val="21"/>
                      <w:szCs w:val="21"/>
                    </w:rPr>
                  </w:pPr>
                  <w:r>
                    <w:rPr>
                      <w:color w:val="auto"/>
                      <w:sz w:val="21"/>
                      <w:szCs w:val="21"/>
                    </w:rPr>
                    <w:t>2</w:t>
                  </w:r>
                </w:p>
              </w:tc>
              <w:tc>
                <w:tcPr>
                  <w:tcW w:w="999" w:type="pct"/>
                  <w:tcBorders>
                    <w:tl2br w:val="nil"/>
                    <w:tr2bl w:val="nil"/>
                  </w:tcBorders>
                  <w:vAlign w:val="center"/>
                </w:tcPr>
                <w:p w14:paraId="2B5D02B2">
                  <w:pPr>
                    <w:adjustRightInd w:val="0"/>
                    <w:snapToGrid w:val="0"/>
                    <w:jc w:val="center"/>
                    <w:rPr>
                      <w:color w:val="auto"/>
                      <w:sz w:val="21"/>
                      <w:szCs w:val="21"/>
                    </w:rPr>
                  </w:pPr>
                  <w:r>
                    <w:rPr>
                      <w:color w:val="auto"/>
                      <w:sz w:val="21"/>
                      <w:szCs w:val="21"/>
                    </w:rPr>
                    <w:t>粉煤灰</w:t>
                  </w:r>
                </w:p>
              </w:tc>
              <w:tc>
                <w:tcPr>
                  <w:tcW w:w="1001" w:type="pct"/>
                  <w:tcBorders>
                    <w:tl2br w:val="nil"/>
                    <w:tr2bl w:val="nil"/>
                  </w:tcBorders>
                  <w:vAlign w:val="center"/>
                </w:tcPr>
                <w:p w14:paraId="42887ABD">
                  <w:pPr>
                    <w:widowControl/>
                    <w:jc w:val="center"/>
                    <w:textAlignment w:val="center"/>
                    <w:rPr>
                      <w:color w:val="auto"/>
                      <w:sz w:val="21"/>
                      <w:szCs w:val="21"/>
                    </w:rPr>
                  </w:pPr>
                  <w:r>
                    <w:rPr>
                      <w:color w:val="auto"/>
                      <w:kern w:val="0"/>
                      <w:sz w:val="21"/>
                      <w:szCs w:val="21"/>
                      <w:lang w:bidi="ar"/>
                    </w:rPr>
                    <w:t>3400</w:t>
                  </w:r>
                </w:p>
              </w:tc>
              <w:tc>
                <w:tcPr>
                  <w:tcW w:w="999" w:type="pct"/>
                  <w:tcBorders>
                    <w:tl2br w:val="nil"/>
                    <w:tr2bl w:val="nil"/>
                  </w:tcBorders>
                  <w:vAlign w:val="center"/>
                </w:tcPr>
                <w:p w14:paraId="67FCE250">
                  <w:pPr>
                    <w:pStyle w:val="40"/>
                    <w:spacing w:after="0" w:line="240" w:lineRule="auto"/>
                    <w:jc w:val="center"/>
                    <w:rPr>
                      <w:rFonts w:hint="eastAsia" w:eastAsia="宋体"/>
                      <w:color w:val="auto"/>
                      <w:sz w:val="21"/>
                      <w:szCs w:val="21"/>
                      <w:lang w:eastAsia="zh-CN"/>
                    </w:rPr>
                  </w:pPr>
                  <w:r>
                    <w:rPr>
                      <w:rFonts w:hint="eastAsia"/>
                      <w:color w:val="auto"/>
                      <w:sz w:val="21"/>
                      <w:szCs w:val="21"/>
                      <w:lang w:val="en-US" w:eastAsia="zh-CN"/>
                    </w:rPr>
                    <w:t>除尘设备收集的粉尘</w:t>
                  </w:r>
                </w:p>
              </w:tc>
              <w:tc>
                <w:tcPr>
                  <w:tcW w:w="1001" w:type="pct"/>
                  <w:tcBorders>
                    <w:tl2br w:val="nil"/>
                    <w:tr2bl w:val="nil"/>
                  </w:tcBorders>
                  <w:vAlign w:val="center"/>
                </w:tcPr>
                <w:p w14:paraId="17BD234D">
                  <w:pPr>
                    <w:pStyle w:val="40"/>
                    <w:spacing w:after="0" w:line="240" w:lineRule="auto"/>
                    <w:jc w:val="center"/>
                    <w:rPr>
                      <w:rFonts w:hint="default" w:eastAsia="宋体"/>
                      <w:color w:val="auto"/>
                      <w:sz w:val="21"/>
                      <w:szCs w:val="21"/>
                      <w:lang w:val="en-US" w:eastAsia="zh-CN"/>
                    </w:rPr>
                  </w:pPr>
                  <w:r>
                    <w:rPr>
                      <w:rFonts w:hint="eastAsia"/>
                      <w:color w:val="auto"/>
                      <w:sz w:val="21"/>
                      <w:szCs w:val="21"/>
                      <w:lang w:val="en-US" w:eastAsia="zh-CN"/>
                    </w:rPr>
                    <w:t>119.21</w:t>
                  </w:r>
                </w:p>
              </w:tc>
            </w:tr>
            <w:tr w14:paraId="45B8EEF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8" w:type="pct"/>
                  <w:tcBorders>
                    <w:tl2br w:val="nil"/>
                    <w:tr2bl w:val="nil"/>
                  </w:tcBorders>
                  <w:vAlign w:val="center"/>
                </w:tcPr>
                <w:p w14:paraId="371D5EB5">
                  <w:pPr>
                    <w:pStyle w:val="40"/>
                    <w:spacing w:after="0" w:line="240" w:lineRule="auto"/>
                    <w:jc w:val="center"/>
                    <w:rPr>
                      <w:color w:val="auto"/>
                      <w:sz w:val="21"/>
                      <w:szCs w:val="21"/>
                    </w:rPr>
                  </w:pPr>
                  <w:r>
                    <w:rPr>
                      <w:color w:val="auto"/>
                      <w:sz w:val="21"/>
                      <w:szCs w:val="21"/>
                    </w:rPr>
                    <w:t>3</w:t>
                  </w:r>
                </w:p>
              </w:tc>
              <w:tc>
                <w:tcPr>
                  <w:tcW w:w="999" w:type="pct"/>
                  <w:tcBorders>
                    <w:tl2br w:val="nil"/>
                    <w:tr2bl w:val="nil"/>
                  </w:tcBorders>
                  <w:vAlign w:val="center"/>
                </w:tcPr>
                <w:p w14:paraId="6725A72D">
                  <w:pPr>
                    <w:adjustRightInd w:val="0"/>
                    <w:snapToGrid w:val="0"/>
                    <w:jc w:val="center"/>
                    <w:rPr>
                      <w:color w:val="auto"/>
                      <w:sz w:val="21"/>
                      <w:szCs w:val="21"/>
                    </w:rPr>
                  </w:pPr>
                  <w:r>
                    <w:rPr>
                      <w:color w:val="auto"/>
                      <w:sz w:val="21"/>
                      <w:szCs w:val="21"/>
                    </w:rPr>
                    <w:t>砂子</w:t>
                  </w:r>
                </w:p>
              </w:tc>
              <w:tc>
                <w:tcPr>
                  <w:tcW w:w="1001" w:type="pct"/>
                  <w:tcBorders>
                    <w:tl2br w:val="nil"/>
                    <w:tr2bl w:val="nil"/>
                  </w:tcBorders>
                  <w:vAlign w:val="center"/>
                </w:tcPr>
                <w:p w14:paraId="248B7D83">
                  <w:pPr>
                    <w:widowControl/>
                    <w:jc w:val="center"/>
                    <w:textAlignment w:val="center"/>
                    <w:rPr>
                      <w:color w:val="auto"/>
                      <w:sz w:val="21"/>
                      <w:szCs w:val="21"/>
                    </w:rPr>
                  </w:pPr>
                  <w:r>
                    <w:rPr>
                      <w:color w:val="auto"/>
                      <w:kern w:val="0"/>
                      <w:sz w:val="21"/>
                      <w:szCs w:val="21"/>
                      <w:lang w:bidi="ar"/>
                    </w:rPr>
                    <w:t>124400</w:t>
                  </w:r>
                </w:p>
              </w:tc>
              <w:tc>
                <w:tcPr>
                  <w:tcW w:w="999" w:type="pct"/>
                  <w:tcBorders>
                    <w:tl2br w:val="nil"/>
                    <w:tr2bl w:val="nil"/>
                  </w:tcBorders>
                  <w:vAlign w:val="center"/>
                </w:tcPr>
                <w:p w14:paraId="2EADCED2">
                  <w:pPr>
                    <w:pStyle w:val="40"/>
                    <w:spacing w:after="0"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排放粉尘</w:t>
                  </w:r>
                </w:p>
              </w:tc>
              <w:tc>
                <w:tcPr>
                  <w:tcW w:w="1001" w:type="pct"/>
                  <w:tcBorders>
                    <w:tl2br w:val="nil"/>
                    <w:tr2bl w:val="nil"/>
                  </w:tcBorders>
                  <w:vAlign w:val="center"/>
                </w:tcPr>
                <w:p w14:paraId="07F284D8">
                  <w:pPr>
                    <w:pStyle w:val="40"/>
                    <w:spacing w:after="0"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0.36</w:t>
                  </w:r>
                </w:p>
              </w:tc>
            </w:tr>
            <w:tr w14:paraId="640BB52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998" w:type="pct"/>
                  <w:tcBorders>
                    <w:tl2br w:val="nil"/>
                    <w:tr2bl w:val="nil"/>
                  </w:tcBorders>
                  <w:vAlign w:val="center"/>
                </w:tcPr>
                <w:p w14:paraId="1CECC548">
                  <w:pPr>
                    <w:pStyle w:val="40"/>
                    <w:spacing w:after="0" w:line="240" w:lineRule="auto"/>
                    <w:jc w:val="center"/>
                    <w:rPr>
                      <w:color w:val="auto"/>
                      <w:sz w:val="21"/>
                      <w:szCs w:val="21"/>
                    </w:rPr>
                  </w:pPr>
                  <w:r>
                    <w:rPr>
                      <w:color w:val="auto"/>
                      <w:sz w:val="21"/>
                      <w:szCs w:val="21"/>
                    </w:rPr>
                    <w:t>4</w:t>
                  </w:r>
                </w:p>
              </w:tc>
              <w:tc>
                <w:tcPr>
                  <w:tcW w:w="999" w:type="pct"/>
                  <w:tcBorders>
                    <w:tl2br w:val="nil"/>
                    <w:tr2bl w:val="nil"/>
                  </w:tcBorders>
                  <w:vAlign w:val="center"/>
                </w:tcPr>
                <w:p w14:paraId="7587AE6A">
                  <w:pPr>
                    <w:adjustRightInd w:val="0"/>
                    <w:snapToGrid w:val="0"/>
                    <w:jc w:val="center"/>
                    <w:rPr>
                      <w:color w:val="auto"/>
                      <w:sz w:val="21"/>
                      <w:szCs w:val="21"/>
                    </w:rPr>
                  </w:pPr>
                  <w:r>
                    <w:rPr>
                      <w:color w:val="auto"/>
                      <w:sz w:val="21"/>
                      <w:szCs w:val="21"/>
                    </w:rPr>
                    <w:t>碎石</w:t>
                  </w:r>
                </w:p>
              </w:tc>
              <w:tc>
                <w:tcPr>
                  <w:tcW w:w="1001" w:type="pct"/>
                  <w:tcBorders>
                    <w:tl2br w:val="nil"/>
                    <w:tr2bl w:val="nil"/>
                  </w:tcBorders>
                  <w:vAlign w:val="center"/>
                </w:tcPr>
                <w:p w14:paraId="753189C1">
                  <w:pPr>
                    <w:widowControl/>
                    <w:jc w:val="center"/>
                    <w:textAlignment w:val="center"/>
                    <w:rPr>
                      <w:color w:val="auto"/>
                      <w:sz w:val="21"/>
                      <w:szCs w:val="21"/>
                    </w:rPr>
                  </w:pPr>
                  <w:r>
                    <w:rPr>
                      <w:color w:val="auto"/>
                      <w:kern w:val="0"/>
                      <w:sz w:val="21"/>
                      <w:szCs w:val="21"/>
                      <w:lang w:bidi="ar"/>
                    </w:rPr>
                    <w:t>232800</w:t>
                  </w:r>
                </w:p>
              </w:tc>
              <w:tc>
                <w:tcPr>
                  <w:tcW w:w="999" w:type="pct"/>
                  <w:tcBorders>
                    <w:tl2br w:val="nil"/>
                    <w:tr2bl w:val="nil"/>
                  </w:tcBorders>
                  <w:vAlign w:val="center"/>
                </w:tcPr>
                <w:p w14:paraId="3D51DA34">
                  <w:pPr>
                    <w:pStyle w:val="40"/>
                    <w:spacing w:after="0"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砂石料料场扬尘</w:t>
                  </w:r>
                </w:p>
              </w:tc>
              <w:tc>
                <w:tcPr>
                  <w:tcW w:w="1001" w:type="pct"/>
                  <w:tcBorders>
                    <w:tl2br w:val="nil"/>
                    <w:tr2bl w:val="nil"/>
                  </w:tcBorders>
                  <w:vAlign w:val="center"/>
                </w:tcPr>
                <w:p w14:paraId="066F8C38">
                  <w:pPr>
                    <w:pStyle w:val="40"/>
                    <w:spacing w:after="0"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1.86</w:t>
                  </w:r>
                </w:p>
              </w:tc>
            </w:tr>
            <w:tr w14:paraId="7097D98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998" w:type="pct"/>
                  <w:tcBorders>
                    <w:tl2br w:val="nil"/>
                    <w:tr2bl w:val="nil"/>
                  </w:tcBorders>
                  <w:vAlign w:val="center"/>
                </w:tcPr>
                <w:p w14:paraId="1DC83192">
                  <w:pPr>
                    <w:pStyle w:val="40"/>
                    <w:spacing w:after="0" w:line="240" w:lineRule="auto"/>
                    <w:jc w:val="center"/>
                    <w:rPr>
                      <w:color w:val="auto"/>
                      <w:sz w:val="21"/>
                      <w:szCs w:val="21"/>
                    </w:rPr>
                  </w:pPr>
                  <w:r>
                    <w:rPr>
                      <w:color w:val="auto"/>
                      <w:sz w:val="21"/>
                      <w:szCs w:val="21"/>
                    </w:rPr>
                    <w:t>5</w:t>
                  </w:r>
                </w:p>
              </w:tc>
              <w:tc>
                <w:tcPr>
                  <w:tcW w:w="999" w:type="pct"/>
                  <w:tcBorders>
                    <w:tl2br w:val="nil"/>
                    <w:tr2bl w:val="nil"/>
                  </w:tcBorders>
                  <w:vAlign w:val="center"/>
                </w:tcPr>
                <w:p w14:paraId="0F3B4F62">
                  <w:pPr>
                    <w:adjustRightInd w:val="0"/>
                    <w:snapToGrid w:val="0"/>
                    <w:jc w:val="center"/>
                    <w:rPr>
                      <w:color w:val="auto"/>
                      <w:sz w:val="21"/>
                      <w:szCs w:val="21"/>
                    </w:rPr>
                  </w:pPr>
                  <w:r>
                    <w:rPr>
                      <w:rFonts w:hint="eastAsia"/>
                      <w:color w:val="auto"/>
                      <w:sz w:val="21"/>
                      <w:szCs w:val="21"/>
                      <w:lang w:val="en-US" w:eastAsia="zh-CN"/>
                    </w:rPr>
                    <w:t>减水</w:t>
                  </w:r>
                  <w:r>
                    <w:rPr>
                      <w:color w:val="auto"/>
                      <w:sz w:val="21"/>
                      <w:szCs w:val="21"/>
                    </w:rPr>
                    <w:t>剂</w:t>
                  </w:r>
                </w:p>
              </w:tc>
              <w:tc>
                <w:tcPr>
                  <w:tcW w:w="1001" w:type="pct"/>
                  <w:tcBorders>
                    <w:tl2br w:val="nil"/>
                    <w:tr2bl w:val="nil"/>
                  </w:tcBorders>
                  <w:vAlign w:val="center"/>
                </w:tcPr>
                <w:p w14:paraId="6F0F33F1">
                  <w:pPr>
                    <w:widowControl/>
                    <w:jc w:val="center"/>
                    <w:textAlignment w:val="center"/>
                    <w:rPr>
                      <w:color w:val="auto"/>
                      <w:sz w:val="21"/>
                      <w:szCs w:val="21"/>
                    </w:rPr>
                  </w:pPr>
                  <w:r>
                    <w:rPr>
                      <w:rFonts w:hint="eastAsia"/>
                      <w:color w:val="auto"/>
                      <w:kern w:val="0"/>
                      <w:sz w:val="21"/>
                      <w:szCs w:val="21"/>
                      <w:lang w:val="en-US" w:eastAsia="zh-CN" w:bidi="ar"/>
                    </w:rPr>
                    <w:t>72</w:t>
                  </w:r>
                  <w:r>
                    <w:rPr>
                      <w:color w:val="auto"/>
                      <w:kern w:val="0"/>
                      <w:sz w:val="21"/>
                      <w:szCs w:val="21"/>
                      <w:lang w:bidi="ar"/>
                    </w:rPr>
                    <w:t>00</w:t>
                  </w:r>
                </w:p>
              </w:tc>
              <w:tc>
                <w:tcPr>
                  <w:tcW w:w="999" w:type="pct"/>
                  <w:tcBorders>
                    <w:tl2br w:val="nil"/>
                    <w:tr2bl w:val="nil"/>
                  </w:tcBorders>
                  <w:vAlign w:val="center"/>
                </w:tcPr>
                <w:p w14:paraId="223C60A9">
                  <w:pPr>
                    <w:pStyle w:val="40"/>
                    <w:spacing w:after="0" w:line="240" w:lineRule="auto"/>
                    <w:jc w:val="center"/>
                    <w:rPr>
                      <w:rFonts w:ascii="Times New Roman" w:hAnsi="Times New Roman" w:eastAsia="宋体" w:cs="Times New Roman"/>
                      <w:color w:val="auto"/>
                      <w:kern w:val="2"/>
                      <w:sz w:val="21"/>
                      <w:szCs w:val="21"/>
                      <w:lang w:val="en-US" w:eastAsia="zh-CN" w:bidi="ar-SA"/>
                    </w:rPr>
                  </w:pPr>
                  <w:r>
                    <w:rPr>
                      <w:color w:val="auto"/>
                      <w:sz w:val="21"/>
                      <w:szCs w:val="21"/>
                    </w:rPr>
                    <w:t>不合格混凝土</w:t>
                  </w:r>
                </w:p>
              </w:tc>
              <w:tc>
                <w:tcPr>
                  <w:tcW w:w="1001" w:type="pct"/>
                  <w:tcBorders>
                    <w:tl2br w:val="nil"/>
                    <w:tr2bl w:val="nil"/>
                  </w:tcBorders>
                  <w:vAlign w:val="center"/>
                </w:tcPr>
                <w:p w14:paraId="69861573">
                  <w:pPr>
                    <w:pStyle w:val="40"/>
                    <w:spacing w:after="0"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16.17</w:t>
                  </w:r>
                </w:p>
              </w:tc>
            </w:tr>
            <w:tr w14:paraId="6CEEC0E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998" w:type="pct"/>
                  <w:tcBorders>
                    <w:tl2br w:val="nil"/>
                    <w:tr2bl w:val="nil"/>
                  </w:tcBorders>
                  <w:vAlign w:val="center"/>
                </w:tcPr>
                <w:p w14:paraId="67996832">
                  <w:pPr>
                    <w:pStyle w:val="40"/>
                    <w:spacing w:after="0" w:line="240" w:lineRule="auto"/>
                    <w:jc w:val="center"/>
                    <w:rPr>
                      <w:rFonts w:hint="eastAsia" w:eastAsia="宋体"/>
                      <w:color w:val="auto"/>
                      <w:sz w:val="21"/>
                      <w:szCs w:val="21"/>
                      <w:lang w:val="en-US" w:eastAsia="zh-CN"/>
                    </w:rPr>
                  </w:pPr>
                  <w:r>
                    <w:rPr>
                      <w:rFonts w:hint="eastAsia"/>
                      <w:color w:val="auto"/>
                      <w:sz w:val="21"/>
                      <w:szCs w:val="21"/>
                      <w:lang w:val="en-US" w:eastAsia="zh-CN"/>
                    </w:rPr>
                    <w:t>6</w:t>
                  </w:r>
                </w:p>
              </w:tc>
              <w:tc>
                <w:tcPr>
                  <w:tcW w:w="999" w:type="pct"/>
                  <w:tcBorders>
                    <w:tl2br w:val="nil"/>
                    <w:tr2bl w:val="nil"/>
                  </w:tcBorders>
                  <w:vAlign w:val="center"/>
                </w:tcPr>
                <w:p w14:paraId="5B75F526">
                  <w:pPr>
                    <w:adjustRightInd w:val="0"/>
                    <w:snapToGrid w:val="0"/>
                    <w:jc w:val="center"/>
                    <w:rPr>
                      <w:rFonts w:hint="eastAsia" w:eastAsia="宋体"/>
                      <w:color w:val="auto"/>
                      <w:sz w:val="21"/>
                      <w:szCs w:val="21"/>
                      <w:lang w:val="en-US" w:eastAsia="zh-CN"/>
                    </w:rPr>
                  </w:pPr>
                  <w:r>
                    <w:rPr>
                      <w:rFonts w:hint="eastAsia"/>
                      <w:color w:val="auto"/>
                      <w:sz w:val="21"/>
                      <w:szCs w:val="21"/>
                      <w:lang w:val="en-US" w:eastAsia="zh-CN"/>
                    </w:rPr>
                    <w:t>缓凝剂</w:t>
                  </w:r>
                </w:p>
              </w:tc>
              <w:tc>
                <w:tcPr>
                  <w:tcW w:w="1001" w:type="pct"/>
                  <w:tcBorders>
                    <w:tl2br w:val="nil"/>
                    <w:tr2bl w:val="nil"/>
                  </w:tcBorders>
                  <w:vAlign w:val="center"/>
                </w:tcPr>
                <w:p w14:paraId="13397B4D">
                  <w:pPr>
                    <w:widowControl/>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7200</w:t>
                  </w:r>
                </w:p>
              </w:tc>
              <w:tc>
                <w:tcPr>
                  <w:tcW w:w="999" w:type="pct"/>
                  <w:tcBorders>
                    <w:tl2br w:val="nil"/>
                    <w:tr2bl w:val="nil"/>
                  </w:tcBorders>
                  <w:vAlign w:val="center"/>
                </w:tcPr>
                <w:p w14:paraId="05B26C91">
                  <w:pPr>
                    <w:pStyle w:val="40"/>
                    <w:spacing w:after="0" w:line="240" w:lineRule="auto"/>
                    <w:jc w:val="center"/>
                    <w:rPr>
                      <w:rFonts w:ascii="Times New Roman" w:hAnsi="Times New Roman" w:eastAsia="宋体" w:cs="Times New Roman"/>
                      <w:color w:val="auto"/>
                      <w:kern w:val="2"/>
                      <w:sz w:val="21"/>
                      <w:szCs w:val="21"/>
                      <w:lang w:val="en-US" w:eastAsia="zh-CN" w:bidi="ar-SA"/>
                    </w:rPr>
                  </w:pPr>
                  <w:r>
                    <w:rPr>
                      <w:color w:val="auto"/>
                      <w:sz w:val="21"/>
                      <w:szCs w:val="21"/>
                    </w:rPr>
                    <w:t>沉淀物</w:t>
                  </w:r>
                </w:p>
              </w:tc>
              <w:tc>
                <w:tcPr>
                  <w:tcW w:w="1001" w:type="pct"/>
                  <w:tcBorders>
                    <w:tl2br w:val="nil"/>
                    <w:tr2bl w:val="nil"/>
                  </w:tcBorders>
                  <w:vAlign w:val="center"/>
                </w:tcPr>
                <w:p w14:paraId="0877642D">
                  <w:pPr>
                    <w:pStyle w:val="40"/>
                    <w:spacing w:after="0"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62.4</w:t>
                  </w:r>
                </w:p>
              </w:tc>
            </w:tr>
            <w:tr w14:paraId="4AFF2A3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8" w:type="pct"/>
                  <w:tcBorders>
                    <w:tl2br w:val="nil"/>
                    <w:tr2bl w:val="nil"/>
                  </w:tcBorders>
                  <w:vAlign w:val="center"/>
                </w:tcPr>
                <w:p w14:paraId="0E7FB322">
                  <w:pPr>
                    <w:pStyle w:val="40"/>
                    <w:spacing w:after="0" w:line="240" w:lineRule="auto"/>
                    <w:jc w:val="center"/>
                    <w:rPr>
                      <w:rFonts w:hint="eastAsia" w:eastAsia="宋体"/>
                      <w:color w:val="auto"/>
                      <w:sz w:val="21"/>
                      <w:szCs w:val="21"/>
                      <w:lang w:eastAsia="zh-CN"/>
                    </w:rPr>
                  </w:pPr>
                  <w:r>
                    <w:rPr>
                      <w:rFonts w:hint="eastAsia"/>
                      <w:color w:val="auto"/>
                      <w:sz w:val="21"/>
                      <w:szCs w:val="21"/>
                      <w:lang w:val="en-US" w:eastAsia="zh-CN"/>
                    </w:rPr>
                    <w:t>7</w:t>
                  </w:r>
                </w:p>
              </w:tc>
              <w:tc>
                <w:tcPr>
                  <w:tcW w:w="999" w:type="pct"/>
                  <w:tcBorders>
                    <w:tl2br w:val="nil"/>
                    <w:tr2bl w:val="nil"/>
                  </w:tcBorders>
                  <w:vAlign w:val="center"/>
                </w:tcPr>
                <w:p w14:paraId="4F1C7074">
                  <w:pPr>
                    <w:pStyle w:val="61"/>
                    <w:rPr>
                      <w:color w:val="auto"/>
                      <w:sz w:val="21"/>
                      <w:szCs w:val="21"/>
                    </w:rPr>
                  </w:pPr>
                  <w:r>
                    <w:rPr>
                      <w:color w:val="auto"/>
                      <w:sz w:val="21"/>
                      <w:szCs w:val="21"/>
                    </w:rPr>
                    <w:t>水（生产）</w:t>
                  </w:r>
                </w:p>
              </w:tc>
              <w:tc>
                <w:tcPr>
                  <w:tcW w:w="1001" w:type="pct"/>
                  <w:tcBorders>
                    <w:tl2br w:val="nil"/>
                    <w:tr2bl w:val="nil"/>
                  </w:tcBorders>
                  <w:vAlign w:val="center"/>
                </w:tcPr>
                <w:p w14:paraId="378403CB">
                  <w:pPr>
                    <w:widowControl/>
                    <w:jc w:val="center"/>
                    <w:textAlignment w:val="center"/>
                    <w:rPr>
                      <w:color w:val="auto"/>
                      <w:sz w:val="21"/>
                      <w:szCs w:val="21"/>
                    </w:rPr>
                  </w:pPr>
                  <w:r>
                    <w:rPr>
                      <w:color w:val="auto"/>
                      <w:kern w:val="0"/>
                      <w:sz w:val="21"/>
                      <w:szCs w:val="21"/>
                      <w:lang w:bidi="ar"/>
                    </w:rPr>
                    <w:t>40000</w:t>
                  </w:r>
                </w:p>
              </w:tc>
              <w:tc>
                <w:tcPr>
                  <w:tcW w:w="999" w:type="pct"/>
                  <w:tcBorders>
                    <w:tl2br w:val="nil"/>
                    <w:tr2bl w:val="nil"/>
                  </w:tcBorders>
                  <w:vAlign w:val="center"/>
                </w:tcPr>
                <w:p w14:paraId="5C3948C4">
                  <w:pPr>
                    <w:pStyle w:val="40"/>
                    <w:spacing w:after="0" w:line="240" w:lineRule="auto"/>
                    <w:jc w:val="center"/>
                    <w:rPr>
                      <w:rFonts w:ascii="Times New Roman" w:hAnsi="Times New Roman" w:eastAsia="宋体" w:cs="Times New Roman"/>
                      <w:color w:val="auto"/>
                      <w:kern w:val="2"/>
                      <w:sz w:val="21"/>
                      <w:szCs w:val="21"/>
                      <w:lang w:val="en-US" w:eastAsia="zh-CN" w:bidi="ar-SA"/>
                    </w:rPr>
                  </w:pPr>
                </w:p>
              </w:tc>
              <w:tc>
                <w:tcPr>
                  <w:tcW w:w="1001" w:type="pct"/>
                  <w:tcBorders>
                    <w:tl2br w:val="nil"/>
                    <w:tr2bl w:val="nil"/>
                  </w:tcBorders>
                  <w:vAlign w:val="center"/>
                </w:tcPr>
                <w:p w14:paraId="484F32F9">
                  <w:pPr>
                    <w:pStyle w:val="40"/>
                    <w:spacing w:after="0" w:line="240" w:lineRule="auto"/>
                    <w:jc w:val="center"/>
                    <w:rPr>
                      <w:rFonts w:hint="default" w:ascii="Times New Roman" w:hAnsi="Times New Roman" w:eastAsia="宋体" w:cs="Times New Roman"/>
                      <w:color w:val="auto"/>
                      <w:kern w:val="2"/>
                      <w:sz w:val="21"/>
                      <w:szCs w:val="21"/>
                      <w:lang w:val="en-US" w:eastAsia="zh-CN" w:bidi="ar-SA"/>
                    </w:rPr>
                  </w:pPr>
                </w:p>
              </w:tc>
            </w:tr>
            <w:tr w14:paraId="4C38E6A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8" w:type="pct"/>
                  <w:tcBorders>
                    <w:tl2br w:val="nil"/>
                    <w:tr2bl w:val="nil"/>
                  </w:tcBorders>
                  <w:vAlign w:val="center"/>
                </w:tcPr>
                <w:p w14:paraId="693DC8DB">
                  <w:pPr>
                    <w:pStyle w:val="40"/>
                    <w:spacing w:after="0" w:line="240" w:lineRule="auto"/>
                    <w:jc w:val="center"/>
                    <w:rPr>
                      <w:color w:val="auto"/>
                      <w:sz w:val="21"/>
                      <w:szCs w:val="21"/>
                    </w:rPr>
                  </w:pPr>
                  <w:r>
                    <w:rPr>
                      <w:color w:val="auto"/>
                      <w:sz w:val="21"/>
                      <w:szCs w:val="21"/>
                    </w:rPr>
                    <w:t>合计</w:t>
                  </w:r>
                </w:p>
              </w:tc>
              <w:tc>
                <w:tcPr>
                  <w:tcW w:w="999" w:type="pct"/>
                  <w:tcBorders>
                    <w:tl2br w:val="nil"/>
                    <w:tr2bl w:val="nil"/>
                  </w:tcBorders>
                  <w:vAlign w:val="center"/>
                </w:tcPr>
                <w:p w14:paraId="6F0974E0">
                  <w:pPr>
                    <w:pStyle w:val="40"/>
                    <w:spacing w:after="0" w:line="240" w:lineRule="auto"/>
                    <w:jc w:val="center"/>
                    <w:rPr>
                      <w:color w:val="auto"/>
                      <w:sz w:val="21"/>
                      <w:szCs w:val="21"/>
                    </w:rPr>
                  </w:pPr>
                </w:p>
              </w:tc>
              <w:tc>
                <w:tcPr>
                  <w:tcW w:w="1001" w:type="pct"/>
                  <w:tcBorders>
                    <w:tl2br w:val="nil"/>
                    <w:tr2bl w:val="nil"/>
                  </w:tcBorders>
                  <w:vAlign w:val="center"/>
                </w:tcPr>
                <w:p w14:paraId="4DE1C9FB">
                  <w:pPr>
                    <w:widowControl/>
                    <w:jc w:val="center"/>
                    <w:textAlignment w:val="center"/>
                    <w:rPr>
                      <w:color w:val="auto"/>
                      <w:sz w:val="21"/>
                      <w:szCs w:val="21"/>
                    </w:rPr>
                  </w:pPr>
                  <w:r>
                    <w:rPr>
                      <w:color w:val="auto"/>
                      <w:kern w:val="0"/>
                      <w:sz w:val="21"/>
                      <w:szCs w:val="21"/>
                      <w:lang w:bidi="ar"/>
                    </w:rPr>
                    <w:t>480200</w:t>
                  </w:r>
                </w:p>
              </w:tc>
              <w:tc>
                <w:tcPr>
                  <w:tcW w:w="999" w:type="pct"/>
                  <w:tcBorders>
                    <w:tl2br w:val="nil"/>
                    <w:tr2bl w:val="nil"/>
                  </w:tcBorders>
                  <w:vAlign w:val="center"/>
                </w:tcPr>
                <w:p w14:paraId="61313655">
                  <w:pPr>
                    <w:pStyle w:val="40"/>
                    <w:spacing w:after="0" w:line="240" w:lineRule="auto"/>
                    <w:jc w:val="center"/>
                    <w:rPr>
                      <w:color w:val="auto"/>
                      <w:sz w:val="21"/>
                      <w:szCs w:val="21"/>
                    </w:rPr>
                  </w:pPr>
                </w:p>
              </w:tc>
              <w:tc>
                <w:tcPr>
                  <w:tcW w:w="1001" w:type="pct"/>
                  <w:tcBorders>
                    <w:tl2br w:val="nil"/>
                    <w:tr2bl w:val="nil"/>
                  </w:tcBorders>
                  <w:vAlign w:val="center"/>
                </w:tcPr>
                <w:p w14:paraId="738F5831">
                  <w:pPr>
                    <w:pStyle w:val="40"/>
                    <w:spacing w:after="0" w:line="240" w:lineRule="auto"/>
                    <w:jc w:val="center"/>
                    <w:rPr>
                      <w:color w:val="auto"/>
                      <w:sz w:val="21"/>
                      <w:szCs w:val="21"/>
                    </w:rPr>
                  </w:pPr>
                  <w:r>
                    <w:rPr>
                      <w:color w:val="auto"/>
                      <w:kern w:val="0"/>
                      <w:sz w:val="21"/>
                      <w:szCs w:val="21"/>
                      <w:lang w:bidi="ar"/>
                    </w:rPr>
                    <w:t>480200</w:t>
                  </w:r>
                </w:p>
              </w:tc>
            </w:tr>
          </w:tbl>
          <w:p w14:paraId="3E2D7637">
            <w:pPr>
              <w:numPr>
                <w:ilvl w:val="0"/>
                <w:numId w:val="0"/>
              </w:numPr>
              <w:spacing w:line="360" w:lineRule="auto"/>
              <w:ind w:left="0" w:leftChars="0" w:firstLine="0" w:firstLineChars="0"/>
              <w:rPr>
                <w:b/>
                <w:bCs/>
                <w:color w:val="auto"/>
                <w:sz w:val="24"/>
              </w:rPr>
            </w:pPr>
            <w:r>
              <w:rPr>
                <w:rFonts w:ascii="Times New Roman" w:hAnsi="Times New Roman" w:eastAsia="宋体" w:cs="Times New Roman"/>
                <w:b/>
                <w:bCs/>
                <w:color w:val="auto"/>
                <w:kern w:val="2"/>
                <w:sz w:val="24"/>
                <w:szCs w:val="24"/>
                <w:lang w:val="en-US" w:eastAsia="zh-CN" w:bidi="ar-SA"/>
              </w:rPr>
              <w:t>5.</w:t>
            </w:r>
            <w:r>
              <w:rPr>
                <w:b/>
                <w:bCs/>
                <w:color w:val="auto"/>
                <w:sz w:val="24"/>
              </w:rPr>
              <w:t>公用工程</w:t>
            </w:r>
          </w:p>
          <w:p w14:paraId="0CB11410">
            <w:pPr>
              <w:spacing w:line="360" w:lineRule="auto"/>
              <w:rPr>
                <w:b/>
                <w:bCs/>
                <w:color w:val="auto"/>
                <w:sz w:val="24"/>
              </w:rPr>
            </w:pPr>
            <w:r>
              <w:rPr>
                <w:b/>
                <w:bCs/>
                <w:color w:val="auto"/>
                <w:sz w:val="24"/>
              </w:rPr>
              <w:t>5.1给排水</w:t>
            </w:r>
          </w:p>
          <w:p w14:paraId="76E65E2F">
            <w:pPr>
              <w:spacing w:line="360" w:lineRule="auto"/>
              <w:rPr>
                <w:b/>
                <w:bCs/>
                <w:color w:val="auto"/>
                <w:sz w:val="24"/>
              </w:rPr>
            </w:pPr>
            <w:r>
              <w:rPr>
                <w:b/>
                <w:bCs/>
                <w:color w:val="auto"/>
                <w:sz w:val="24"/>
              </w:rPr>
              <w:t>5.1.1给水</w:t>
            </w:r>
          </w:p>
          <w:p w14:paraId="4AFEC84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本项目位于新疆维吾尔自治区</w:t>
            </w:r>
            <w:r>
              <w:rPr>
                <w:rFonts w:hint="eastAsia" w:ascii="Times New Roman" w:hAnsi="Times New Roman" w:eastAsia="宋体" w:cs="Times New Roman"/>
                <w:color w:val="auto"/>
                <w:kern w:val="0"/>
                <w:sz w:val="24"/>
              </w:rPr>
              <w:t>木垒县</w:t>
            </w:r>
            <w:r>
              <w:rPr>
                <w:rFonts w:hint="eastAsia" w:cs="Times New Roman"/>
                <w:color w:val="auto"/>
                <w:kern w:val="0"/>
                <w:sz w:val="24"/>
                <w:lang w:val="en-US" w:eastAsia="zh-CN"/>
              </w:rPr>
              <w:t>照壁山乡霍斯阔拉村</w:t>
            </w:r>
            <w:r>
              <w:rPr>
                <w:rFonts w:ascii="Times New Roman" w:hAnsi="Times New Roman" w:eastAsia="宋体" w:cs="Times New Roman"/>
                <w:color w:val="auto"/>
                <w:kern w:val="0"/>
                <w:sz w:val="24"/>
              </w:rPr>
              <w:t>，本项目用水主要生产用水与职工生活用水，</w:t>
            </w:r>
            <w:r>
              <w:rPr>
                <w:rFonts w:hint="eastAsia" w:cs="Times New Roman"/>
                <w:color w:val="auto"/>
                <w:kern w:val="0"/>
                <w:sz w:val="24"/>
                <w:lang w:val="en-US" w:eastAsia="zh-CN"/>
              </w:rPr>
              <w:t>项目用水由罐车拉运，</w:t>
            </w:r>
            <w:r>
              <w:rPr>
                <w:rFonts w:hint="eastAsia" w:cs="Times New Roman"/>
                <w:color w:val="auto"/>
                <w:kern w:val="0"/>
                <w:sz w:val="24"/>
                <w:vertAlign w:val="baseline"/>
                <w:lang w:val="en-US" w:eastAsia="zh-CN"/>
              </w:rPr>
              <w:t>储存于厂区内蓄水罐中</w:t>
            </w:r>
            <w:r>
              <w:rPr>
                <w:rFonts w:ascii="Times New Roman" w:hAnsi="Times New Roman" w:eastAsia="宋体" w:cs="Times New Roman"/>
                <w:color w:val="auto"/>
                <w:kern w:val="0"/>
                <w:sz w:val="24"/>
              </w:rPr>
              <w:t>。</w:t>
            </w:r>
          </w:p>
          <w:p w14:paraId="01715FF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（1）生产用水</w:t>
            </w:r>
          </w:p>
          <w:p w14:paraId="4402AAD4">
            <w:pPr>
              <w:autoSpaceDE w:val="0"/>
              <w:autoSpaceDN w:val="0"/>
              <w:adjustRightInd w:val="0"/>
              <w:snapToGrid w:val="0"/>
              <w:spacing w:line="360" w:lineRule="auto"/>
              <w:ind w:firstLine="480" w:firstLineChars="200"/>
              <w:rPr>
                <w:rFonts w:hint="eastAsia" w:cs="Times New Roman"/>
                <w:color w:val="auto"/>
                <w:kern w:val="0"/>
                <w:sz w:val="24"/>
                <w:lang w:val="en-US" w:eastAsia="zh-CN"/>
              </w:rPr>
            </w:pPr>
            <w:r>
              <w:rPr>
                <w:rFonts w:hint="eastAsia" w:cs="Times New Roman"/>
                <w:color w:val="auto"/>
                <w:kern w:val="0"/>
                <w:sz w:val="24"/>
                <w:lang w:val="en-US" w:eastAsia="zh-CN"/>
              </w:rPr>
              <w:t>1）产品用水</w:t>
            </w:r>
          </w:p>
          <w:p w14:paraId="136DE0E1">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本项目年生产能力为</w:t>
            </w:r>
            <w:r>
              <w:rPr>
                <w:rFonts w:hint="eastAsia" w:ascii="Times New Roman" w:hAnsi="Times New Roman" w:eastAsia="宋体" w:cs="Times New Roman"/>
                <w:color w:val="auto"/>
                <w:kern w:val="0"/>
                <w:sz w:val="24"/>
              </w:rPr>
              <w:t>20</w:t>
            </w:r>
            <w:r>
              <w:rPr>
                <w:rFonts w:ascii="Times New Roman" w:hAnsi="Times New Roman" w:eastAsia="宋体" w:cs="Times New Roman"/>
                <w:color w:val="auto"/>
                <w:kern w:val="0"/>
                <w:sz w:val="24"/>
              </w:rPr>
              <w:t>万m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，每立方米商品混凝土用水量按0.2m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计算，则</w:t>
            </w:r>
            <w:r>
              <w:rPr>
                <w:rFonts w:hint="eastAsia" w:cs="Times New Roman"/>
                <w:color w:val="auto"/>
                <w:kern w:val="0"/>
                <w:sz w:val="24"/>
                <w:lang w:val="en-US" w:eastAsia="zh-CN"/>
              </w:rPr>
              <w:t>产品</w:t>
            </w:r>
            <w:r>
              <w:rPr>
                <w:rFonts w:ascii="Times New Roman" w:hAnsi="Times New Roman" w:eastAsia="宋体" w:cs="Times New Roman"/>
                <w:color w:val="auto"/>
                <w:kern w:val="0"/>
                <w:sz w:val="24"/>
              </w:rPr>
              <w:t>用水量为</w:t>
            </w:r>
            <w:r>
              <w:rPr>
                <w:rFonts w:hint="eastAsia" w:ascii="Times New Roman" w:hAnsi="Times New Roman" w:eastAsia="宋体" w:cs="Times New Roman"/>
                <w:color w:val="auto"/>
                <w:kern w:val="0"/>
                <w:sz w:val="24"/>
              </w:rPr>
              <w:t>4</w:t>
            </w:r>
            <w:r>
              <w:rPr>
                <w:rFonts w:ascii="Times New Roman" w:hAnsi="Times New Roman" w:eastAsia="宋体" w:cs="Times New Roman"/>
                <w:color w:val="auto"/>
                <w:kern w:val="0"/>
                <w:sz w:val="24"/>
              </w:rPr>
              <w:t>0000m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p>
          <w:p w14:paraId="535E2A48">
            <w:pPr>
              <w:numPr>
                <w:ilvl w:val="0"/>
                <w:numId w:val="0"/>
              </w:num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szCs w:val="24"/>
                <w:lang w:val="en-US" w:eastAsia="zh-CN" w:bidi="ar-SA"/>
              </w:rPr>
              <w:t>2）</w:t>
            </w:r>
            <w:r>
              <w:rPr>
                <w:rFonts w:hint="eastAsia" w:cs="Times New Roman"/>
                <w:color w:val="auto"/>
                <w:kern w:val="0"/>
                <w:sz w:val="24"/>
                <w:lang w:val="en-US" w:eastAsia="zh-CN"/>
              </w:rPr>
              <w:t>搅拌设备清洗用水</w:t>
            </w:r>
          </w:p>
          <w:p w14:paraId="35EBA6DD">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cs="Times New Roman"/>
                <w:color w:val="auto"/>
                <w:kern w:val="0"/>
                <w:sz w:val="24"/>
                <w:lang w:val="en-US" w:eastAsia="zh-CN"/>
              </w:rPr>
              <w:t>搅拌设备在每天运行结束后进行清洗，每次清洗用水量约2</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vertAlign w:val="baseline"/>
                <w:lang w:eastAsia="zh-CN"/>
              </w:rPr>
              <w:t>，</w:t>
            </w:r>
            <w:r>
              <w:rPr>
                <w:rFonts w:hint="eastAsia" w:ascii="Times New Roman" w:hAnsi="Times New Roman" w:eastAsia="宋体" w:cs="Times New Roman"/>
                <w:color w:val="auto"/>
                <w:kern w:val="0"/>
                <w:sz w:val="24"/>
                <w:vertAlign w:val="baseline"/>
                <w:lang w:val="en-US" w:eastAsia="zh-CN"/>
              </w:rPr>
              <w:t>项目有2台搅拌设备，搅拌机清洗用水量约为4</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vertAlign w:val="baseline"/>
                <w:lang w:val="en-US" w:eastAsia="zh-CN"/>
              </w:rPr>
              <w:t>/d</w:t>
            </w:r>
            <w:r>
              <w:rPr>
                <w:rFonts w:hint="eastAsia" w:ascii="Times New Roman" w:hAnsi="Times New Roman" w:eastAsia="宋体" w:cs="Times New Roman"/>
                <w:color w:val="auto"/>
                <w:kern w:val="0"/>
                <w:sz w:val="24"/>
                <w:vertAlign w:val="baseline"/>
                <w:lang w:eastAsia="zh-CN"/>
              </w:rPr>
              <w:t>，</w:t>
            </w:r>
            <w:r>
              <w:rPr>
                <w:rFonts w:hint="eastAsia" w:ascii="Times New Roman" w:hAnsi="Times New Roman" w:eastAsia="宋体" w:cs="Times New Roman"/>
                <w:color w:val="auto"/>
                <w:kern w:val="0"/>
                <w:sz w:val="24"/>
                <w:vertAlign w:val="baseline"/>
                <w:lang w:val="en-US" w:eastAsia="zh-CN"/>
              </w:rPr>
              <w:t>搅拌设备清洗用水总量约</w:t>
            </w:r>
            <w:r>
              <w:rPr>
                <w:rFonts w:hint="eastAsia" w:cs="Times New Roman"/>
                <w:color w:val="auto"/>
                <w:kern w:val="0"/>
                <w:sz w:val="24"/>
                <w:vertAlign w:val="baseline"/>
                <w:lang w:val="en-US" w:eastAsia="zh-CN"/>
              </w:rPr>
              <w:t>960</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vertAlign w:val="baseline"/>
                <w:lang w:val="en-US" w:eastAsia="zh-CN"/>
              </w:rPr>
              <w:t>/a</w:t>
            </w:r>
            <w:r>
              <w:rPr>
                <w:rFonts w:hint="eastAsia" w:ascii="Times New Roman" w:hAnsi="Times New Roman" w:eastAsia="宋体" w:cs="Times New Roman"/>
                <w:color w:val="auto"/>
                <w:kern w:val="0"/>
                <w:sz w:val="24"/>
                <w:vertAlign w:val="baseline"/>
                <w:lang w:eastAsia="zh-CN"/>
              </w:rPr>
              <w:t>，</w:t>
            </w:r>
            <w:r>
              <w:rPr>
                <w:rFonts w:hint="eastAsia" w:ascii="Times New Roman" w:hAnsi="Times New Roman" w:eastAsia="宋体" w:cs="Times New Roman"/>
                <w:color w:val="auto"/>
                <w:kern w:val="0"/>
                <w:sz w:val="24"/>
                <w:vertAlign w:val="baseline"/>
                <w:lang w:val="en-US" w:eastAsia="zh-CN"/>
              </w:rPr>
              <w:t>其中新鲜水补水量</w:t>
            </w:r>
            <w:r>
              <w:rPr>
                <w:rFonts w:hint="eastAsia" w:cs="Times New Roman"/>
                <w:color w:val="auto"/>
                <w:kern w:val="0"/>
                <w:sz w:val="24"/>
                <w:vertAlign w:val="baseline"/>
                <w:lang w:val="en-US" w:eastAsia="zh-CN"/>
              </w:rPr>
              <w:t>192</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cs="Times New Roman"/>
                <w:color w:val="auto"/>
                <w:kern w:val="0"/>
                <w:sz w:val="24"/>
                <w:lang w:val="en-US" w:eastAsia="zh-CN"/>
              </w:rPr>
              <w:t>0.8</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循环用水量</w:t>
            </w:r>
            <w:r>
              <w:rPr>
                <w:rFonts w:hint="eastAsia" w:cs="Times New Roman"/>
                <w:color w:val="auto"/>
                <w:kern w:val="0"/>
                <w:sz w:val="24"/>
                <w:lang w:val="en-US" w:eastAsia="zh-CN"/>
              </w:rPr>
              <w:t>768m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cs="Times New Roman"/>
                <w:color w:val="auto"/>
                <w:kern w:val="0"/>
                <w:sz w:val="24"/>
                <w:lang w:val="en-US" w:eastAsia="zh-CN"/>
              </w:rPr>
              <w:t>3.2</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w:t>
            </w:r>
          </w:p>
          <w:p w14:paraId="777A87EA">
            <w:pPr>
              <w:autoSpaceDE w:val="0"/>
              <w:autoSpaceDN w:val="0"/>
              <w:adjustRightInd w:val="0"/>
              <w:snapToGrid w:val="0"/>
              <w:spacing w:line="360" w:lineRule="auto"/>
              <w:ind w:firstLine="480" w:firstLineChars="200"/>
              <w:rPr>
                <w:rFonts w:hint="default" w:cs="Times New Roman"/>
                <w:color w:val="auto"/>
                <w:kern w:val="0"/>
                <w:sz w:val="24"/>
                <w:lang w:val="en-US" w:eastAsia="zh-CN"/>
              </w:rPr>
            </w:pPr>
            <w:r>
              <w:rPr>
                <w:rFonts w:hint="eastAsia" w:cs="Times New Roman"/>
                <w:color w:val="auto"/>
                <w:kern w:val="0"/>
                <w:sz w:val="24"/>
                <w:lang w:val="en-US" w:eastAsia="zh-CN"/>
              </w:rPr>
              <w:t>3）车辆清洗用水</w:t>
            </w:r>
          </w:p>
          <w:p w14:paraId="27D38614">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rPr>
              <w:t>为防止将泥沙带到外环境中造成粉尘二次污染，本项目在搅拌站内</w:t>
            </w:r>
            <w:r>
              <w:rPr>
                <w:rFonts w:hint="eastAsia" w:cs="Times New Roman"/>
                <w:color w:val="auto"/>
                <w:kern w:val="0"/>
                <w:sz w:val="24"/>
                <w:lang w:val="en-US" w:eastAsia="zh-CN"/>
              </w:rPr>
              <w:t>出口处</w:t>
            </w:r>
            <w:r>
              <w:rPr>
                <w:rFonts w:hint="eastAsia" w:ascii="Times New Roman" w:hAnsi="Times New Roman" w:eastAsia="宋体" w:cs="Times New Roman"/>
                <w:color w:val="auto"/>
                <w:kern w:val="0"/>
                <w:sz w:val="24"/>
              </w:rPr>
              <w:t>设置洗车平台，对出站的混凝土运输罐车、水泥及粉煤灰运输罐车、砂石料运输车辆车轮、车厢外部进行冲洗，冲洗后的废水直接流入</w:t>
            </w:r>
            <w:r>
              <w:rPr>
                <w:rFonts w:hint="eastAsia" w:cs="Times New Roman"/>
                <w:color w:val="auto"/>
                <w:kern w:val="0"/>
                <w:sz w:val="24"/>
                <w:lang w:val="en-US" w:eastAsia="zh-CN"/>
              </w:rPr>
              <w:t>三级</w:t>
            </w:r>
            <w:r>
              <w:rPr>
                <w:rFonts w:hint="eastAsia" w:ascii="Times New Roman" w:hAnsi="Times New Roman" w:eastAsia="宋体" w:cs="Times New Roman"/>
                <w:color w:val="auto"/>
                <w:kern w:val="0"/>
                <w:sz w:val="24"/>
              </w:rPr>
              <w:t>沉淀池。</w:t>
            </w:r>
            <w:r>
              <w:rPr>
                <w:rFonts w:hint="eastAsia" w:ascii="Times New Roman" w:hAnsi="Times New Roman" w:eastAsia="宋体" w:cs="Times New Roman"/>
                <w:color w:val="auto"/>
                <w:kern w:val="0"/>
                <w:sz w:val="24"/>
                <w:lang w:val="en-US" w:eastAsia="zh-CN"/>
              </w:rPr>
              <w:t xml:space="preserve"> </w:t>
            </w:r>
          </w:p>
          <w:p w14:paraId="3B96EBED">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cs="Times New Roman"/>
                <w:color w:val="auto"/>
                <w:kern w:val="0"/>
                <w:sz w:val="24"/>
                <w:lang w:val="en-US" w:eastAsia="zh-CN"/>
              </w:rPr>
              <w:t>原料运输车辆、混凝土罐车每天共计清洗约24次，每次清洗用水量约1</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vertAlign w:val="baseline"/>
                <w:lang w:eastAsia="zh-CN"/>
              </w:rPr>
              <w:t>，</w:t>
            </w:r>
            <w:r>
              <w:rPr>
                <w:rFonts w:hint="eastAsia" w:cs="Times New Roman"/>
                <w:color w:val="auto"/>
                <w:kern w:val="0"/>
                <w:sz w:val="24"/>
                <w:lang w:val="en-US" w:eastAsia="zh-CN"/>
              </w:rPr>
              <w:t>原料运输车辆、混凝土罐车清洗用水量约为5760</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cs="Times New Roman"/>
                <w:color w:val="auto"/>
                <w:kern w:val="0"/>
                <w:sz w:val="24"/>
                <w:lang w:val="en-US" w:eastAsia="zh-CN"/>
              </w:rPr>
              <w:t>24</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其中</w:t>
            </w:r>
            <w:r>
              <w:rPr>
                <w:rFonts w:ascii="Times New Roman" w:hAnsi="Times New Roman" w:eastAsia="宋体" w:cs="Times New Roman"/>
                <w:color w:val="auto"/>
                <w:kern w:val="0"/>
                <w:sz w:val="24"/>
              </w:rPr>
              <w:t>新鲜水补水量</w:t>
            </w:r>
            <w:r>
              <w:rPr>
                <w:rFonts w:hint="eastAsia" w:cs="Times New Roman"/>
                <w:color w:val="auto"/>
                <w:kern w:val="0"/>
                <w:sz w:val="24"/>
                <w:lang w:val="en-US" w:eastAsia="zh-CN"/>
              </w:rPr>
              <w:t>1152</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cs="Times New Roman"/>
                <w:color w:val="auto"/>
                <w:kern w:val="0"/>
                <w:sz w:val="24"/>
                <w:lang w:val="en-US" w:eastAsia="zh-CN"/>
              </w:rPr>
              <w:t>4.8</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/d），循环用水量</w:t>
            </w:r>
            <w:r>
              <w:rPr>
                <w:rFonts w:hint="eastAsia" w:cs="Times New Roman"/>
                <w:color w:val="auto"/>
                <w:kern w:val="0"/>
                <w:sz w:val="24"/>
                <w:lang w:val="en-US" w:eastAsia="zh-CN"/>
              </w:rPr>
              <w:t>4608m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cs="Times New Roman"/>
                <w:color w:val="auto"/>
                <w:kern w:val="0"/>
                <w:sz w:val="24"/>
                <w:lang w:val="en-US" w:eastAsia="zh-CN"/>
              </w:rPr>
              <w:t>19.2</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w:t>
            </w:r>
          </w:p>
          <w:p w14:paraId="0740E121">
            <w:pPr>
              <w:autoSpaceDE w:val="0"/>
              <w:autoSpaceDN w:val="0"/>
              <w:adjustRightInd w:val="0"/>
              <w:snapToGrid w:val="0"/>
              <w:spacing w:line="360" w:lineRule="auto"/>
              <w:ind w:firstLine="480" w:firstLineChars="200"/>
              <w:rPr>
                <w:rFonts w:hint="default" w:eastAsia="宋体" w:cs="Times New Roman"/>
                <w:color w:val="auto"/>
                <w:kern w:val="0"/>
                <w:sz w:val="24"/>
                <w:lang w:val="en-US" w:eastAsia="zh-CN"/>
              </w:rPr>
            </w:pPr>
            <w:r>
              <w:rPr>
                <w:rFonts w:hint="eastAsia" w:eastAsia="宋体" w:cs="Times New Roman"/>
                <w:color w:val="auto"/>
                <w:kern w:val="0"/>
                <w:sz w:val="24"/>
                <w:lang w:val="en-US" w:eastAsia="zh-CN"/>
              </w:rPr>
              <w:t>4）地面冲洗用水</w:t>
            </w:r>
          </w:p>
          <w:p w14:paraId="7D914230">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eastAsia="zh-CN"/>
              </w:rPr>
            </w:pPr>
            <w:r>
              <w:rPr>
                <w:rFonts w:hint="eastAsia" w:eastAsia="宋体" w:cs="Times New Roman"/>
                <w:color w:val="auto"/>
                <w:kern w:val="0"/>
                <w:sz w:val="24"/>
                <w:lang w:val="en-US" w:eastAsia="zh-CN"/>
              </w:rPr>
              <w:t>厂区搅拌楼、生活区、主要运输道路的地面需进行冲洗，冲洗面积约为</w:t>
            </w:r>
            <w:r>
              <w:rPr>
                <w:rFonts w:hint="eastAsia" w:cs="Times New Roman"/>
                <w:color w:val="auto"/>
                <w:kern w:val="0"/>
                <w:sz w:val="24"/>
                <w:lang w:val="en-US" w:eastAsia="zh-CN"/>
              </w:rPr>
              <w:t>3</w:t>
            </w:r>
            <w:r>
              <w:rPr>
                <w:rFonts w:hint="eastAsia" w:eastAsia="宋体" w:cs="Times New Roman"/>
                <w:color w:val="auto"/>
                <w:kern w:val="0"/>
                <w:sz w:val="24"/>
                <w:lang w:val="en-US" w:eastAsia="zh-CN"/>
              </w:rPr>
              <w:t>000m</w:t>
            </w:r>
            <w:r>
              <w:rPr>
                <w:rFonts w:hint="eastAsia" w:eastAsia="宋体" w:cs="Times New Roman"/>
                <w:color w:val="auto"/>
                <w:kern w:val="0"/>
                <w:sz w:val="24"/>
                <w:vertAlign w:val="superscript"/>
                <w:lang w:val="en-US" w:eastAsia="zh-CN"/>
              </w:rPr>
              <w:t>2</w:t>
            </w:r>
            <w:r>
              <w:rPr>
                <w:rFonts w:hint="eastAsia" w:eastAsia="宋体" w:cs="Times New Roman"/>
                <w:color w:val="auto"/>
                <w:kern w:val="0"/>
                <w:sz w:val="24"/>
                <w:lang w:val="en-US" w:eastAsia="zh-CN"/>
              </w:rPr>
              <w:t>，每平方米清洗用水约</w:t>
            </w:r>
            <w:r>
              <w:rPr>
                <w:rFonts w:hint="eastAsia" w:eastAsia="宋体" w:cs="Times New Roman"/>
                <w:color w:val="auto"/>
                <w:kern w:val="0"/>
                <w:sz w:val="24"/>
                <w:highlight w:val="none"/>
                <w:lang w:val="en-US" w:eastAsia="zh-CN"/>
              </w:rPr>
              <w:t>0.00</w:t>
            </w:r>
            <w:r>
              <w:rPr>
                <w:rFonts w:hint="eastAsia" w:cs="Times New Roman"/>
                <w:color w:val="auto"/>
                <w:kern w:val="0"/>
                <w:sz w:val="24"/>
                <w:highlight w:val="none"/>
                <w:lang w:val="en-US" w:eastAsia="zh-CN"/>
              </w:rPr>
              <w:t>1</w:t>
            </w:r>
            <w:r>
              <w:rPr>
                <w:rFonts w:hint="eastAsia" w:eastAsia="宋体" w:cs="Times New Roman"/>
                <w:color w:val="auto"/>
                <w:kern w:val="0"/>
                <w:sz w:val="24"/>
                <w:lang w:val="en-US" w:eastAsia="zh-CN"/>
              </w:rPr>
              <w:t>m</w:t>
            </w:r>
            <w:r>
              <w:rPr>
                <w:rFonts w:hint="eastAsia" w:eastAsia="宋体" w:cs="Times New Roman"/>
                <w:color w:val="auto"/>
                <w:kern w:val="0"/>
                <w:sz w:val="24"/>
                <w:vertAlign w:val="superscript"/>
                <w:lang w:val="en-US" w:eastAsia="zh-CN"/>
              </w:rPr>
              <w:t>3</w:t>
            </w:r>
            <w:r>
              <w:rPr>
                <w:rFonts w:hint="eastAsia" w:eastAsia="宋体" w:cs="Times New Roman"/>
                <w:color w:val="auto"/>
                <w:kern w:val="0"/>
                <w:sz w:val="24"/>
                <w:lang w:val="en-US" w:eastAsia="zh-CN"/>
              </w:rPr>
              <w:t>，每次用水量约为</w:t>
            </w:r>
            <w:r>
              <w:rPr>
                <w:rFonts w:hint="eastAsia" w:cs="Times New Roman"/>
                <w:color w:val="auto"/>
                <w:kern w:val="0"/>
                <w:sz w:val="24"/>
                <w:lang w:val="en-US" w:eastAsia="zh-CN"/>
              </w:rPr>
              <w:t>3</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vertAlign w:val="baseline"/>
                <w:lang w:eastAsia="zh-CN"/>
              </w:rPr>
              <w:t>，</w:t>
            </w:r>
            <w:r>
              <w:rPr>
                <w:rFonts w:hint="eastAsia" w:eastAsia="宋体" w:cs="Times New Roman"/>
                <w:color w:val="auto"/>
                <w:kern w:val="0"/>
                <w:sz w:val="24"/>
                <w:lang w:val="en-US" w:eastAsia="zh-CN"/>
              </w:rPr>
              <w:t>每2天清洁1次，</w:t>
            </w:r>
            <w:r>
              <w:rPr>
                <w:rFonts w:hint="eastAsia" w:ascii="Times New Roman" w:hAnsi="Times New Roman" w:eastAsia="宋体" w:cs="Times New Roman"/>
                <w:color w:val="auto"/>
                <w:kern w:val="0"/>
                <w:sz w:val="24"/>
                <w:vertAlign w:val="baseline"/>
                <w:lang w:val="en-US" w:eastAsia="zh-CN"/>
              </w:rPr>
              <w:t>厂区地面清洁总用水量约为</w:t>
            </w:r>
            <w:r>
              <w:rPr>
                <w:rFonts w:hint="eastAsia" w:cs="Times New Roman"/>
                <w:color w:val="auto"/>
                <w:kern w:val="0"/>
                <w:sz w:val="24"/>
                <w:vertAlign w:val="baseline"/>
                <w:lang w:val="en-US" w:eastAsia="zh-CN"/>
              </w:rPr>
              <w:t>36</w:t>
            </w:r>
            <w:r>
              <w:rPr>
                <w:rFonts w:hint="eastAsia" w:ascii="Times New Roman" w:hAnsi="Times New Roman" w:eastAsia="宋体" w:cs="Times New Roman"/>
                <w:color w:val="auto"/>
                <w:kern w:val="0"/>
                <w:sz w:val="24"/>
                <w:vertAlign w:val="baseline"/>
                <w:lang w:val="en-US" w:eastAsia="zh-CN"/>
              </w:rPr>
              <w:t>0</w:t>
            </w:r>
            <w:r>
              <w:rPr>
                <w:rFonts w:hint="eastAsia" w:cs="Times New Roman"/>
                <w:color w:val="auto"/>
                <w:kern w:val="0"/>
                <w:sz w:val="24"/>
                <w:lang w:val="en-US" w:eastAsia="zh-CN"/>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ascii="Times New Roman" w:hAnsi="Times New Roman" w:eastAsia="宋体" w:cs="Times New Roman"/>
                <w:color w:val="auto"/>
                <w:kern w:val="0"/>
                <w:sz w:val="24"/>
                <w:lang w:eastAsia="zh-CN"/>
              </w:rPr>
              <w:t>（</w:t>
            </w:r>
            <w:r>
              <w:rPr>
                <w:rFonts w:hint="eastAsia" w:cs="Times New Roman"/>
                <w:color w:val="auto"/>
                <w:kern w:val="0"/>
                <w:sz w:val="24"/>
                <w:lang w:val="en-US" w:eastAsia="zh-CN"/>
              </w:rPr>
              <w:t>1.5</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w:t>
            </w:r>
            <w:r>
              <w:rPr>
                <w:rFonts w:hint="eastAsia" w:ascii="Times New Roman" w:hAnsi="Times New Roman" w:eastAsia="宋体" w:cs="Times New Roman"/>
                <w:color w:val="auto"/>
                <w:kern w:val="0"/>
                <w:sz w:val="24"/>
                <w:lang w:eastAsia="zh-CN"/>
              </w:rPr>
              <w:t>）。</w:t>
            </w:r>
          </w:p>
          <w:p w14:paraId="6E660268">
            <w:pPr>
              <w:pStyle w:val="26"/>
              <w:numPr>
                <w:ilvl w:val="0"/>
                <w:numId w:val="0"/>
              </w:numPr>
              <w:ind w:left="0" w:leftChars="0"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szCs w:val="20"/>
                <w:lang w:val="en-US" w:eastAsia="zh-CN" w:bidi="ar-SA"/>
              </w:rPr>
              <w:t>5）</w:t>
            </w:r>
            <w:r>
              <w:rPr>
                <w:rFonts w:hint="eastAsia" w:ascii="Times New Roman" w:hAnsi="Times New Roman" w:eastAsia="宋体" w:cs="Times New Roman"/>
                <w:color w:val="auto"/>
                <w:kern w:val="0"/>
                <w:sz w:val="24"/>
                <w:lang w:val="en-US" w:eastAsia="zh-CN"/>
              </w:rPr>
              <w:t>料场降尘用水</w:t>
            </w:r>
          </w:p>
          <w:p w14:paraId="13DA5434">
            <w:pPr>
              <w:numPr>
                <w:ilvl w:val="0"/>
                <w:numId w:val="0"/>
              </w:numPr>
              <w:spacing w:line="360" w:lineRule="auto"/>
              <w:ind w:firstLine="480" w:firstLineChars="200"/>
              <w:rPr>
                <w:rFonts w:hint="eastAsia" w:ascii="Times New Roman" w:hAnsi="Times New Roman" w:eastAsia="宋体" w:cs="Times New Roman"/>
                <w:color w:val="auto"/>
                <w:kern w:val="0"/>
                <w:sz w:val="24"/>
                <w:lang w:eastAsia="zh-CN"/>
              </w:rPr>
            </w:pPr>
            <w:r>
              <w:rPr>
                <w:rFonts w:hint="eastAsia"/>
                <w:sz w:val="24"/>
                <w:szCs w:val="32"/>
                <w:lang w:val="en-US" w:eastAsia="zh-CN"/>
              </w:rPr>
              <w:t>本项目砂石料堆场设置雾炮机，抑制料场扬尘，砂石料料场每天洒水降尘3次，每次洒水持续1小时，每次用水量约2m</w:t>
            </w:r>
            <w:r>
              <w:rPr>
                <w:rFonts w:hint="eastAsia"/>
                <w:sz w:val="24"/>
                <w:szCs w:val="32"/>
                <w:vertAlign w:val="superscript"/>
                <w:lang w:val="en-US" w:eastAsia="zh-CN"/>
              </w:rPr>
              <w:t>3</w:t>
            </w:r>
            <w:r>
              <w:rPr>
                <w:rFonts w:hint="eastAsia"/>
                <w:sz w:val="24"/>
                <w:szCs w:val="32"/>
                <w:vertAlign w:val="baseline"/>
                <w:lang w:val="en-US" w:eastAsia="zh-CN"/>
              </w:rPr>
              <w:t>，料场降尘用水量约为1440</w:t>
            </w:r>
            <w:r>
              <w:rPr>
                <w:rFonts w:hint="eastAsia" w:cs="Times New Roman"/>
                <w:color w:val="auto"/>
                <w:kern w:val="0"/>
                <w:sz w:val="24"/>
                <w:lang w:val="en-US" w:eastAsia="zh-CN"/>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ascii="Times New Roman" w:hAnsi="Times New Roman" w:eastAsia="宋体" w:cs="Times New Roman"/>
                <w:color w:val="auto"/>
                <w:kern w:val="0"/>
                <w:sz w:val="24"/>
                <w:lang w:eastAsia="zh-CN"/>
              </w:rPr>
              <w:t>（</w:t>
            </w:r>
            <w:r>
              <w:rPr>
                <w:rFonts w:hint="eastAsia" w:cs="Times New Roman"/>
                <w:color w:val="auto"/>
                <w:kern w:val="0"/>
                <w:sz w:val="24"/>
                <w:lang w:val="en-US" w:eastAsia="zh-CN"/>
              </w:rPr>
              <w:t>6</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w:t>
            </w:r>
            <w:r>
              <w:rPr>
                <w:rFonts w:hint="eastAsia" w:ascii="Times New Roman" w:hAnsi="Times New Roman" w:eastAsia="宋体" w:cs="Times New Roman"/>
                <w:color w:val="auto"/>
                <w:kern w:val="0"/>
                <w:sz w:val="24"/>
                <w:lang w:eastAsia="zh-CN"/>
              </w:rPr>
              <w:t>）。</w:t>
            </w:r>
          </w:p>
          <w:p w14:paraId="0E84C7F5">
            <w:pPr>
              <w:pStyle w:val="26"/>
              <w:numPr>
                <w:ilvl w:val="0"/>
                <w:numId w:val="0"/>
              </w:numPr>
              <w:ind w:left="0" w:leftChars="0" w:firstLine="480" w:firstLineChars="200"/>
              <w:rPr>
                <w:rFonts w:hint="eastAsia" w:cs="Times New Roman"/>
                <w:color w:val="auto"/>
                <w:kern w:val="0"/>
                <w:sz w:val="24"/>
                <w:lang w:val="en-US" w:eastAsia="zh-CN"/>
              </w:rPr>
            </w:pPr>
            <w:r>
              <w:rPr>
                <w:rFonts w:hint="eastAsia" w:ascii="Times New Roman" w:hAnsi="Times New Roman" w:eastAsia="宋体" w:cs="Times New Roman"/>
                <w:color w:val="auto"/>
                <w:kern w:val="0"/>
                <w:sz w:val="24"/>
                <w:szCs w:val="20"/>
                <w:lang w:val="en-US" w:eastAsia="zh-CN" w:bidi="ar-SA"/>
              </w:rPr>
              <w:t>6）</w:t>
            </w:r>
            <w:r>
              <w:rPr>
                <w:rFonts w:hint="eastAsia" w:cs="Times New Roman"/>
                <w:color w:val="auto"/>
                <w:kern w:val="0"/>
                <w:sz w:val="24"/>
                <w:lang w:val="en-US" w:eastAsia="zh-CN"/>
              </w:rPr>
              <w:t>绿化用水</w:t>
            </w:r>
          </w:p>
          <w:p w14:paraId="069B148D">
            <w:pPr>
              <w:numPr>
                <w:ilvl w:val="0"/>
                <w:numId w:val="0"/>
              </w:numPr>
              <w:spacing w:line="360" w:lineRule="auto"/>
              <w:ind w:firstLine="480" w:firstLineChars="200"/>
              <w:rPr>
                <w:rFonts w:hint="eastAsia" w:eastAsia="宋体"/>
                <w:lang w:val="en-US" w:eastAsia="zh-CN"/>
              </w:rPr>
            </w:pPr>
            <w:r>
              <w:rPr>
                <w:rFonts w:hint="eastAsia"/>
                <w:sz w:val="24"/>
                <w:szCs w:val="32"/>
                <w:lang w:val="en-US" w:eastAsia="zh-CN"/>
              </w:rPr>
              <w:t>本项目绿化面积约为1000m</w:t>
            </w:r>
            <w:r>
              <w:rPr>
                <w:rFonts w:hint="eastAsia"/>
                <w:sz w:val="24"/>
                <w:szCs w:val="32"/>
                <w:vertAlign w:val="superscript"/>
                <w:lang w:val="en-US" w:eastAsia="zh-CN"/>
              </w:rPr>
              <w:t>2</w:t>
            </w:r>
            <w:r>
              <w:rPr>
                <w:rFonts w:hint="eastAsia"/>
                <w:sz w:val="24"/>
                <w:szCs w:val="32"/>
                <w:vertAlign w:val="baseline"/>
                <w:lang w:val="en-US" w:eastAsia="zh-CN"/>
              </w:rPr>
              <w:t>，根据《绿化管理用水定额》，新疆大部绿化管理用水定额通用值为4.8L·m</w:t>
            </w:r>
            <w:r>
              <w:rPr>
                <w:rFonts w:hint="eastAsia"/>
                <w:sz w:val="24"/>
                <w:szCs w:val="32"/>
                <w:vertAlign w:val="superscript"/>
                <w:lang w:val="en-US" w:eastAsia="zh-CN"/>
              </w:rPr>
              <w:t>2</w:t>
            </w:r>
            <w:r>
              <w:rPr>
                <w:rFonts w:hint="eastAsia"/>
                <w:sz w:val="24"/>
                <w:szCs w:val="32"/>
                <w:vertAlign w:val="baseline"/>
                <w:lang w:val="en-US" w:eastAsia="zh-CN"/>
              </w:rPr>
              <w:t>·d，则绿化用水量为1152</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cs="Times New Roman"/>
                <w:color w:val="auto"/>
                <w:kern w:val="0"/>
                <w:sz w:val="24"/>
                <w:lang w:eastAsia="zh-CN"/>
              </w:rPr>
              <w:t>（</w:t>
            </w:r>
            <w:r>
              <w:rPr>
                <w:rFonts w:hint="eastAsia" w:cs="Times New Roman"/>
                <w:color w:val="auto"/>
                <w:kern w:val="0"/>
                <w:sz w:val="24"/>
                <w:lang w:val="en-US" w:eastAsia="zh-CN"/>
              </w:rPr>
              <w:t>4.8</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w:t>
            </w:r>
            <w:r>
              <w:rPr>
                <w:rFonts w:hint="eastAsia" w:ascii="Times New Roman" w:hAnsi="Times New Roman" w:eastAsia="宋体" w:cs="Times New Roman"/>
                <w:color w:val="auto"/>
                <w:kern w:val="0"/>
                <w:sz w:val="24"/>
                <w:lang w:eastAsia="zh-CN"/>
              </w:rPr>
              <w:t>）</w:t>
            </w:r>
            <w:r>
              <w:rPr>
                <w:rFonts w:hint="eastAsia" w:cs="Times New Roman"/>
                <w:color w:val="auto"/>
                <w:kern w:val="0"/>
                <w:sz w:val="24"/>
                <w:lang w:eastAsia="zh-CN"/>
              </w:rPr>
              <w:t>。</w:t>
            </w:r>
          </w:p>
          <w:p w14:paraId="7A9D1DA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（2）生活用水</w:t>
            </w:r>
          </w:p>
          <w:p w14:paraId="498159DA">
            <w:pPr>
              <w:autoSpaceDE w:val="0"/>
              <w:autoSpaceDN w:val="0"/>
              <w:adjustRightInd w:val="0"/>
              <w:snapToGrid w:val="0"/>
              <w:spacing w:line="360" w:lineRule="auto"/>
              <w:ind w:firstLine="480" w:firstLineChars="200"/>
              <w:rPr>
                <w:b/>
                <w:bCs/>
                <w:color w:val="auto"/>
                <w:sz w:val="24"/>
              </w:rPr>
            </w:pPr>
            <w:r>
              <w:rPr>
                <w:rFonts w:ascii="Times New Roman" w:hAnsi="Times New Roman" w:eastAsia="宋体" w:cs="Times New Roman"/>
                <w:color w:val="auto"/>
                <w:kern w:val="0"/>
                <w:sz w:val="24"/>
              </w:rPr>
              <w:t>本项目建成后，劳动定员</w:t>
            </w:r>
            <w:r>
              <w:rPr>
                <w:rFonts w:hint="eastAsia" w:cs="Times New Roman"/>
                <w:color w:val="auto"/>
                <w:kern w:val="0"/>
                <w:sz w:val="24"/>
                <w:lang w:val="en-US" w:eastAsia="zh-CN"/>
              </w:rPr>
              <w:t>45</w:t>
            </w:r>
            <w:r>
              <w:rPr>
                <w:rFonts w:ascii="Times New Roman" w:hAnsi="Times New Roman" w:eastAsia="宋体" w:cs="Times New Roman"/>
                <w:color w:val="auto"/>
                <w:kern w:val="0"/>
                <w:sz w:val="24"/>
              </w:rPr>
              <w:t>人，</w:t>
            </w:r>
            <w:r>
              <w:rPr>
                <w:rFonts w:hint="eastAsia" w:cs="Times New Roman"/>
                <w:color w:val="auto"/>
                <w:kern w:val="0"/>
                <w:sz w:val="24"/>
                <w:lang w:val="en-US" w:eastAsia="zh-CN"/>
              </w:rPr>
              <w:t>参考《新疆维吾尔自治区生活用水定额》，</w:t>
            </w:r>
            <w:r>
              <w:rPr>
                <w:rFonts w:ascii="Times New Roman" w:hAnsi="Times New Roman" w:eastAsia="宋体" w:cs="Times New Roman"/>
                <w:color w:val="auto"/>
                <w:kern w:val="0"/>
                <w:sz w:val="24"/>
              </w:rPr>
              <w:t>每人每天的用水量按</w:t>
            </w:r>
            <w:r>
              <w:rPr>
                <w:rFonts w:hint="eastAsia" w:cs="Times New Roman"/>
                <w:color w:val="auto"/>
                <w:kern w:val="0"/>
                <w:sz w:val="24"/>
                <w:lang w:val="en-US" w:eastAsia="zh-CN"/>
              </w:rPr>
              <w:t>60</w:t>
            </w:r>
            <w:r>
              <w:rPr>
                <w:rFonts w:ascii="Times New Roman" w:hAnsi="Times New Roman" w:eastAsia="宋体" w:cs="Times New Roman"/>
                <w:color w:val="auto"/>
                <w:kern w:val="0"/>
                <w:sz w:val="24"/>
              </w:rPr>
              <w:t>L计，年工作天数</w:t>
            </w:r>
            <w:r>
              <w:rPr>
                <w:rFonts w:hint="eastAsia" w:cs="Times New Roman"/>
                <w:color w:val="auto"/>
                <w:kern w:val="0"/>
                <w:sz w:val="24"/>
                <w:highlight w:val="none"/>
                <w:lang w:val="en-US" w:eastAsia="zh-CN"/>
              </w:rPr>
              <w:t>240</w:t>
            </w:r>
            <w:r>
              <w:rPr>
                <w:rFonts w:hint="eastAsia" w:cs="Times New Roman"/>
                <w:color w:val="auto"/>
                <w:kern w:val="0"/>
                <w:sz w:val="24"/>
                <w:lang w:val="en-US" w:eastAsia="zh-CN"/>
              </w:rPr>
              <w:t>天</w:t>
            </w:r>
            <w:r>
              <w:rPr>
                <w:rFonts w:ascii="Times New Roman" w:hAnsi="Times New Roman" w:eastAsia="宋体" w:cs="Times New Roman"/>
                <w:color w:val="auto"/>
                <w:kern w:val="0"/>
                <w:sz w:val="24"/>
              </w:rPr>
              <w:t>，则生活用水量为</w:t>
            </w:r>
            <w:r>
              <w:rPr>
                <w:rFonts w:hint="eastAsia" w:cs="Times New Roman"/>
                <w:color w:val="auto"/>
                <w:kern w:val="0"/>
                <w:sz w:val="24"/>
                <w:lang w:val="en-US" w:eastAsia="zh-CN"/>
              </w:rPr>
              <w:t>648</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cs="Times New Roman"/>
                <w:color w:val="auto"/>
                <w:kern w:val="0"/>
                <w:sz w:val="24"/>
                <w:lang w:val="en-US" w:eastAsia="zh-CN"/>
              </w:rPr>
              <w:t>2.7</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w:t>
            </w:r>
          </w:p>
          <w:p w14:paraId="17F8C989">
            <w:pPr>
              <w:spacing w:line="360" w:lineRule="auto"/>
              <w:rPr>
                <w:b/>
                <w:bCs/>
                <w:color w:val="auto"/>
                <w:sz w:val="24"/>
              </w:rPr>
            </w:pPr>
            <w:r>
              <w:rPr>
                <w:b/>
                <w:bCs/>
                <w:color w:val="auto"/>
                <w:sz w:val="24"/>
              </w:rPr>
              <w:t>5.1.2排水</w:t>
            </w:r>
          </w:p>
          <w:p w14:paraId="22CCE01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本项目产生的生产废水</w:t>
            </w:r>
            <w:r>
              <w:rPr>
                <w:rFonts w:hint="eastAsia" w:cs="Times New Roman"/>
                <w:color w:val="auto"/>
                <w:kern w:val="0"/>
                <w:sz w:val="24"/>
                <w:lang w:val="en-US" w:eastAsia="zh-CN"/>
              </w:rPr>
              <w:t>主要为搅拌设备清洗废水、车辆清洗废水、地面冲洗废水、料场扬尘废水，搅拌设备清洗废水</w:t>
            </w:r>
            <w:r>
              <w:rPr>
                <w:rFonts w:ascii="Times New Roman" w:hAnsi="Times New Roman" w:eastAsia="宋体" w:cs="Times New Roman"/>
                <w:color w:val="auto"/>
                <w:kern w:val="0"/>
                <w:sz w:val="24"/>
              </w:rPr>
              <w:t>循环利用，不外排</w:t>
            </w:r>
            <w:r>
              <w:rPr>
                <w:rFonts w:hint="eastAsia" w:cs="Times New Roman"/>
                <w:color w:val="auto"/>
                <w:kern w:val="0"/>
                <w:sz w:val="24"/>
                <w:lang w:eastAsia="zh-CN"/>
              </w:rPr>
              <w:t>，</w:t>
            </w:r>
            <w:r>
              <w:rPr>
                <w:rFonts w:hint="eastAsia" w:cs="Times New Roman"/>
                <w:color w:val="auto"/>
                <w:kern w:val="0"/>
                <w:sz w:val="24"/>
                <w:lang w:val="en-US" w:eastAsia="zh-CN"/>
              </w:rPr>
              <w:t>地面冲洗废水、料场扬尘废水全部蒸腾</w:t>
            </w:r>
            <w:r>
              <w:rPr>
                <w:rFonts w:ascii="Times New Roman" w:hAnsi="Times New Roman" w:eastAsia="宋体" w:cs="Times New Roman"/>
                <w:color w:val="auto"/>
                <w:kern w:val="0"/>
                <w:sz w:val="24"/>
              </w:rPr>
              <w:t>；项目产生的生活污水经</w:t>
            </w:r>
            <w:r>
              <w:rPr>
                <w:rFonts w:hint="eastAsia" w:cs="Times New Roman"/>
                <w:color w:val="auto"/>
                <w:kern w:val="0"/>
                <w:sz w:val="24"/>
                <w:lang w:val="en-US" w:eastAsia="zh-CN"/>
              </w:rPr>
              <w:t>地埋式</w:t>
            </w:r>
            <w:r>
              <w:rPr>
                <w:rFonts w:ascii="Times New Roman" w:hAnsi="Times New Roman" w:eastAsia="宋体" w:cs="Times New Roman"/>
                <w:color w:val="auto"/>
                <w:kern w:val="0"/>
                <w:sz w:val="24"/>
              </w:rPr>
              <w:t>一体化污水处理系统处理达标后用于</w:t>
            </w:r>
            <w:r>
              <w:rPr>
                <w:rFonts w:hint="eastAsia" w:cs="Times New Roman"/>
                <w:color w:val="auto"/>
                <w:kern w:val="0"/>
                <w:sz w:val="24"/>
                <w:lang w:val="en-US" w:eastAsia="zh-CN"/>
              </w:rPr>
              <w:t>厂区绿化</w:t>
            </w:r>
            <w:r>
              <w:rPr>
                <w:rFonts w:ascii="Times New Roman" w:hAnsi="Times New Roman" w:eastAsia="宋体" w:cs="Times New Roman"/>
                <w:color w:val="auto"/>
                <w:kern w:val="0"/>
                <w:sz w:val="24"/>
              </w:rPr>
              <w:t>，本项目生活污水的排放量按</w:t>
            </w:r>
            <w:r>
              <w:rPr>
                <w:rFonts w:hint="eastAsia" w:cs="Times New Roman"/>
                <w:color w:val="auto"/>
                <w:kern w:val="0"/>
                <w:sz w:val="24"/>
                <w:lang w:val="en-US" w:eastAsia="zh-CN"/>
              </w:rPr>
              <w:t>生活</w:t>
            </w:r>
            <w:r>
              <w:rPr>
                <w:rFonts w:ascii="Times New Roman" w:hAnsi="Times New Roman" w:eastAsia="宋体" w:cs="Times New Roman"/>
                <w:color w:val="auto"/>
                <w:kern w:val="0"/>
                <w:sz w:val="24"/>
              </w:rPr>
              <w:t>用水量</w:t>
            </w:r>
            <w:r>
              <w:rPr>
                <w:rFonts w:hint="eastAsia" w:cs="Times New Roman"/>
                <w:color w:val="auto"/>
                <w:kern w:val="0"/>
                <w:sz w:val="24"/>
                <w:lang w:val="en-US" w:eastAsia="zh-CN"/>
              </w:rPr>
              <w:t>的</w:t>
            </w:r>
            <w:r>
              <w:rPr>
                <w:rFonts w:ascii="Times New Roman" w:hAnsi="Times New Roman" w:eastAsia="宋体" w:cs="Times New Roman"/>
                <w:color w:val="auto"/>
                <w:kern w:val="0"/>
                <w:sz w:val="24"/>
              </w:rPr>
              <w:t>80%计算，排水总量为</w:t>
            </w:r>
            <w:r>
              <w:rPr>
                <w:rFonts w:hint="eastAsia" w:cs="Times New Roman"/>
                <w:color w:val="auto"/>
                <w:kern w:val="0"/>
                <w:sz w:val="24"/>
                <w:lang w:val="en-US" w:eastAsia="zh-CN"/>
              </w:rPr>
              <w:t>518.4</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cs="Times New Roman"/>
                <w:color w:val="auto"/>
                <w:kern w:val="0"/>
                <w:sz w:val="24"/>
                <w:lang w:val="en-US" w:eastAsia="zh-CN"/>
              </w:rPr>
              <w:t>2.16</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w:t>
            </w:r>
          </w:p>
          <w:p w14:paraId="779F2A10">
            <w:pPr>
              <w:spacing w:line="360" w:lineRule="auto"/>
              <w:rPr>
                <w:rFonts w:ascii="Times New Roman" w:hAnsi="Times New Roman" w:eastAsia="宋体" w:cs="Times New Roman"/>
                <w:color w:val="auto"/>
                <w:kern w:val="0"/>
                <w:sz w:val="24"/>
              </w:rPr>
            </w:pPr>
            <w:r>
              <w:rPr>
                <w:b/>
                <w:bCs/>
                <w:color w:val="auto"/>
                <w:sz w:val="24"/>
              </w:rPr>
              <w:t>5.1.3本项目水平衡图</w:t>
            </w:r>
          </w:p>
          <w:p w14:paraId="7FCC0B57">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CN"/>
              </w:rPr>
              <w:drawing>
                <wp:anchor distT="0" distB="0" distL="114300" distR="114300" simplePos="0" relativeHeight="251662336" behindDoc="0" locked="0" layoutInCell="1" allowOverlap="1">
                  <wp:simplePos x="0" y="0"/>
                  <wp:positionH relativeFrom="column">
                    <wp:posOffset>33655</wp:posOffset>
                  </wp:positionH>
                  <wp:positionV relativeFrom="paragraph">
                    <wp:posOffset>203200</wp:posOffset>
                  </wp:positionV>
                  <wp:extent cx="5035550" cy="5008880"/>
                  <wp:effectExtent l="0" t="0" r="0" b="0"/>
                  <wp:wrapNone/>
                  <wp:docPr id="1" name="ECB019B1-382A-4266-B25C-5B523AA43C14-1" descr="C:/Users/86180/AppData/Local/Temp/wps.XcOKp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86180/AppData/Local/Temp/wps.XcOKpowps"/>
                          <pic:cNvPicPr>
                            <a:picLocks noChangeAspect="1"/>
                          </pic:cNvPicPr>
                        </pic:nvPicPr>
                        <pic:blipFill>
                          <a:blip r:embed="rId7"/>
                          <a:stretch>
                            <a:fillRect/>
                          </a:stretch>
                        </pic:blipFill>
                        <pic:spPr>
                          <a:xfrm>
                            <a:off x="0" y="0"/>
                            <a:ext cx="5035550" cy="5008880"/>
                          </a:xfrm>
                          <a:prstGeom prst="rect">
                            <a:avLst/>
                          </a:prstGeom>
                        </pic:spPr>
                      </pic:pic>
                    </a:graphicData>
                  </a:graphic>
                </wp:anchor>
              </w:drawing>
            </w:r>
            <w:r>
              <w:rPr>
                <w:rFonts w:ascii="Times New Roman" w:hAnsi="Times New Roman" w:eastAsia="宋体" w:cs="Times New Roman"/>
                <w:color w:val="auto"/>
                <w:kern w:val="0"/>
                <w:sz w:val="24"/>
              </w:rPr>
              <w:t>本项目水平衡图见图1。</w:t>
            </w:r>
          </w:p>
          <w:p w14:paraId="433C5E11">
            <w:pPr>
              <w:pStyle w:val="26"/>
              <w:rPr>
                <w:rFonts w:ascii="Times New Roman" w:hAnsi="Times New Roman" w:eastAsia="宋体" w:cs="Times New Roman"/>
                <w:color w:val="auto"/>
                <w:kern w:val="0"/>
                <w:sz w:val="24"/>
              </w:rPr>
            </w:pPr>
          </w:p>
          <w:p w14:paraId="0B380E31"/>
          <w:p w14:paraId="4B85DD5C">
            <w:pPr>
              <w:pStyle w:val="26"/>
              <w:rPr>
                <w:rFonts w:ascii="Times New Roman" w:hAnsi="Times New Roman" w:eastAsia="宋体" w:cs="Times New Roman"/>
                <w:color w:val="auto"/>
                <w:kern w:val="0"/>
                <w:sz w:val="24"/>
              </w:rPr>
            </w:pPr>
          </w:p>
          <w:p w14:paraId="370D0261">
            <w:pPr>
              <w:rPr>
                <w:rFonts w:ascii="Times New Roman" w:hAnsi="Times New Roman" w:eastAsia="宋体" w:cs="Times New Roman"/>
                <w:color w:val="auto"/>
                <w:kern w:val="0"/>
                <w:sz w:val="24"/>
              </w:rPr>
            </w:pPr>
          </w:p>
          <w:p w14:paraId="79227FA3">
            <w:pPr>
              <w:pStyle w:val="26"/>
            </w:pPr>
          </w:p>
          <w:p w14:paraId="4E26614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p>
          <w:p w14:paraId="636CE5D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p>
          <w:p w14:paraId="275B0DC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p>
          <w:p w14:paraId="2F292F6C">
            <w:pPr>
              <w:autoSpaceDE w:val="0"/>
              <w:autoSpaceDN w:val="0"/>
              <w:adjustRightInd w:val="0"/>
              <w:snapToGrid w:val="0"/>
              <w:spacing w:line="360" w:lineRule="auto"/>
              <w:ind w:firstLine="420" w:firstLineChars="200"/>
              <w:jc w:val="center"/>
              <w:rPr>
                <w:rFonts w:hint="eastAsia" w:ascii="Times New Roman" w:hAnsi="Times New Roman" w:eastAsia="宋体" w:cs="Times New Roman"/>
                <w:color w:val="auto"/>
                <w:kern w:val="0"/>
                <w:sz w:val="21"/>
                <w:szCs w:val="21"/>
                <w:lang w:eastAsia="zh-CN"/>
              </w:rPr>
            </w:pPr>
          </w:p>
          <w:p w14:paraId="7EA9EA4B">
            <w:pPr>
              <w:pStyle w:val="26"/>
              <w:ind w:left="0" w:leftChars="0" w:firstLine="0" w:firstLineChars="0"/>
              <w:jc w:val="center"/>
              <w:rPr>
                <w:rFonts w:hint="eastAsia"/>
                <w:color w:val="auto"/>
                <w:sz w:val="21"/>
                <w:szCs w:val="16"/>
                <w:lang w:val="en-US" w:eastAsia="zh-CN"/>
              </w:rPr>
            </w:pPr>
          </w:p>
          <w:p w14:paraId="7E360B15">
            <w:pPr>
              <w:rPr>
                <w:rFonts w:hint="eastAsia"/>
                <w:color w:val="auto"/>
                <w:sz w:val="21"/>
                <w:szCs w:val="16"/>
                <w:lang w:val="en-US" w:eastAsia="zh-CN"/>
              </w:rPr>
            </w:pPr>
          </w:p>
          <w:p w14:paraId="30879E4E">
            <w:pPr>
              <w:pStyle w:val="26"/>
              <w:rPr>
                <w:rFonts w:hint="eastAsia"/>
                <w:color w:val="auto"/>
                <w:sz w:val="21"/>
                <w:szCs w:val="16"/>
                <w:lang w:val="en-US" w:eastAsia="zh-CN"/>
              </w:rPr>
            </w:pPr>
          </w:p>
          <w:p w14:paraId="601A845C">
            <w:pPr>
              <w:rPr>
                <w:rFonts w:hint="eastAsia"/>
                <w:color w:val="auto"/>
                <w:sz w:val="21"/>
                <w:szCs w:val="16"/>
                <w:lang w:val="en-US" w:eastAsia="zh-CN"/>
              </w:rPr>
            </w:pPr>
          </w:p>
          <w:p w14:paraId="53445537">
            <w:pPr>
              <w:pStyle w:val="26"/>
              <w:rPr>
                <w:rFonts w:hint="eastAsia"/>
                <w:lang w:val="en-US" w:eastAsia="zh-CN"/>
              </w:rPr>
            </w:pPr>
          </w:p>
          <w:p w14:paraId="0E255BE5">
            <w:pPr>
              <w:rPr>
                <w:rFonts w:hint="eastAsia"/>
                <w:lang w:val="en-US" w:eastAsia="zh-CN"/>
              </w:rPr>
            </w:pPr>
          </w:p>
          <w:p w14:paraId="06A56D14">
            <w:pPr>
              <w:rPr>
                <w:rFonts w:hint="eastAsia"/>
                <w:lang w:val="en-US" w:eastAsia="zh-CN"/>
              </w:rPr>
            </w:pPr>
          </w:p>
          <w:p w14:paraId="78B9F788">
            <w:pPr>
              <w:rPr>
                <w:rFonts w:hint="eastAsia"/>
                <w:lang w:val="en-US" w:eastAsia="zh-CN"/>
              </w:rPr>
            </w:pPr>
          </w:p>
          <w:p w14:paraId="364BDDF5">
            <w:pPr>
              <w:rPr>
                <w:rFonts w:hint="eastAsia"/>
                <w:lang w:val="en-US" w:eastAsia="zh-CN"/>
              </w:rPr>
            </w:pPr>
          </w:p>
          <w:p w14:paraId="5842C751">
            <w:pPr>
              <w:rPr>
                <w:rFonts w:hint="eastAsia"/>
                <w:lang w:val="en-US" w:eastAsia="zh-CN"/>
              </w:rPr>
            </w:pPr>
          </w:p>
          <w:p w14:paraId="0B6D8D36">
            <w:pPr>
              <w:pStyle w:val="26"/>
              <w:rPr>
                <w:rFonts w:hint="eastAsia"/>
                <w:lang w:val="en-US" w:eastAsia="zh-CN"/>
              </w:rPr>
            </w:pPr>
          </w:p>
          <w:p w14:paraId="53BCFA6A">
            <w:pPr>
              <w:rPr>
                <w:rFonts w:hint="eastAsia"/>
                <w:lang w:val="en-US" w:eastAsia="zh-CN"/>
              </w:rPr>
            </w:pPr>
          </w:p>
          <w:p w14:paraId="696B7CE8">
            <w:pPr>
              <w:rPr>
                <w:rFonts w:hint="eastAsia"/>
                <w:lang w:val="en-US" w:eastAsia="zh-CN"/>
              </w:rPr>
            </w:pPr>
          </w:p>
          <w:p w14:paraId="011B8F8B">
            <w:pPr>
              <w:rPr>
                <w:rFonts w:hint="eastAsia"/>
                <w:lang w:val="en-US" w:eastAsia="zh-CN"/>
              </w:rPr>
            </w:pPr>
          </w:p>
          <w:p w14:paraId="1B3CE550">
            <w:pPr>
              <w:rPr>
                <w:rFonts w:hint="eastAsia"/>
                <w:lang w:val="en-US" w:eastAsia="zh-CN"/>
              </w:rPr>
            </w:pPr>
          </w:p>
          <w:p w14:paraId="684798AC">
            <w:pPr>
              <w:rPr>
                <w:rFonts w:hint="eastAsia"/>
                <w:lang w:val="en-US" w:eastAsia="zh-CN"/>
              </w:rPr>
            </w:pPr>
          </w:p>
          <w:p w14:paraId="63ADE780">
            <w:pPr>
              <w:pStyle w:val="26"/>
              <w:ind w:left="0" w:leftChars="0" w:firstLine="0" w:firstLineChars="0"/>
              <w:jc w:val="center"/>
              <w:rPr>
                <w:rFonts w:hint="default" w:ascii="Times New Roman" w:hAnsi="Times New Roman" w:eastAsia="宋体" w:cs="Times New Roman"/>
                <w:b/>
                <w:bCs/>
                <w:color w:val="auto"/>
                <w:sz w:val="21"/>
                <w:szCs w:val="16"/>
                <w:lang w:val="en-US" w:eastAsia="zh-CN"/>
              </w:rPr>
            </w:pPr>
            <w:r>
              <w:rPr>
                <w:rFonts w:hint="default" w:ascii="Times New Roman" w:hAnsi="Times New Roman" w:cs="Times New Roman"/>
                <w:b/>
                <w:bCs/>
                <w:color w:val="auto"/>
                <w:sz w:val="21"/>
                <w:szCs w:val="16"/>
                <w:lang w:val="en-US" w:eastAsia="zh-CN"/>
              </w:rPr>
              <w:t>图1  项目水平衡图</w:t>
            </w:r>
            <w:r>
              <w:rPr>
                <w:rFonts w:hint="eastAsia" w:cs="Times New Roman"/>
                <w:b/>
                <w:bCs/>
                <w:color w:val="auto"/>
                <w:sz w:val="21"/>
                <w:szCs w:val="16"/>
                <w:lang w:val="en-US" w:eastAsia="zh-CN"/>
              </w:rPr>
              <w:t>（单位：m</w:t>
            </w:r>
            <w:r>
              <w:rPr>
                <w:rFonts w:hint="eastAsia" w:cs="Times New Roman"/>
                <w:b/>
                <w:bCs/>
                <w:color w:val="auto"/>
                <w:sz w:val="21"/>
                <w:szCs w:val="16"/>
                <w:vertAlign w:val="superscript"/>
                <w:lang w:val="en-US" w:eastAsia="zh-CN"/>
              </w:rPr>
              <w:t>3</w:t>
            </w:r>
            <w:r>
              <w:rPr>
                <w:rFonts w:hint="eastAsia" w:cs="Times New Roman"/>
                <w:b/>
                <w:bCs/>
                <w:color w:val="auto"/>
                <w:sz w:val="21"/>
                <w:szCs w:val="16"/>
                <w:lang w:val="en-US" w:eastAsia="zh-CN"/>
              </w:rPr>
              <w:t>/a）</w:t>
            </w:r>
          </w:p>
          <w:p w14:paraId="79ADAD28">
            <w:pPr>
              <w:spacing w:line="360" w:lineRule="auto"/>
              <w:rPr>
                <w:b/>
                <w:bCs/>
                <w:color w:val="auto"/>
                <w:sz w:val="24"/>
              </w:rPr>
            </w:pPr>
            <w:r>
              <w:rPr>
                <w:b/>
                <w:bCs/>
                <w:color w:val="auto"/>
                <w:sz w:val="24"/>
              </w:rPr>
              <w:t>5.2供电</w:t>
            </w:r>
          </w:p>
          <w:p w14:paraId="2D6DF037">
            <w:pPr>
              <w:spacing w:line="360" w:lineRule="auto"/>
              <w:ind w:firstLine="480" w:firstLineChars="200"/>
              <w:rPr>
                <w:color w:val="auto"/>
                <w:sz w:val="24"/>
              </w:rPr>
            </w:pPr>
            <w:r>
              <w:rPr>
                <w:rFonts w:ascii="Times New Roman" w:hAnsi="Times New Roman" w:eastAsia="宋体" w:cs="Times New Roman"/>
                <w:color w:val="auto"/>
                <w:kern w:val="0"/>
                <w:sz w:val="24"/>
              </w:rPr>
              <w:t>项目用电由供电电网接入，能够满足项目区生产、办公、生活需求。</w:t>
            </w:r>
          </w:p>
          <w:p w14:paraId="7F60AFA7">
            <w:pPr>
              <w:spacing w:line="360" w:lineRule="auto"/>
              <w:rPr>
                <w:b/>
                <w:bCs/>
                <w:color w:val="auto"/>
                <w:sz w:val="24"/>
              </w:rPr>
            </w:pPr>
            <w:r>
              <w:rPr>
                <w:b/>
                <w:bCs/>
                <w:color w:val="auto"/>
                <w:sz w:val="24"/>
              </w:rPr>
              <w:t>5.3供热</w:t>
            </w:r>
          </w:p>
          <w:p w14:paraId="3F32D25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本项目冬季不生产，值班人员采用电采暖。</w:t>
            </w:r>
          </w:p>
          <w:p w14:paraId="6E9630EC">
            <w:pPr>
              <w:spacing w:line="360" w:lineRule="auto"/>
              <w:rPr>
                <w:b/>
                <w:bCs/>
                <w:color w:val="auto"/>
                <w:sz w:val="24"/>
              </w:rPr>
            </w:pPr>
            <w:r>
              <w:rPr>
                <w:b/>
                <w:bCs/>
                <w:color w:val="auto"/>
                <w:sz w:val="24"/>
              </w:rPr>
              <w:t>6.劳动定员及工作制度</w:t>
            </w:r>
          </w:p>
          <w:p w14:paraId="2EFCB47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本项目劳动定员</w:t>
            </w:r>
            <w:r>
              <w:rPr>
                <w:rFonts w:hint="eastAsia" w:cs="Times New Roman"/>
                <w:color w:val="auto"/>
                <w:kern w:val="0"/>
                <w:sz w:val="24"/>
                <w:lang w:val="en-US" w:eastAsia="zh-CN"/>
              </w:rPr>
              <w:t>45</w:t>
            </w:r>
            <w:r>
              <w:rPr>
                <w:rFonts w:ascii="Times New Roman" w:hAnsi="Times New Roman" w:eastAsia="宋体" w:cs="Times New Roman"/>
                <w:color w:val="auto"/>
                <w:kern w:val="0"/>
                <w:sz w:val="24"/>
              </w:rPr>
              <w:t>人，根据生产流程的要求，工作时间采用单班制（白班）工作制，每班工作时间8小时，</w:t>
            </w:r>
            <w:r>
              <w:rPr>
                <w:rFonts w:hint="eastAsia" w:cs="Times New Roman"/>
                <w:color w:val="auto"/>
                <w:kern w:val="0"/>
                <w:sz w:val="24"/>
                <w:lang w:val="en-US" w:eastAsia="zh-CN"/>
              </w:rPr>
              <w:t>每年</w:t>
            </w:r>
            <w:r>
              <w:rPr>
                <w:rFonts w:ascii="Times New Roman" w:hAnsi="Times New Roman" w:eastAsia="宋体" w:cs="Times New Roman"/>
                <w:color w:val="auto"/>
                <w:kern w:val="0"/>
                <w:sz w:val="24"/>
              </w:rPr>
              <w:t>工作时间</w:t>
            </w:r>
            <w:r>
              <w:rPr>
                <w:rFonts w:hint="eastAsia" w:cs="Times New Roman"/>
                <w:color w:val="auto"/>
                <w:kern w:val="0"/>
                <w:sz w:val="24"/>
                <w:highlight w:val="none"/>
                <w:lang w:val="en-US" w:eastAsia="zh-CN"/>
              </w:rPr>
              <w:t>240</w:t>
            </w:r>
            <w:r>
              <w:rPr>
                <w:rFonts w:ascii="Times New Roman" w:hAnsi="Times New Roman" w:eastAsia="宋体" w:cs="Times New Roman"/>
                <w:color w:val="auto"/>
                <w:kern w:val="0"/>
                <w:sz w:val="24"/>
              </w:rPr>
              <w:t>天</w:t>
            </w:r>
            <w:r>
              <w:rPr>
                <w:rFonts w:hint="eastAsia" w:cs="Times New Roman"/>
                <w:color w:val="auto"/>
                <w:kern w:val="0"/>
                <w:sz w:val="24"/>
                <w:lang w:eastAsia="zh-CN"/>
              </w:rPr>
              <w:t>，</w:t>
            </w:r>
            <w:r>
              <w:rPr>
                <w:rFonts w:hint="eastAsia" w:cs="Times New Roman"/>
                <w:color w:val="auto"/>
                <w:kern w:val="0"/>
                <w:sz w:val="24"/>
                <w:lang w:val="en-US" w:eastAsia="zh-CN"/>
              </w:rPr>
              <w:t>冬季不生产</w:t>
            </w:r>
            <w:r>
              <w:rPr>
                <w:rFonts w:ascii="Times New Roman" w:hAnsi="Times New Roman" w:eastAsia="宋体" w:cs="Times New Roman"/>
                <w:color w:val="auto"/>
                <w:kern w:val="0"/>
                <w:sz w:val="24"/>
              </w:rPr>
              <w:t>。</w:t>
            </w:r>
          </w:p>
          <w:p w14:paraId="657075FC">
            <w:pPr>
              <w:spacing w:line="360" w:lineRule="auto"/>
              <w:rPr>
                <w:b/>
                <w:bCs/>
                <w:color w:val="auto"/>
                <w:sz w:val="24"/>
              </w:rPr>
            </w:pPr>
            <w:r>
              <w:rPr>
                <w:b/>
                <w:bCs/>
                <w:color w:val="auto"/>
                <w:sz w:val="24"/>
              </w:rPr>
              <w:t>7.本项目平面布置</w:t>
            </w:r>
          </w:p>
          <w:p w14:paraId="2B5F31D5">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本项目建设地点位于新疆维吾尔自治区</w:t>
            </w:r>
            <w:r>
              <w:rPr>
                <w:color w:val="auto"/>
                <w:kern w:val="0"/>
                <w:sz w:val="24"/>
              </w:rPr>
              <w:t>木垒县</w:t>
            </w:r>
            <w:r>
              <w:rPr>
                <w:rFonts w:hint="eastAsia"/>
                <w:color w:val="auto"/>
                <w:kern w:val="0"/>
                <w:sz w:val="24"/>
                <w:lang w:eastAsia="zh-CN"/>
              </w:rPr>
              <w:t>照壁山乡霍斯阔拉村</w:t>
            </w:r>
            <w:r>
              <w:rPr>
                <w:rFonts w:ascii="Times New Roman" w:hAnsi="Times New Roman" w:eastAsia="宋体" w:cs="Times New Roman"/>
                <w:color w:val="auto"/>
                <w:kern w:val="0"/>
                <w:sz w:val="24"/>
              </w:rPr>
              <w:t>，项目</w:t>
            </w:r>
            <w:r>
              <w:rPr>
                <w:rFonts w:hint="eastAsia" w:cs="Times New Roman"/>
                <w:color w:val="auto"/>
                <w:kern w:val="0"/>
                <w:sz w:val="24"/>
                <w:lang w:val="en-US" w:eastAsia="zh-CN"/>
              </w:rPr>
              <w:t>四周</w:t>
            </w:r>
            <w:r>
              <w:rPr>
                <w:rFonts w:ascii="Times New Roman" w:hAnsi="Times New Roman" w:eastAsia="宋体" w:cs="Times New Roman"/>
                <w:color w:val="auto"/>
                <w:kern w:val="0"/>
                <w:sz w:val="24"/>
              </w:rPr>
              <w:t>均为空地。</w:t>
            </w:r>
            <w:bookmarkStart w:id="2" w:name="_Toc27729"/>
            <w:r>
              <w:rPr>
                <w:rFonts w:hint="eastAsia" w:cs="Times New Roman"/>
                <w:color w:val="auto"/>
                <w:kern w:val="0"/>
                <w:sz w:val="24"/>
                <w:lang w:val="en-US" w:eastAsia="zh-CN"/>
              </w:rPr>
              <w:t>项目区常年风向多偏西风，</w:t>
            </w:r>
            <w:r>
              <w:rPr>
                <w:rFonts w:ascii="Times New Roman" w:hAnsi="Times New Roman" w:eastAsia="宋体" w:cs="Times New Roman"/>
                <w:color w:val="auto"/>
                <w:kern w:val="0"/>
                <w:sz w:val="24"/>
              </w:rPr>
              <w:t>办公区及员工休息区</w:t>
            </w:r>
            <w:r>
              <w:rPr>
                <w:rFonts w:hint="eastAsia" w:cs="Times New Roman"/>
                <w:color w:val="auto"/>
                <w:kern w:val="0"/>
                <w:sz w:val="24"/>
                <w:lang w:val="en-US" w:eastAsia="zh-CN"/>
              </w:rPr>
              <w:t>设置在</w:t>
            </w:r>
            <w:r>
              <w:rPr>
                <w:rFonts w:ascii="Times New Roman" w:hAnsi="Times New Roman" w:eastAsia="宋体" w:cs="Times New Roman"/>
                <w:color w:val="auto"/>
                <w:kern w:val="0"/>
                <w:sz w:val="24"/>
              </w:rPr>
              <w:t>厂区</w:t>
            </w:r>
            <w:r>
              <w:rPr>
                <w:rFonts w:hint="eastAsia" w:ascii="Times New Roman" w:hAnsi="Times New Roman" w:eastAsia="宋体" w:cs="Times New Roman"/>
                <w:color w:val="auto"/>
                <w:kern w:val="0"/>
                <w:sz w:val="24"/>
              </w:rPr>
              <w:t>西</w:t>
            </w:r>
            <w:r>
              <w:rPr>
                <w:rFonts w:ascii="Times New Roman" w:hAnsi="Times New Roman" w:eastAsia="宋体" w:cs="Times New Roman"/>
                <w:color w:val="auto"/>
                <w:kern w:val="0"/>
                <w:sz w:val="24"/>
              </w:rPr>
              <w:t>北侧，</w:t>
            </w:r>
            <w:r>
              <w:rPr>
                <w:rFonts w:ascii="宋体" w:hAnsi="宋体" w:eastAsia="宋体" w:cs="宋体"/>
                <w:b w:val="0"/>
                <w:bCs w:val="0"/>
                <w:color w:val="000000"/>
                <w:sz w:val="24"/>
                <w:szCs w:val="24"/>
              </w:rPr>
              <w:t>位于厂区常年主导风向上风向，废气对生活区影响较小</w:t>
            </w:r>
            <w:r>
              <w:rPr>
                <w:rFonts w:hint="eastAsia" w:ascii="宋体" w:hAnsi="宋体" w:cs="宋体"/>
                <w:b w:val="0"/>
                <w:bCs w:val="0"/>
                <w:color w:val="000000"/>
                <w:sz w:val="24"/>
                <w:szCs w:val="24"/>
                <w:lang w:eastAsia="zh-CN"/>
              </w:rPr>
              <w:t>，</w:t>
            </w:r>
            <w:r>
              <w:rPr>
                <w:rFonts w:hint="eastAsia" w:cs="Times New Roman"/>
                <w:color w:val="auto"/>
                <w:kern w:val="0"/>
                <w:sz w:val="24"/>
                <w:lang w:val="en-US" w:eastAsia="zh-CN"/>
              </w:rPr>
              <w:t>大门</w:t>
            </w:r>
            <w:r>
              <w:rPr>
                <w:rFonts w:ascii="Times New Roman" w:hAnsi="Times New Roman" w:eastAsia="宋体" w:cs="Times New Roman"/>
                <w:color w:val="auto"/>
                <w:kern w:val="0"/>
                <w:sz w:val="24"/>
              </w:rPr>
              <w:t>设置在厂区</w:t>
            </w:r>
            <w:r>
              <w:rPr>
                <w:rFonts w:hint="eastAsia" w:cs="Times New Roman"/>
                <w:color w:val="auto"/>
                <w:kern w:val="0"/>
                <w:sz w:val="24"/>
                <w:lang w:val="en-US" w:eastAsia="zh-CN"/>
              </w:rPr>
              <w:t>东北</w:t>
            </w:r>
            <w:r>
              <w:rPr>
                <w:rFonts w:ascii="Times New Roman" w:hAnsi="Times New Roman" w:eastAsia="宋体" w:cs="Times New Roman"/>
                <w:color w:val="auto"/>
                <w:kern w:val="0"/>
                <w:sz w:val="24"/>
              </w:rPr>
              <w:t>侧，</w:t>
            </w:r>
            <w:r>
              <w:rPr>
                <w:rFonts w:hint="eastAsia" w:cs="Times New Roman"/>
                <w:color w:val="auto"/>
                <w:kern w:val="0"/>
                <w:sz w:val="24"/>
                <w:lang w:val="en-US" w:eastAsia="zh-CN"/>
              </w:rPr>
              <w:t>连接场外道路，</w:t>
            </w:r>
            <w:r>
              <w:rPr>
                <w:rFonts w:ascii="Times New Roman" w:hAnsi="Times New Roman" w:eastAsia="宋体" w:cs="Times New Roman"/>
                <w:color w:val="auto"/>
                <w:kern w:val="0"/>
                <w:sz w:val="24"/>
              </w:rPr>
              <w:t>磅房设置在厂区</w:t>
            </w:r>
            <w:r>
              <w:rPr>
                <w:rFonts w:hint="eastAsia" w:cs="Times New Roman"/>
                <w:color w:val="auto"/>
                <w:kern w:val="0"/>
                <w:sz w:val="24"/>
                <w:lang w:val="en-US" w:eastAsia="zh-CN"/>
              </w:rPr>
              <w:t>北</w:t>
            </w:r>
            <w:r>
              <w:rPr>
                <w:rFonts w:hint="eastAsia" w:ascii="Times New Roman" w:hAnsi="Times New Roman" w:eastAsia="宋体" w:cs="Times New Roman"/>
                <w:color w:val="auto"/>
                <w:kern w:val="0"/>
                <w:sz w:val="24"/>
              </w:rPr>
              <w:t>侧</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东</w:t>
            </w:r>
            <w:r>
              <w:rPr>
                <w:rFonts w:hint="eastAsia" w:cs="Times New Roman"/>
                <w:color w:val="auto"/>
                <w:kern w:val="0"/>
                <w:sz w:val="24"/>
                <w:lang w:val="en-US" w:eastAsia="zh-CN"/>
              </w:rPr>
              <w:t>南</w:t>
            </w:r>
            <w:r>
              <w:rPr>
                <w:rFonts w:ascii="Times New Roman" w:hAnsi="Times New Roman" w:eastAsia="宋体" w:cs="Times New Roman"/>
                <w:color w:val="auto"/>
                <w:kern w:val="0"/>
                <w:sz w:val="24"/>
              </w:rPr>
              <w:t>侧为料场</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搅拌楼及筒仓，厂区内适当布置停车位，为</w:t>
            </w:r>
            <w:r>
              <w:rPr>
                <w:rFonts w:hint="eastAsia" w:cs="Times New Roman"/>
                <w:color w:val="auto"/>
                <w:kern w:val="0"/>
                <w:sz w:val="24"/>
                <w:lang w:val="en-US" w:eastAsia="zh-CN"/>
              </w:rPr>
              <w:t>场内车辆运输</w:t>
            </w:r>
            <w:r>
              <w:rPr>
                <w:rFonts w:ascii="Times New Roman" w:hAnsi="Times New Roman" w:eastAsia="宋体" w:cs="Times New Roman"/>
                <w:color w:val="auto"/>
                <w:kern w:val="0"/>
                <w:sz w:val="24"/>
              </w:rPr>
              <w:t>提供良好条件。</w:t>
            </w:r>
            <w:bookmarkEnd w:id="2"/>
          </w:p>
          <w:p w14:paraId="34A63CD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厂区建筑布置满足防火、安全、环保等有关规范要求。项目总平面布置功能分区合理</w:t>
            </w:r>
            <w:r>
              <w:rPr>
                <w:rFonts w:hint="eastAsia" w:cs="Times New Roman"/>
                <w:color w:val="auto"/>
                <w:kern w:val="0"/>
                <w:sz w:val="24"/>
                <w:lang w:eastAsia="zh-CN"/>
              </w:rPr>
              <w:t>，</w:t>
            </w:r>
            <w:r>
              <w:rPr>
                <w:rFonts w:ascii="Times New Roman" w:hAnsi="Times New Roman" w:eastAsia="宋体" w:cs="Times New Roman"/>
                <w:color w:val="auto"/>
                <w:kern w:val="0"/>
                <w:sz w:val="24"/>
              </w:rPr>
              <w:t>在满足生产工艺、消防安全、环境卫生的前提下，坚决贯彻执行珍惜土地资源和合理利用土地的方针。建筑物布置尽量结合地形、地质、气象、工艺生产和施工条件，节省投资，同时为生产、运输和生活创造有利条件。</w:t>
            </w:r>
          </w:p>
          <w:p w14:paraId="58361775">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综上所述，拟建项目总平面布置相对合理。本项目平面布置图见附图</w:t>
            </w:r>
            <w:r>
              <w:rPr>
                <w:rFonts w:hint="eastAsia" w:cs="Times New Roman"/>
                <w:color w:val="auto"/>
                <w:kern w:val="0"/>
                <w:sz w:val="24"/>
                <w:lang w:val="en-US" w:eastAsia="zh-CN"/>
              </w:rPr>
              <w:t>3</w:t>
            </w:r>
            <w:r>
              <w:rPr>
                <w:rFonts w:ascii="Times New Roman" w:hAnsi="Times New Roman" w:eastAsia="宋体" w:cs="Times New Roman"/>
                <w:color w:val="auto"/>
                <w:kern w:val="0"/>
                <w:sz w:val="24"/>
              </w:rPr>
              <w:t>。</w:t>
            </w:r>
          </w:p>
          <w:p w14:paraId="260A819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p>
          <w:p w14:paraId="4EAB57E5">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p>
          <w:p w14:paraId="49FC02F7">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p>
          <w:p w14:paraId="34CEAEE7">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p>
          <w:p w14:paraId="7FE63E4D">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p>
          <w:p w14:paraId="286DA04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p>
          <w:p w14:paraId="0DF09F78">
            <w:pPr>
              <w:autoSpaceDE w:val="0"/>
              <w:autoSpaceDN w:val="0"/>
              <w:adjustRightInd w:val="0"/>
              <w:snapToGrid w:val="0"/>
              <w:spacing w:line="360" w:lineRule="auto"/>
              <w:ind w:firstLine="480" w:firstLineChars="200"/>
              <w:rPr>
                <w:rFonts w:hint="eastAsia" w:eastAsia="宋体"/>
                <w:bCs/>
                <w:color w:val="auto"/>
                <w:sz w:val="24"/>
                <w:lang w:val="en-US" w:eastAsia="zh-CN"/>
              </w:rPr>
            </w:pPr>
            <w:r>
              <w:rPr>
                <w:rFonts w:hint="eastAsia" w:cs="Times New Roman"/>
                <w:color w:val="auto"/>
                <w:kern w:val="0"/>
                <w:sz w:val="24"/>
                <w:lang w:val="en-US" w:eastAsia="zh-CN"/>
              </w:rPr>
              <w:t xml:space="preserve"> </w:t>
            </w:r>
          </w:p>
        </w:tc>
      </w:tr>
      <w:tr w14:paraId="6FDE88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23" w:type="dxa"/>
            <w:vAlign w:val="center"/>
          </w:tcPr>
          <w:p w14:paraId="5ABAABF7">
            <w:pPr>
              <w:pStyle w:val="24"/>
              <w:adjustRightInd w:val="0"/>
              <w:snapToGrid w:val="0"/>
              <w:spacing w:before="0" w:beforeAutospacing="0" w:after="0" w:afterAutospacing="0"/>
              <w:jc w:val="center"/>
              <w:rPr>
                <w:rFonts w:ascii="Times New Roman" w:hAnsi="Times New Roman"/>
                <w:color w:val="auto"/>
                <w:szCs w:val="24"/>
              </w:rPr>
            </w:pPr>
          </w:p>
          <w:p w14:paraId="32441F73">
            <w:pPr>
              <w:pStyle w:val="24"/>
              <w:adjustRightInd w:val="0"/>
              <w:snapToGrid w:val="0"/>
              <w:spacing w:before="0" w:beforeAutospacing="0" w:after="0" w:afterAutospacing="0"/>
              <w:jc w:val="center"/>
              <w:rPr>
                <w:rFonts w:ascii="Times New Roman" w:hAnsi="Times New Roman"/>
                <w:color w:val="auto"/>
                <w:szCs w:val="24"/>
              </w:rPr>
            </w:pPr>
          </w:p>
          <w:p w14:paraId="307D8CBE">
            <w:pPr>
              <w:pStyle w:val="24"/>
              <w:adjustRightInd w:val="0"/>
              <w:snapToGrid w:val="0"/>
              <w:spacing w:before="0" w:beforeAutospacing="0" w:after="0" w:afterAutospacing="0"/>
              <w:jc w:val="center"/>
              <w:rPr>
                <w:rFonts w:ascii="Times New Roman" w:hAnsi="Times New Roman"/>
                <w:color w:val="auto"/>
                <w:szCs w:val="24"/>
              </w:rPr>
            </w:pPr>
          </w:p>
          <w:p w14:paraId="4CA041B2">
            <w:pPr>
              <w:pStyle w:val="24"/>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工艺流程和产排污环节</w:t>
            </w:r>
          </w:p>
        </w:tc>
        <w:tc>
          <w:tcPr>
            <w:tcW w:w="8161" w:type="dxa"/>
          </w:tcPr>
          <w:p w14:paraId="23E44BAC">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1.工艺流程</w:t>
            </w:r>
          </w:p>
          <w:p w14:paraId="1AFEF48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CN"/>
              </w:rPr>
              <w:drawing>
                <wp:anchor distT="0" distB="0" distL="114300" distR="114300" simplePos="0" relativeHeight="251661312" behindDoc="0" locked="0" layoutInCell="1" allowOverlap="1">
                  <wp:simplePos x="0" y="0"/>
                  <wp:positionH relativeFrom="column">
                    <wp:posOffset>252730</wp:posOffset>
                  </wp:positionH>
                  <wp:positionV relativeFrom="paragraph">
                    <wp:posOffset>254000</wp:posOffset>
                  </wp:positionV>
                  <wp:extent cx="4353560" cy="3526790"/>
                  <wp:effectExtent l="0" t="0" r="0" b="8890"/>
                  <wp:wrapNone/>
                  <wp:docPr id="29" name="ECB019B1-382A-4266-B25C-5B523AA43C14-2" descr="C:/Users/86180/AppData/Local/Temp/wps.euTlA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CB019B1-382A-4266-B25C-5B523AA43C14-2" descr="C:/Users/86180/AppData/Local/Temp/wps.euTlAGwps"/>
                          <pic:cNvPicPr>
                            <a:picLocks noChangeAspect="1"/>
                          </pic:cNvPicPr>
                        </pic:nvPicPr>
                        <pic:blipFill>
                          <a:blip r:embed="rId8"/>
                          <a:srcRect b="2811"/>
                          <a:stretch>
                            <a:fillRect/>
                          </a:stretch>
                        </pic:blipFill>
                        <pic:spPr>
                          <a:xfrm>
                            <a:off x="0" y="0"/>
                            <a:ext cx="4353560" cy="3526790"/>
                          </a:xfrm>
                          <a:prstGeom prst="rect">
                            <a:avLst/>
                          </a:prstGeom>
                        </pic:spPr>
                      </pic:pic>
                    </a:graphicData>
                  </a:graphic>
                </wp:anchor>
              </w:drawing>
            </w:r>
            <w:r>
              <w:rPr>
                <w:rFonts w:ascii="Times New Roman" w:hAnsi="Times New Roman" w:eastAsia="宋体" w:cs="Times New Roman"/>
                <w:color w:val="auto"/>
                <w:kern w:val="0"/>
                <w:sz w:val="24"/>
              </w:rPr>
              <w:t>本项目生产工艺流程见图2。</w:t>
            </w:r>
          </w:p>
          <w:p w14:paraId="5153AB11">
            <w:pPr>
              <w:pStyle w:val="26"/>
              <w:rPr>
                <w:rFonts w:ascii="Times New Roman" w:hAnsi="Times New Roman" w:eastAsia="宋体" w:cs="Times New Roman"/>
                <w:color w:val="auto"/>
                <w:kern w:val="0"/>
                <w:sz w:val="24"/>
              </w:rPr>
            </w:pPr>
          </w:p>
          <w:p w14:paraId="239111D4">
            <w:pPr>
              <w:rPr>
                <w:rFonts w:ascii="Times New Roman" w:hAnsi="Times New Roman" w:eastAsia="宋体" w:cs="Times New Roman"/>
                <w:color w:val="auto"/>
                <w:kern w:val="0"/>
                <w:sz w:val="24"/>
              </w:rPr>
            </w:pPr>
          </w:p>
          <w:p w14:paraId="53D16776">
            <w:pPr>
              <w:pStyle w:val="26"/>
              <w:rPr>
                <w:rFonts w:hint="eastAsia"/>
                <w:lang w:eastAsia="zh-CN"/>
              </w:rPr>
            </w:pPr>
          </w:p>
          <w:p w14:paraId="6C24E3D1">
            <w:pPr>
              <w:adjustRightInd w:val="0"/>
              <w:snapToGrid w:val="0"/>
              <w:spacing w:line="360" w:lineRule="auto"/>
              <w:rPr>
                <w:rFonts w:hint="eastAsia" w:eastAsia="宋体"/>
                <w:color w:val="auto"/>
                <w:sz w:val="24"/>
                <w:lang w:eastAsia="zh-CN"/>
              </w:rPr>
            </w:pPr>
          </w:p>
          <w:p w14:paraId="69F79E84">
            <w:pPr>
              <w:pStyle w:val="26"/>
              <w:rPr>
                <w:rFonts w:hint="eastAsia" w:eastAsia="宋体"/>
                <w:color w:val="auto"/>
                <w:sz w:val="24"/>
                <w:lang w:eastAsia="zh-CN"/>
              </w:rPr>
            </w:pPr>
          </w:p>
          <w:p w14:paraId="5BB7F87C">
            <w:pPr>
              <w:rPr>
                <w:rFonts w:hint="eastAsia" w:eastAsia="宋体"/>
                <w:color w:val="auto"/>
                <w:sz w:val="24"/>
                <w:lang w:eastAsia="zh-CN"/>
              </w:rPr>
            </w:pPr>
          </w:p>
          <w:p w14:paraId="4C227D6A">
            <w:pPr>
              <w:pStyle w:val="26"/>
              <w:rPr>
                <w:rFonts w:hint="eastAsia" w:eastAsia="宋体"/>
                <w:color w:val="auto"/>
                <w:sz w:val="24"/>
                <w:lang w:eastAsia="zh-CN"/>
              </w:rPr>
            </w:pPr>
          </w:p>
          <w:p w14:paraId="0B42CC01">
            <w:pPr>
              <w:rPr>
                <w:rFonts w:hint="eastAsia" w:eastAsia="宋体"/>
                <w:color w:val="auto"/>
                <w:sz w:val="24"/>
                <w:lang w:eastAsia="zh-CN"/>
              </w:rPr>
            </w:pPr>
          </w:p>
          <w:p w14:paraId="75F65708">
            <w:pPr>
              <w:pStyle w:val="26"/>
              <w:rPr>
                <w:rFonts w:hint="eastAsia" w:eastAsia="宋体"/>
                <w:color w:val="auto"/>
                <w:sz w:val="24"/>
                <w:lang w:eastAsia="zh-CN"/>
              </w:rPr>
            </w:pPr>
          </w:p>
          <w:p w14:paraId="05BF5E7A">
            <w:pPr>
              <w:rPr>
                <w:rFonts w:hint="eastAsia" w:eastAsia="宋体"/>
                <w:color w:val="auto"/>
                <w:sz w:val="24"/>
                <w:lang w:eastAsia="zh-CN"/>
              </w:rPr>
            </w:pPr>
          </w:p>
          <w:p w14:paraId="34AB40CB">
            <w:pPr>
              <w:pStyle w:val="26"/>
              <w:rPr>
                <w:rFonts w:hint="eastAsia" w:eastAsia="宋体"/>
                <w:color w:val="auto"/>
                <w:sz w:val="24"/>
                <w:lang w:eastAsia="zh-CN"/>
              </w:rPr>
            </w:pPr>
          </w:p>
          <w:p w14:paraId="71A8DF3D">
            <w:pPr>
              <w:rPr>
                <w:rFonts w:hint="eastAsia" w:eastAsia="宋体"/>
                <w:color w:val="auto"/>
                <w:sz w:val="24"/>
                <w:lang w:eastAsia="zh-CN"/>
              </w:rPr>
            </w:pPr>
          </w:p>
          <w:p w14:paraId="3B2FA09D">
            <w:pPr>
              <w:pStyle w:val="26"/>
              <w:rPr>
                <w:rFonts w:hint="eastAsia" w:eastAsia="宋体"/>
                <w:color w:val="auto"/>
                <w:sz w:val="24"/>
                <w:lang w:eastAsia="zh-CN"/>
              </w:rPr>
            </w:pPr>
          </w:p>
          <w:p w14:paraId="34436D83">
            <w:pPr>
              <w:rPr>
                <w:rFonts w:hint="eastAsia" w:eastAsia="宋体"/>
                <w:color w:val="auto"/>
                <w:sz w:val="24"/>
                <w:lang w:eastAsia="zh-CN"/>
              </w:rPr>
            </w:pPr>
          </w:p>
          <w:p w14:paraId="6C06ACB4">
            <w:pPr>
              <w:pStyle w:val="26"/>
              <w:rPr>
                <w:rFonts w:hint="eastAsia" w:eastAsia="宋体"/>
                <w:color w:val="auto"/>
                <w:sz w:val="24"/>
                <w:lang w:eastAsia="zh-CN"/>
              </w:rPr>
            </w:pPr>
          </w:p>
          <w:p w14:paraId="49CA1859">
            <w:pPr>
              <w:rPr>
                <w:rFonts w:hint="eastAsia" w:eastAsia="宋体"/>
                <w:color w:val="auto"/>
                <w:sz w:val="24"/>
                <w:lang w:eastAsia="zh-CN"/>
              </w:rPr>
            </w:pPr>
          </w:p>
          <w:p w14:paraId="6CDA8377">
            <w:pPr>
              <w:rPr>
                <w:rFonts w:hint="eastAsia"/>
                <w:lang w:eastAsia="zh-CN"/>
              </w:rPr>
            </w:pPr>
          </w:p>
          <w:p w14:paraId="5F28C86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b/>
                <w:bCs/>
                <w:color w:val="auto"/>
                <w:sz w:val="21"/>
                <w:szCs w:val="21"/>
              </w:rPr>
            </w:pPr>
            <w:r>
              <w:rPr>
                <w:b/>
                <w:bCs/>
                <w:color w:val="auto"/>
                <w:sz w:val="21"/>
                <w:szCs w:val="21"/>
              </w:rPr>
              <w:t>图2    项目生产工艺流程图</w:t>
            </w:r>
          </w:p>
          <w:p w14:paraId="1549000A">
            <w:pPr>
              <w:spacing w:line="360" w:lineRule="auto"/>
              <w:rPr>
                <w:color w:val="auto"/>
                <w:sz w:val="24"/>
              </w:rPr>
            </w:pPr>
            <w:r>
              <w:rPr>
                <w:color w:val="auto"/>
                <w:sz w:val="24"/>
              </w:rPr>
              <w:t>主要工艺说明：</w:t>
            </w:r>
          </w:p>
          <w:p w14:paraId="6D4F1D74">
            <w:pPr>
              <w:pStyle w:val="40"/>
              <w:spacing w:after="0" w:line="360" w:lineRule="auto"/>
              <w:ind w:firstLine="480" w:firstLineChars="200"/>
              <w:rPr>
                <w:color w:val="auto"/>
                <w:sz w:val="24"/>
              </w:rPr>
            </w:pPr>
            <w:r>
              <w:rPr>
                <w:rFonts w:ascii="Times New Roman" w:hAnsi="Times New Roman" w:eastAsia="宋体" w:cs="Times New Roman"/>
                <w:color w:val="auto"/>
                <w:kern w:val="0"/>
                <w:sz w:val="24"/>
                <w:szCs w:val="24"/>
                <w:lang w:val="en-US" w:eastAsia="zh-CN" w:bidi="ar-SA"/>
              </w:rPr>
              <w:t>项目区建设采用</w:t>
            </w:r>
            <w:r>
              <w:rPr>
                <w:rFonts w:hint="eastAsia" w:cs="Times New Roman"/>
                <w:color w:val="auto"/>
                <w:kern w:val="0"/>
                <w:sz w:val="24"/>
                <w:szCs w:val="24"/>
                <w:lang w:val="en-US" w:eastAsia="zh-CN" w:bidi="ar-SA"/>
              </w:rPr>
              <w:t>半封闭式砂石</w:t>
            </w:r>
            <w:r>
              <w:rPr>
                <w:rFonts w:ascii="Times New Roman" w:hAnsi="Times New Roman" w:eastAsia="宋体" w:cs="Times New Roman"/>
                <w:color w:val="auto"/>
                <w:kern w:val="0"/>
                <w:sz w:val="24"/>
                <w:szCs w:val="24"/>
                <w:lang w:val="en-US" w:eastAsia="zh-CN" w:bidi="ar-SA"/>
              </w:rPr>
              <w:t>料场</w:t>
            </w:r>
            <w:r>
              <w:rPr>
                <w:rFonts w:hint="eastAsia"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廊道</w:t>
            </w:r>
            <w:r>
              <w:rPr>
                <w:rFonts w:hint="eastAsia" w:cs="Times New Roman"/>
                <w:color w:val="auto"/>
                <w:kern w:val="0"/>
                <w:sz w:val="24"/>
                <w:szCs w:val="24"/>
                <w:lang w:val="en-US" w:eastAsia="zh-CN" w:bidi="ar-SA"/>
              </w:rPr>
              <w:t>运输</w:t>
            </w:r>
            <w:r>
              <w:rPr>
                <w:rFonts w:ascii="Times New Roman" w:hAnsi="Times New Roman" w:eastAsia="宋体" w:cs="Times New Roman"/>
                <w:color w:val="auto"/>
                <w:kern w:val="0"/>
                <w:sz w:val="24"/>
                <w:szCs w:val="24"/>
                <w:lang w:val="en-US" w:eastAsia="zh-CN" w:bidi="ar-SA"/>
              </w:rPr>
              <w:t>封闭，本项目生产工序主要</w:t>
            </w:r>
            <w:r>
              <w:rPr>
                <w:rFonts w:hint="eastAsia" w:cs="Times New Roman"/>
                <w:color w:val="auto"/>
                <w:kern w:val="0"/>
                <w:sz w:val="24"/>
                <w:szCs w:val="24"/>
                <w:lang w:val="en-US" w:eastAsia="zh-CN" w:bidi="ar-SA"/>
              </w:rPr>
              <w:t>有</w:t>
            </w:r>
            <w:r>
              <w:rPr>
                <w:rFonts w:ascii="Times New Roman" w:hAnsi="Times New Roman" w:eastAsia="宋体" w:cs="Times New Roman"/>
                <w:color w:val="auto"/>
                <w:kern w:val="0"/>
                <w:sz w:val="24"/>
                <w:szCs w:val="24"/>
                <w:lang w:val="en-US" w:eastAsia="zh-CN" w:bidi="ar-SA"/>
              </w:rPr>
              <w:t>物料储存、物料称量输送、搅拌工序、外运</w:t>
            </w:r>
            <w:r>
              <w:rPr>
                <w:rFonts w:hint="eastAsia" w:cs="Times New Roman"/>
                <w:color w:val="auto"/>
                <w:kern w:val="0"/>
                <w:sz w:val="24"/>
                <w:szCs w:val="24"/>
                <w:lang w:val="en-US" w:eastAsia="zh-CN" w:bidi="ar-SA"/>
              </w:rPr>
              <w:t>、设备清洁</w:t>
            </w:r>
            <w:r>
              <w:rPr>
                <w:rFonts w:ascii="Times New Roman" w:hAnsi="Times New Roman" w:eastAsia="宋体" w:cs="Times New Roman"/>
                <w:color w:val="auto"/>
                <w:kern w:val="0"/>
                <w:sz w:val="24"/>
                <w:szCs w:val="24"/>
                <w:lang w:val="en-US" w:eastAsia="zh-CN" w:bidi="ar-SA"/>
              </w:rPr>
              <w:t>等，生产工艺如下：</w:t>
            </w:r>
            <w:r>
              <w:rPr>
                <w:color w:val="auto"/>
                <w:sz w:val="24"/>
              </w:rPr>
              <w:t xml:space="preserve"> </w:t>
            </w:r>
          </w:p>
          <w:p w14:paraId="2D689885">
            <w:pPr>
              <w:pStyle w:val="40"/>
              <w:numPr>
                <w:ilvl w:val="0"/>
                <w:numId w:val="0"/>
              </w:numPr>
              <w:spacing w:after="0" w:line="360" w:lineRule="auto"/>
              <w:ind w:firstLine="480" w:firstLineChars="200"/>
              <w:rPr>
                <w:color w:val="auto"/>
                <w:sz w:val="24"/>
              </w:rPr>
            </w:pPr>
            <w:r>
              <w:rPr>
                <w:rFonts w:ascii="Times New Roman" w:hAnsi="Times New Roman" w:eastAsia="宋体" w:cs="Times New Roman"/>
                <w:color w:val="auto"/>
                <w:kern w:val="2"/>
                <w:sz w:val="24"/>
                <w:szCs w:val="24"/>
                <w:lang w:val="en-US" w:eastAsia="zh-CN" w:bidi="ar-SA"/>
              </w:rPr>
              <w:t>（1）</w:t>
            </w:r>
            <w:r>
              <w:rPr>
                <w:color w:val="auto"/>
                <w:sz w:val="24"/>
              </w:rPr>
              <w:t xml:space="preserve">物料储存 </w:t>
            </w:r>
          </w:p>
          <w:p w14:paraId="55258536">
            <w:pPr>
              <w:pStyle w:val="40"/>
              <w:spacing w:after="0" w:line="360" w:lineRule="auto"/>
              <w:ind w:firstLine="480" w:firstLineChars="200"/>
              <w:rPr>
                <w:color w:val="auto"/>
                <w:sz w:val="24"/>
              </w:rPr>
            </w:pPr>
            <w:r>
              <w:rPr>
                <w:color w:val="auto"/>
                <w:sz w:val="24"/>
              </w:rPr>
              <w:t>原料砂子、石料等由密闭篷布货车运输到厂区料场储存，装卸采用自卸方式，料场全覆盖洒水降尘；水泥、粉煤灰等粉料分别由专用罐车运输进厂，通过罐车自带的管道以负压吸入料斗</w:t>
            </w:r>
            <w:r>
              <w:rPr>
                <w:rFonts w:hint="eastAsia"/>
                <w:color w:val="auto"/>
                <w:sz w:val="24"/>
                <w:lang w:val="en-US" w:eastAsia="zh-CN"/>
              </w:rPr>
              <w:t>后</w:t>
            </w:r>
            <w:r>
              <w:rPr>
                <w:color w:val="auto"/>
                <w:sz w:val="24"/>
              </w:rPr>
              <w:t xml:space="preserve">，再以压缩空气（正压）通过管道吸入散装粉料仓，整个输送过程在密闭的管道中完成，各粉料仓安装脉冲布袋除尘器，含尘废气经过除尘后排放，粉尘过滤在仓内；添加剂由专用罐车运输至厂区储存至添加剂储罐。 </w:t>
            </w:r>
          </w:p>
          <w:p w14:paraId="009076DB">
            <w:pPr>
              <w:pStyle w:val="40"/>
              <w:spacing w:after="0" w:line="360" w:lineRule="auto"/>
              <w:ind w:firstLine="480" w:firstLineChars="200"/>
              <w:rPr>
                <w:color w:val="auto"/>
                <w:sz w:val="24"/>
              </w:rPr>
            </w:pPr>
            <w:r>
              <w:rPr>
                <w:color w:val="auto"/>
                <w:sz w:val="24"/>
              </w:rPr>
              <w:t>（2）物料</w:t>
            </w:r>
            <w:r>
              <w:rPr>
                <w:rFonts w:hint="eastAsia"/>
                <w:color w:val="auto"/>
                <w:sz w:val="24"/>
                <w:lang w:val="en-US" w:eastAsia="zh-CN"/>
              </w:rPr>
              <w:t>计</w:t>
            </w:r>
            <w:r>
              <w:rPr>
                <w:color w:val="auto"/>
                <w:sz w:val="24"/>
              </w:rPr>
              <w:t xml:space="preserve">量输送 </w:t>
            </w:r>
          </w:p>
          <w:p w14:paraId="797F0EA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各物料按照一定比例进行加料，砂子、石料在料场原料堆区，由车辆装载至斗式料仓，料仓安装自动计量系统，物料经过计量后由密闭的输送机输送至</w:t>
            </w:r>
            <w:r>
              <w:rPr>
                <w:rFonts w:hint="eastAsia" w:cs="Times New Roman"/>
                <w:color w:val="auto"/>
                <w:kern w:val="0"/>
                <w:sz w:val="24"/>
                <w:lang w:val="en-US" w:eastAsia="zh-CN"/>
              </w:rPr>
              <w:t>传送</w:t>
            </w:r>
            <w:r>
              <w:rPr>
                <w:rFonts w:ascii="Times New Roman" w:hAnsi="Times New Roman" w:eastAsia="宋体" w:cs="Times New Roman"/>
                <w:color w:val="auto"/>
                <w:kern w:val="0"/>
                <w:sz w:val="24"/>
              </w:rPr>
              <w:t>皮带</w:t>
            </w:r>
            <w:r>
              <w:rPr>
                <w:rFonts w:hint="eastAsia" w:cs="Times New Roman"/>
                <w:color w:val="auto"/>
                <w:kern w:val="0"/>
                <w:sz w:val="24"/>
                <w:lang w:val="en-US" w:eastAsia="zh-CN"/>
              </w:rPr>
              <w:t>处</w:t>
            </w:r>
            <w:r>
              <w:rPr>
                <w:rFonts w:ascii="Times New Roman" w:hAnsi="Times New Roman" w:eastAsia="宋体" w:cs="Times New Roman"/>
                <w:color w:val="auto"/>
                <w:kern w:val="0"/>
                <w:sz w:val="24"/>
              </w:rPr>
              <w:t>，由密闭</w:t>
            </w:r>
            <w:r>
              <w:rPr>
                <w:rFonts w:hint="eastAsia" w:cs="Times New Roman"/>
                <w:color w:val="auto"/>
                <w:kern w:val="0"/>
                <w:sz w:val="24"/>
                <w:lang w:val="en-US" w:eastAsia="zh-CN"/>
              </w:rPr>
              <w:t>传送</w:t>
            </w:r>
            <w:r>
              <w:rPr>
                <w:rFonts w:ascii="Times New Roman" w:hAnsi="Times New Roman" w:eastAsia="宋体" w:cs="Times New Roman"/>
                <w:color w:val="auto"/>
                <w:kern w:val="0"/>
                <w:sz w:val="24"/>
              </w:rPr>
              <w:t>皮带送入混凝土搅拌机；水泥、粉煤灰等粉料由密闭输送机输送到粉料秤斗进行计量，利用重力从秤斗进入搅拌机；添加剂由泵从储罐泵至搅拌机；生产搅拌用水采用压力供水，搅拌用水由水秤斗计量后送入搅拌机</w:t>
            </w:r>
            <w:r>
              <w:rPr>
                <w:rFonts w:hint="eastAsia" w:cs="Times New Roman"/>
                <w:color w:val="auto"/>
                <w:kern w:val="0"/>
                <w:sz w:val="24"/>
                <w:lang w:eastAsia="zh-CN"/>
              </w:rPr>
              <w:t>，</w:t>
            </w:r>
            <w:r>
              <w:rPr>
                <w:rFonts w:hint="eastAsia" w:cs="Times New Roman"/>
                <w:color w:val="auto"/>
                <w:kern w:val="0"/>
                <w:sz w:val="24"/>
                <w:lang w:val="en-US" w:eastAsia="zh-CN"/>
              </w:rPr>
              <w:t>水泥、砂石料、粉煤灰输送工序会产生废气、噪声</w:t>
            </w:r>
            <w:r>
              <w:rPr>
                <w:rFonts w:ascii="Times New Roman" w:hAnsi="Times New Roman" w:eastAsia="宋体" w:cs="Times New Roman"/>
                <w:color w:val="auto"/>
                <w:kern w:val="0"/>
                <w:sz w:val="24"/>
              </w:rPr>
              <w:t>。</w:t>
            </w:r>
          </w:p>
          <w:p w14:paraId="74B091D8">
            <w:pPr>
              <w:pStyle w:val="40"/>
              <w:spacing w:after="0" w:line="360" w:lineRule="auto"/>
              <w:ind w:firstLine="480" w:firstLineChars="200"/>
              <w:rPr>
                <w:color w:val="auto"/>
                <w:sz w:val="24"/>
              </w:rPr>
            </w:pPr>
            <w:r>
              <w:rPr>
                <w:color w:val="auto"/>
                <w:sz w:val="24"/>
              </w:rPr>
              <w:t>（3）搅拌</w:t>
            </w:r>
          </w:p>
          <w:p w14:paraId="1CD4E9EA">
            <w:pPr>
              <w:pStyle w:val="40"/>
              <w:spacing w:after="0" w:line="360" w:lineRule="auto"/>
              <w:ind w:firstLine="480" w:firstLineChars="200"/>
              <w:rPr>
                <w:color w:val="auto"/>
                <w:sz w:val="24"/>
              </w:rPr>
            </w:pPr>
            <w:r>
              <w:rPr>
                <w:rFonts w:ascii="Times New Roman" w:hAnsi="Times New Roman" w:eastAsia="宋体" w:cs="Times New Roman"/>
                <w:color w:val="auto"/>
                <w:kern w:val="0"/>
                <w:sz w:val="24"/>
                <w:szCs w:val="24"/>
                <w:lang w:val="en-US" w:eastAsia="zh-CN" w:bidi="ar-SA"/>
              </w:rPr>
              <w:t>各种原料经过计量后进入搅拌机</w:t>
            </w:r>
            <w:r>
              <w:rPr>
                <w:rFonts w:hint="eastAsia" w:cs="Times New Roman"/>
                <w:color w:val="auto"/>
                <w:kern w:val="0"/>
                <w:sz w:val="24"/>
                <w:szCs w:val="24"/>
                <w:lang w:val="en-US" w:eastAsia="zh-CN" w:bidi="ar-SA"/>
              </w:rPr>
              <w:t>内</w:t>
            </w:r>
            <w:r>
              <w:rPr>
                <w:rFonts w:ascii="Times New Roman" w:hAnsi="Times New Roman" w:eastAsia="宋体" w:cs="Times New Roman"/>
                <w:color w:val="auto"/>
                <w:kern w:val="0"/>
                <w:sz w:val="24"/>
                <w:szCs w:val="24"/>
                <w:lang w:val="en-US" w:eastAsia="zh-CN" w:bidi="ar-SA"/>
              </w:rPr>
              <w:t>进行机械式强制搅拌。本项目搅拌楼为密闭作业，搅拌机自带脉冲布袋除尘器，</w:t>
            </w:r>
            <w:r>
              <w:rPr>
                <w:rFonts w:hint="eastAsia" w:cs="Times New Roman"/>
                <w:color w:val="auto"/>
                <w:kern w:val="0"/>
                <w:sz w:val="24"/>
                <w:szCs w:val="24"/>
                <w:lang w:val="en-US" w:eastAsia="zh-CN" w:bidi="ar-SA"/>
              </w:rPr>
              <w:t>除尘器收集的粉尘</w:t>
            </w:r>
            <w:r>
              <w:rPr>
                <w:rFonts w:ascii="Times New Roman" w:hAnsi="Times New Roman" w:eastAsia="宋体" w:cs="Times New Roman"/>
                <w:color w:val="auto"/>
                <w:kern w:val="0"/>
                <w:sz w:val="24"/>
                <w:szCs w:val="24"/>
                <w:lang w:val="en-US" w:eastAsia="zh-CN" w:bidi="ar-SA"/>
              </w:rPr>
              <w:t>回用于本工序</w:t>
            </w:r>
            <w:r>
              <w:rPr>
                <w:rFonts w:hint="eastAsia" w:cs="Times New Roman"/>
                <w:color w:val="auto"/>
                <w:kern w:val="0"/>
                <w:sz w:val="24"/>
                <w:szCs w:val="24"/>
                <w:lang w:val="en-US" w:eastAsia="zh-CN" w:bidi="ar-SA"/>
              </w:rPr>
              <w:t>继续生产</w:t>
            </w:r>
            <w:r>
              <w:rPr>
                <w:rFonts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该工序会产生废气、噪声</w:t>
            </w:r>
            <w:r>
              <w:rPr>
                <w:rFonts w:ascii="Times New Roman" w:hAnsi="Times New Roman" w:eastAsia="宋体" w:cs="Times New Roman"/>
                <w:color w:val="auto"/>
                <w:kern w:val="0"/>
                <w:sz w:val="24"/>
                <w:szCs w:val="24"/>
                <w:lang w:val="en-US" w:eastAsia="zh-CN" w:bidi="ar-SA"/>
              </w:rPr>
              <w:t>。</w:t>
            </w:r>
            <w:r>
              <w:rPr>
                <w:color w:val="auto"/>
                <w:sz w:val="24"/>
              </w:rPr>
              <w:t xml:space="preserve"> </w:t>
            </w:r>
          </w:p>
          <w:p w14:paraId="56145CBD">
            <w:pPr>
              <w:pStyle w:val="40"/>
              <w:spacing w:after="0" w:line="360" w:lineRule="auto"/>
              <w:ind w:firstLine="480" w:firstLineChars="200"/>
              <w:rPr>
                <w:color w:val="auto"/>
                <w:sz w:val="24"/>
              </w:rPr>
            </w:pPr>
            <w:r>
              <w:rPr>
                <w:color w:val="auto"/>
                <w:sz w:val="24"/>
              </w:rPr>
              <w:t xml:space="preserve">（4）外运 </w:t>
            </w:r>
          </w:p>
          <w:p w14:paraId="44BC1DB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搅拌均匀后的混凝土由搅拌机出料口卸入罐车直接运至施工现场</w:t>
            </w:r>
            <w:r>
              <w:rPr>
                <w:rFonts w:hint="eastAsia" w:cs="Times New Roman"/>
                <w:color w:val="auto"/>
                <w:kern w:val="0"/>
                <w:sz w:val="24"/>
                <w:lang w:val="en-US" w:eastAsia="zh-CN"/>
              </w:rPr>
              <w:t>使用</w:t>
            </w:r>
            <w:r>
              <w:rPr>
                <w:rFonts w:ascii="Times New Roman" w:hAnsi="Times New Roman" w:eastAsia="宋体" w:cs="Times New Roman"/>
                <w:color w:val="auto"/>
                <w:kern w:val="0"/>
                <w:sz w:val="24"/>
              </w:rPr>
              <w:t xml:space="preserve">。 </w:t>
            </w:r>
          </w:p>
          <w:p w14:paraId="3FE4F8A2">
            <w:pPr>
              <w:pStyle w:val="40"/>
              <w:spacing w:after="0" w:line="360" w:lineRule="auto"/>
              <w:ind w:firstLine="480" w:firstLineChars="200"/>
              <w:rPr>
                <w:color w:val="auto"/>
                <w:sz w:val="24"/>
              </w:rPr>
            </w:pPr>
            <w:r>
              <w:rPr>
                <w:color w:val="auto"/>
                <w:sz w:val="24"/>
              </w:rPr>
              <w:t>（5）</w:t>
            </w:r>
            <w:r>
              <w:rPr>
                <w:rFonts w:hint="eastAsia"/>
                <w:color w:val="auto"/>
                <w:sz w:val="24"/>
                <w:lang w:val="en-US" w:eastAsia="zh-CN"/>
              </w:rPr>
              <w:t>车辆、设备</w:t>
            </w:r>
            <w:r>
              <w:rPr>
                <w:color w:val="auto"/>
                <w:sz w:val="24"/>
              </w:rPr>
              <w:t xml:space="preserve">清洁 </w:t>
            </w:r>
          </w:p>
          <w:p w14:paraId="33169E7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生产结束后，</w:t>
            </w:r>
            <w:r>
              <w:rPr>
                <w:rFonts w:hint="eastAsia" w:cs="Times New Roman"/>
                <w:color w:val="auto"/>
                <w:kern w:val="0"/>
                <w:sz w:val="24"/>
                <w:lang w:val="en-US" w:eastAsia="zh-CN"/>
              </w:rPr>
              <w:t>员</w:t>
            </w:r>
            <w:r>
              <w:rPr>
                <w:rFonts w:ascii="Times New Roman" w:hAnsi="Times New Roman" w:eastAsia="宋体" w:cs="Times New Roman"/>
                <w:color w:val="auto"/>
                <w:kern w:val="0"/>
                <w:sz w:val="24"/>
              </w:rPr>
              <w:t>工利用水枪等冲洗设施对搅拌设备、罐车等进行冲洗，冲洗后的废水排入砂石分离机，经分离机分离后进入厂区</w:t>
            </w:r>
            <w:r>
              <w:rPr>
                <w:rFonts w:hint="eastAsia" w:cs="Times New Roman"/>
                <w:color w:val="auto"/>
                <w:kern w:val="0"/>
                <w:sz w:val="24"/>
                <w:lang w:val="en-US" w:eastAsia="zh-CN"/>
              </w:rPr>
              <w:t>三级</w:t>
            </w:r>
            <w:r>
              <w:rPr>
                <w:rFonts w:ascii="Times New Roman" w:hAnsi="Times New Roman" w:eastAsia="宋体" w:cs="Times New Roman"/>
                <w:color w:val="auto"/>
                <w:kern w:val="0"/>
                <w:sz w:val="24"/>
              </w:rPr>
              <w:t>沉淀池。从分离机分离出的砂石以及沉淀池内的沉淀物全部回用于生产工序。</w:t>
            </w:r>
          </w:p>
          <w:p w14:paraId="50F205D2">
            <w:pPr>
              <w:autoSpaceDE w:val="0"/>
              <w:autoSpaceDN w:val="0"/>
              <w:adjustRightInd w:val="0"/>
              <w:snapToGrid w:val="0"/>
              <w:spacing w:line="360" w:lineRule="auto"/>
              <w:ind w:firstLine="480" w:firstLineChars="200"/>
              <w:rPr>
                <w:rFonts w:hint="eastAsia" w:cs="Times New Roman"/>
                <w:color w:val="auto"/>
                <w:kern w:val="0"/>
                <w:sz w:val="24"/>
                <w:lang w:eastAsia="zh-CN"/>
              </w:rPr>
            </w:pPr>
            <w:r>
              <w:rPr>
                <w:rFonts w:hint="eastAsia" w:cs="Times New Roman"/>
                <w:color w:val="auto"/>
                <w:kern w:val="0"/>
                <w:sz w:val="24"/>
                <w:lang w:eastAsia="zh-CN"/>
              </w:rPr>
              <w:t>（</w:t>
            </w:r>
            <w:r>
              <w:rPr>
                <w:rFonts w:hint="eastAsia" w:cs="Times New Roman"/>
                <w:color w:val="auto"/>
                <w:kern w:val="0"/>
                <w:sz w:val="24"/>
                <w:lang w:val="en-US" w:eastAsia="zh-CN"/>
              </w:rPr>
              <w:t>6</w:t>
            </w:r>
            <w:r>
              <w:rPr>
                <w:rFonts w:hint="eastAsia" w:cs="Times New Roman"/>
                <w:color w:val="auto"/>
                <w:kern w:val="0"/>
                <w:sz w:val="24"/>
                <w:lang w:eastAsia="zh-CN"/>
              </w:rPr>
              <w:t xml:space="preserve">）试验 </w:t>
            </w:r>
          </w:p>
          <w:p w14:paraId="342DCC68">
            <w:pPr>
              <w:autoSpaceDE w:val="0"/>
              <w:autoSpaceDN w:val="0"/>
              <w:adjustRightInd w:val="0"/>
              <w:snapToGrid w:val="0"/>
              <w:spacing w:line="360" w:lineRule="auto"/>
              <w:ind w:firstLine="480" w:firstLineChars="200"/>
              <w:rPr>
                <w:rFonts w:hint="eastAsia" w:cs="Times New Roman"/>
                <w:color w:val="auto"/>
                <w:kern w:val="0"/>
                <w:sz w:val="24"/>
                <w:lang w:eastAsia="zh-CN"/>
              </w:rPr>
            </w:pPr>
            <w:r>
              <w:rPr>
                <w:rFonts w:hint="eastAsia" w:cs="Times New Roman"/>
                <w:color w:val="auto"/>
                <w:kern w:val="0"/>
                <w:sz w:val="24"/>
                <w:lang w:eastAsia="zh-CN"/>
              </w:rPr>
              <w:t xml:space="preserve">试验室主要负责两大部分内容：检验原材料的质量（包括原料细度、稠度检测等）和产品质量（主要是强度检测等）；根据不同客户对混凝土强度的要求不同，对原材料、水等的投加比例进行试验，以保证产品的质量。 </w:t>
            </w:r>
          </w:p>
          <w:p w14:paraId="0F60472A">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2.产排污情况</w:t>
            </w:r>
          </w:p>
          <w:p w14:paraId="0F7A1ED2">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2.1废气</w:t>
            </w:r>
          </w:p>
          <w:p w14:paraId="39429BB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本项目营运期产生的污染物包括搅拌机产生的粉尘，筒仓粉尘，料场扬尘及装卸扬尘与场内运输扬尘。</w:t>
            </w:r>
          </w:p>
          <w:p w14:paraId="5F8DF6DE">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2.2废水</w:t>
            </w:r>
          </w:p>
          <w:p w14:paraId="4CCCABD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本项目产生的生产废水循环利用，不外排；项目产生的生活污水经一体化污水处理系统处理达标后用于</w:t>
            </w:r>
            <w:r>
              <w:rPr>
                <w:rFonts w:hint="eastAsia" w:cs="Times New Roman"/>
                <w:color w:val="auto"/>
                <w:kern w:val="0"/>
                <w:sz w:val="24"/>
                <w:lang w:val="en-US" w:eastAsia="zh-CN"/>
              </w:rPr>
              <w:t>厂区绿化</w:t>
            </w:r>
            <w:r>
              <w:rPr>
                <w:rFonts w:ascii="Times New Roman" w:hAnsi="Times New Roman" w:eastAsia="宋体" w:cs="Times New Roman"/>
                <w:color w:val="auto"/>
                <w:kern w:val="0"/>
                <w:sz w:val="24"/>
              </w:rPr>
              <w:t>。</w:t>
            </w:r>
          </w:p>
          <w:p w14:paraId="1B7A2402">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2.3噪声</w:t>
            </w:r>
          </w:p>
          <w:p w14:paraId="089CBC3D">
            <w:pPr>
              <w:pStyle w:val="56"/>
              <w:spacing w:line="360" w:lineRule="auto"/>
              <w:ind w:firstLine="480" w:firstLineChars="200"/>
              <w:rPr>
                <w:color w:val="auto"/>
                <w:szCs w:val="24"/>
              </w:rPr>
            </w:pPr>
            <w:r>
              <w:rPr>
                <w:color w:val="auto"/>
                <w:szCs w:val="24"/>
              </w:rPr>
              <w:t>本项目噪声主要为搅拌机、装载机等机械设备运行时产生的噪声。</w:t>
            </w:r>
          </w:p>
          <w:p w14:paraId="542D794A">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2.4固废</w:t>
            </w:r>
          </w:p>
          <w:p w14:paraId="6D08D1D1">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本项目固废主要为生产</w:t>
            </w:r>
            <w:r>
              <w:rPr>
                <w:rFonts w:hint="eastAsia" w:cs="Times New Roman"/>
                <w:color w:val="auto"/>
                <w:kern w:val="0"/>
                <w:sz w:val="24"/>
                <w:lang w:val="en-US" w:eastAsia="zh-CN"/>
              </w:rPr>
              <w:t>工程产生</w:t>
            </w:r>
            <w:r>
              <w:rPr>
                <w:rFonts w:ascii="Times New Roman" w:hAnsi="Times New Roman" w:eastAsia="宋体" w:cs="Times New Roman"/>
                <w:color w:val="auto"/>
                <w:kern w:val="0"/>
                <w:sz w:val="24"/>
              </w:rPr>
              <w:t>的固体废弃物、职工日常生活产生的生活垃圾及设备保养维护产生的废机油。</w:t>
            </w:r>
          </w:p>
          <w:p w14:paraId="079D65A0">
            <w:pPr>
              <w:spacing w:line="360" w:lineRule="auto"/>
            </w:pPr>
            <w:r>
              <w:rPr>
                <w:rFonts w:ascii="Times New Roman" w:hAnsi="Times New Roman" w:eastAsia="宋体" w:cs="Times New Roman"/>
                <w:b/>
                <w:bCs/>
                <w:color w:val="auto"/>
                <w:sz w:val="24"/>
              </w:rPr>
              <w:t>2.</w:t>
            </w:r>
            <w:r>
              <w:rPr>
                <w:rFonts w:hint="eastAsia" w:cs="Times New Roman"/>
                <w:b/>
                <w:bCs/>
                <w:color w:val="auto"/>
                <w:sz w:val="24"/>
                <w:lang w:val="en-US" w:eastAsia="zh-CN"/>
              </w:rPr>
              <w:t>5产排污环节</w:t>
            </w:r>
          </w:p>
          <w:p w14:paraId="0AE491BE">
            <w:pPr>
              <w:autoSpaceDE w:val="0"/>
              <w:autoSpaceDN w:val="0"/>
              <w:adjustRightInd w:val="0"/>
              <w:snapToGrid w:val="0"/>
              <w:spacing w:line="360" w:lineRule="auto"/>
              <w:ind w:firstLine="480" w:firstLineChars="200"/>
              <w:rPr>
                <w:rFonts w:hint="default"/>
                <w:lang w:val="en-US" w:eastAsia="zh-CN"/>
              </w:rPr>
            </w:pPr>
            <w:r>
              <w:rPr>
                <w:rFonts w:hint="eastAsia" w:ascii="Times New Roman" w:hAnsi="Times New Roman" w:eastAsia="宋体" w:cs="Times New Roman"/>
                <w:color w:val="auto"/>
                <w:kern w:val="0"/>
                <w:sz w:val="24"/>
                <w:lang w:val="en-US" w:eastAsia="zh-CN"/>
              </w:rPr>
              <w:t>本项目产排污环节见下表2-6</w:t>
            </w:r>
            <w:r>
              <w:rPr>
                <w:rFonts w:hint="eastAsia" w:cs="Times New Roman"/>
                <w:color w:val="auto"/>
                <w:kern w:val="0"/>
                <w:sz w:val="24"/>
                <w:lang w:val="en-US" w:eastAsia="zh-CN"/>
              </w:rPr>
              <w:t>。</w:t>
            </w:r>
          </w:p>
          <w:p w14:paraId="735ABA72">
            <w:pPr>
              <w:autoSpaceDE w:val="0"/>
              <w:autoSpaceDN w:val="0"/>
              <w:adjustRightInd w:val="0"/>
              <w:snapToGrid w:val="0"/>
              <w:spacing w:line="240" w:lineRule="auto"/>
              <w:ind w:firstLine="1897" w:firstLineChars="900"/>
              <w:rPr>
                <w:rFonts w:hint="eastAsia" w:ascii="宋体" w:hAnsi="宋体" w:eastAsia="宋体" w:cs="宋体"/>
                <w:b/>
                <w:bCs/>
              </w:rPr>
            </w:pPr>
            <w:r>
              <w:rPr>
                <w:rFonts w:hint="eastAsia" w:ascii="宋体" w:hAnsi="宋体" w:eastAsia="宋体" w:cs="宋体"/>
                <w:b/>
                <w:bCs/>
              </w:rPr>
              <w:t>表</w:t>
            </w:r>
            <w:r>
              <w:rPr>
                <w:rFonts w:hint="default" w:ascii="Times New Roman" w:hAnsi="Times New Roman" w:eastAsia="宋体" w:cs="Times New Roman"/>
                <w:b/>
                <w:bCs/>
              </w:rPr>
              <w:t xml:space="preserve">2-6 </w:t>
            </w:r>
            <w:r>
              <w:rPr>
                <w:rFonts w:hint="eastAsia" w:ascii="宋体" w:hAnsi="宋体" w:eastAsia="宋体" w:cs="宋体"/>
                <w:b/>
                <w:bCs/>
              </w:rPr>
              <w:t xml:space="preserve">   产排污环节一览表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1451"/>
              <w:gridCol w:w="1726"/>
              <w:gridCol w:w="1589"/>
              <w:gridCol w:w="1590"/>
            </w:tblGrid>
            <w:tr w14:paraId="7D1C3B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bottom w:val="single" w:color="auto" w:sz="12" w:space="0"/>
                  </w:tcBorders>
                  <w:vAlign w:val="center"/>
                </w:tcPr>
                <w:p w14:paraId="40D16FBC">
                  <w:pPr>
                    <w:bidi w:val="0"/>
                    <w:jc w:val="center"/>
                    <w:rPr>
                      <w:b/>
                      <w:bCs/>
                    </w:rPr>
                  </w:pPr>
                  <w:r>
                    <w:rPr>
                      <w:b/>
                      <w:bCs/>
                    </w:rPr>
                    <w:t>序号</w:t>
                  </w:r>
                </w:p>
              </w:tc>
              <w:tc>
                <w:tcPr>
                  <w:tcW w:w="913" w:type="pct"/>
                  <w:tcBorders>
                    <w:bottom w:val="single" w:color="auto" w:sz="12" w:space="0"/>
                  </w:tcBorders>
                  <w:vAlign w:val="center"/>
                </w:tcPr>
                <w:p w14:paraId="1CE98C1D">
                  <w:pPr>
                    <w:bidi w:val="0"/>
                    <w:jc w:val="center"/>
                    <w:rPr>
                      <w:b/>
                      <w:bCs/>
                    </w:rPr>
                  </w:pPr>
                  <w:r>
                    <w:rPr>
                      <w:b/>
                      <w:bCs/>
                    </w:rPr>
                    <w:t>污染物类别</w:t>
                  </w:r>
                </w:p>
              </w:tc>
              <w:tc>
                <w:tcPr>
                  <w:tcW w:w="1086" w:type="pct"/>
                  <w:tcBorders>
                    <w:bottom w:val="single" w:color="auto" w:sz="12" w:space="0"/>
                  </w:tcBorders>
                  <w:vAlign w:val="center"/>
                </w:tcPr>
                <w:p w14:paraId="47CF4346">
                  <w:pPr>
                    <w:bidi w:val="0"/>
                    <w:jc w:val="center"/>
                    <w:rPr>
                      <w:b/>
                      <w:bCs/>
                    </w:rPr>
                  </w:pPr>
                  <w:r>
                    <w:rPr>
                      <w:b/>
                      <w:bCs/>
                    </w:rPr>
                    <w:t>产排污环节</w:t>
                  </w:r>
                </w:p>
              </w:tc>
              <w:tc>
                <w:tcPr>
                  <w:tcW w:w="1000" w:type="pct"/>
                  <w:tcBorders>
                    <w:bottom w:val="single" w:color="auto" w:sz="12" w:space="0"/>
                  </w:tcBorders>
                  <w:vAlign w:val="center"/>
                </w:tcPr>
                <w:p w14:paraId="558BFD44">
                  <w:pPr>
                    <w:bidi w:val="0"/>
                    <w:jc w:val="center"/>
                    <w:rPr>
                      <w:b/>
                      <w:bCs/>
                    </w:rPr>
                  </w:pPr>
                  <w:r>
                    <w:rPr>
                      <w:b/>
                      <w:bCs/>
                    </w:rPr>
                    <w:t>污染物名称</w:t>
                  </w:r>
                </w:p>
              </w:tc>
              <w:tc>
                <w:tcPr>
                  <w:tcW w:w="1000" w:type="pct"/>
                  <w:tcBorders>
                    <w:bottom w:val="single" w:color="auto" w:sz="12" w:space="0"/>
                  </w:tcBorders>
                  <w:vAlign w:val="center"/>
                </w:tcPr>
                <w:p w14:paraId="14A46A18">
                  <w:pPr>
                    <w:bidi w:val="0"/>
                    <w:jc w:val="center"/>
                    <w:rPr>
                      <w:b/>
                      <w:bCs/>
                    </w:rPr>
                  </w:pPr>
                  <w:r>
                    <w:rPr>
                      <w:b/>
                      <w:bCs/>
                    </w:rPr>
                    <w:t>污染因子</w:t>
                  </w:r>
                </w:p>
              </w:tc>
            </w:tr>
            <w:tr w14:paraId="29BEA3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op w:val="single" w:color="auto" w:sz="12" w:space="0"/>
                    <w:tl2br w:val="nil"/>
                    <w:tr2bl w:val="nil"/>
                  </w:tcBorders>
                  <w:vAlign w:val="center"/>
                </w:tcPr>
                <w:p w14:paraId="6BD6A145">
                  <w:pPr>
                    <w:bidi w:val="0"/>
                    <w:jc w:val="center"/>
                  </w:pPr>
                  <w:r>
                    <w:t>1</w:t>
                  </w:r>
                </w:p>
              </w:tc>
              <w:tc>
                <w:tcPr>
                  <w:tcW w:w="913" w:type="pct"/>
                  <w:vMerge w:val="restart"/>
                  <w:tcBorders>
                    <w:top w:val="single" w:color="auto" w:sz="12" w:space="0"/>
                    <w:tl2br w:val="nil"/>
                    <w:tr2bl w:val="nil"/>
                  </w:tcBorders>
                  <w:vAlign w:val="center"/>
                </w:tcPr>
                <w:p w14:paraId="05B9006A">
                  <w:pPr>
                    <w:bidi w:val="0"/>
                    <w:jc w:val="center"/>
                  </w:pPr>
                  <w:r>
                    <w:t>废气</w:t>
                  </w:r>
                </w:p>
              </w:tc>
              <w:tc>
                <w:tcPr>
                  <w:tcW w:w="1086" w:type="pct"/>
                  <w:tcBorders>
                    <w:top w:val="single" w:color="auto" w:sz="12" w:space="0"/>
                    <w:tl2br w:val="nil"/>
                    <w:tr2bl w:val="nil"/>
                  </w:tcBorders>
                  <w:vAlign w:val="center"/>
                </w:tcPr>
                <w:p w14:paraId="37CF1CB0">
                  <w:pPr>
                    <w:bidi w:val="0"/>
                    <w:jc w:val="center"/>
                  </w:pPr>
                  <w:r>
                    <w:t>筒仓储存</w:t>
                  </w:r>
                </w:p>
              </w:tc>
              <w:tc>
                <w:tcPr>
                  <w:tcW w:w="1000" w:type="pct"/>
                  <w:vMerge w:val="restart"/>
                  <w:tcBorders>
                    <w:top w:val="single" w:color="auto" w:sz="12" w:space="0"/>
                    <w:tl2br w:val="nil"/>
                    <w:tr2bl w:val="nil"/>
                  </w:tcBorders>
                  <w:vAlign w:val="center"/>
                </w:tcPr>
                <w:p w14:paraId="4FC80A67">
                  <w:pPr>
                    <w:bidi w:val="0"/>
                    <w:jc w:val="center"/>
                    <w:rPr>
                      <w:rFonts w:hint="eastAsia"/>
                      <w:lang w:val="en-US" w:eastAsia="zh-CN"/>
                    </w:rPr>
                  </w:pPr>
                </w:p>
                <w:p w14:paraId="77168281">
                  <w:pPr>
                    <w:bidi w:val="0"/>
                    <w:jc w:val="center"/>
                    <w:rPr>
                      <w:rFonts w:hint="eastAsia"/>
                      <w:lang w:eastAsia="zh-CN"/>
                    </w:rPr>
                  </w:pPr>
                  <w:r>
                    <w:rPr>
                      <w:rFonts w:hint="eastAsia"/>
                      <w:lang w:val="en-US" w:eastAsia="zh-CN"/>
                    </w:rPr>
                    <w:t>颗粒物</w:t>
                  </w:r>
                </w:p>
                <w:p w14:paraId="7C697194">
                  <w:pPr>
                    <w:bidi w:val="0"/>
                    <w:jc w:val="center"/>
                  </w:pPr>
                </w:p>
              </w:tc>
              <w:tc>
                <w:tcPr>
                  <w:tcW w:w="1000" w:type="pct"/>
                  <w:vMerge w:val="restart"/>
                  <w:tcBorders>
                    <w:top w:val="single" w:color="auto" w:sz="12" w:space="0"/>
                    <w:tl2br w:val="nil"/>
                    <w:tr2bl w:val="nil"/>
                  </w:tcBorders>
                  <w:vAlign w:val="center"/>
                </w:tcPr>
                <w:p w14:paraId="3AA921C1">
                  <w:pPr>
                    <w:bidi w:val="0"/>
                    <w:jc w:val="center"/>
                  </w:pPr>
                  <w:r>
                    <w:t>颗粒物</w:t>
                  </w:r>
                </w:p>
              </w:tc>
            </w:tr>
            <w:tr w14:paraId="1453D6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l2br w:val="nil"/>
                    <w:tr2bl w:val="nil"/>
                  </w:tcBorders>
                  <w:vAlign w:val="center"/>
                </w:tcPr>
                <w:p w14:paraId="0594554F">
                  <w:pPr>
                    <w:bidi w:val="0"/>
                    <w:jc w:val="center"/>
                  </w:pPr>
                  <w:r>
                    <w:t>2</w:t>
                  </w:r>
                </w:p>
              </w:tc>
              <w:tc>
                <w:tcPr>
                  <w:tcW w:w="913" w:type="pct"/>
                  <w:vMerge w:val="continue"/>
                  <w:tcBorders>
                    <w:tl2br w:val="nil"/>
                    <w:tr2bl w:val="nil"/>
                  </w:tcBorders>
                  <w:vAlign w:val="center"/>
                </w:tcPr>
                <w:p w14:paraId="1324D9B2">
                  <w:pPr>
                    <w:bidi w:val="0"/>
                    <w:jc w:val="center"/>
                  </w:pPr>
                </w:p>
              </w:tc>
              <w:tc>
                <w:tcPr>
                  <w:tcW w:w="1086" w:type="pct"/>
                  <w:tcBorders>
                    <w:tl2br w:val="nil"/>
                    <w:tr2bl w:val="nil"/>
                  </w:tcBorders>
                  <w:vAlign w:val="center"/>
                </w:tcPr>
                <w:p w14:paraId="4D64071B">
                  <w:pPr>
                    <w:bidi w:val="0"/>
                    <w:jc w:val="center"/>
                  </w:pPr>
                  <w:r>
                    <w:rPr>
                      <w:rFonts w:hint="eastAsia"/>
                      <w:lang w:val="en-US" w:eastAsia="zh-CN"/>
                    </w:rPr>
                    <w:t>砂石料堆存及</w:t>
                  </w:r>
                  <w:r>
                    <w:t>卸料</w:t>
                  </w:r>
                </w:p>
              </w:tc>
              <w:tc>
                <w:tcPr>
                  <w:tcW w:w="1000" w:type="pct"/>
                  <w:vMerge w:val="continue"/>
                  <w:tcBorders>
                    <w:tl2br w:val="nil"/>
                    <w:tr2bl w:val="nil"/>
                  </w:tcBorders>
                  <w:vAlign w:val="center"/>
                </w:tcPr>
                <w:p w14:paraId="08787D31">
                  <w:pPr>
                    <w:bidi w:val="0"/>
                    <w:jc w:val="center"/>
                  </w:pPr>
                </w:p>
              </w:tc>
              <w:tc>
                <w:tcPr>
                  <w:tcW w:w="1000" w:type="pct"/>
                  <w:vMerge w:val="continue"/>
                  <w:tcBorders>
                    <w:tl2br w:val="nil"/>
                    <w:tr2bl w:val="nil"/>
                  </w:tcBorders>
                  <w:vAlign w:val="center"/>
                </w:tcPr>
                <w:p w14:paraId="4494F780">
                  <w:pPr>
                    <w:bidi w:val="0"/>
                    <w:jc w:val="center"/>
                  </w:pPr>
                </w:p>
              </w:tc>
            </w:tr>
            <w:tr w14:paraId="4AC1C2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l2br w:val="nil"/>
                    <w:tr2bl w:val="nil"/>
                  </w:tcBorders>
                  <w:vAlign w:val="center"/>
                </w:tcPr>
                <w:p w14:paraId="4A8B89C6">
                  <w:pPr>
                    <w:bidi w:val="0"/>
                    <w:jc w:val="center"/>
                  </w:pPr>
                  <w:r>
                    <w:t>3</w:t>
                  </w:r>
                </w:p>
              </w:tc>
              <w:tc>
                <w:tcPr>
                  <w:tcW w:w="913" w:type="pct"/>
                  <w:vMerge w:val="continue"/>
                  <w:tcBorders>
                    <w:tl2br w:val="nil"/>
                    <w:tr2bl w:val="nil"/>
                  </w:tcBorders>
                  <w:vAlign w:val="center"/>
                </w:tcPr>
                <w:p w14:paraId="6C5305D5">
                  <w:pPr>
                    <w:bidi w:val="0"/>
                    <w:jc w:val="center"/>
                  </w:pPr>
                </w:p>
              </w:tc>
              <w:tc>
                <w:tcPr>
                  <w:tcW w:w="1086" w:type="pct"/>
                  <w:tcBorders>
                    <w:tl2br w:val="nil"/>
                    <w:tr2bl w:val="nil"/>
                  </w:tcBorders>
                  <w:vAlign w:val="center"/>
                </w:tcPr>
                <w:p w14:paraId="571C5155">
                  <w:pPr>
                    <w:bidi w:val="0"/>
                    <w:jc w:val="center"/>
                  </w:pPr>
                  <w:r>
                    <w:t>廊道运输</w:t>
                  </w:r>
                </w:p>
              </w:tc>
              <w:tc>
                <w:tcPr>
                  <w:tcW w:w="1000" w:type="pct"/>
                  <w:vMerge w:val="continue"/>
                  <w:tcBorders>
                    <w:tl2br w:val="nil"/>
                    <w:tr2bl w:val="nil"/>
                  </w:tcBorders>
                  <w:vAlign w:val="center"/>
                </w:tcPr>
                <w:p w14:paraId="4D257774">
                  <w:pPr>
                    <w:bidi w:val="0"/>
                    <w:jc w:val="center"/>
                  </w:pPr>
                </w:p>
              </w:tc>
              <w:tc>
                <w:tcPr>
                  <w:tcW w:w="1000" w:type="pct"/>
                  <w:vMerge w:val="continue"/>
                  <w:tcBorders>
                    <w:tl2br w:val="nil"/>
                    <w:tr2bl w:val="nil"/>
                  </w:tcBorders>
                  <w:vAlign w:val="center"/>
                </w:tcPr>
                <w:p w14:paraId="65C24025">
                  <w:pPr>
                    <w:bidi w:val="0"/>
                    <w:jc w:val="center"/>
                  </w:pPr>
                </w:p>
              </w:tc>
            </w:tr>
            <w:tr w14:paraId="15EBA7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1000" w:type="pct"/>
                  <w:tcBorders>
                    <w:tl2br w:val="nil"/>
                    <w:tr2bl w:val="nil"/>
                  </w:tcBorders>
                  <w:vAlign w:val="center"/>
                </w:tcPr>
                <w:p w14:paraId="37697A31">
                  <w:pPr>
                    <w:bidi w:val="0"/>
                    <w:jc w:val="center"/>
                  </w:pPr>
                  <w:r>
                    <w:t>4</w:t>
                  </w:r>
                </w:p>
              </w:tc>
              <w:tc>
                <w:tcPr>
                  <w:tcW w:w="913" w:type="pct"/>
                  <w:vMerge w:val="continue"/>
                  <w:tcBorders>
                    <w:tl2br w:val="nil"/>
                    <w:tr2bl w:val="nil"/>
                  </w:tcBorders>
                  <w:vAlign w:val="center"/>
                </w:tcPr>
                <w:p w14:paraId="278FB6B9">
                  <w:pPr>
                    <w:bidi w:val="0"/>
                    <w:jc w:val="center"/>
                  </w:pPr>
                </w:p>
              </w:tc>
              <w:tc>
                <w:tcPr>
                  <w:tcW w:w="1086" w:type="pct"/>
                  <w:tcBorders>
                    <w:tl2br w:val="nil"/>
                    <w:tr2bl w:val="nil"/>
                  </w:tcBorders>
                  <w:vAlign w:val="center"/>
                </w:tcPr>
                <w:p w14:paraId="35EFD2D3">
                  <w:pPr>
                    <w:bidi w:val="0"/>
                    <w:jc w:val="center"/>
                  </w:pPr>
                  <w:r>
                    <w:t>搅拌工序</w:t>
                  </w:r>
                </w:p>
              </w:tc>
              <w:tc>
                <w:tcPr>
                  <w:tcW w:w="1000" w:type="pct"/>
                  <w:vMerge w:val="continue"/>
                  <w:tcBorders>
                    <w:tl2br w:val="nil"/>
                    <w:tr2bl w:val="nil"/>
                  </w:tcBorders>
                  <w:vAlign w:val="center"/>
                </w:tcPr>
                <w:p w14:paraId="73B3B4C2">
                  <w:pPr>
                    <w:bidi w:val="0"/>
                    <w:jc w:val="center"/>
                  </w:pPr>
                </w:p>
              </w:tc>
              <w:tc>
                <w:tcPr>
                  <w:tcW w:w="1000" w:type="pct"/>
                  <w:vMerge w:val="continue"/>
                  <w:tcBorders>
                    <w:tl2br w:val="nil"/>
                    <w:tr2bl w:val="nil"/>
                  </w:tcBorders>
                  <w:vAlign w:val="center"/>
                </w:tcPr>
                <w:p w14:paraId="1005E9CA">
                  <w:pPr>
                    <w:bidi w:val="0"/>
                    <w:jc w:val="center"/>
                  </w:pPr>
                </w:p>
              </w:tc>
            </w:tr>
            <w:tr w14:paraId="79AFFD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l2br w:val="nil"/>
                    <w:tr2bl w:val="nil"/>
                  </w:tcBorders>
                  <w:vAlign w:val="center"/>
                </w:tcPr>
                <w:p w14:paraId="25A1AB7F">
                  <w:pPr>
                    <w:bidi w:val="0"/>
                    <w:jc w:val="center"/>
                  </w:pPr>
                  <w:r>
                    <w:t>5</w:t>
                  </w:r>
                </w:p>
              </w:tc>
              <w:tc>
                <w:tcPr>
                  <w:tcW w:w="913" w:type="pct"/>
                  <w:vMerge w:val="continue"/>
                  <w:tcBorders>
                    <w:tl2br w:val="nil"/>
                    <w:tr2bl w:val="nil"/>
                  </w:tcBorders>
                  <w:vAlign w:val="center"/>
                </w:tcPr>
                <w:p w14:paraId="5D5D71C9">
                  <w:pPr>
                    <w:bidi w:val="0"/>
                    <w:jc w:val="center"/>
                  </w:pPr>
                </w:p>
              </w:tc>
              <w:tc>
                <w:tcPr>
                  <w:tcW w:w="1086" w:type="pct"/>
                  <w:tcBorders>
                    <w:tl2br w:val="nil"/>
                    <w:tr2bl w:val="nil"/>
                  </w:tcBorders>
                  <w:vAlign w:val="center"/>
                </w:tcPr>
                <w:p w14:paraId="4920100E">
                  <w:pPr>
                    <w:bidi w:val="0"/>
                    <w:jc w:val="center"/>
                  </w:pPr>
                  <w:r>
                    <w:t>运输</w:t>
                  </w:r>
                </w:p>
              </w:tc>
              <w:tc>
                <w:tcPr>
                  <w:tcW w:w="1000" w:type="pct"/>
                  <w:vMerge w:val="continue"/>
                  <w:tcBorders>
                    <w:tl2br w:val="nil"/>
                    <w:tr2bl w:val="nil"/>
                  </w:tcBorders>
                  <w:vAlign w:val="center"/>
                </w:tcPr>
                <w:p w14:paraId="7119E07A">
                  <w:pPr>
                    <w:bidi w:val="0"/>
                    <w:jc w:val="center"/>
                  </w:pPr>
                </w:p>
              </w:tc>
              <w:tc>
                <w:tcPr>
                  <w:tcW w:w="1000" w:type="pct"/>
                  <w:vMerge w:val="continue"/>
                  <w:tcBorders>
                    <w:tl2br w:val="nil"/>
                    <w:tr2bl w:val="nil"/>
                  </w:tcBorders>
                  <w:vAlign w:val="center"/>
                </w:tcPr>
                <w:p w14:paraId="1915D95F">
                  <w:pPr>
                    <w:bidi w:val="0"/>
                    <w:jc w:val="center"/>
                  </w:pPr>
                </w:p>
              </w:tc>
            </w:tr>
            <w:tr w14:paraId="7A311D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l2br w:val="nil"/>
                    <w:tr2bl w:val="nil"/>
                  </w:tcBorders>
                  <w:vAlign w:val="center"/>
                </w:tcPr>
                <w:p w14:paraId="0EEECACA">
                  <w:pPr>
                    <w:bidi w:val="0"/>
                    <w:jc w:val="center"/>
                  </w:pPr>
                  <w:r>
                    <w:t>6</w:t>
                  </w:r>
                </w:p>
              </w:tc>
              <w:tc>
                <w:tcPr>
                  <w:tcW w:w="913" w:type="pct"/>
                  <w:vMerge w:val="continue"/>
                  <w:tcBorders>
                    <w:tl2br w:val="nil"/>
                    <w:tr2bl w:val="nil"/>
                  </w:tcBorders>
                  <w:vAlign w:val="center"/>
                </w:tcPr>
                <w:p w14:paraId="254ED8DA">
                  <w:pPr>
                    <w:bidi w:val="0"/>
                    <w:jc w:val="center"/>
                  </w:pPr>
                </w:p>
              </w:tc>
              <w:tc>
                <w:tcPr>
                  <w:tcW w:w="1086" w:type="pct"/>
                  <w:tcBorders>
                    <w:tl2br w:val="nil"/>
                    <w:tr2bl w:val="nil"/>
                  </w:tcBorders>
                  <w:vAlign w:val="center"/>
                </w:tcPr>
                <w:p w14:paraId="7BFB758B">
                  <w:pPr>
                    <w:bidi w:val="0"/>
                    <w:jc w:val="center"/>
                  </w:pPr>
                  <w:r>
                    <w:t>食堂</w:t>
                  </w:r>
                </w:p>
              </w:tc>
              <w:tc>
                <w:tcPr>
                  <w:tcW w:w="1000" w:type="pct"/>
                  <w:tcBorders>
                    <w:tl2br w:val="nil"/>
                    <w:tr2bl w:val="nil"/>
                  </w:tcBorders>
                  <w:vAlign w:val="center"/>
                </w:tcPr>
                <w:p w14:paraId="26D4799D">
                  <w:pPr>
                    <w:bidi w:val="0"/>
                    <w:jc w:val="center"/>
                  </w:pPr>
                  <w:r>
                    <w:rPr>
                      <w:rFonts w:hint="eastAsia"/>
                      <w:lang w:val="en-US" w:eastAsia="zh-CN"/>
                    </w:rPr>
                    <w:t>食堂</w:t>
                  </w:r>
                  <w:r>
                    <w:t>油烟</w:t>
                  </w:r>
                </w:p>
              </w:tc>
              <w:tc>
                <w:tcPr>
                  <w:tcW w:w="1000" w:type="pct"/>
                  <w:tcBorders>
                    <w:tl2br w:val="nil"/>
                    <w:tr2bl w:val="nil"/>
                  </w:tcBorders>
                  <w:vAlign w:val="center"/>
                </w:tcPr>
                <w:p w14:paraId="3530EBB3">
                  <w:pPr>
                    <w:bidi w:val="0"/>
                    <w:jc w:val="center"/>
                  </w:pPr>
                  <w:r>
                    <w:rPr>
                      <w:rFonts w:hint="eastAsia"/>
                      <w:lang w:val="en-US" w:eastAsia="zh-CN"/>
                    </w:rPr>
                    <w:t>食堂</w:t>
                  </w:r>
                  <w:r>
                    <w:t>油烟</w:t>
                  </w:r>
                </w:p>
              </w:tc>
            </w:tr>
            <w:tr w14:paraId="3364BD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l2br w:val="nil"/>
                    <w:tr2bl w:val="nil"/>
                  </w:tcBorders>
                  <w:vAlign w:val="center"/>
                </w:tcPr>
                <w:p w14:paraId="3C3A3FD1">
                  <w:pPr>
                    <w:bidi w:val="0"/>
                    <w:jc w:val="center"/>
                    <w:rPr>
                      <w:rFonts w:hint="default"/>
                      <w:lang w:val="en-US" w:eastAsia="zh-CN"/>
                    </w:rPr>
                  </w:pPr>
                  <w:r>
                    <w:rPr>
                      <w:rFonts w:hint="eastAsia"/>
                      <w:lang w:val="en-US" w:eastAsia="zh-CN"/>
                    </w:rPr>
                    <w:t>7</w:t>
                  </w:r>
                </w:p>
              </w:tc>
              <w:tc>
                <w:tcPr>
                  <w:tcW w:w="913" w:type="pct"/>
                  <w:tcBorders>
                    <w:tl2br w:val="nil"/>
                    <w:tr2bl w:val="nil"/>
                  </w:tcBorders>
                  <w:vAlign w:val="center"/>
                </w:tcPr>
                <w:p w14:paraId="606CF4EA">
                  <w:pPr>
                    <w:bidi w:val="0"/>
                    <w:jc w:val="center"/>
                  </w:pPr>
                  <w:r>
                    <w:t>废水</w:t>
                  </w:r>
                </w:p>
              </w:tc>
              <w:tc>
                <w:tcPr>
                  <w:tcW w:w="1086" w:type="pct"/>
                  <w:tcBorders>
                    <w:tl2br w:val="nil"/>
                    <w:tr2bl w:val="nil"/>
                  </w:tcBorders>
                  <w:vAlign w:val="center"/>
                </w:tcPr>
                <w:p w14:paraId="768A35A2">
                  <w:pPr>
                    <w:bidi w:val="0"/>
                    <w:jc w:val="center"/>
                  </w:pPr>
                  <w:r>
                    <w:rPr>
                      <w:rFonts w:hint="eastAsia"/>
                      <w:lang w:val="en-US" w:eastAsia="zh-CN"/>
                    </w:rPr>
                    <w:t>生产废水、</w:t>
                  </w:r>
                  <w:r>
                    <w:t>生活污水</w:t>
                  </w:r>
                </w:p>
              </w:tc>
              <w:tc>
                <w:tcPr>
                  <w:tcW w:w="1000" w:type="pct"/>
                  <w:tcBorders>
                    <w:tl2br w:val="nil"/>
                    <w:tr2bl w:val="nil"/>
                  </w:tcBorders>
                  <w:vAlign w:val="center"/>
                </w:tcPr>
                <w:p w14:paraId="4C99A88E">
                  <w:pPr>
                    <w:bidi w:val="0"/>
                    <w:jc w:val="center"/>
                  </w:pPr>
                  <w:r>
                    <w:t>生活污水</w:t>
                  </w:r>
                </w:p>
              </w:tc>
              <w:tc>
                <w:tcPr>
                  <w:tcW w:w="1000" w:type="pct"/>
                  <w:tcBorders>
                    <w:tl2br w:val="nil"/>
                    <w:tr2bl w:val="nil"/>
                  </w:tcBorders>
                  <w:vAlign w:val="center"/>
                </w:tcPr>
                <w:p w14:paraId="62DAF944">
                  <w:pPr>
                    <w:bidi w:val="0"/>
                    <w:jc w:val="center"/>
                  </w:pPr>
                  <w:r>
                    <w:t>COD、</w:t>
                  </w:r>
                  <w:r>
                    <w:rPr>
                      <w:rFonts w:hint="eastAsia"/>
                      <w:lang w:val="en-US" w:eastAsia="zh-CN"/>
                    </w:rPr>
                    <w:t>BOD、</w:t>
                  </w:r>
                  <w:r>
                    <w:t>NH3-N、SS</w:t>
                  </w:r>
                </w:p>
              </w:tc>
            </w:tr>
            <w:tr w14:paraId="53370D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l2br w:val="nil"/>
                    <w:tr2bl w:val="nil"/>
                  </w:tcBorders>
                  <w:vAlign w:val="center"/>
                </w:tcPr>
                <w:p w14:paraId="5117F749">
                  <w:pPr>
                    <w:bidi w:val="0"/>
                    <w:jc w:val="center"/>
                    <w:rPr>
                      <w:rFonts w:hint="eastAsia"/>
                      <w:lang w:val="en-US" w:eastAsia="zh-CN"/>
                    </w:rPr>
                  </w:pPr>
                  <w:r>
                    <w:rPr>
                      <w:rFonts w:hint="eastAsia"/>
                      <w:lang w:val="en-US" w:eastAsia="zh-CN"/>
                    </w:rPr>
                    <w:t>8</w:t>
                  </w:r>
                </w:p>
              </w:tc>
              <w:tc>
                <w:tcPr>
                  <w:tcW w:w="913" w:type="pct"/>
                  <w:vMerge w:val="restart"/>
                  <w:tcBorders>
                    <w:tl2br w:val="nil"/>
                    <w:tr2bl w:val="nil"/>
                  </w:tcBorders>
                  <w:vAlign w:val="center"/>
                </w:tcPr>
                <w:p w14:paraId="7FEA2A4B">
                  <w:pPr>
                    <w:bidi w:val="0"/>
                    <w:jc w:val="center"/>
                  </w:pPr>
                  <w:r>
                    <w:t>固废</w:t>
                  </w:r>
                </w:p>
              </w:tc>
              <w:tc>
                <w:tcPr>
                  <w:tcW w:w="1086" w:type="pct"/>
                  <w:tcBorders>
                    <w:tl2br w:val="nil"/>
                    <w:tr2bl w:val="nil"/>
                  </w:tcBorders>
                  <w:vAlign w:val="center"/>
                </w:tcPr>
                <w:p w14:paraId="15D30F83">
                  <w:pPr>
                    <w:bidi w:val="0"/>
                    <w:jc w:val="center"/>
                  </w:pPr>
                  <w:r>
                    <w:t>不合格混凝土</w:t>
                  </w:r>
                </w:p>
              </w:tc>
              <w:tc>
                <w:tcPr>
                  <w:tcW w:w="1000" w:type="pct"/>
                  <w:tcBorders>
                    <w:tl2br w:val="nil"/>
                    <w:tr2bl w:val="nil"/>
                  </w:tcBorders>
                  <w:vAlign w:val="center"/>
                </w:tcPr>
                <w:p w14:paraId="7D0849F0">
                  <w:pPr>
                    <w:bidi w:val="0"/>
                    <w:jc w:val="center"/>
                  </w:pPr>
                  <w:r>
                    <w:t>不合格混凝土</w:t>
                  </w:r>
                </w:p>
              </w:tc>
              <w:tc>
                <w:tcPr>
                  <w:tcW w:w="1000" w:type="pct"/>
                  <w:tcBorders>
                    <w:tl2br w:val="nil"/>
                    <w:tr2bl w:val="nil"/>
                  </w:tcBorders>
                  <w:vAlign w:val="center"/>
                </w:tcPr>
                <w:p w14:paraId="6503D05E">
                  <w:pPr>
                    <w:bidi w:val="0"/>
                    <w:jc w:val="center"/>
                  </w:pPr>
                  <w:r>
                    <w:t>/</w:t>
                  </w:r>
                </w:p>
              </w:tc>
            </w:tr>
            <w:tr w14:paraId="3276B0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l2br w:val="nil"/>
                    <w:tr2bl w:val="nil"/>
                  </w:tcBorders>
                  <w:vAlign w:val="center"/>
                </w:tcPr>
                <w:p w14:paraId="38A5B372">
                  <w:pPr>
                    <w:bidi w:val="0"/>
                    <w:jc w:val="center"/>
                    <w:rPr>
                      <w:rFonts w:hint="eastAsia"/>
                      <w:lang w:val="en-US" w:eastAsia="zh-CN"/>
                    </w:rPr>
                  </w:pPr>
                  <w:r>
                    <w:rPr>
                      <w:rFonts w:hint="eastAsia"/>
                      <w:lang w:val="en-US" w:eastAsia="zh-CN"/>
                    </w:rPr>
                    <w:t>9</w:t>
                  </w:r>
                </w:p>
              </w:tc>
              <w:tc>
                <w:tcPr>
                  <w:tcW w:w="913" w:type="pct"/>
                  <w:vMerge w:val="continue"/>
                  <w:tcBorders>
                    <w:tl2br w:val="nil"/>
                    <w:tr2bl w:val="nil"/>
                  </w:tcBorders>
                  <w:vAlign w:val="center"/>
                </w:tcPr>
                <w:p w14:paraId="773F6AE6">
                  <w:pPr>
                    <w:bidi w:val="0"/>
                  </w:pPr>
                </w:p>
              </w:tc>
              <w:tc>
                <w:tcPr>
                  <w:tcW w:w="1086" w:type="pct"/>
                  <w:tcBorders>
                    <w:tl2br w:val="nil"/>
                    <w:tr2bl w:val="nil"/>
                  </w:tcBorders>
                  <w:vAlign w:val="center"/>
                </w:tcPr>
                <w:p w14:paraId="5D87E007">
                  <w:pPr>
                    <w:bidi w:val="0"/>
                    <w:jc w:val="center"/>
                    <w:rPr>
                      <w:rFonts w:hint="eastAsia"/>
                      <w:lang w:eastAsia="zh-CN"/>
                    </w:rPr>
                  </w:pPr>
                  <w:r>
                    <w:rPr>
                      <w:rFonts w:hint="eastAsia"/>
                      <w:lang w:eastAsia="zh-CN"/>
                    </w:rPr>
                    <w:t>布袋除尘器收集的粉尘</w:t>
                  </w:r>
                </w:p>
              </w:tc>
              <w:tc>
                <w:tcPr>
                  <w:tcW w:w="1000" w:type="pct"/>
                  <w:tcBorders>
                    <w:tl2br w:val="nil"/>
                    <w:tr2bl w:val="nil"/>
                  </w:tcBorders>
                  <w:vAlign w:val="center"/>
                </w:tcPr>
                <w:p w14:paraId="794CE5F6">
                  <w:pPr>
                    <w:bidi w:val="0"/>
                    <w:jc w:val="center"/>
                    <w:rPr>
                      <w:rFonts w:hint="eastAsia"/>
                      <w:lang w:eastAsia="zh-CN"/>
                    </w:rPr>
                  </w:pPr>
                  <w:r>
                    <w:rPr>
                      <w:rFonts w:hint="eastAsia"/>
                      <w:lang w:eastAsia="zh-CN"/>
                    </w:rPr>
                    <w:t>布袋除尘器收集的粉尘</w:t>
                  </w:r>
                </w:p>
              </w:tc>
              <w:tc>
                <w:tcPr>
                  <w:tcW w:w="1000" w:type="pct"/>
                  <w:tcBorders>
                    <w:tl2br w:val="nil"/>
                    <w:tr2bl w:val="nil"/>
                  </w:tcBorders>
                  <w:vAlign w:val="center"/>
                </w:tcPr>
                <w:p w14:paraId="44DCE548">
                  <w:pPr>
                    <w:bidi w:val="0"/>
                    <w:jc w:val="center"/>
                    <w:rPr>
                      <w:rFonts w:hint="eastAsia"/>
                      <w:lang w:val="en-US" w:eastAsia="zh-CN"/>
                    </w:rPr>
                  </w:pPr>
                  <w:r>
                    <w:rPr>
                      <w:rFonts w:hint="eastAsia"/>
                      <w:lang w:val="en-US" w:eastAsia="zh-CN"/>
                    </w:rPr>
                    <w:t>/</w:t>
                  </w:r>
                </w:p>
              </w:tc>
            </w:tr>
            <w:tr w14:paraId="587F9A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l2br w:val="nil"/>
                    <w:tr2bl w:val="nil"/>
                  </w:tcBorders>
                  <w:vAlign w:val="center"/>
                </w:tcPr>
                <w:p w14:paraId="2209AD12">
                  <w:pPr>
                    <w:bidi w:val="0"/>
                    <w:jc w:val="center"/>
                    <w:rPr>
                      <w:rFonts w:hint="default"/>
                      <w:lang w:val="en-US" w:eastAsia="zh-CN"/>
                    </w:rPr>
                  </w:pPr>
                  <w:r>
                    <w:rPr>
                      <w:rFonts w:hint="eastAsia"/>
                      <w:lang w:val="en-US" w:eastAsia="zh-CN"/>
                    </w:rPr>
                    <w:t>10</w:t>
                  </w:r>
                </w:p>
              </w:tc>
              <w:tc>
                <w:tcPr>
                  <w:tcW w:w="913" w:type="pct"/>
                  <w:vMerge w:val="continue"/>
                  <w:tcBorders>
                    <w:tl2br w:val="nil"/>
                    <w:tr2bl w:val="nil"/>
                  </w:tcBorders>
                  <w:vAlign w:val="center"/>
                </w:tcPr>
                <w:p w14:paraId="694020A4">
                  <w:pPr>
                    <w:bidi w:val="0"/>
                  </w:pPr>
                </w:p>
              </w:tc>
              <w:tc>
                <w:tcPr>
                  <w:tcW w:w="1086" w:type="pct"/>
                  <w:tcBorders>
                    <w:tl2br w:val="nil"/>
                    <w:tr2bl w:val="nil"/>
                  </w:tcBorders>
                  <w:vAlign w:val="center"/>
                </w:tcPr>
                <w:p w14:paraId="55C22D9E">
                  <w:pPr>
                    <w:bidi w:val="0"/>
                    <w:jc w:val="center"/>
                    <w:rPr>
                      <w:rFonts w:hint="eastAsia"/>
                      <w:lang w:eastAsia="zh-CN"/>
                    </w:rPr>
                  </w:pPr>
                  <w:r>
                    <w:rPr>
                      <w:rFonts w:hint="eastAsia"/>
                      <w:lang w:eastAsia="zh-CN"/>
                    </w:rPr>
                    <w:t>沉淀池沉淀物</w:t>
                  </w:r>
                </w:p>
              </w:tc>
              <w:tc>
                <w:tcPr>
                  <w:tcW w:w="1000" w:type="pct"/>
                  <w:tcBorders>
                    <w:tl2br w:val="nil"/>
                    <w:tr2bl w:val="nil"/>
                  </w:tcBorders>
                  <w:vAlign w:val="center"/>
                </w:tcPr>
                <w:p w14:paraId="2EC42214">
                  <w:pPr>
                    <w:bidi w:val="0"/>
                    <w:jc w:val="center"/>
                    <w:rPr>
                      <w:rFonts w:hint="eastAsia"/>
                      <w:lang w:eastAsia="zh-CN"/>
                    </w:rPr>
                  </w:pPr>
                  <w:r>
                    <w:rPr>
                      <w:rFonts w:hint="eastAsia"/>
                      <w:lang w:eastAsia="zh-CN"/>
                    </w:rPr>
                    <w:t>沉淀池沉淀物</w:t>
                  </w:r>
                </w:p>
              </w:tc>
              <w:tc>
                <w:tcPr>
                  <w:tcW w:w="1000" w:type="pct"/>
                  <w:tcBorders>
                    <w:tl2br w:val="nil"/>
                    <w:tr2bl w:val="nil"/>
                  </w:tcBorders>
                  <w:vAlign w:val="center"/>
                </w:tcPr>
                <w:p w14:paraId="3D38CABA">
                  <w:pPr>
                    <w:bidi w:val="0"/>
                    <w:jc w:val="center"/>
                  </w:pPr>
                  <w:r>
                    <w:t>/</w:t>
                  </w:r>
                </w:p>
              </w:tc>
            </w:tr>
            <w:tr w14:paraId="3797F0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000" w:type="pct"/>
                  <w:tcBorders>
                    <w:tl2br w:val="nil"/>
                    <w:tr2bl w:val="nil"/>
                  </w:tcBorders>
                  <w:vAlign w:val="center"/>
                </w:tcPr>
                <w:p w14:paraId="74C8451C">
                  <w:pPr>
                    <w:bidi w:val="0"/>
                    <w:jc w:val="center"/>
                    <w:rPr>
                      <w:rFonts w:hint="eastAsia"/>
                      <w:lang w:val="en-US" w:eastAsia="zh-CN"/>
                    </w:rPr>
                  </w:pPr>
                  <w:r>
                    <w:t>1</w:t>
                  </w:r>
                  <w:r>
                    <w:rPr>
                      <w:rFonts w:hint="eastAsia"/>
                      <w:lang w:val="en-US" w:eastAsia="zh-CN"/>
                    </w:rPr>
                    <w:t>1</w:t>
                  </w:r>
                </w:p>
              </w:tc>
              <w:tc>
                <w:tcPr>
                  <w:tcW w:w="913" w:type="pct"/>
                  <w:vMerge w:val="continue"/>
                  <w:tcBorders>
                    <w:tl2br w:val="nil"/>
                    <w:tr2bl w:val="nil"/>
                  </w:tcBorders>
                  <w:vAlign w:val="center"/>
                </w:tcPr>
                <w:p w14:paraId="70B97DC6">
                  <w:pPr>
                    <w:bidi w:val="0"/>
                  </w:pPr>
                </w:p>
              </w:tc>
              <w:tc>
                <w:tcPr>
                  <w:tcW w:w="1086" w:type="pct"/>
                  <w:tcBorders>
                    <w:tl2br w:val="nil"/>
                    <w:tr2bl w:val="nil"/>
                  </w:tcBorders>
                  <w:vAlign w:val="center"/>
                </w:tcPr>
                <w:p w14:paraId="3895936E">
                  <w:pPr>
                    <w:bidi w:val="0"/>
                    <w:jc w:val="center"/>
                  </w:pPr>
                  <w:r>
                    <w:t>生活垃圾</w:t>
                  </w:r>
                </w:p>
              </w:tc>
              <w:tc>
                <w:tcPr>
                  <w:tcW w:w="1000" w:type="pct"/>
                  <w:tcBorders>
                    <w:tl2br w:val="nil"/>
                    <w:tr2bl w:val="nil"/>
                  </w:tcBorders>
                  <w:vAlign w:val="center"/>
                </w:tcPr>
                <w:p w14:paraId="668F18E4">
                  <w:pPr>
                    <w:bidi w:val="0"/>
                    <w:jc w:val="center"/>
                  </w:pPr>
                  <w:r>
                    <w:t>生活垃圾</w:t>
                  </w:r>
                </w:p>
              </w:tc>
              <w:tc>
                <w:tcPr>
                  <w:tcW w:w="1000" w:type="pct"/>
                  <w:tcBorders>
                    <w:tl2br w:val="nil"/>
                    <w:tr2bl w:val="nil"/>
                  </w:tcBorders>
                  <w:vAlign w:val="center"/>
                </w:tcPr>
                <w:p w14:paraId="1F89C1C9">
                  <w:pPr>
                    <w:bidi w:val="0"/>
                    <w:jc w:val="center"/>
                  </w:pPr>
                  <w:r>
                    <w:t>/</w:t>
                  </w:r>
                </w:p>
              </w:tc>
            </w:tr>
            <w:tr w14:paraId="1DC9E3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000" w:type="pct"/>
                  <w:tcBorders>
                    <w:tl2br w:val="nil"/>
                    <w:tr2bl w:val="nil"/>
                  </w:tcBorders>
                  <w:vAlign w:val="center"/>
                </w:tcPr>
                <w:p w14:paraId="3940C962">
                  <w:pPr>
                    <w:bidi w:val="0"/>
                    <w:jc w:val="center"/>
                    <w:rPr>
                      <w:rFonts w:hint="eastAsia"/>
                      <w:lang w:val="en-US" w:eastAsia="zh-CN"/>
                    </w:rPr>
                  </w:pPr>
                  <w:r>
                    <w:t>1</w:t>
                  </w:r>
                  <w:r>
                    <w:rPr>
                      <w:rFonts w:hint="eastAsia"/>
                      <w:lang w:val="en-US" w:eastAsia="zh-CN"/>
                    </w:rPr>
                    <w:t>2</w:t>
                  </w:r>
                </w:p>
              </w:tc>
              <w:tc>
                <w:tcPr>
                  <w:tcW w:w="913" w:type="pct"/>
                  <w:vMerge w:val="continue"/>
                  <w:tcBorders>
                    <w:tl2br w:val="nil"/>
                    <w:tr2bl w:val="nil"/>
                  </w:tcBorders>
                  <w:vAlign w:val="center"/>
                </w:tcPr>
                <w:p w14:paraId="1B29A409">
                  <w:pPr>
                    <w:bidi w:val="0"/>
                  </w:pPr>
                </w:p>
              </w:tc>
              <w:tc>
                <w:tcPr>
                  <w:tcW w:w="1086" w:type="pct"/>
                  <w:tcBorders>
                    <w:tl2br w:val="nil"/>
                    <w:tr2bl w:val="nil"/>
                  </w:tcBorders>
                  <w:vAlign w:val="center"/>
                </w:tcPr>
                <w:p w14:paraId="332683F3">
                  <w:pPr>
                    <w:bidi w:val="0"/>
                    <w:jc w:val="center"/>
                  </w:pPr>
                  <w:r>
                    <w:t>废机油</w:t>
                  </w:r>
                </w:p>
              </w:tc>
              <w:tc>
                <w:tcPr>
                  <w:tcW w:w="1000" w:type="pct"/>
                  <w:tcBorders>
                    <w:tl2br w:val="nil"/>
                    <w:tr2bl w:val="nil"/>
                  </w:tcBorders>
                  <w:vAlign w:val="center"/>
                </w:tcPr>
                <w:p w14:paraId="391144C6">
                  <w:pPr>
                    <w:bidi w:val="0"/>
                    <w:jc w:val="center"/>
                  </w:pPr>
                  <w:r>
                    <w:t>废机油</w:t>
                  </w:r>
                </w:p>
              </w:tc>
              <w:tc>
                <w:tcPr>
                  <w:tcW w:w="1000" w:type="pct"/>
                  <w:tcBorders>
                    <w:tl2br w:val="nil"/>
                    <w:tr2bl w:val="nil"/>
                  </w:tcBorders>
                  <w:vAlign w:val="center"/>
                </w:tcPr>
                <w:p w14:paraId="08972560">
                  <w:pPr>
                    <w:bidi w:val="0"/>
                    <w:jc w:val="center"/>
                  </w:pPr>
                  <w:r>
                    <w:t>/</w:t>
                  </w:r>
                </w:p>
              </w:tc>
            </w:tr>
          </w:tbl>
          <w:p w14:paraId="2E8D0AC6">
            <w:pPr>
              <w:adjustRightInd w:val="0"/>
              <w:snapToGrid w:val="0"/>
              <w:rPr>
                <w:bCs/>
                <w:color w:val="auto"/>
                <w:sz w:val="24"/>
              </w:rPr>
            </w:pPr>
          </w:p>
        </w:tc>
      </w:tr>
      <w:tr w14:paraId="280261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14:paraId="4B2161D6">
            <w:pPr>
              <w:pStyle w:val="24"/>
              <w:adjustRightInd w:val="0"/>
              <w:snapToGrid w:val="0"/>
              <w:spacing w:before="0" w:beforeAutospacing="0" w:after="0" w:afterAutospacing="0"/>
              <w:jc w:val="center"/>
              <w:rPr>
                <w:rFonts w:ascii="Times New Roman" w:hAnsi="Times New Roman"/>
                <w:color w:val="auto"/>
                <w:szCs w:val="24"/>
              </w:rPr>
            </w:pPr>
            <w:r>
              <w:rPr>
                <w:rFonts w:ascii="Times New Roman" w:hAnsi="Times New Roman"/>
                <w:bCs/>
                <w:color w:val="auto"/>
                <w:kern w:val="2"/>
                <w:szCs w:val="24"/>
              </w:rPr>
              <w:t>与项目有关的原有环境污染问题</w:t>
            </w:r>
          </w:p>
        </w:tc>
        <w:tc>
          <w:tcPr>
            <w:tcW w:w="8161" w:type="dxa"/>
            <w:vAlign w:val="center"/>
          </w:tcPr>
          <w:p w14:paraId="4FFCCDA0">
            <w:pPr>
              <w:bidi w:val="0"/>
              <w:jc w:val="center"/>
              <w:rPr>
                <w:sz w:val="24"/>
                <w:szCs w:val="32"/>
                <w:lang w:val="en-US" w:eastAsia="zh-CN"/>
              </w:rPr>
            </w:pPr>
          </w:p>
          <w:p w14:paraId="56F44728">
            <w:pPr>
              <w:bidi w:val="0"/>
              <w:jc w:val="center"/>
              <w:rPr>
                <w:sz w:val="24"/>
                <w:szCs w:val="32"/>
                <w:lang w:val="en-US" w:eastAsia="zh-CN"/>
              </w:rPr>
            </w:pPr>
          </w:p>
          <w:p w14:paraId="39FFBDC3">
            <w:pPr>
              <w:bidi w:val="0"/>
              <w:jc w:val="center"/>
              <w:rPr>
                <w:sz w:val="24"/>
                <w:szCs w:val="32"/>
                <w:lang w:val="en-US" w:eastAsia="zh-CN"/>
              </w:rPr>
            </w:pPr>
          </w:p>
          <w:p w14:paraId="4CE07397">
            <w:pPr>
              <w:bidi w:val="0"/>
              <w:jc w:val="center"/>
              <w:rPr>
                <w:sz w:val="24"/>
                <w:szCs w:val="32"/>
                <w:lang w:val="en-US" w:eastAsia="zh-CN"/>
              </w:rPr>
            </w:pPr>
          </w:p>
          <w:p w14:paraId="0ED0EAD4">
            <w:pPr>
              <w:bidi w:val="0"/>
              <w:jc w:val="center"/>
              <w:rPr>
                <w:sz w:val="24"/>
                <w:szCs w:val="32"/>
                <w:lang w:val="en-US" w:eastAsia="zh-CN"/>
              </w:rPr>
            </w:pPr>
          </w:p>
          <w:p w14:paraId="26058C52">
            <w:pPr>
              <w:bidi w:val="0"/>
              <w:jc w:val="center"/>
              <w:rPr>
                <w:sz w:val="24"/>
                <w:szCs w:val="32"/>
                <w:lang w:val="en-US" w:eastAsia="zh-CN"/>
              </w:rPr>
            </w:pPr>
          </w:p>
          <w:p w14:paraId="43805BF9">
            <w:pPr>
              <w:bidi w:val="0"/>
              <w:jc w:val="center"/>
              <w:rPr>
                <w:sz w:val="24"/>
                <w:szCs w:val="32"/>
                <w:lang w:val="en-US" w:eastAsia="zh-CN"/>
              </w:rPr>
            </w:pPr>
          </w:p>
          <w:p w14:paraId="0D5CEB8B">
            <w:pPr>
              <w:bidi w:val="0"/>
              <w:jc w:val="both"/>
              <w:rPr>
                <w:sz w:val="24"/>
                <w:szCs w:val="32"/>
                <w:lang w:val="en-US" w:eastAsia="zh-CN"/>
              </w:rPr>
            </w:pPr>
          </w:p>
          <w:p w14:paraId="3F5DE8DF">
            <w:pPr>
              <w:bidi w:val="0"/>
              <w:jc w:val="center"/>
              <w:rPr>
                <w:sz w:val="24"/>
                <w:szCs w:val="32"/>
                <w:lang w:val="en-US" w:eastAsia="zh-CN"/>
              </w:rPr>
            </w:pPr>
          </w:p>
          <w:p w14:paraId="2FD550EC">
            <w:pPr>
              <w:bidi w:val="0"/>
              <w:jc w:val="center"/>
              <w:rPr>
                <w:sz w:val="24"/>
                <w:szCs w:val="32"/>
                <w:lang w:val="en-US" w:eastAsia="zh-CN"/>
              </w:rPr>
            </w:pPr>
          </w:p>
          <w:p w14:paraId="00CE2328">
            <w:pPr>
              <w:bidi w:val="0"/>
              <w:jc w:val="center"/>
              <w:rPr>
                <w:rFonts w:hint="eastAsia"/>
                <w:sz w:val="24"/>
                <w:szCs w:val="32"/>
                <w:lang w:val="en-US" w:eastAsia="zh-CN"/>
              </w:rPr>
            </w:pPr>
            <w:r>
              <w:rPr>
                <w:sz w:val="24"/>
                <w:szCs w:val="32"/>
                <w:lang w:val="en-US" w:eastAsia="zh-CN"/>
              </w:rPr>
              <w:t>本项目为新建项目，</w:t>
            </w:r>
            <w:r>
              <w:rPr>
                <w:rFonts w:hint="eastAsia"/>
                <w:sz w:val="24"/>
                <w:szCs w:val="32"/>
                <w:lang w:val="en-US" w:eastAsia="zh-CN"/>
              </w:rPr>
              <w:t>不存在原有环境污染问题。</w:t>
            </w:r>
          </w:p>
          <w:p w14:paraId="3F605092">
            <w:pPr>
              <w:pStyle w:val="40"/>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center"/>
              <w:textAlignment w:val="auto"/>
              <w:rPr>
                <w:rFonts w:hint="eastAsia" w:ascii="Times New Roman" w:hAnsi="Times New Roman" w:eastAsia="宋体" w:cs="Times New Roman"/>
                <w:color w:val="auto"/>
                <w:kern w:val="0"/>
                <w:sz w:val="24"/>
                <w:szCs w:val="24"/>
                <w:highlight w:val="none"/>
                <w:lang w:val="en-US" w:eastAsia="zh-CN" w:bidi="ar-SA"/>
              </w:rPr>
            </w:pPr>
          </w:p>
          <w:p w14:paraId="57BE5C3A">
            <w:pPr>
              <w:pStyle w:val="40"/>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center"/>
              <w:textAlignment w:val="auto"/>
              <w:rPr>
                <w:rFonts w:hint="eastAsia" w:ascii="Times New Roman" w:hAnsi="Times New Roman" w:eastAsia="宋体" w:cs="Times New Roman"/>
                <w:color w:val="auto"/>
                <w:kern w:val="0"/>
                <w:sz w:val="24"/>
                <w:szCs w:val="24"/>
                <w:highlight w:val="none"/>
                <w:lang w:val="en-US" w:eastAsia="zh-CN" w:bidi="ar-SA"/>
              </w:rPr>
            </w:pPr>
          </w:p>
          <w:p w14:paraId="4A4D411A">
            <w:pPr>
              <w:pStyle w:val="40"/>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center"/>
              <w:textAlignment w:val="auto"/>
              <w:rPr>
                <w:rFonts w:hint="eastAsia" w:ascii="Times New Roman" w:hAnsi="Times New Roman" w:eastAsia="宋体" w:cs="Times New Roman"/>
                <w:color w:val="auto"/>
                <w:kern w:val="0"/>
                <w:sz w:val="24"/>
                <w:szCs w:val="24"/>
                <w:highlight w:val="none"/>
                <w:lang w:val="en-US" w:eastAsia="zh-CN" w:bidi="ar-SA"/>
              </w:rPr>
            </w:pPr>
          </w:p>
          <w:p w14:paraId="79C16B8D">
            <w:pPr>
              <w:pStyle w:val="40"/>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center"/>
              <w:textAlignment w:val="auto"/>
              <w:rPr>
                <w:rFonts w:hint="eastAsia" w:ascii="Times New Roman" w:hAnsi="Times New Roman" w:eastAsia="宋体" w:cs="Times New Roman"/>
                <w:color w:val="auto"/>
                <w:kern w:val="0"/>
                <w:sz w:val="24"/>
                <w:szCs w:val="24"/>
                <w:highlight w:val="none"/>
                <w:lang w:val="en-US" w:eastAsia="zh-CN" w:bidi="ar-SA"/>
              </w:rPr>
            </w:pPr>
          </w:p>
          <w:p w14:paraId="44D09C84">
            <w:pPr>
              <w:pStyle w:val="40"/>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center"/>
              <w:textAlignment w:val="auto"/>
              <w:rPr>
                <w:rFonts w:hint="eastAsia" w:ascii="Times New Roman" w:hAnsi="Times New Roman" w:eastAsia="宋体" w:cs="Times New Roman"/>
                <w:color w:val="auto"/>
                <w:kern w:val="0"/>
                <w:sz w:val="24"/>
                <w:szCs w:val="24"/>
                <w:highlight w:val="none"/>
                <w:lang w:val="en-US" w:eastAsia="zh-CN" w:bidi="ar-SA"/>
              </w:rPr>
            </w:pPr>
          </w:p>
          <w:p w14:paraId="6F051AEE">
            <w:pPr>
              <w:pStyle w:val="40"/>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center"/>
              <w:textAlignment w:val="auto"/>
              <w:rPr>
                <w:rFonts w:hint="eastAsia" w:ascii="Times New Roman" w:hAnsi="Times New Roman" w:eastAsia="宋体" w:cs="Times New Roman"/>
                <w:color w:val="auto"/>
                <w:kern w:val="0"/>
                <w:sz w:val="24"/>
                <w:szCs w:val="24"/>
                <w:highlight w:val="none"/>
                <w:lang w:val="en-US" w:eastAsia="zh-CN" w:bidi="ar-SA"/>
              </w:rPr>
            </w:pPr>
          </w:p>
          <w:p w14:paraId="1DCCBE42">
            <w:pPr>
              <w:pStyle w:val="40"/>
              <w:keepNext w:val="0"/>
              <w:keepLines w:val="0"/>
              <w:pageBreakBefore w:val="0"/>
              <w:widowControl w:val="0"/>
              <w:kinsoku/>
              <w:wordWrap/>
              <w:overflowPunct/>
              <w:topLinePunct w:val="0"/>
              <w:autoSpaceDE/>
              <w:autoSpaceDN/>
              <w:bidi w:val="0"/>
              <w:adjustRightInd w:val="0"/>
              <w:snapToGrid w:val="0"/>
              <w:spacing w:after="0" w:line="440" w:lineRule="exact"/>
              <w:jc w:val="both"/>
              <w:textAlignment w:val="auto"/>
              <w:rPr>
                <w:rFonts w:hint="eastAsia" w:ascii="Times New Roman" w:hAnsi="Times New Roman" w:eastAsia="宋体" w:cs="Times New Roman"/>
                <w:color w:val="auto"/>
                <w:kern w:val="0"/>
                <w:sz w:val="24"/>
                <w:szCs w:val="24"/>
                <w:highlight w:val="none"/>
                <w:lang w:val="en-US" w:eastAsia="zh-CN" w:bidi="ar-SA"/>
              </w:rPr>
            </w:pPr>
          </w:p>
        </w:tc>
      </w:tr>
    </w:tbl>
    <w:p w14:paraId="02C9C460">
      <w:pPr>
        <w:pStyle w:val="24"/>
        <w:jc w:val="center"/>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0223A9FE">
      <w:pPr>
        <w:pStyle w:val="24"/>
        <w:adjustRightInd w:val="0"/>
        <w:snapToGrid w:val="0"/>
        <w:spacing w:before="0" w:beforeAutospacing="0" w:after="0" w:afterAutospacing="0" w:line="14" w:lineRule="auto"/>
        <w:jc w:val="center"/>
        <w:outlineLvl w:val="0"/>
        <w:rPr>
          <w:rFonts w:ascii="黑体" w:hAnsi="黑体" w:eastAsia="黑体"/>
          <w:snapToGrid w:val="0"/>
          <w:color w:val="auto"/>
          <w:sz w:val="30"/>
          <w:szCs w:val="30"/>
        </w:rPr>
      </w:pPr>
    </w:p>
    <w:p w14:paraId="3626A3AF">
      <w:pPr>
        <w:pStyle w:val="24"/>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8266"/>
      </w:tblGrid>
      <w:tr w14:paraId="5B1AF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16" w:hRule="atLeast"/>
          <w:jc w:val="center"/>
        </w:trPr>
        <w:tc>
          <w:tcPr>
            <w:tcW w:w="800" w:type="dxa"/>
            <w:vAlign w:val="center"/>
          </w:tcPr>
          <w:p w14:paraId="047BD916">
            <w:pPr>
              <w:adjustRightInd w:val="0"/>
              <w:snapToGrid w:val="0"/>
              <w:jc w:val="center"/>
              <w:rPr>
                <w:rFonts w:ascii="宋体" w:hAnsi="宋体" w:cs="宋体"/>
                <w:color w:val="auto"/>
                <w:kern w:val="0"/>
                <w:szCs w:val="21"/>
              </w:rPr>
            </w:pPr>
            <w:r>
              <w:rPr>
                <w:rFonts w:hint="eastAsia" w:ascii="宋体" w:hAnsi="宋体" w:cs="宋体"/>
                <w:color w:val="auto"/>
                <w:kern w:val="0"/>
                <w:szCs w:val="21"/>
              </w:rPr>
              <w:t>区域</w:t>
            </w:r>
          </w:p>
          <w:p w14:paraId="2B6A0ED1">
            <w:pPr>
              <w:adjustRightInd w:val="0"/>
              <w:snapToGrid w:val="0"/>
              <w:jc w:val="center"/>
              <w:rPr>
                <w:rFonts w:ascii="宋体" w:hAnsi="宋体" w:cs="宋体"/>
                <w:color w:val="auto"/>
                <w:kern w:val="0"/>
                <w:szCs w:val="21"/>
              </w:rPr>
            </w:pPr>
            <w:r>
              <w:rPr>
                <w:rFonts w:hint="eastAsia" w:ascii="宋体" w:hAnsi="宋体" w:cs="宋体"/>
                <w:color w:val="auto"/>
                <w:kern w:val="0"/>
                <w:szCs w:val="21"/>
              </w:rPr>
              <w:t>环境</w:t>
            </w:r>
          </w:p>
          <w:p w14:paraId="6022546F">
            <w:pPr>
              <w:adjustRightInd w:val="0"/>
              <w:snapToGrid w:val="0"/>
              <w:jc w:val="center"/>
              <w:rPr>
                <w:rFonts w:ascii="宋体" w:hAnsi="宋体" w:cs="宋体"/>
                <w:color w:val="auto"/>
                <w:kern w:val="0"/>
                <w:szCs w:val="21"/>
              </w:rPr>
            </w:pPr>
            <w:r>
              <w:rPr>
                <w:rFonts w:hint="eastAsia" w:ascii="宋体" w:hAnsi="宋体" w:cs="宋体"/>
                <w:color w:val="auto"/>
                <w:kern w:val="0"/>
                <w:szCs w:val="21"/>
              </w:rPr>
              <w:t>质量</w:t>
            </w:r>
          </w:p>
          <w:p w14:paraId="46F2EC66">
            <w:pPr>
              <w:adjustRightInd w:val="0"/>
              <w:snapToGrid w:val="0"/>
              <w:jc w:val="center"/>
              <w:rPr>
                <w:rFonts w:ascii="宋体" w:hAnsi="宋体" w:cs="宋体"/>
                <w:color w:val="auto"/>
                <w:kern w:val="0"/>
                <w:szCs w:val="21"/>
              </w:rPr>
            </w:pPr>
            <w:r>
              <w:rPr>
                <w:rFonts w:hint="eastAsia" w:ascii="宋体" w:hAnsi="宋体" w:cs="宋体"/>
                <w:color w:val="auto"/>
                <w:kern w:val="0"/>
                <w:szCs w:val="21"/>
              </w:rPr>
              <w:t>现状</w:t>
            </w:r>
          </w:p>
        </w:tc>
        <w:tc>
          <w:tcPr>
            <w:tcW w:w="8190" w:type="dxa"/>
            <w:vAlign w:val="center"/>
          </w:tcPr>
          <w:p w14:paraId="22DDD63C">
            <w:pPr>
              <w:pStyle w:val="57"/>
              <w:spacing w:line="360" w:lineRule="auto"/>
              <w:rPr>
                <w:color w:val="auto"/>
              </w:rPr>
            </w:pPr>
            <w:r>
              <w:rPr>
                <w:rFonts w:hint="eastAsia"/>
                <w:color w:val="auto"/>
              </w:rPr>
              <w:t>1</w:t>
            </w:r>
            <w:r>
              <w:rPr>
                <w:color w:val="auto"/>
              </w:rPr>
              <w:t>.</w:t>
            </w:r>
            <w:r>
              <w:rPr>
                <w:rFonts w:hint="eastAsia" w:ascii="Times New Roman" w:hAnsi="Times New Roman" w:eastAsia="宋体" w:cs="Times New Roman"/>
                <w:b/>
                <w:bCs/>
                <w:color w:val="auto"/>
                <w:kern w:val="2"/>
                <w:sz w:val="24"/>
                <w:szCs w:val="24"/>
                <w:lang w:val="en-US" w:eastAsia="zh-CN" w:bidi="ar-SA"/>
              </w:rPr>
              <w:t>大气环境</w:t>
            </w:r>
          </w:p>
          <w:p w14:paraId="21972DCD">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w:t>
            </w:r>
            <w:r>
              <w:rPr>
                <w:rFonts w:ascii="Times New Roman" w:hAnsi="Times New Roman" w:eastAsia="宋体" w:cs="Times New Roman"/>
                <w:b/>
                <w:bCs/>
                <w:color w:val="auto"/>
                <w:sz w:val="24"/>
              </w:rPr>
              <w:t>.1</w:t>
            </w:r>
            <w:r>
              <w:rPr>
                <w:rFonts w:hint="eastAsia" w:ascii="Times New Roman" w:hAnsi="Times New Roman" w:eastAsia="宋体" w:cs="Times New Roman"/>
                <w:b/>
                <w:bCs/>
                <w:color w:val="auto"/>
                <w:sz w:val="24"/>
              </w:rPr>
              <w:t>环境空气质量功能区划</w:t>
            </w:r>
          </w:p>
          <w:p w14:paraId="605F336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本项目位于新疆维吾尔自治区木垒县</w:t>
            </w:r>
            <w:r>
              <w:rPr>
                <w:rFonts w:hint="eastAsia" w:cs="Times New Roman"/>
                <w:color w:val="auto"/>
                <w:kern w:val="0"/>
                <w:sz w:val="24"/>
                <w:lang w:eastAsia="zh-CN"/>
              </w:rPr>
              <w:t>照壁山乡霍斯阔拉村</w:t>
            </w:r>
            <w:r>
              <w:rPr>
                <w:rFonts w:hint="eastAsia" w:ascii="Times New Roman" w:hAnsi="Times New Roman" w:eastAsia="宋体" w:cs="Times New Roman"/>
                <w:color w:val="auto"/>
                <w:kern w:val="0"/>
                <w:sz w:val="24"/>
              </w:rPr>
              <w:t>，参照《环境空气质量功能区划分原则与技术方法》（HJ14-1996），项目所在地环境空气质量功能区属二类区，执行《环境空气质量标准》（GB3095-2012）二级标准。</w:t>
            </w:r>
          </w:p>
          <w:p w14:paraId="34283433">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w:t>
            </w:r>
            <w:r>
              <w:rPr>
                <w:rFonts w:ascii="Times New Roman" w:hAnsi="Times New Roman" w:eastAsia="宋体" w:cs="Times New Roman"/>
                <w:b/>
                <w:bCs/>
                <w:color w:val="auto"/>
                <w:sz w:val="24"/>
              </w:rPr>
              <w:t>.2</w:t>
            </w:r>
            <w:r>
              <w:rPr>
                <w:rFonts w:hint="eastAsia" w:ascii="Times New Roman" w:hAnsi="Times New Roman" w:eastAsia="宋体" w:cs="Times New Roman"/>
                <w:b/>
                <w:bCs/>
                <w:color w:val="auto"/>
                <w:sz w:val="24"/>
              </w:rPr>
              <w:t>评价标准</w:t>
            </w:r>
          </w:p>
          <w:p w14:paraId="3934E7BF">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根据本项目所在区域的环境功能区划，基本污染物SO</w:t>
            </w:r>
            <w:r>
              <w:rPr>
                <w:rFonts w:ascii="Times New Roman" w:hAnsi="Times New Roman" w:eastAsia="宋体" w:cs="Times New Roman"/>
                <w:color w:val="auto"/>
                <w:kern w:val="0"/>
                <w:sz w:val="24"/>
                <w:vertAlign w:val="subscript"/>
              </w:rPr>
              <w:t>2</w:t>
            </w:r>
            <w:r>
              <w:rPr>
                <w:rFonts w:ascii="Times New Roman" w:hAnsi="Times New Roman" w:eastAsia="宋体" w:cs="Times New Roman"/>
                <w:color w:val="auto"/>
                <w:kern w:val="0"/>
                <w:sz w:val="24"/>
              </w:rPr>
              <w:t>、NO</w:t>
            </w:r>
            <w:r>
              <w:rPr>
                <w:rFonts w:ascii="Times New Roman" w:hAnsi="Times New Roman" w:eastAsia="宋体" w:cs="Times New Roman"/>
                <w:color w:val="auto"/>
                <w:kern w:val="0"/>
                <w:sz w:val="24"/>
                <w:vertAlign w:val="subscript"/>
              </w:rPr>
              <w:t>2</w:t>
            </w:r>
            <w:r>
              <w:rPr>
                <w:rFonts w:ascii="Times New Roman" w:hAnsi="Times New Roman" w:eastAsia="宋体" w:cs="Times New Roman"/>
                <w:color w:val="auto"/>
                <w:kern w:val="0"/>
                <w:sz w:val="24"/>
              </w:rPr>
              <w:t>、PM</w:t>
            </w:r>
            <w:r>
              <w:rPr>
                <w:rFonts w:ascii="Times New Roman" w:hAnsi="Times New Roman" w:eastAsia="宋体" w:cs="Times New Roman"/>
                <w:color w:val="auto"/>
                <w:kern w:val="0"/>
                <w:sz w:val="24"/>
                <w:vertAlign w:val="subscript"/>
              </w:rPr>
              <w:t>10</w:t>
            </w:r>
            <w:r>
              <w:rPr>
                <w:rFonts w:ascii="Times New Roman" w:hAnsi="Times New Roman" w:eastAsia="宋体" w:cs="Times New Roman"/>
                <w:color w:val="auto"/>
                <w:kern w:val="0"/>
                <w:sz w:val="24"/>
              </w:rPr>
              <w:t>、PM</w:t>
            </w:r>
            <w:r>
              <w:rPr>
                <w:rFonts w:ascii="Times New Roman" w:hAnsi="Times New Roman" w:eastAsia="宋体" w:cs="Times New Roman"/>
                <w:color w:val="auto"/>
                <w:kern w:val="0"/>
                <w:sz w:val="24"/>
                <w:vertAlign w:val="subscript"/>
              </w:rPr>
              <w:t>2.5</w:t>
            </w:r>
            <w:r>
              <w:rPr>
                <w:rFonts w:ascii="Times New Roman" w:hAnsi="Times New Roman" w:eastAsia="宋体" w:cs="Times New Roman"/>
                <w:color w:val="auto"/>
                <w:kern w:val="0"/>
                <w:sz w:val="24"/>
              </w:rPr>
              <w:t>、CO、O</w:t>
            </w:r>
            <w:r>
              <w:rPr>
                <w:rFonts w:ascii="Times New Roman" w:hAnsi="Times New Roman" w:eastAsia="宋体" w:cs="Times New Roman"/>
                <w:color w:val="auto"/>
                <w:kern w:val="0"/>
                <w:sz w:val="24"/>
                <w:vertAlign w:val="subscript"/>
              </w:rPr>
              <w:t>3</w:t>
            </w:r>
            <w:r>
              <w:rPr>
                <w:rFonts w:ascii="Times New Roman" w:hAnsi="Times New Roman" w:eastAsia="宋体" w:cs="Times New Roman"/>
                <w:color w:val="auto"/>
                <w:kern w:val="0"/>
                <w:sz w:val="24"/>
              </w:rPr>
              <w:t>执行《环境空气质量标准》（GB3095</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2012）中的二级标准。</w:t>
            </w:r>
          </w:p>
          <w:p w14:paraId="04F87EC9">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w:t>
            </w:r>
            <w:r>
              <w:rPr>
                <w:rFonts w:ascii="Times New Roman" w:hAnsi="Times New Roman" w:eastAsia="宋体" w:cs="Times New Roman"/>
                <w:b/>
                <w:bCs/>
                <w:color w:val="auto"/>
                <w:sz w:val="24"/>
              </w:rPr>
              <w:t>.3</w:t>
            </w:r>
            <w:r>
              <w:rPr>
                <w:rFonts w:hint="eastAsia" w:ascii="Times New Roman" w:hAnsi="Times New Roman" w:eastAsia="宋体" w:cs="Times New Roman"/>
                <w:b/>
                <w:bCs/>
                <w:color w:val="auto"/>
                <w:sz w:val="24"/>
              </w:rPr>
              <w:t>评价方法</w:t>
            </w:r>
          </w:p>
          <w:p w14:paraId="606A159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基本污染物按照《环境空气质量评价技术规范（试行）》（HJ663-2013）中各评价项目的年评价指标进行判定。年评价指标中的年均浓度和相应百分位数24h平均或8h平均质量浓度满足GB3095中浓度限值要求的即为达标。对于超标的污染物，计算其超标倍数和超标率。</w:t>
            </w:r>
          </w:p>
          <w:p w14:paraId="3EB809D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计算公式</w:t>
            </w:r>
            <w:r>
              <w:rPr>
                <w:rFonts w:ascii="Times New Roman" w:hAnsi="Times New Roman" w:eastAsia="宋体" w:cs="Times New Roman"/>
                <w:color w:val="auto"/>
                <w:kern w:val="0"/>
                <w:sz w:val="24"/>
              </w:rPr>
              <w:t>：</w:t>
            </w:r>
          </w:p>
          <w:p w14:paraId="1676D596">
            <w:pPr>
              <w:pStyle w:val="64"/>
              <w:ind w:firstLine="480"/>
              <w:jc w:val="center"/>
              <w:rPr>
                <w:rFonts w:cs="Times New Roman"/>
                <w:color w:val="auto"/>
                <w:kern w:val="0"/>
              </w:rPr>
            </w:pPr>
            <w:r>
              <w:rPr>
                <w:rFonts w:cs="Times New Roman"/>
                <w:color w:val="auto"/>
                <w:kern w:val="0"/>
              </w:rPr>
              <w:t>P</w:t>
            </w:r>
            <w:r>
              <w:rPr>
                <w:rFonts w:cs="Times New Roman"/>
                <w:color w:val="auto"/>
                <w:kern w:val="0"/>
                <w:vertAlign w:val="subscript"/>
              </w:rPr>
              <w:t>i</w:t>
            </w:r>
            <w:r>
              <w:rPr>
                <w:rFonts w:cs="Times New Roman"/>
                <w:color w:val="auto"/>
                <w:kern w:val="0"/>
              </w:rPr>
              <w:t>=C</w:t>
            </w:r>
            <w:r>
              <w:rPr>
                <w:rFonts w:cs="Times New Roman"/>
                <w:color w:val="auto"/>
                <w:kern w:val="0"/>
                <w:vertAlign w:val="subscript"/>
              </w:rPr>
              <w:t>i</w:t>
            </w:r>
            <w:r>
              <w:rPr>
                <w:rFonts w:cs="Times New Roman"/>
                <w:color w:val="auto"/>
                <w:kern w:val="0"/>
              </w:rPr>
              <w:t>/C</w:t>
            </w:r>
            <w:r>
              <w:rPr>
                <w:rFonts w:cs="Times New Roman"/>
                <w:color w:val="auto"/>
                <w:kern w:val="0"/>
                <w:vertAlign w:val="subscript"/>
              </w:rPr>
              <w:t>oi</w:t>
            </w:r>
            <w:r>
              <w:rPr>
                <w:rFonts w:cs="Times New Roman"/>
                <w:color w:val="auto"/>
                <w:kern w:val="0"/>
              </w:rPr>
              <w:t>×100%</w:t>
            </w:r>
          </w:p>
          <w:p w14:paraId="4D8B608D">
            <w:pPr>
              <w:pStyle w:val="64"/>
              <w:ind w:firstLine="720" w:firstLineChars="300"/>
              <w:rPr>
                <w:rFonts w:cs="Times New Roman"/>
                <w:color w:val="auto"/>
                <w:kern w:val="0"/>
              </w:rPr>
            </w:pPr>
            <w:r>
              <w:rPr>
                <w:rFonts w:ascii="Times New Roman" w:hAnsi="Times New Roman" w:eastAsia="宋体" w:cs="Times New Roman"/>
                <w:color w:val="auto"/>
                <w:kern w:val="0"/>
                <w:sz w:val="24"/>
                <w:szCs w:val="24"/>
                <w:lang w:val="en-US" w:eastAsia="zh-CN" w:bidi="ar-SA"/>
              </w:rPr>
              <w:t>其中：</w:t>
            </w:r>
            <w:r>
              <w:rPr>
                <w:rFonts w:cs="Times New Roman"/>
                <w:color w:val="auto"/>
                <w:kern w:val="0"/>
              </w:rPr>
              <w:t>P</w:t>
            </w:r>
            <w:r>
              <w:rPr>
                <w:rFonts w:cs="Times New Roman"/>
                <w:color w:val="auto"/>
                <w:kern w:val="0"/>
                <w:vertAlign w:val="subscript"/>
              </w:rPr>
              <w:t>i</w:t>
            </w:r>
            <w:r>
              <w:rPr>
                <w:rFonts w:hint="eastAsia" w:cs="Times New Roman"/>
                <w:color w:val="auto"/>
                <w:kern w:val="0"/>
              </w:rPr>
              <w:t>-</w:t>
            </w:r>
            <w:r>
              <w:rPr>
                <w:rFonts w:hint="eastAsia" w:cs="Times New Roman"/>
                <w:color w:val="auto"/>
                <w:kern w:val="0"/>
                <w:lang w:eastAsia="zh-CN"/>
              </w:rPr>
              <w:t>－</w:t>
            </w:r>
            <w:r>
              <w:rPr>
                <w:rFonts w:cs="Times New Roman"/>
                <w:color w:val="auto"/>
                <w:kern w:val="0"/>
              </w:rPr>
              <w:t>污染物i的地面空气质量浓度占标率，%；</w:t>
            </w:r>
          </w:p>
          <w:p w14:paraId="6127DC3E">
            <w:pPr>
              <w:pStyle w:val="64"/>
              <w:ind w:firstLine="1440" w:firstLineChars="600"/>
              <w:rPr>
                <w:rFonts w:cs="Times New Roman"/>
                <w:color w:val="auto"/>
                <w:kern w:val="0"/>
              </w:rPr>
            </w:pPr>
            <w:r>
              <w:rPr>
                <w:rFonts w:cs="Times New Roman"/>
                <w:color w:val="auto"/>
                <w:kern w:val="0"/>
              </w:rPr>
              <w:t>C</w:t>
            </w:r>
            <w:r>
              <w:rPr>
                <w:rFonts w:cs="Times New Roman"/>
                <w:color w:val="auto"/>
                <w:kern w:val="0"/>
                <w:vertAlign w:val="subscript"/>
              </w:rPr>
              <w:t>i</w:t>
            </w:r>
            <w:r>
              <w:rPr>
                <w:rFonts w:hint="eastAsia" w:cs="Times New Roman"/>
                <w:color w:val="auto"/>
                <w:kern w:val="0"/>
              </w:rPr>
              <w:t>-</w:t>
            </w:r>
            <w:r>
              <w:rPr>
                <w:rFonts w:hint="eastAsia" w:cs="Times New Roman"/>
                <w:color w:val="auto"/>
                <w:kern w:val="0"/>
                <w:lang w:eastAsia="zh-CN"/>
              </w:rPr>
              <w:t>－</w:t>
            </w:r>
            <w:r>
              <w:rPr>
                <w:rFonts w:cs="Times New Roman"/>
                <w:color w:val="auto"/>
                <w:kern w:val="0"/>
              </w:rPr>
              <w:t>基本污染物i的地面空气质量浓度，μg/m</w:t>
            </w:r>
            <w:r>
              <w:rPr>
                <w:rFonts w:cs="Times New Roman"/>
                <w:color w:val="auto"/>
                <w:kern w:val="0"/>
                <w:vertAlign w:val="superscript"/>
              </w:rPr>
              <w:t>3</w:t>
            </w:r>
            <w:r>
              <w:rPr>
                <w:rFonts w:cs="Times New Roman"/>
                <w:color w:val="auto"/>
                <w:kern w:val="0"/>
              </w:rPr>
              <w:t xml:space="preserve">； </w:t>
            </w:r>
          </w:p>
          <w:p w14:paraId="16398D3C">
            <w:pPr>
              <w:pStyle w:val="64"/>
              <w:ind w:firstLine="1440" w:firstLineChars="600"/>
              <w:rPr>
                <w:color w:val="auto"/>
                <w:szCs w:val="32"/>
              </w:rPr>
            </w:pPr>
            <w:r>
              <w:rPr>
                <w:rFonts w:cs="Times New Roman"/>
                <w:color w:val="auto"/>
                <w:kern w:val="0"/>
              </w:rPr>
              <w:t>C</w:t>
            </w:r>
            <w:r>
              <w:rPr>
                <w:rFonts w:hint="eastAsia" w:cs="Times New Roman"/>
                <w:color w:val="auto"/>
                <w:kern w:val="0"/>
                <w:vertAlign w:val="subscript"/>
              </w:rPr>
              <w:t>o</w:t>
            </w:r>
            <w:r>
              <w:rPr>
                <w:rFonts w:cs="Times New Roman"/>
                <w:color w:val="auto"/>
                <w:kern w:val="0"/>
                <w:vertAlign w:val="subscript"/>
              </w:rPr>
              <w:t>i</w:t>
            </w:r>
            <w:r>
              <w:rPr>
                <w:rFonts w:hint="eastAsia" w:cs="Times New Roman"/>
                <w:color w:val="auto"/>
                <w:kern w:val="0"/>
              </w:rPr>
              <w:t>-</w:t>
            </w:r>
            <w:r>
              <w:rPr>
                <w:rFonts w:hint="eastAsia" w:cs="Times New Roman"/>
                <w:color w:val="auto"/>
                <w:kern w:val="0"/>
                <w:lang w:eastAsia="zh-CN"/>
              </w:rPr>
              <w:t>－</w:t>
            </w:r>
            <w:r>
              <w:rPr>
                <w:rFonts w:cs="Times New Roman"/>
                <w:color w:val="auto"/>
                <w:kern w:val="0"/>
              </w:rPr>
              <w:t>基本污染物i的环境空气质量浓度标准，μg/m</w:t>
            </w:r>
            <w:r>
              <w:rPr>
                <w:rFonts w:cs="Times New Roman"/>
                <w:color w:val="auto"/>
                <w:kern w:val="0"/>
                <w:vertAlign w:val="superscript"/>
              </w:rPr>
              <w:t>3</w:t>
            </w:r>
            <w:r>
              <w:rPr>
                <w:rFonts w:cs="Times New Roman"/>
                <w:color w:val="auto"/>
                <w:kern w:val="0"/>
              </w:rPr>
              <w:t>。</w:t>
            </w:r>
          </w:p>
          <w:p w14:paraId="24EC0A01">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w:t>
            </w:r>
            <w:r>
              <w:rPr>
                <w:rFonts w:ascii="Times New Roman" w:hAnsi="Times New Roman" w:eastAsia="宋体" w:cs="Times New Roman"/>
                <w:b/>
                <w:bCs/>
                <w:color w:val="auto"/>
                <w:sz w:val="24"/>
              </w:rPr>
              <w:t>.4</w:t>
            </w:r>
            <w:r>
              <w:rPr>
                <w:rFonts w:hint="eastAsia" w:ascii="Times New Roman" w:hAnsi="Times New Roman" w:eastAsia="宋体" w:cs="Times New Roman"/>
                <w:b/>
                <w:bCs/>
                <w:color w:val="auto"/>
                <w:sz w:val="24"/>
              </w:rPr>
              <w:t>区域大气环境质量现状</w:t>
            </w:r>
          </w:p>
          <w:p w14:paraId="7037869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根据《环境影响评价技术导则 大气环境》（HJ2.2-2018）要求，</w:t>
            </w:r>
            <w:r>
              <w:rPr>
                <w:rFonts w:hint="default" w:ascii="Times New Roman" w:hAnsi="Times New Roman"/>
                <w:color w:val="auto"/>
                <w:sz w:val="24"/>
                <w:szCs w:val="24"/>
                <w:highlight w:val="none"/>
              </w:rPr>
              <w:t>根据20</w:t>
            </w:r>
            <w:r>
              <w:rPr>
                <w:rFonts w:hint="eastAsia" w:ascii="Times New Roman" w:hAnsi="Times New Roman"/>
                <w:color w:val="auto"/>
                <w:sz w:val="24"/>
                <w:szCs w:val="24"/>
                <w:highlight w:val="none"/>
                <w:lang w:val="en-US" w:eastAsia="zh-CN"/>
              </w:rPr>
              <w:t>23</w:t>
            </w:r>
            <w:r>
              <w:rPr>
                <w:rFonts w:hint="default"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木垒县环境监测站</w:t>
            </w:r>
            <w:r>
              <w:rPr>
                <w:rFonts w:hint="default" w:ascii="Times New Roman" w:hAnsi="Times New Roman"/>
                <w:color w:val="auto"/>
                <w:sz w:val="24"/>
                <w:szCs w:val="24"/>
                <w:highlight w:val="none"/>
              </w:rPr>
              <w:t>空气质量逐日统计结果，SO</w:t>
            </w:r>
            <w:r>
              <w:rPr>
                <w:rFonts w:hint="default" w:ascii="Times New Roman" w:hAnsi="Times New Roman"/>
                <w:bCs/>
                <w:color w:val="auto"/>
                <w:kern w:val="2"/>
                <w:sz w:val="24"/>
                <w:szCs w:val="24"/>
                <w:highlight w:val="none"/>
                <w:vertAlign w:val="subscript"/>
                <w:lang w:val="en-US" w:eastAsia="zh-CN" w:bidi="ar-SA"/>
              </w:rPr>
              <w:t>2</w:t>
            </w:r>
            <w:r>
              <w:rPr>
                <w:rFonts w:hint="default" w:ascii="Times New Roman" w:hAnsi="Times New Roman"/>
                <w:color w:val="auto"/>
                <w:sz w:val="24"/>
                <w:szCs w:val="24"/>
                <w:highlight w:val="none"/>
              </w:rPr>
              <w:t>、NO</w:t>
            </w:r>
            <w:r>
              <w:rPr>
                <w:rFonts w:hint="default" w:ascii="Times New Roman" w:hAnsi="Times New Roman"/>
                <w:bCs/>
                <w:color w:val="auto"/>
                <w:kern w:val="2"/>
                <w:sz w:val="24"/>
                <w:szCs w:val="24"/>
                <w:highlight w:val="none"/>
                <w:vertAlign w:val="subscript"/>
                <w:lang w:val="en-US" w:eastAsia="zh-CN" w:bidi="ar-SA"/>
              </w:rPr>
              <w:t>2</w:t>
            </w:r>
            <w:r>
              <w:rPr>
                <w:rFonts w:hint="default" w:ascii="Times New Roman" w:hAnsi="Times New Roman"/>
                <w:color w:val="auto"/>
                <w:sz w:val="24"/>
                <w:szCs w:val="24"/>
                <w:highlight w:val="none"/>
              </w:rPr>
              <w:t>、PM</w:t>
            </w:r>
            <w:r>
              <w:rPr>
                <w:rFonts w:hint="default" w:ascii="Times New Roman" w:hAnsi="Times New Roman"/>
                <w:bCs/>
                <w:color w:val="auto"/>
                <w:kern w:val="2"/>
                <w:sz w:val="24"/>
                <w:szCs w:val="24"/>
                <w:highlight w:val="none"/>
                <w:vertAlign w:val="subscript"/>
                <w:lang w:val="en-US" w:eastAsia="zh-CN" w:bidi="ar-SA"/>
              </w:rPr>
              <w:t>10</w:t>
            </w:r>
            <w:r>
              <w:rPr>
                <w:rFonts w:hint="default" w:ascii="Times New Roman" w:hAnsi="Times New Roman"/>
                <w:color w:val="auto"/>
                <w:sz w:val="24"/>
                <w:szCs w:val="24"/>
                <w:highlight w:val="none"/>
              </w:rPr>
              <w:t>、PM</w:t>
            </w:r>
            <w:r>
              <w:rPr>
                <w:rFonts w:hint="default" w:ascii="Times New Roman" w:hAnsi="Times New Roman"/>
                <w:bCs/>
                <w:color w:val="auto"/>
                <w:kern w:val="2"/>
                <w:sz w:val="24"/>
                <w:szCs w:val="24"/>
                <w:highlight w:val="none"/>
                <w:vertAlign w:val="subscript"/>
                <w:lang w:val="en-US" w:eastAsia="zh-CN" w:bidi="ar-SA"/>
              </w:rPr>
              <w:t>2.5</w:t>
            </w:r>
            <w:r>
              <w:rPr>
                <w:rFonts w:hint="default" w:ascii="Times New Roman" w:hAnsi="Times New Roman"/>
                <w:color w:val="auto"/>
                <w:sz w:val="24"/>
                <w:szCs w:val="24"/>
                <w:highlight w:val="none"/>
              </w:rPr>
              <w:t>、CO和O</w:t>
            </w:r>
            <w:r>
              <w:rPr>
                <w:rFonts w:hint="default" w:ascii="Times New Roman" w:hAnsi="Times New Roman"/>
                <w:bCs/>
                <w:color w:val="auto"/>
                <w:kern w:val="2"/>
                <w:sz w:val="24"/>
                <w:szCs w:val="24"/>
                <w:highlight w:val="none"/>
                <w:vertAlign w:val="subscript"/>
                <w:lang w:val="en-US" w:eastAsia="zh-CN" w:bidi="ar-SA"/>
              </w:rPr>
              <w:t>3</w:t>
            </w:r>
            <w:r>
              <w:rPr>
                <w:rFonts w:hint="default" w:ascii="Times New Roman" w:hAnsi="Times New Roman"/>
                <w:color w:val="auto"/>
                <w:sz w:val="24"/>
                <w:szCs w:val="24"/>
                <w:highlight w:val="none"/>
              </w:rPr>
              <w:t>连续一年的基本污染物监测数据，基本污染物环境空气质量现状评价表见</w:t>
            </w:r>
            <w:r>
              <w:rPr>
                <w:rFonts w:hint="eastAsia" w:ascii="Times New Roman" w:hAnsi="Times New Roman"/>
                <w:color w:val="auto"/>
                <w:sz w:val="24"/>
                <w:szCs w:val="24"/>
                <w:highlight w:val="none"/>
                <w:lang w:val="en-US" w:eastAsia="zh-CN"/>
              </w:rPr>
              <w:t>表3-1</w:t>
            </w:r>
            <w:r>
              <w:rPr>
                <w:rFonts w:hint="eastAsia" w:ascii="Times New Roman" w:hAnsi="Times New Roman" w:eastAsia="宋体" w:cs="Times New Roman"/>
                <w:color w:val="auto"/>
                <w:kern w:val="0"/>
                <w:sz w:val="24"/>
              </w:rPr>
              <w:t>。</w:t>
            </w:r>
          </w:p>
          <w:p w14:paraId="515D6F92">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表3-1    区域空气质量现状评价表  单位：</w:t>
            </w:r>
            <w:r>
              <w:rPr>
                <w:rFonts w:hint="default" w:ascii="Times New Roman" w:hAnsi="Times New Roman" w:eastAsia="宋体" w:cs="Times New Roman"/>
                <w:color w:val="auto"/>
              </w:rPr>
              <w:t>μg/m</w:t>
            </w:r>
            <w:r>
              <w:rPr>
                <w:rFonts w:hint="default" w:ascii="Times New Roman" w:hAnsi="Times New Roman" w:eastAsia="宋体" w:cs="Times New Roman"/>
                <w:color w:val="auto"/>
                <w:vertAlign w:val="superscript"/>
              </w:rPr>
              <w:t>3</w:t>
            </w:r>
            <w:r>
              <w:rPr>
                <w:rFonts w:hint="eastAsia" w:ascii="Times New Roman" w:hAnsi="Times New Roman" w:eastAsia="宋体" w:cs="Times New Roman"/>
                <w:color w:val="auto"/>
              </w:rPr>
              <w:t>（CO：</w:t>
            </w:r>
            <w:r>
              <w:rPr>
                <w:rFonts w:hint="default" w:ascii="Times New Roman" w:hAnsi="Times New Roman" w:eastAsia="宋体" w:cs="Times New Roman"/>
                <w:color w:val="auto"/>
              </w:rPr>
              <w:t>mg/m</w:t>
            </w:r>
            <w:r>
              <w:rPr>
                <w:rFonts w:hint="default" w:ascii="Times New Roman" w:hAnsi="Times New Roman" w:eastAsia="宋体" w:cs="Times New Roman"/>
                <w:color w:val="auto"/>
                <w:vertAlign w:val="superscript"/>
              </w:rPr>
              <w:t>3</w:t>
            </w:r>
            <w:r>
              <w:rPr>
                <w:rFonts w:hint="eastAsia" w:ascii="Times New Roman" w:hAnsi="Times New Roman" w:eastAsia="宋体" w:cs="Times New Roman"/>
                <w:color w:val="auto"/>
              </w:rPr>
              <w:t>）</w:t>
            </w:r>
          </w:p>
          <w:tbl>
            <w:tblPr>
              <w:tblStyle w:val="27"/>
              <w:tblW w:w="805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831"/>
              <w:gridCol w:w="2149"/>
              <w:gridCol w:w="1475"/>
              <w:gridCol w:w="1475"/>
              <w:gridCol w:w="1073"/>
              <w:gridCol w:w="1047"/>
            </w:tblGrid>
            <w:tr w14:paraId="32777F3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831" w:type="dxa"/>
                  <w:tcBorders>
                    <w:bottom w:val="single" w:color="auto" w:sz="12" w:space="0"/>
                  </w:tcBorders>
                  <w:vAlign w:val="center"/>
                </w:tcPr>
                <w:p w14:paraId="6F2F3F26">
                  <w:pPr>
                    <w:pStyle w:val="60"/>
                    <w:rPr>
                      <w:b/>
                      <w:bCs w:val="0"/>
                      <w:color w:val="auto"/>
                      <w:sz w:val="21"/>
                      <w:szCs w:val="21"/>
                    </w:rPr>
                  </w:pPr>
                  <w:r>
                    <w:rPr>
                      <w:b/>
                      <w:bCs w:val="0"/>
                      <w:color w:val="auto"/>
                      <w:sz w:val="21"/>
                      <w:szCs w:val="21"/>
                    </w:rPr>
                    <w:t>污染物</w:t>
                  </w:r>
                </w:p>
              </w:tc>
              <w:tc>
                <w:tcPr>
                  <w:tcW w:w="2149" w:type="dxa"/>
                  <w:tcBorders>
                    <w:bottom w:val="single" w:color="auto" w:sz="12" w:space="0"/>
                  </w:tcBorders>
                  <w:vAlign w:val="center"/>
                </w:tcPr>
                <w:p w14:paraId="78DD1C26">
                  <w:pPr>
                    <w:pStyle w:val="60"/>
                    <w:rPr>
                      <w:b/>
                      <w:bCs w:val="0"/>
                      <w:color w:val="auto"/>
                      <w:sz w:val="21"/>
                      <w:szCs w:val="21"/>
                    </w:rPr>
                  </w:pPr>
                  <w:r>
                    <w:rPr>
                      <w:b/>
                      <w:bCs w:val="0"/>
                      <w:color w:val="auto"/>
                      <w:sz w:val="21"/>
                      <w:szCs w:val="21"/>
                    </w:rPr>
                    <w:t>年评价指标</w:t>
                  </w:r>
                </w:p>
              </w:tc>
              <w:tc>
                <w:tcPr>
                  <w:tcW w:w="1475" w:type="dxa"/>
                  <w:tcBorders>
                    <w:bottom w:val="single" w:color="auto" w:sz="12" w:space="0"/>
                  </w:tcBorders>
                  <w:vAlign w:val="center"/>
                </w:tcPr>
                <w:p w14:paraId="583DE1A0">
                  <w:pPr>
                    <w:pStyle w:val="60"/>
                    <w:rPr>
                      <w:b/>
                      <w:bCs w:val="0"/>
                      <w:color w:val="auto"/>
                      <w:sz w:val="21"/>
                      <w:szCs w:val="21"/>
                    </w:rPr>
                  </w:pPr>
                  <w:r>
                    <w:rPr>
                      <w:b/>
                      <w:bCs w:val="0"/>
                      <w:color w:val="auto"/>
                      <w:sz w:val="21"/>
                      <w:szCs w:val="21"/>
                    </w:rPr>
                    <w:t>现状浓度</w:t>
                  </w:r>
                </w:p>
              </w:tc>
              <w:tc>
                <w:tcPr>
                  <w:tcW w:w="1475" w:type="dxa"/>
                  <w:tcBorders>
                    <w:bottom w:val="single" w:color="auto" w:sz="12" w:space="0"/>
                  </w:tcBorders>
                  <w:vAlign w:val="center"/>
                </w:tcPr>
                <w:p w14:paraId="46F38F92">
                  <w:pPr>
                    <w:pStyle w:val="60"/>
                    <w:rPr>
                      <w:b/>
                      <w:bCs w:val="0"/>
                      <w:color w:val="auto"/>
                      <w:sz w:val="21"/>
                      <w:szCs w:val="21"/>
                    </w:rPr>
                  </w:pPr>
                  <w:r>
                    <w:rPr>
                      <w:b/>
                      <w:bCs w:val="0"/>
                      <w:color w:val="auto"/>
                      <w:sz w:val="21"/>
                      <w:szCs w:val="21"/>
                    </w:rPr>
                    <w:t>标准值</w:t>
                  </w:r>
                </w:p>
              </w:tc>
              <w:tc>
                <w:tcPr>
                  <w:tcW w:w="1073" w:type="dxa"/>
                  <w:tcBorders>
                    <w:bottom w:val="single" w:color="auto" w:sz="12" w:space="0"/>
                  </w:tcBorders>
                  <w:vAlign w:val="center"/>
                </w:tcPr>
                <w:p w14:paraId="5CF7CD98">
                  <w:pPr>
                    <w:pStyle w:val="60"/>
                    <w:rPr>
                      <w:b/>
                      <w:bCs w:val="0"/>
                      <w:color w:val="auto"/>
                      <w:sz w:val="21"/>
                      <w:szCs w:val="21"/>
                    </w:rPr>
                  </w:pPr>
                  <w:r>
                    <w:rPr>
                      <w:b/>
                      <w:bCs w:val="0"/>
                      <w:color w:val="auto"/>
                      <w:sz w:val="21"/>
                      <w:szCs w:val="21"/>
                    </w:rPr>
                    <w:t>占标率%</w:t>
                  </w:r>
                </w:p>
              </w:tc>
              <w:tc>
                <w:tcPr>
                  <w:tcW w:w="1047" w:type="dxa"/>
                  <w:tcBorders>
                    <w:bottom w:val="single" w:color="auto" w:sz="12" w:space="0"/>
                  </w:tcBorders>
                  <w:vAlign w:val="center"/>
                </w:tcPr>
                <w:p w14:paraId="47B8B85C">
                  <w:pPr>
                    <w:pStyle w:val="60"/>
                    <w:rPr>
                      <w:b/>
                      <w:bCs w:val="0"/>
                      <w:color w:val="auto"/>
                      <w:sz w:val="21"/>
                      <w:szCs w:val="21"/>
                    </w:rPr>
                  </w:pPr>
                  <w:r>
                    <w:rPr>
                      <w:b/>
                      <w:bCs w:val="0"/>
                      <w:color w:val="auto"/>
                      <w:sz w:val="21"/>
                      <w:szCs w:val="21"/>
                    </w:rPr>
                    <w:t>达标情况</w:t>
                  </w:r>
                </w:p>
              </w:tc>
            </w:tr>
            <w:tr w14:paraId="354B29E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1" w:hRule="atLeast"/>
                <w:jc w:val="center"/>
              </w:trPr>
              <w:tc>
                <w:tcPr>
                  <w:tcW w:w="831" w:type="dxa"/>
                  <w:tcBorders>
                    <w:top w:val="single" w:color="auto" w:sz="12" w:space="0"/>
                    <w:tl2br w:val="nil"/>
                    <w:tr2bl w:val="nil"/>
                  </w:tcBorders>
                  <w:vAlign w:val="center"/>
                </w:tcPr>
                <w:p w14:paraId="5FAAFC48">
                  <w:pPr>
                    <w:pStyle w:val="60"/>
                    <w:rPr>
                      <w:color w:val="auto"/>
                      <w:sz w:val="21"/>
                      <w:szCs w:val="21"/>
                    </w:rPr>
                  </w:pPr>
                  <w:r>
                    <w:rPr>
                      <w:color w:val="auto"/>
                      <w:sz w:val="21"/>
                      <w:szCs w:val="21"/>
                    </w:rPr>
                    <w:t>SO</w:t>
                  </w:r>
                  <w:r>
                    <w:rPr>
                      <w:color w:val="auto"/>
                      <w:sz w:val="21"/>
                      <w:szCs w:val="21"/>
                      <w:vertAlign w:val="subscript"/>
                    </w:rPr>
                    <w:t>2</w:t>
                  </w:r>
                </w:p>
              </w:tc>
              <w:tc>
                <w:tcPr>
                  <w:tcW w:w="2149" w:type="dxa"/>
                  <w:tcBorders>
                    <w:top w:val="single" w:color="auto" w:sz="12" w:space="0"/>
                    <w:tl2br w:val="nil"/>
                    <w:tr2bl w:val="nil"/>
                  </w:tcBorders>
                  <w:vAlign w:val="center"/>
                </w:tcPr>
                <w:p w14:paraId="71EC9CBF">
                  <w:pPr>
                    <w:pStyle w:val="60"/>
                    <w:rPr>
                      <w:color w:val="auto"/>
                      <w:sz w:val="21"/>
                      <w:szCs w:val="21"/>
                    </w:rPr>
                  </w:pPr>
                  <w:r>
                    <w:rPr>
                      <w:color w:val="auto"/>
                      <w:sz w:val="21"/>
                      <w:szCs w:val="21"/>
                    </w:rPr>
                    <w:t>年平均质量浓度</w:t>
                  </w:r>
                </w:p>
              </w:tc>
              <w:tc>
                <w:tcPr>
                  <w:tcW w:w="1475" w:type="dxa"/>
                  <w:tcBorders>
                    <w:top w:val="single" w:color="auto" w:sz="12" w:space="0"/>
                    <w:tl2br w:val="nil"/>
                    <w:tr2bl w:val="nil"/>
                  </w:tcBorders>
                  <w:vAlign w:val="center"/>
                </w:tcPr>
                <w:p w14:paraId="1FF6C714">
                  <w:pPr>
                    <w:pStyle w:val="60"/>
                    <w:rPr>
                      <w:rFonts w:hint="eastAsia" w:eastAsia="宋体"/>
                      <w:color w:val="auto"/>
                      <w:sz w:val="21"/>
                      <w:szCs w:val="21"/>
                      <w:lang w:eastAsia="zh-CN"/>
                    </w:rPr>
                  </w:pPr>
                  <w:r>
                    <w:rPr>
                      <w:rFonts w:hint="eastAsia"/>
                      <w:color w:val="auto"/>
                      <w:sz w:val="21"/>
                      <w:szCs w:val="21"/>
                      <w:lang w:val="en-US" w:eastAsia="zh-CN"/>
                    </w:rPr>
                    <w:t>7</w:t>
                  </w:r>
                </w:p>
              </w:tc>
              <w:tc>
                <w:tcPr>
                  <w:tcW w:w="1475" w:type="dxa"/>
                  <w:tcBorders>
                    <w:top w:val="single" w:color="auto" w:sz="12" w:space="0"/>
                    <w:tl2br w:val="nil"/>
                    <w:tr2bl w:val="nil"/>
                  </w:tcBorders>
                  <w:vAlign w:val="center"/>
                </w:tcPr>
                <w:p w14:paraId="076F7C2D">
                  <w:pPr>
                    <w:pStyle w:val="60"/>
                    <w:rPr>
                      <w:color w:val="auto"/>
                      <w:sz w:val="21"/>
                      <w:szCs w:val="21"/>
                    </w:rPr>
                  </w:pPr>
                  <w:r>
                    <w:rPr>
                      <w:color w:val="auto"/>
                      <w:sz w:val="21"/>
                      <w:szCs w:val="21"/>
                    </w:rPr>
                    <w:t>60</w:t>
                  </w:r>
                </w:p>
              </w:tc>
              <w:tc>
                <w:tcPr>
                  <w:tcW w:w="1073" w:type="dxa"/>
                  <w:tcBorders>
                    <w:top w:val="single" w:color="auto" w:sz="12" w:space="0"/>
                    <w:tl2br w:val="nil"/>
                    <w:tr2bl w:val="nil"/>
                  </w:tcBorders>
                  <w:vAlign w:val="center"/>
                </w:tcPr>
                <w:p w14:paraId="7ABFF97E">
                  <w:pPr>
                    <w:pStyle w:val="60"/>
                    <w:rPr>
                      <w:rFonts w:hint="default" w:eastAsia="宋体"/>
                      <w:color w:val="auto"/>
                      <w:sz w:val="21"/>
                      <w:szCs w:val="21"/>
                      <w:lang w:val="en-US" w:eastAsia="zh-CN"/>
                    </w:rPr>
                  </w:pPr>
                  <w:r>
                    <w:rPr>
                      <w:rFonts w:hint="eastAsia"/>
                      <w:color w:val="auto"/>
                      <w:sz w:val="21"/>
                      <w:szCs w:val="21"/>
                      <w:lang w:val="en-US" w:eastAsia="zh-CN"/>
                    </w:rPr>
                    <w:t>11.67</w:t>
                  </w:r>
                </w:p>
              </w:tc>
              <w:tc>
                <w:tcPr>
                  <w:tcW w:w="1047" w:type="dxa"/>
                  <w:tcBorders>
                    <w:top w:val="single" w:color="auto" w:sz="12" w:space="0"/>
                    <w:tl2br w:val="nil"/>
                    <w:tr2bl w:val="nil"/>
                  </w:tcBorders>
                  <w:vAlign w:val="center"/>
                </w:tcPr>
                <w:p w14:paraId="75A0CE0D">
                  <w:pPr>
                    <w:pStyle w:val="60"/>
                    <w:rPr>
                      <w:color w:val="auto"/>
                      <w:sz w:val="21"/>
                      <w:szCs w:val="21"/>
                    </w:rPr>
                  </w:pPr>
                  <w:r>
                    <w:rPr>
                      <w:color w:val="auto"/>
                      <w:sz w:val="21"/>
                      <w:szCs w:val="21"/>
                    </w:rPr>
                    <w:t>达标</w:t>
                  </w:r>
                </w:p>
              </w:tc>
            </w:tr>
            <w:tr w14:paraId="44867C8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831" w:type="dxa"/>
                  <w:tcBorders>
                    <w:tl2br w:val="nil"/>
                    <w:tr2bl w:val="nil"/>
                  </w:tcBorders>
                  <w:vAlign w:val="center"/>
                </w:tcPr>
                <w:p w14:paraId="729739BB">
                  <w:pPr>
                    <w:pStyle w:val="60"/>
                    <w:rPr>
                      <w:color w:val="auto"/>
                      <w:sz w:val="21"/>
                      <w:szCs w:val="21"/>
                    </w:rPr>
                  </w:pPr>
                  <w:r>
                    <w:rPr>
                      <w:color w:val="auto"/>
                      <w:sz w:val="21"/>
                      <w:szCs w:val="21"/>
                    </w:rPr>
                    <w:t>NO</w:t>
                  </w:r>
                  <w:r>
                    <w:rPr>
                      <w:color w:val="auto"/>
                      <w:sz w:val="21"/>
                      <w:szCs w:val="21"/>
                      <w:vertAlign w:val="subscript"/>
                    </w:rPr>
                    <w:t>2</w:t>
                  </w:r>
                </w:p>
              </w:tc>
              <w:tc>
                <w:tcPr>
                  <w:tcW w:w="2149" w:type="dxa"/>
                  <w:tcBorders>
                    <w:tl2br w:val="nil"/>
                    <w:tr2bl w:val="nil"/>
                  </w:tcBorders>
                  <w:vAlign w:val="center"/>
                </w:tcPr>
                <w:p w14:paraId="54C80D03">
                  <w:pPr>
                    <w:pStyle w:val="60"/>
                    <w:rPr>
                      <w:color w:val="auto"/>
                      <w:sz w:val="21"/>
                      <w:szCs w:val="21"/>
                    </w:rPr>
                  </w:pPr>
                  <w:r>
                    <w:rPr>
                      <w:color w:val="auto"/>
                      <w:sz w:val="21"/>
                      <w:szCs w:val="21"/>
                    </w:rPr>
                    <w:t>年平均质量浓度</w:t>
                  </w:r>
                </w:p>
              </w:tc>
              <w:tc>
                <w:tcPr>
                  <w:tcW w:w="1475" w:type="dxa"/>
                  <w:tcBorders>
                    <w:tl2br w:val="nil"/>
                    <w:tr2bl w:val="nil"/>
                  </w:tcBorders>
                  <w:vAlign w:val="center"/>
                </w:tcPr>
                <w:p w14:paraId="50EF332C">
                  <w:pPr>
                    <w:pStyle w:val="60"/>
                    <w:rPr>
                      <w:rFonts w:hint="default" w:eastAsia="宋体"/>
                      <w:color w:val="auto"/>
                      <w:sz w:val="21"/>
                      <w:szCs w:val="21"/>
                      <w:lang w:val="en-US" w:eastAsia="zh-CN"/>
                    </w:rPr>
                  </w:pPr>
                  <w:r>
                    <w:rPr>
                      <w:rFonts w:hint="eastAsia"/>
                      <w:color w:val="auto"/>
                      <w:sz w:val="21"/>
                      <w:szCs w:val="21"/>
                      <w:lang w:val="en-US" w:eastAsia="zh-CN"/>
                    </w:rPr>
                    <w:t>10</w:t>
                  </w:r>
                </w:p>
              </w:tc>
              <w:tc>
                <w:tcPr>
                  <w:tcW w:w="1475" w:type="dxa"/>
                  <w:tcBorders>
                    <w:tl2br w:val="nil"/>
                    <w:tr2bl w:val="nil"/>
                  </w:tcBorders>
                  <w:vAlign w:val="center"/>
                </w:tcPr>
                <w:p w14:paraId="6582147A">
                  <w:pPr>
                    <w:pStyle w:val="60"/>
                    <w:rPr>
                      <w:color w:val="auto"/>
                      <w:sz w:val="21"/>
                      <w:szCs w:val="21"/>
                    </w:rPr>
                  </w:pPr>
                  <w:r>
                    <w:rPr>
                      <w:color w:val="auto"/>
                      <w:sz w:val="21"/>
                      <w:szCs w:val="21"/>
                    </w:rPr>
                    <w:t>40</w:t>
                  </w:r>
                </w:p>
              </w:tc>
              <w:tc>
                <w:tcPr>
                  <w:tcW w:w="1073" w:type="dxa"/>
                  <w:tcBorders>
                    <w:tl2br w:val="nil"/>
                    <w:tr2bl w:val="nil"/>
                  </w:tcBorders>
                  <w:vAlign w:val="center"/>
                </w:tcPr>
                <w:p w14:paraId="0ED94C25">
                  <w:pPr>
                    <w:pStyle w:val="60"/>
                    <w:rPr>
                      <w:rFonts w:hint="default" w:eastAsia="宋体"/>
                      <w:color w:val="auto"/>
                      <w:sz w:val="21"/>
                      <w:szCs w:val="21"/>
                      <w:lang w:val="en-US" w:eastAsia="zh-CN"/>
                    </w:rPr>
                  </w:pPr>
                  <w:r>
                    <w:rPr>
                      <w:rFonts w:hint="eastAsia"/>
                      <w:color w:val="auto"/>
                      <w:sz w:val="21"/>
                      <w:szCs w:val="21"/>
                      <w:lang w:val="en-US" w:eastAsia="zh-CN"/>
                    </w:rPr>
                    <w:t>25</w:t>
                  </w:r>
                </w:p>
              </w:tc>
              <w:tc>
                <w:tcPr>
                  <w:tcW w:w="1047" w:type="dxa"/>
                  <w:tcBorders>
                    <w:tl2br w:val="nil"/>
                    <w:tr2bl w:val="nil"/>
                  </w:tcBorders>
                  <w:vAlign w:val="center"/>
                </w:tcPr>
                <w:p w14:paraId="54FEEFE0">
                  <w:pPr>
                    <w:pStyle w:val="60"/>
                    <w:rPr>
                      <w:color w:val="auto"/>
                      <w:sz w:val="21"/>
                      <w:szCs w:val="21"/>
                    </w:rPr>
                  </w:pPr>
                  <w:r>
                    <w:rPr>
                      <w:color w:val="auto"/>
                      <w:sz w:val="21"/>
                      <w:szCs w:val="21"/>
                    </w:rPr>
                    <w:t>达标</w:t>
                  </w:r>
                </w:p>
              </w:tc>
            </w:tr>
            <w:tr w14:paraId="627AE64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831" w:type="dxa"/>
                  <w:tcBorders>
                    <w:tl2br w:val="nil"/>
                    <w:tr2bl w:val="nil"/>
                  </w:tcBorders>
                  <w:vAlign w:val="center"/>
                </w:tcPr>
                <w:p w14:paraId="4F2D2CA0">
                  <w:pPr>
                    <w:pStyle w:val="60"/>
                    <w:rPr>
                      <w:color w:val="auto"/>
                      <w:sz w:val="21"/>
                      <w:szCs w:val="21"/>
                    </w:rPr>
                  </w:pPr>
                  <w:r>
                    <w:rPr>
                      <w:color w:val="auto"/>
                      <w:sz w:val="21"/>
                      <w:szCs w:val="21"/>
                    </w:rPr>
                    <w:t>PM</w:t>
                  </w:r>
                  <w:r>
                    <w:rPr>
                      <w:color w:val="auto"/>
                      <w:sz w:val="21"/>
                      <w:szCs w:val="21"/>
                      <w:vertAlign w:val="subscript"/>
                    </w:rPr>
                    <w:t>10</w:t>
                  </w:r>
                </w:p>
              </w:tc>
              <w:tc>
                <w:tcPr>
                  <w:tcW w:w="2149" w:type="dxa"/>
                  <w:tcBorders>
                    <w:tl2br w:val="nil"/>
                    <w:tr2bl w:val="nil"/>
                  </w:tcBorders>
                  <w:vAlign w:val="center"/>
                </w:tcPr>
                <w:p w14:paraId="0512B434">
                  <w:pPr>
                    <w:pStyle w:val="60"/>
                    <w:rPr>
                      <w:color w:val="auto"/>
                      <w:sz w:val="21"/>
                      <w:szCs w:val="21"/>
                    </w:rPr>
                  </w:pPr>
                  <w:r>
                    <w:rPr>
                      <w:color w:val="auto"/>
                      <w:sz w:val="21"/>
                      <w:szCs w:val="21"/>
                    </w:rPr>
                    <w:t>年平均质量浓度</w:t>
                  </w:r>
                </w:p>
              </w:tc>
              <w:tc>
                <w:tcPr>
                  <w:tcW w:w="1475" w:type="dxa"/>
                  <w:tcBorders>
                    <w:tl2br w:val="nil"/>
                    <w:tr2bl w:val="nil"/>
                  </w:tcBorders>
                  <w:vAlign w:val="center"/>
                </w:tcPr>
                <w:p w14:paraId="5CB52281">
                  <w:pPr>
                    <w:pStyle w:val="60"/>
                    <w:rPr>
                      <w:rFonts w:hint="default" w:eastAsia="宋体"/>
                      <w:color w:val="auto"/>
                      <w:sz w:val="21"/>
                      <w:szCs w:val="21"/>
                      <w:lang w:val="en-US" w:eastAsia="zh-CN"/>
                    </w:rPr>
                  </w:pPr>
                  <w:r>
                    <w:rPr>
                      <w:rFonts w:hint="eastAsia"/>
                      <w:color w:val="auto"/>
                      <w:sz w:val="21"/>
                      <w:szCs w:val="21"/>
                      <w:lang w:val="en-US" w:eastAsia="zh-CN"/>
                    </w:rPr>
                    <w:t>29</w:t>
                  </w:r>
                </w:p>
              </w:tc>
              <w:tc>
                <w:tcPr>
                  <w:tcW w:w="1475" w:type="dxa"/>
                  <w:tcBorders>
                    <w:tl2br w:val="nil"/>
                    <w:tr2bl w:val="nil"/>
                  </w:tcBorders>
                  <w:vAlign w:val="center"/>
                </w:tcPr>
                <w:p w14:paraId="5EFD49D7">
                  <w:pPr>
                    <w:pStyle w:val="60"/>
                    <w:rPr>
                      <w:color w:val="auto"/>
                      <w:sz w:val="21"/>
                      <w:szCs w:val="21"/>
                    </w:rPr>
                  </w:pPr>
                  <w:r>
                    <w:rPr>
                      <w:rFonts w:hint="eastAsia"/>
                      <w:color w:val="auto"/>
                      <w:sz w:val="21"/>
                      <w:szCs w:val="21"/>
                    </w:rPr>
                    <w:t>70</w:t>
                  </w:r>
                </w:p>
              </w:tc>
              <w:tc>
                <w:tcPr>
                  <w:tcW w:w="1073" w:type="dxa"/>
                  <w:tcBorders>
                    <w:tl2br w:val="nil"/>
                    <w:tr2bl w:val="nil"/>
                  </w:tcBorders>
                  <w:vAlign w:val="center"/>
                </w:tcPr>
                <w:p w14:paraId="74B72BEA">
                  <w:pPr>
                    <w:pStyle w:val="60"/>
                    <w:rPr>
                      <w:rFonts w:hint="default" w:eastAsia="宋体"/>
                      <w:color w:val="auto"/>
                      <w:sz w:val="21"/>
                      <w:szCs w:val="21"/>
                      <w:lang w:val="en-US" w:eastAsia="zh-CN"/>
                    </w:rPr>
                  </w:pPr>
                  <w:r>
                    <w:rPr>
                      <w:rFonts w:hint="eastAsia"/>
                      <w:color w:val="auto"/>
                      <w:sz w:val="21"/>
                      <w:szCs w:val="21"/>
                      <w:lang w:val="en-US" w:eastAsia="zh-CN"/>
                    </w:rPr>
                    <w:t>41.43</w:t>
                  </w:r>
                </w:p>
              </w:tc>
              <w:tc>
                <w:tcPr>
                  <w:tcW w:w="1047" w:type="dxa"/>
                  <w:tcBorders>
                    <w:tl2br w:val="nil"/>
                    <w:tr2bl w:val="nil"/>
                  </w:tcBorders>
                  <w:vAlign w:val="center"/>
                </w:tcPr>
                <w:p w14:paraId="5DD4D965">
                  <w:pPr>
                    <w:pStyle w:val="60"/>
                    <w:rPr>
                      <w:color w:val="auto"/>
                      <w:sz w:val="21"/>
                      <w:szCs w:val="21"/>
                    </w:rPr>
                  </w:pPr>
                  <w:r>
                    <w:rPr>
                      <w:color w:val="auto"/>
                      <w:sz w:val="21"/>
                      <w:szCs w:val="21"/>
                    </w:rPr>
                    <w:t>达标</w:t>
                  </w:r>
                </w:p>
              </w:tc>
            </w:tr>
            <w:tr w14:paraId="677C827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831" w:type="dxa"/>
                  <w:tcBorders>
                    <w:tl2br w:val="nil"/>
                    <w:tr2bl w:val="nil"/>
                  </w:tcBorders>
                  <w:vAlign w:val="center"/>
                </w:tcPr>
                <w:p w14:paraId="21CD1EAB">
                  <w:pPr>
                    <w:pStyle w:val="60"/>
                    <w:rPr>
                      <w:color w:val="auto"/>
                      <w:sz w:val="21"/>
                      <w:szCs w:val="21"/>
                    </w:rPr>
                  </w:pPr>
                  <w:r>
                    <w:rPr>
                      <w:color w:val="auto"/>
                      <w:sz w:val="21"/>
                      <w:szCs w:val="21"/>
                    </w:rPr>
                    <w:t>PM</w:t>
                  </w:r>
                  <w:r>
                    <w:rPr>
                      <w:color w:val="auto"/>
                      <w:sz w:val="21"/>
                      <w:szCs w:val="21"/>
                      <w:vertAlign w:val="subscript"/>
                    </w:rPr>
                    <w:t>2.5</w:t>
                  </w:r>
                </w:p>
              </w:tc>
              <w:tc>
                <w:tcPr>
                  <w:tcW w:w="2149" w:type="dxa"/>
                  <w:tcBorders>
                    <w:tl2br w:val="nil"/>
                    <w:tr2bl w:val="nil"/>
                  </w:tcBorders>
                  <w:vAlign w:val="center"/>
                </w:tcPr>
                <w:p w14:paraId="19CE49A4">
                  <w:pPr>
                    <w:pStyle w:val="60"/>
                    <w:rPr>
                      <w:color w:val="auto"/>
                      <w:sz w:val="21"/>
                      <w:szCs w:val="21"/>
                    </w:rPr>
                  </w:pPr>
                  <w:r>
                    <w:rPr>
                      <w:color w:val="auto"/>
                      <w:sz w:val="21"/>
                      <w:szCs w:val="21"/>
                    </w:rPr>
                    <w:t>年平均质量浓度</w:t>
                  </w:r>
                </w:p>
              </w:tc>
              <w:tc>
                <w:tcPr>
                  <w:tcW w:w="1475" w:type="dxa"/>
                  <w:tcBorders>
                    <w:tl2br w:val="nil"/>
                    <w:tr2bl w:val="nil"/>
                  </w:tcBorders>
                  <w:vAlign w:val="center"/>
                </w:tcPr>
                <w:p w14:paraId="05904BC9">
                  <w:pPr>
                    <w:pStyle w:val="60"/>
                    <w:rPr>
                      <w:rFonts w:hint="eastAsia" w:eastAsia="宋体"/>
                      <w:color w:val="auto"/>
                      <w:sz w:val="21"/>
                      <w:szCs w:val="21"/>
                      <w:lang w:eastAsia="zh-CN"/>
                    </w:rPr>
                  </w:pPr>
                  <w:r>
                    <w:rPr>
                      <w:rFonts w:hint="eastAsia"/>
                      <w:color w:val="auto"/>
                      <w:sz w:val="21"/>
                      <w:szCs w:val="21"/>
                      <w:lang w:val="en-US" w:eastAsia="zh-CN"/>
                    </w:rPr>
                    <w:t>9</w:t>
                  </w:r>
                </w:p>
              </w:tc>
              <w:tc>
                <w:tcPr>
                  <w:tcW w:w="1475" w:type="dxa"/>
                  <w:tcBorders>
                    <w:tl2br w:val="nil"/>
                    <w:tr2bl w:val="nil"/>
                  </w:tcBorders>
                  <w:vAlign w:val="center"/>
                </w:tcPr>
                <w:p w14:paraId="3BAB5C5E">
                  <w:pPr>
                    <w:pStyle w:val="60"/>
                    <w:rPr>
                      <w:color w:val="auto"/>
                      <w:sz w:val="21"/>
                      <w:szCs w:val="21"/>
                    </w:rPr>
                  </w:pPr>
                  <w:r>
                    <w:rPr>
                      <w:color w:val="auto"/>
                      <w:sz w:val="21"/>
                      <w:szCs w:val="21"/>
                    </w:rPr>
                    <w:t>35</w:t>
                  </w:r>
                </w:p>
              </w:tc>
              <w:tc>
                <w:tcPr>
                  <w:tcW w:w="1073" w:type="dxa"/>
                  <w:tcBorders>
                    <w:tl2br w:val="nil"/>
                    <w:tr2bl w:val="nil"/>
                  </w:tcBorders>
                  <w:vAlign w:val="center"/>
                </w:tcPr>
                <w:p w14:paraId="60692A67">
                  <w:pPr>
                    <w:pStyle w:val="60"/>
                    <w:rPr>
                      <w:rFonts w:hint="default" w:eastAsia="宋体"/>
                      <w:color w:val="auto"/>
                      <w:sz w:val="21"/>
                      <w:szCs w:val="21"/>
                      <w:lang w:val="en-US" w:eastAsia="zh-CN"/>
                    </w:rPr>
                  </w:pPr>
                  <w:r>
                    <w:rPr>
                      <w:rFonts w:hint="eastAsia"/>
                      <w:color w:val="auto"/>
                      <w:sz w:val="21"/>
                      <w:szCs w:val="21"/>
                      <w:lang w:val="en-US" w:eastAsia="zh-CN"/>
                    </w:rPr>
                    <w:t>25.71</w:t>
                  </w:r>
                </w:p>
              </w:tc>
              <w:tc>
                <w:tcPr>
                  <w:tcW w:w="1047" w:type="dxa"/>
                  <w:tcBorders>
                    <w:tl2br w:val="nil"/>
                    <w:tr2bl w:val="nil"/>
                  </w:tcBorders>
                  <w:vAlign w:val="center"/>
                </w:tcPr>
                <w:p w14:paraId="2B311BF4">
                  <w:pPr>
                    <w:pStyle w:val="60"/>
                    <w:rPr>
                      <w:color w:val="auto"/>
                      <w:sz w:val="21"/>
                      <w:szCs w:val="21"/>
                    </w:rPr>
                  </w:pPr>
                  <w:r>
                    <w:rPr>
                      <w:color w:val="auto"/>
                      <w:sz w:val="21"/>
                      <w:szCs w:val="21"/>
                    </w:rPr>
                    <w:t>达标</w:t>
                  </w:r>
                </w:p>
              </w:tc>
            </w:tr>
            <w:tr w14:paraId="3AE2337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831" w:type="dxa"/>
                  <w:tcBorders>
                    <w:tl2br w:val="nil"/>
                    <w:tr2bl w:val="nil"/>
                  </w:tcBorders>
                  <w:vAlign w:val="center"/>
                </w:tcPr>
                <w:p w14:paraId="631A8154">
                  <w:pPr>
                    <w:pStyle w:val="60"/>
                    <w:rPr>
                      <w:color w:val="auto"/>
                      <w:sz w:val="21"/>
                      <w:szCs w:val="21"/>
                    </w:rPr>
                  </w:pPr>
                  <w:r>
                    <w:rPr>
                      <w:rFonts w:hint="eastAsia"/>
                      <w:color w:val="auto"/>
                      <w:sz w:val="21"/>
                      <w:szCs w:val="21"/>
                    </w:rPr>
                    <w:t>CO</w:t>
                  </w:r>
                </w:p>
              </w:tc>
              <w:tc>
                <w:tcPr>
                  <w:tcW w:w="2149" w:type="dxa"/>
                  <w:tcBorders>
                    <w:tl2br w:val="nil"/>
                    <w:tr2bl w:val="nil"/>
                  </w:tcBorders>
                  <w:vAlign w:val="center"/>
                </w:tcPr>
                <w:p w14:paraId="4D14A868">
                  <w:pPr>
                    <w:pStyle w:val="18"/>
                    <w:adjustRightInd w:val="0"/>
                    <w:snapToGrid w:val="0"/>
                    <w:spacing w:line="240" w:lineRule="auto"/>
                    <w:ind w:firstLine="0" w:firstLineChars="0"/>
                    <w:jc w:val="center"/>
                    <w:rPr>
                      <w:color w:val="auto"/>
                      <w:sz w:val="21"/>
                      <w:szCs w:val="21"/>
                    </w:rPr>
                  </w:pPr>
                  <w:r>
                    <w:rPr>
                      <w:rFonts w:hint="eastAsia" w:ascii="Times New Roman" w:hAnsi="Times New Roman" w:eastAsia="宋体" w:cs="Times New Roman"/>
                      <w:bCs/>
                      <w:color w:val="auto"/>
                      <w:sz w:val="21"/>
                      <w:szCs w:val="21"/>
                      <w:highlight w:val="none"/>
                      <w:lang w:val="en-US" w:eastAsia="zh-CN"/>
                    </w:rPr>
                    <w:t>24小时平均第95</w:t>
                  </w:r>
                  <w:r>
                    <w:rPr>
                      <w:rFonts w:hint="eastAsia" w:ascii="Times New Roman" w:hAnsi="Times New Roman" w:eastAsia="宋体" w:cs="Times New Roman"/>
                      <w:bCs/>
                      <w:color w:val="auto"/>
                      <w:sz w:val="21"/>
                      <w:szCs w:val="21"/>
                      <w:highlight w:val="none"/>
                    </w:rPr>
                    <w:t>百分位</w:t>
                  </w:r>
                  <w:r>
                    <w:rPr>
                      <w:rFonts w:hint="eastAsia" w:ascii="Times New Roman" w:hAnsi="Times New Roman" w:eastAsia="宋体" w:cs="Times New Roman"/>
                      <w:bCs/>
                      <w:color w:val="auto"/>
                      <w:sz w:val="21"/>
                      <w:szCs w:val="21"/>
                      <w:highlight w:val="none"/>
                      <w:lang w:val="en-US" w:eastAsia="zh-CN"/>
                    </w:rPr>
                    <w:t>数</w:t>
                  </w:r>
                </w:p>
              </w:tc>
              <w:tc>
                <w:tcPr>
                  <w:tcW w:w="1475" w:type="dxa"/>
                  <w:tcBorders>
                    <w:tl2br w:val="nil"/>
                    <w:tr2bl w:val="nil"/>
                  </w:tcBorders>
                  <w:vAlign w:val="center"/>
                </w:tcPr>
                <w:p w14:paraId="6C940074">
                  <w:pPr>
                    <w:pStyle w:val="60"/>
                    <w:rPr>
                      <w:rFonts w:hint="default" w:eastAsia="宋体"/>
                      <w:color w:val="auto"/>
                      <w:sz w:val="21"/>
                      <w:szCs w:val="21"/>
                      <w:lang w:val="en-US" w:eastAsia="zh-CN"/>
                    </w:rPr>
                  </w:pPr>
                  <w:r>
                    <w:rPr>
                      <w:rFonts w:hint="eastAsia"/>
                      <w:color w:val="auto"/>
                      <w:sz w:val="21"/>
                      <w:szCs w:val="21"/>
                      <w:lang w:val="en-US" w:eastAsia="zh-CN"/>
                    </w:rPr>
                    <w:t>600</w:t>
                  </w:r>
                </w:p>
              </w:tc>
              <w:tc>
                <w:tcPr>
                  <w:tcW w:w="1475" w:type="dxa"/>
                  <w:tcBorders>
                    <w:tl2br w:val="nil"/>
                    <w:tr2bl w:val="nil"/>
                  </w:tcBorders>
                  <w:vAlign w:val="center"/>
                </w:tcPr>
                <w:p w14:paraId="2AC9242E">
                  <w:pPr>
                    <w:pStyle w:val="60"/>
                    <w:rPr>
                      <w:color w:val="auto"/>
                      <w:sz w:val="21"/>
                      <w:szCs w:val="21"/>
                    </w:rPr>
                  </w:pPr>
                  <w:r>
                    <w:rPr>
                      <w:rFonts w:hint="eastAsia"/>
                      <w:color w:val="auto"/>
                      <w:sz w:val="21"/>
                      <w:szCs w:val="21"/>
                    </w:rPr>
                    <w:t>4000</w:t>
                  </w:r>
                </w:p>
              </w:tc>
              <w:tc>
                <w:tcPr>
                  <w:tcW w:w="1073" w:type="dxa"/>
                  <w:tcBorders>
                    <w:tl2br w:val="nil"/>
                    <w:tr2bl w:val="nil"/>
                  </w:tcBorders>
                  <w:vAlign w:val="center"/>
                </w:tcPr>
                <w:p w14:paraId="2D6CFC44">
                  <w:pPr>
                    <w:pStyle w:val="60"/>
                    <w:rPr>
                      <w:rFonts w:hint="default" w:eastAsia="宋体"/>
                      <w:color w:val="auto"/>
                      <w:sz w:val="21"/>
                      <w:szCs w:val="21"/>
                      <w:lang w:val="en-US" w:eastAsia="zh-CN"/>
                    </w:rPr>
                  </w:pPr>
                  <w:r>
                    <w:rPr>
                      <w:rFonts w:hint="eastAsia"/>
                      <w:color w:val="auto"/>
                      <w:sz w:val="21"/>
                      <w:szCs w:val="21"/>
                      <w:lang w:val="en-US" w:eastAsia="zh-CN"/>
                    </w:rPr>
                    <w:t>15</w:t>
                  </w:r>
                </w:p>
              </w:tc>
              <w:tc>
                <w:tcPr>
                  <w:tcW w:w="1047" w:type="dxa"/>
                  <w:tcBorders>
                    <w:tl2br w:val="nil"/>
                    <w:tr2bl w:val="nil"/>
                  </w:tcBorders>
                  <w:vAlign w:val="center"/>
                </w:tcPr>
                <w:p w14:paraId="1A89F254">
                  <w:pPr>
                    <w:pStyle w:val="60"/>
                    <w:rPr>
                      <w:color w:val="auto"/>
                      <w:sz w:val="21"/>
                      <w:szCs w:val="21"/>
                    </w:rPr>
                  </w:pPr>
                  <w:r>
                    <w:rPr>
                      <w:color w:val="auto"/>
                      <w:sz w:val="21"/>
                      <w:szCs w:val="21"/>
                    </w:rPr>
                    <w:t>达标</w:t>
                  </w:r>
                </w:p>
              </w:tc>
            </w:tr>
            <w:tr w14:paraId="0D53386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1" w:hRule="atLeast"/>
                <w:jc w:val="center"/>
              </w:trPr>
              <w:tc>
                <w:tcPr>
                  <w:tcW w:w="831" w:type="dxa"/>
                  <w:tcBorders>
                    <w:tl2br w:val="nil"/>
                    <w:tr2bl w:val="nil"/>
                  </w:tcBorders>
                  <w:vAlign w:val="center"/>
                </w:tcPr>
                <w:p w14:paraId="7C9D61F2">
                  <w:pPr>
                    <w:pStyle w:val="60"/>
                    <w:rPr>
                      <w:color w:val="auto"/>
                      <w:sz w:val="21"/>
                      <w:szCs w:val="21"/>
                    </w:rPr>
                  </w:pPr>
                  <w:r>
                    <w:rPr>
                      <w:color w:val="auto"/>
                      <w:sz w:val="21"/>
                      <w:szCs w:val="21"/>
                    </w:rPr>
                    <w:t>O</w:t>
                  </w:r>
                  <w:r>
                    <w:rPr>
                      <w:color w:val="auto"/>
                      <w:sz w:val="21"/>
                      <w:szCs w:val="21"/>
                      <w:vertAlign w:val="subscript"/>
                    </w:rPr>
                    <w:t>3</w:t>
                  </w:r>
                </w:p>
              </w:tc>
              <w:tc>
                <w:tcPr>
                  <w:tcW w:w="2149" w:type="dxa"/>
                  <w:tcBorders>
                    <w:tl2br w:val="nil"/>
                    <w:tr2bl w:val="nil"/>
                  </w:tcBorders>
                  <w:vAlign w:val="center"/>
                </w:tcPr>
                <w:p w14:paraId="2F7BF988">
                  <w:pPr>
                    <w:pStyle w:val="18"/>
                    <w:adjustRightInd w:val="0"/>
                    <w:snapToGrid w:val="0"/>
                    <w:spacing w:line="240" w:lineRule="auto"/>
                    <w:ind w:firstLine="0" w:firstLineChars="0"/>
                    <w:jc w:val="center"/>
                    <w:rPr>
                      <w:color w:val="auto"/>
                      <w:sz w:val="21"/>
                      <w:szCs w:val="21"/>
                    </w:rPr>
                  </w:pPr>
                  <w:r>
                    <w:rPr>
                      <w:rFonts w:hint="eastAsia" w:ascii="Times New Roman" w:hAnsi="Times New Roman" w:eastAsia="宋体" w:cs="Times New Roman"/>
                      <w:bCs/>
                      <w:color w:val="auto"/>
                      <w:sz w:val="21"/>
                      <w:szCs w:val="21"/>
                      <w:highlight w:val="none"/>
                      <w:lang w:val="en-US" w:eastAsia="zh-CN"/>
                    </w:rPr>
                    <w:t>8小时平均第90</w:t>
                  </w:r>
                  <w:r>
                    <w:rPr>
                      <w:rFonts w:hint="eastAsia" w:ascii="Times New Roman" w:hAnsi="Times New Roman" w:eastAsia="宋体" w:cs="Times New Roman"/>
                      <w:bCs/>
                      <w:color w:val="auto"/>
                      <w:sz w:val="21"/>
                      <w:szCs w:val="21"/>
                      <w:highlight w:val="none"/>
                    </w:rPr>
                    <w:t>百分位</w:t>
                  </w:r>
                  <w:r>
                    <w:rPr>
                      <w:rFonts w:hint="eastAsia" w:ascii="Times New Roman" w:hAnsi="Times New Roman" w:eastAsia="宋体" w:cs="Times New Roman"/>
                      <w:bCs/>
                      <w:color w:val="auto"/>
                      <w:sz w:val="21"/>
                      <w:szCs w:val="21"/>
                      <w:highlight w:val="none"/>
                      <w:lang w:val="en-US" w:eastAsia="zh-CN"/>
                    </w:rPr>
                    <w:t>数</w:t>
                  </w:r>
                </w:p>
              </w:tc>
              <w:tc>
                <w:tcPr>
                  <w:tcW w:w="1475" w:type="dxa"/>
                  <w:tcBorders>
                    <w:tl2br w:val="nil"/>
                    <w:tr2bl w:val="nil"/>
                  </w:tcBorders>
                  <w:vAlign w:val="center"/>
                </w:tcPr>
                <w:p w14:paraId="4A101AF7">
                  <w:pPr>
                    <w:pStyle w:val="60"/>
                    <w:rPr>
                      <w:rFonts w:hint="default" w:eastAsia="宋体"/>
                      <w:color w:val="auto"/>
                      <w:sz w:val="21"/>
                      <w:szCs w:val="21"/>
                      <w:lang w:val="en-US" w:eastAsia="zh-CN"/>
                    </w:rPr>
                  </w:pPr>
                  <w:r>
                    <w:rPr>
                      <w:rFonts w:hint="eastAsia"/>
                      <w:color w:val="auto"/>
                      <w:sz w:val="21"/>
                      <w:szCs w:val="21"/>
                      <w:lang w:val="en-US" w:eastAsia="zh-CN"/>
                    </w:rPr>
                    <w:t>88</w:t>
                  </w:r>
                </w:p>
              </w:tc>
              <w:tc>
                <w:tcPr>
                  <w:tcW w:w="1475" w:type="dxa"/>
                  <w:tcBorders>
                    <w:tl2br w:val="nil"/>
                    <w:tr2bl w:val="nil"/>
                  </w:tcBorders>
                  <w:vAlign w:val="center"/>
                </w:tcPr>
                <w:p w14:paraId="4C7CB76B">
                  <w:pPr>
                    <w:pStyle w:val="60"/>
                    <w:rPr>
                      <w:color w:val="auto"/>
                      <w:sz w:val="21"/>
                      <w:szCs w:val="21"/>
                    </w:rPr>
                  </w:pPr>
                  <w:r>
                    <w:rPr>
                      <w:color w:val="auto"/>
                      <w:sz w:val="21"/>
                      <w:szCs w:val="21"/>
                    </w:rPr>
                    <w:t>160</w:t>
                  </w:r>
                </w:p>
              </w:tc>
              <w:tc>
                <w:tcPr>
                  <w:tcW w:w="1073" w:type="dxa"/>
                  <w:tcBorders>
                    <w:tl2br w:val="nil"/>
                    <w:tr2bl w:val="nil"/>
                  </w:tcBorders>
                  <w:vAlign w:val="center"/>
                </w:tcPr>
                <w:p w14:paraId="0C185FE8">
                  <w:pPr>
                    <w:pStyle w:val="60"/>
                    <w:rPr>
                      <w:rFonts w:hint="default" w:eastAsia="宋体"/>
                      <w:color w:val="auto"/>
                      <w:sz w:val="21"/>
                      <w:szCs w:val="21"/>
                      <w:lang w:val="en-US" w:eastAsia="zh-CN"/>
                    </w:rPr>
                  </w:pPr>
                  <w:r>
                    <w:rPr>
                      <w:rFonts w:hint="eastAsia"/>
                      <w:color w:val="auto"/>
                      <w:sz w:val="21"/>
                      <w:szCs w:val="21"/>
                      <w:lang w:val="en-US" w:eastAsia="zh-CN"/>
                    </w:rPr>
                    <w:t>55</w:t>
                  </w:r>
                </w:p>
              </w:tc>
              <w:tc>
                <w:tcPr>
                  <w:tcW w:w="1047" w:type="dxa"/>
                  <w:tcBorders>
                    <w:tl2br w:val="nil"/>
                    <w:tr2bl w:val="nil"/>
                  </w:tcBorders>
                  <w:vAlign w:val="center"/>
                </w:tcPr>
                <w:p w14:paraId="43E7AE00">
                  <w:pPr>
                    <w:pStyle w:val="60"/>
                    <w:rPr>
                      <w:color w:val="auto"/>
                      <w:sz w:val="21"/>
                      <w:szCs w:val="21"/>
                    </w:rPr>
                  </w:pPr>
                  <w:r>
                    <w:rPr>
                      <w:color w:val="auto"/>
                      <w:sz w:val="21"/>
                      <w:szCs w:val="21"/>
                    </w:rPr>
                    <w:t>达标</w:t>
                  </w:r>
                </w:p>
              </w:tc>
            </w:tr>
          </w:tbl>
          <w:p w14:paraId="2E6EEDA7">
            <w:pPr>
              <w:pStyle w:val="56"/>
              <w:spacing w:line="360" w:lineRule="auto"/>
              <w:ind w:firstLine="48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项目所在区域木垒县202</w:t>
            </w:r>
            <w:r>
              <w:rPr>
                <w:rFonts w:hint="eastAsia" w:cs="Times New Roman"/>
                <w:color w:val="auto"/>
                <w:kern w:val="0"/>
                <w:sz w:val="24"/>
                <w:szCs w:val="24"/>
                <w:lang w:val="en-US" w:eastAsia="zh-CN" w:bidi="ar-SA"/>
              </w:rPr>
              <w:t>3</w:t>
            </w:r>
            <w:r>
              <w:rPr>
                <w:rFonts w:hint="eastAsia" w:ascii="Times New Roman" w:hAnsi="Times New Roman" w:eastAsia="宋体" w:cs="Times New Roman"/>
                <w:color w:val="auto"/>
                <w:kern w:val="0"/>
                <w:sz w:val="24"/>
                <w:szCs w:val="24"/>
                <w:lang w:val="en-US" w:eastAsia="zh-CN" w:bidi="ar-SA"/>
              </w:rPr>
              <w:t>年SO</w:t>
            </w:r>
            <w:r>
              <w:rPr>
                <w:rFonts w:hint="eastAsia" w:ascii="Times New Roman" w:hAnsi="Times New Roman" w:eastAsia="宋体" w:cs="Times New Roman"/>
                <w:color w:val="auto"/>
                <w:kern w:val="0"/>
                <w:sz w:val="24"/>
                <w:szCs w:val="24"/>
                <w:vertAlign w:val="subscript"/>
                <w:lang w:val="en-US" w:eastAsia="zh-CN" w:bidi="ar-SA"/>
              </w:rPr>
              <w:t>2</w:t>
            </w:r>
            <w:r>
              <w:rPr>
                <w:rFonts w:hint="eastAsia" w:ascii="Times New Roman" w:hAnsi="Times New Roman" w:eastAsia="宋体" w:cs="Times New Roman"/>
                <w:color w:val="auto"/>
                <w:kern w:val="0"/>
                <w:sz w:val="24"/>
                <w:szCs w:val="24"/>
                <w:lang w:val="en-US" w:eastAsia="zh-CN" w:bidi="ar-SA"/>
              </w:rPr>
              <w:t>、NO</w:t>
            </w:r>
            <w:r>
              <w:rPr>
                <w:rFonts w:hint="eastAsia" w:ascii="Times New Roman" w:hAnsi="Times New Roman" w:eastAsia="宋体" w:cs="Times New Roman"/>
                <w:color w:val="auto"/>
                <w:kern w:val="0"/>
                <w:sz w:val="24"/>
                <w:szCs w:val="24"/>
                <w:vertAlign w:val="subscript"/>
                <w:lang w:val="en-US" w:eastAsia="zh-CN" w:bidi="ar-SA"/>
              </w:rPr>
              <w:t>2</w:t>
            </w:r>
            <w:r>
              <w:rPr>
                <w:rFonts w:hint="eastAsia" w:ascii="Times New Roman" w:hAnsi="Times New Roman" w:eastAsia="宋体" w:cs="Times New Roman"/>
                <w:color w:val="auto"/>
                <w:kern w:val="0"/>
                <w:sz w:val="24"/>
                <w:szCs w:val="24"/>
                <w:lang w:val="en-US" w:eastAsia="zh-CN" w:bidi="ar-SA"/>
              </w:rPr>
              <w:t>、PM</w:t>
            </w:r>
            <w:r>
              <w:rPr>
                <w:rFonts w:hint="eastAsia" w:ascii="Times New Roman" w:hAnsi="Times New Roman" w:eastAsia="宋体" w:cs="Times New Roman"/>
                <w:color w:val="auto"/>
                <w:kern w:val="0"/>
                <w:sz w:val="24"/>
                <w:szCs w:val="24"/>
                <w:vertAlign w:val="subscript"/>
                <w:lang w:val="en-US" w:eastAsia="zh-CN" w:bidi="ar-SA"/>
              </w:rPr>
              <w:t>2.5</w:t>
            </w:r>
            <w:r>
              <w:rPr>
                <w:rFonts w:hint="eastAsia" w:ascii="Times New Roman" w:hAnsi="Times New Roman" w:eastAsia="宋体" w:cs="Times New Roman"/>
                <w:color w:val="auto"/>
                <w:kern w:val="0"/>
                <w:sz w:val="24"/>
                <w:szCs w:val="24"/>
                <w:lang w:val="en-US" w:eastAsia="zh-CN" w:bidi="ar-SA"/>
              </w:rPr>
              <w:t>、PM</w:t>
            </w:r>
            <w:r>
              <w:rPr>
                <w:rFonts w:hint="eastAsia" w:ascii="Times New Roman" w:hAnsi="Times New Roman" w:eastAsia="宋体" w:cs="Times New Roman"/>
                <w:color w:val="auto"/>
                <w:kern w:val="0"/>
                <w:sz w:val="24"/>
                <w:szCs w:val="24"/>
                <w:vertAlign w:val="subscript"/>
                <w:lang w:val="en-US" w:eastAsia="zh-CN" w:bidi="ar-SA"/>
              </w:rPr>
              <w:t>10</w:t>
            </w:r>
            <w:r>
              <w:rPr>
                <w:rFonts w:hint="eastAsia" w:ascii="Times New Roman" w:hAnsi="Times New Roman" w:eastAsia="宋体" w:cs="Times New Roman"/>
                <w:color w:val="auto"/>
                <w:kern w:val="0"/>
                <w:sz w:val="24"/>
                <w:szCs w:val="24"/>
                <w:lang w:val="en-US" w:eastAsia="zh-CN" w:bidi="ar-SA"/>
              </w:rPr>
              <w:t>年均浓度分别为</w:t>
            </w:r>
            <w:r>
              <w:rPr>
                <w:rFonts w:hint="eastAsia" w:cs="Times New Roman"/>
                <w:color w:val="auto"/>
                <w:kern w:val="0"/>
                <w:sz w:val="24"/>
                <w:szCs w:val="24"/>
                <w:lang w:val="en-US" w:eastAsia="zh-CN" w:bidi="ar-SA"/>
              </w:rPr>
              <w:t>7</w:t>
            </w:r>
            <w:r>
              <w:rPr>
                <w:rFonts w:hint="eastAsia" w:ascii="Times New Roman" w:hAnsi="Times New Roman" w:eastAsia="宋体" w:cs="Times New Roman"/>
                <w:color w:val="auto"/>
                <w:kern w:val="0"/>
                <w:sz w:val="24"/>
                <w:szCs w:val="24"/>
                <w:lang w:val="en-US" w:eastAsia="zh-CN" w:bidi="ar-SA"/>
              </w:rPr>
              <w:t>µg/m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10</w:t>
            </w:r>
            <w:r>
              <w:rPr>
                <w:rFonts w:hint="eastAsia" w:ascii="Times New Roman" w:hAnsi="Times New Roman" w:eastAsia="宋体" w:cs="Times New Roman"/>
                <w:color w:val="auto"/>
                <w:kern w:val="0"/>
                <w:sz w:val="24"/>
                <w:szCs w:val="24"/>
                <w:lang w:val="en-US" w:eastAsia="zh-CN" w:bidi="ar-SA"/>
              </w:rPr>
              <w:t>µg/m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9</w:t>
            </w:r>
            <w:r>
              <w:rPr>
                <w:rFonts w:hint="eastAsia" w:ascii="Times New Roman" w:hAnsi="Times New Roman" w:eastAsia="宋体" w:cs="Times New Roman"/>
                <w:color w:val="auto"/>
                <w:kern w:val="0"/>
                <w:sz w:val="24"/>
                <w:szCs w:val="24"/>
                <w:lang w:val="en-US" w:eastAsia="zh-CN" w:bidi="ar-SA"/>
              </w:rPr>
              <w:t>µg/m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29</w:t>
            </w:r>
            <w:r>
              <w:rPr>
                <w:rFonts w:hint="eastAsia" w:ascii="Times New Roman" w:hAnsi="Times New Roman" w:eastAsia="宋体" w:cs="Times New Roman"/>
                <w:color w:val="auto"/>
                <w:kern w:val="0"/>
                <w:sz w:val="24"/>
                <w:szCs w:val="24"/>
                <w:lang w:val="en-US" w:eastAsia="zh-CN" w:bidi="ar-SA"/>
              </w:rPr>
              <w:t>µg/m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；CO24小时平均第95百分位数为1.3mg/m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，O</w:t>
            </w:r>
            <w:r>
              <w:rPr>
                <w:rFonts w:hint="eastAsia" w:ascii="Times New Roman" w:hAnsi="Times New Roman" w:eastAsia="宋体" w:cs="Times New Roman"/>
                <w:color w:val="auto"/>
                <w:kern w:val="0"/>
                <w:sz w:val="24"/>
                <w:szCs w:val="24"/>
                <w:vertAlign w:val="subscript"/>
                <w:lang w:val="en-US" w:eastAsia="zh-CN" w:bidi="ar-SA"/>
              </w:rPr>
              <w:t>3</w:t>
            </w:r>
            <w:r>
              <w:rPr>
                <w:rFonts w:hint="eastAsia" w:ascii="Times New Roman" w:hAnsi="Times New Roman" w:eastAsia="宋体" w:cs="Times New Roman"/>
                <w:color w:val="auto"/>
                <w:kern w:val="0"/>
                <w:sz w:val="24"/>
                <w:szCs w:val="24"/>
                <w:lang w:val="en-US" w:eastAsia="zh-CN" w:bidi="ar-SA"/>
              </w:rPr>
              <w:t>日最大8小时平均第90百分位数为</w:t>
            </w:r>
            <w:r>
              <w:rPr>
                <w:rFonts w:hint="eastAsia" w:cs="Times New Roman"/>
                <w:color w:val="auto"/>
                <w:kern w:val="0"/>
                <w:sz w:val="24"/>
                <w:szCs w:val="24"/>
                <w:lang w:val="en-US" w:eastAsia="zh-CN" w:bidi="ar-SA"/>
              </w:rPr>
              <w:t>88</w:t>
            </w:r>
            <w:r>
              <w:rPr>
                <w:rFonts w:hint="eastAsia" w:ascii="Times New Roman" w:hAnsi="Times New Roman" w:eastAsia="宋体" w:cs="Times New Roman"/>
                <w:color w:val="auto"/>
                <w:kern w:val="0"/>
                <w:sz w:val="24"/>
                <w:szCs w:val="24"/>
                <w:lang w:val="en-US" w:eastAsia="zh-CN" w:bidi="ar-SA"/>
              </w:rPr>
              <w:t>µg/m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，各污染物平均浓度均满足《环境空气质量标准》</w:t>
            </w:r>
            <w:r>
              <w:rPr>
                <w:rFonts w:hint="eastAsia"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GB3095-2012</w:t>
            </w:r>
            <w:r>
              <w:rPr>
                <w:rFonts w:hint="eastAsia"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及修改单中的二级标准。综上，本项目所在区域为达标区，区域环境空气质量良好。</w:t>
            </w:r>
          </w:p>
          <w:p w14:paraId="5C4E5BD3">
            <w:pPr>
              <w:pStyle w:val="56"/>
              <w:numPr>
                <w:ilvl w:val="0"/>
                <w:numId w:val="3"/>
              </w:numPr>
              <w:spacing w:line="360" w:lineRule="auto"/>
              <w:rPr>
                <w:b/>
                <w:bCs/>
                <w:color w:val="auto"/>
                <w:lang w:bidi="ar"/>
              </w:rPr>
            </w:pPr>
            <w:r>
              <w:rPr>
                <w:rFonts w:hint="eastAsia"/>
                <w:b/>
                <w:bCs/>
                <w:color w:val="auto"/>
                <w:lang w:bidi="ar"/>
              </w:rPr>
              <w:t>水环境</w:t>
            </w:r>
          </w:p>
          <w:p w14:paraId="72095486">
            <w:pPr>
              <w:pStyle w:val="56"/>
              <w:spacing w:line="360" w:lineRule="auto"/>
              <w:rPr>
                <w:b/>
                <w:bCs/>
                <w:color w:val="auto"/>
                <w:lang w:bidi="ar"/>
              </w:rPr>
            </w:pPr>
            <w:r>
              <w:rPr>
                <w:rFonts w:hint="eastAsia"/>
                <w:b/>
                <w:bCs/>
                <w:color w:val="auto"/>
                <w:lang w:bidi="ar"/>
              </w:rPr>
              <w:t>2.1</w:t>
            </w:r>
            <w:r>
              <w:rPr>
                <w:rFonts w:hint="eastAsia"/>
                <w:b/>
                <w:bCs/>
                <w:color w:val="auto"/>
                <w:lang w:val="en-US" w:eastAsia="zh-CN" w:bidi="ar"/>
              </w:rPr>
              <w:t xml:space="preserve"> </w:t>
            </w:r>
            <w:r>
              <w:rPr>
                <w:rFonts w:hint="eastAsia"/>
                <w:b/>
                <w:bCs/>
                <w:color w:val="auto"/>
                <w:lang w:bidi="ar"/>
              </w:rPr>
              <w:t>地表水环境</w:t>
            </w:r>
          </w:p>
          <w:p w14:paraId="4BB5D5C1">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本项目产生的生产废水循环利用，不外排；项目产生的生活污水经一体化污水处理系统处理达标后用于</w:t>
            </w:r>
            <w:r>
              <w:rPr>
                <w:rFonts w:hint="eastAsia" w:cs="Times New Roman"/>
                <w:color w:val="auto"/>
                <w:kern w:val="0"/>
                <w:sz w:val="24"/>
                <w:lang w:val="en-US" w:eastAsia="zh-CN"/>
              </w:rPr>
              <w:t>厂区绿化</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项目区东侧约400m为白杨河，</w:t>
            </w:r>
            <w:r>
              <w:rPr>
                <w:rFonts w:hint="eastAsia" w:ascii="Times New Roman" w:hAnsi="Times New Roman" w:eastAsia="宋体" w:cs="Times New Roman"/>
                <w:color w:val="auto"/>
                <w:kern w:val="0"/>
                <w:sz w:val="24"/>
              </w:rPr>
              <w:t>本项目产生的废水与</w:t>
            </w:r>
            <w:r>
              <w:rPr>
                <w:rFonts w:hint="eastAsia" w:cs="Times New Roman"/>
                <w:color w:val="auto"/>
                <w:kern w:val="0"/>
                <w:sz w:val="24"/>
                <w:lang w:val="en-US" w:eastAsia="zh-CN"/>
              </w:rPr>
              <w:t>项目周边</w:t>
            </w:r>
            <w:r>
              <w:rPr>
                <w:rFonts w:hint="eastAsia" w:ascii="Times New Roman" w:hAnsi="Times New Roman" w:eastAsia="宋体" w:cs="Times New Roman"/>
                <w:color w:val="auto"/>
                <w:kern w:val="0"/>
                <w:sz w:val="24"/>
              </w:rPr>
              <w:t>地表水系无水力联系，根据《环境影响评价技术导则 地表水环境》（HJ2.3-2018），本项目不需要进行地表水评价。</w:t>
            </w:r>
          </w:p>
          <w:p w14:paraId="2D55FF3D">
            <w:pPr>
              <w:pStyle w:val="56"/>
              <w:spacing w:line="360" w:lineRule="auto"/>
              <w:rPr>
                <w:b/>
                <w:bCs/>
                <w:color w:val="auto"/>
                <w:szCs w:val="24"/>
              </w:rPr>
            </w:pPr>
            <w:r>
              <w:rPr>
                <w:rFonts w:hint="eastAsia"/>
                <w:b/>
                <w:bCs/>
                <w:color w:val="auto"/>
                <w:szCs w:val="24"/>
              </w:rPr>
              <w:t>2.2</w:t>
            </w:r>
            <w:r>
              <w:rPr>
                <w:rFonts w:hint="eastAsia"/>
                <w:b/>
                <w:bCs/>
                <w:color w:val="auto"/>
                <w:szCs w:val="24"/>
                <w:lang w:val="en-US" w:eastAsia="zh-CN"/>
              </w:rPr>
              <w:t xml:space="preserve"> </w:t>
            </w:r>
            <w:r>
              <w:rPr>
                <w:rFonts w:hint="eastAsia"/>
                <w:b/>
                <w:bCs/>
                <w:color w:val="auto"/>
                <w:szCs w:val="24"/>
              </w:rPr>
              <w:t>地下水环境</w:t>
            </w:r>
          </w:p>
          <w:p w14:paraId="66A734F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根据《环境影响评价技术导则</w:t>
            </w:r>
            <w:r>
              <w:rPr>
                <w:rFonts w:hint="eastAsia" w:ascii="Times New Roman" w:hAnsi="Times New Roman" w:eastAsia="宋体" w:cs="Times New Roman"/>
                <w:color w:val="auto"/>
                <w:kern w:val="0"/>
                <w:sz w:val="24"/>
              </w:rPr>
              <w:t xml:space="preserve"> </w:t>
            </w:r>
            <w:r>
              <w:rPr>
                <w:rFonts w:ascii="Times New Roman" w:hAnsi="Times New Roman" w:eastAsia="宋体" w:cs="Times New Roman"/>
                <w:color w:val="auto"/>
                <w:kern w:val="0"/>
                <w:sz w:val="24"/>
              </w:rPr>
              <w:t>地下水环境》（HJ</w:t>
            </w:r>
            <w:r>
              <w:rPr>
                <w:rFonts w:hint="eastAsia" w:ascii="Times New Roman" w:hAnsi="Times New Roman" w:eastAsia="宋体" w:cs="Times New Roman"/>
                <w:color w:val="auto"/>
                <w:kern w:val="0"/>
                <w:sz w:val="24"/>
              </w:rPr>
              <w:t xml:space="preserve"> 6</w:t>
            </w:r>
            <w:r>
              <w:rPr>
                <w:rFonts w:ascii="Times New Roman" w:hAnsi="Times New Roman" w:eastAsia="宋体" w:cs="Times New Roman"/>
                <w:color w:val="auto"/>
                <w:kern w:val="0"/>
                <w:sz w:val="24"/>
              </w:rPr>
              <w:t>10-2016）中附录 A 地下水环境影响评价行业分类表，</w:t>
            </w:r>
            <w:r>
              <w:rPr>
                <w:rFonts w:hint="eastAsia" w:ascii="Times New Roman" w:hAnsi="Times New Roman" w:eastAsia="宋体" w:cs="Times New Roman"/>
                <w:color w:val="auto"/>
                <w:kern w:val="0"/>
                <w:sz w:val="24"/>
              </w:rPr>
              <w:t>本项目为“J非金属采选及制品制造”中“60、砼结构构件制造、商品混凝土加工”的“全部”报告表项目，为</w:t>
            </w:r>
            <w:r>
              <w:rPr>
                <w:rFonts w:ascii="Times New Roman" w:hAnsi="Times New Roman" w:eastAsia="宋体" w:cs="Times New Roman"/>
                <w:color w:val="auto"/>
                <w:kern w:val="0"/>
                <w:sz w:val="24"/>
              </w:rPr>
              <w:t>Ⅳ</w:t>
            </w:r>
            <w:r>
              <w:rPr>
                <w:rFonts w:hint="eastAsia" w:ascii="Times New Roman" w:hAnsi="Times New Roman" w:eastAsia="宋体" w:cs="Times New Roman"/>
                <w:color w:val="auto"/>
                <w:kern w:val="0"/>
                <w:sz w:val="24"/>
              </w:rPr>
              <w:t>类项目，项目所在地属于不敏感区，</w:t>
            </w:r>
            <w:r>
              <w:rPr>
                <w:rFonts w:ascii="Times New Roman" w:hAnsi="Times New Roman" w:eastAsia="宋体" w:cs="Times New Roman"/>
                <w:color w:val="auto"/>
                <w:kern w:val="0"/>
                <w:sz w:val="24"/>
              </w:rPr>
              <w:t>本项目可不开展地下水环境影响评价。</w:t>
            </w:r>
          </w:p>
          <w:p w14:paraId="6650D409">
            <w:pPr>
              <w:numPr>
                <w:ilvl w:val="0"/>
                <w:numId w:val="3"/>
              </w:numPr>
              <w:adjustRightInd w:val="0"/>
              <w:snapToGrid w:val="0"/>
              <w:spacing w:line="360" w:lineRule="auto"/>
              <w:ind w:left="0" w:leftChars="0" w:firstLine="0" w:firstLineChars="0"/>
              <w:rPr>
                <w:b/>
                <w:bCs/>
                <w:color w:val="auto"/>
                <w:sz w:val="24"/>
              </w:rPr>
            </w:pPr>
            <w:r>
              <w:rPr>
                <w:rFonts w:hint="eastAsia"/>
                <w:b/>
                <w:bCs/>
                <w:color w:val="auto"/>
                <w:sz w:val="24"/>
              </w:rPr>
              <w:t>声环境</w:t>
            </w:r>
          </w:p>
          <w:p w14:paraId="1DB78C39">
            <w:pPr>
              <w:adjustRightInd w:val="0"/>
              <w:snapToGrid w:val="0"/>
              <w:spacing w:line="360" w:lineRule="auto"/>
              <w:ind w:firstLine="480" w:firstLineChars="200"/>
              <w:rPr>
                <w:color w:val="auto"/>
                <w:kern w:val="0"/>
                <w:sz w:val="24"/>
              </w:rPr>
            </w:pPr>
            <w:r>
              <w:rPr>
                <w:rFonts w:hint="eastAsia" w:ascii="Times New Roman" w:hAnsi="Times New Roman" w:eastAsia="宋体" w:cs="Times New Roman"/>
                <w:color w:val="auto"/>
                <w:kern w:val="0"/>
                <w:sz w:val="24"/>
              </w:rPr>
              <w:t>本项目厂界周边50米范围内不存在声环境保护目标。</w:t>
            </w:r>
          </w:p>
          <w:p w14:paraId="59F97699">
            <w:pPr>
              <w:numPr>
                <w:ilvl w:val="0"/>
                <w:numId w:val="3"/>
              </w:numPr>
              <w:adjustRightInd w:val="0"/>
              <w:snapToGrid w:val="0"/>
              <w:spacing w:line="360" w:lineRule="auto"/>
              <w:ind w:left="0" w:leftChars="0" w:firstLine="0" w:firstLineChars="0"/>
              <w:rPr>
                <w:b/>
                <w:bCs/>
                <w:color w:val="auto"/>
                <w:kern w:val="0"/>
                <w:sz w:val="24"/>
              </w:rPr>
            </w:pPr>
            <w:r>
              <w:rPr>
                <w:rFonts w:hint="eastAsia"/>
                <w:b/>
                <w:bCs/>
                <w:color w:val="auto"/>
                <w:kern w:val="0"/>
                <w:sz w:val="24"/>
              </w:rPr>
              <w:t>生态环境</w:t>
            </w:r>
          </w:p>
          <w:p w14:paraId="438A2DE1">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本项目位于新疆维吾尔自治区木垒县</w:t>
            </w:r>
            <w:r>
              <w:rPr>
                <w:rFonts w:hint="eastAsia" w:cs="Times New Roman"/>
                <w:color w:val="auto"/>
                <w:kern w:val="0"/>
                <w:sz w:val="24"/>
                <w:lang w:val="en-US" w:eastAsia="zh-CN"/>
              </w:rPr>
              <w:t>照壁山乡霍斯阔拉村</w:t>
            </w:r>
            <w:r>
              <w:rPr>
                <w:rFonts w:hint="eastAsia" w:ascii="Times New Roman" w:hAnsi="Times New Roman" w:eastAsia="宋体" w:cs="Times New Roman"/>
                <w:color w:val="auto"/>
                <w:kern w:val="0"/>
                <w:sz w:val="24"/>
              </w:rPr>
              <w:t>，</w:t>
            </w:r>
            <w:r>
              <w:rPr>
                <w:rFonts w:ascii="宋体" w:hAnsi="宋体" w:eastAsia="宋体" w:cs="宋体"/>
                <w:b w:val="0"/>
                <w:bCs w:val="0"/>
                <w:color w:val="000000"/>
                <w:sz w:val="24"/>
                <w:szCs w:val="24"/>
              </w:rPr>
              <w:t>工程占地及其附近不涉及自然保护区、饮用水水源保护区、生态红线区、森林公园、风景名胜区、文物、名胜古迹等环境敏感区，也未见珍稀保护动植物及其的集中分布区</w:t>
            </w:r>
            <w:r>
              <w:rPr>
                <w:rFonts w:hint="eastAsia" w:ascii="Times New Roman" w:hAnsi="Times New Roman" w:eastAsia="宋体" w:cs="Times New Roman"/>
                <w:color w:val="auto"/>
                <w:kern w:val="0"/>
                <w:sz w:val="24"/>
              </w:rPr>
              <w:t>，因此不进行生态环境调查与评价。</w:t>
            </w:r>
          </w:p>
          <w:p w14:paraId="798C3F5C">
            <w:pPr>
              <w:pStyle w:val="26"/>
              <w:numPr>
                <w:ilvl w:val="0"/>
                <w:numId w:val="3"/>
              </w:numPr>
              <w:ind w:left="0" w:leftChars="0" w:firstLine="0" w:firstLineChars="0"/>
              <w:rPr>
                <w:b/>
                <w:bCs/>
                <w:color w:val="auto"/>
                <w:szCs w:val="24"/>
              </w:rPr>
            </w:pPr>
            <w:r>
              <w:rPr>
                <w:rFonts w:hint="eastAsia"/>
                <w:b/>
                <w:bCs/>
                <w:color w:val="auto"/>
                <w:szCs w:val="24"/>
              </w:rPr>
              <w:t>土壤环境</w:t>
            </w:r>
          </w:p>
          <w:p w14:paraId="2368EF54">
            <w:pPr>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1"/>
                <w:lang w:eastAsia="zh-CN"/>
              </w:rPr>
            </w:pPr>
            <w:r>
              <w:rPr>
                <w:rFonts w:ascii="Times New Roman" w:hAnsi="Times New Roman" w:eastAsia="宋体" w:cs="Times New Roman"/>
                <w:color w:val="auto"/>
                <w:kern w:val="0"/>
                <w:sz w:val="24"/>
              </w:rPr>
              <w:t>本项目为污染影响型项目，</w:t>
            </w:r>
            <w:r>
              <w:rPr>
                <w:rFonts w:hint="eastAsia" w:ascii="Times New Roman" w:hAnsi="Times New Roman" w:eastAsia="宋体" w:cs="Times New Roman"/>
                <w:color w:val="auto"/>
                <w:kern w:val="0"/>
                <w:sz w:val="24"/>
              </w:rPr>
              <w:t>根据《建设项目环境影响报告表编制技术指南（污染影响类）》，本项目不存在土壤污染途径，本项目</w:t>
            </w:r>
            <w:r>
              <w:rPr>
                <w:rFonts w:ascii="Times New Roman" w:hAnsi="Times New Roman" w:eastAsia="宋体" w:cs="Times New Roman"/>
                <w:color w:val="auto"/>
                <w:kern w:val="0"/>
                <w:sz w:val="24"/>
              </w:rPr>
              <w:t>占地规模</w:t>
            </w:r>
            <w:r>
              <w:rPr>
                <w:rFonts w:hint="eastAsia" w:cs="Times New Roman"/>
                <w:color w:val="auto"/>
                <w:kern w:val="0"/>
                <w:sz w:val="24"/>
                <w:lang w:eastAsia="zh-CN"/>
              </w:rPr>
              <w:t>&lt;</w:t>
            </w:r>
            <w:r>
              <w:rPr>
                <w:rFonts w:ascii="Times New Roman" w:hAnsi="Times New Roman" w:eastAsia="宋体" w:cs="Times New Roman"/>
                <w:color w:val="auto"/>
                <w:kern w:val="0"/>
                <w:sz w:val="24"/>
              </w:rPr>
              <w:t>5hm</w:t>
            </w:r>
            <w:r>
              <w:rPr>
                <w:rFonts w:ascii="Times New Roman" w:hAnsi="Times New Roman" w:eastAsia="宋体" w:cs="Times New Roman"/>
                <w:color w:val="auto"/>
                <w:kern w:val="0"/>
                <w:sz w:val="24"/>
                <w:vertAlign w:val="superscript"/>
              </w:rPr>
              <w:t>2</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为小型建设项目，且本项目属于不敏感区。根据</w:t>
            </w:r>
            <w:r>
              <w:rPr>
                <w:rFonts w:hint="eastAsia" w:ascii="Times New Roman" w:hAnsi="Times New Roman" w:eastAsia="宋体" w:cs="Times New Roman"/>
                <w:color w:val="auto"/>
                <w:kern w:val="0"/>
                <w:sz w:val="24"/>
              </w:rPr>
              <w:t>《环境影响评价技术导则 土壤环境（试行）》（HJ964-2018）</w:t>
            </w:r>
            <w:r>
              <w:rPr>
                <w:rFonts w:ascii="Times New Roman" w:hAnsi="Times New Roman" w:eastAsia="宋体" w:cs="Times New Roman"/>
                <w:color w:val="auto"/>
                <w:kern w:val="0"/>
                <w:sz w:val="24"/>
              </w:rPr>
              <w:t>，本项目可不展开土壤环境影响评价</w:t>
            </w:r>
            <w:r>
              <w:rPr>
                <w:rFonts w:hint="eastAsia" w:ascii="Times New Roman" w:hAnsi="Times New Roman" w:eastAsia="宋体" w:cs="Times New Roman"/>
                <w:color w:val="auto"/>
                <w:kern w:val="0"/>
                <w:sz w:val="24"/>
                <w:lang w:eastAsia="zh-CN"/>
              </w:rPr>
              <w:t>。</w:t>
            </w:r>
          </w:p>
        </w:tc>
      </w:tr>
      <w:tr w14:paraId="1EC48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14:paraId="291336D2">
            <w:pPr>
              <w:adjustRightInd w:val="0"/>
              <w:snapToGrid w:val="0"/>
              <w:jc w:val="center"/>
              <w:rPr>
                <w:rFonts w:ascii="宋体" w:hAnsi="宋体" w:cs="宋体"/>
                <w:color w:val="auto"/>
                <w:kern w:val="0"/>
                <w:szCs w:val="21"/>
              </w:rPr>
            </w:pPr>
            <w:r>
              <w:rPr>
                <w:rFonts w:hint="eastAsia" w:ascii="宋体" w:hAnsi="宋体" w:cs="宋体"/>
                <w:color w:val="auto"/>
                <w:kern w:val="0"/>
                <w:szCs w:val="21"/>
              </w:rPr>
              <w:t>环境</w:t>
            </w:r>
          </w:p>
          <w:p w14:paraId="570B5780">
            <w:pPr>
              <w:adjustRightInd w:val="0"/>
              <w:snapToGrid w:val="0"/>
              <w:jc w:val="center"/>
              <w:rPr>
                <w:rFonts w:ascii="宋体" w:hAnsi="宋体" w:cs="宋体"/>
                <w:color w:val="auto"/>
                <w:kern w:val="0"/>
                <w:szCs w:val="21"/>
              </w:rPr>
            </w:pPr>
            <w:r>
              <w:rPr>
                <w:rFonts w:hint="eastAsia" w:ascii="宋体" w:hAnsi="宋体" w:cs="宋体"/>
                <w:color w:val="auto"/>
                <w:kern w:val="0"/>
                <w:szCs w:val="21"/>
              </w:rPr>
              <w:t>保护</w:t>
            </w:r>
          </w:p>
          <w:p w14:paraId="055239EE">
            <w:pPr>
              <w:adjustRightInd w:val="0"/>
              <w:snapToGrid w:val="0"/>
              <w:jc w:val="center"/>
              <w:rPr>
                <w:rFonts w:ascii="宋体" w:hAnsi="宋体" w:cs="宋体"/>
                <w:color w:val="auto"/>
                <w:kern w:val="0"/>
                <w:szCs w:val="21"/>
              </w:rPr>
            </w:pPr>
            <w:r>
              <w:rPr>
                <w:rFonts w:hint="eastAsia" w:ascii="宋体" w:hAnsi="宋体" w:cs="宋体"/>
                <w:color w:val="auto"/>
                <w:kern w:val="0"/>
                <w:szCs w:val="21"/>
              </w:rPr>
              <w:t>目标</w:t>
            </w:r>
          </w:p>
        </w:tc>
        <w:tc>
          <w:tcPr>
            <w:tcW w:w="8190" w:type="dxa"/>
            <w:vAlign w:val="center"/>
          </w:tcPr>
          <w:p w14:paraId="0F7A0979">
            <w:pPr>
              <w:pStyle w:val="26"/>
              <w:numPr>
                <w:ilvl w:val="0"/>
                <w:numId w:val="0"/>
              </w:numPr>
              <w:spacing w:after="0" w:line="360" w:lineRule="auto"/>
              <w:ind w:left="0" w:leftChars="0" w:firstLine="0" w:firstLineChars="0"/>
              <w:rPr>
                <w:b/>
                <w:bCs/>
                <w:color w:val="auto"/>
                <w:szCs w:val="24"/>
              </w:rPr>
            </w:pPr>
            <w:r>
              <w:rPr>
                <w:rFonts w:ascii="Times New Roman" w:hAnsi="Times New Roman" w:eastAsia="宋体" w:cs="Times New Roman"/>
                <w:b/>
                <w:bCs/>
                <w:color w:val="auto"/>
                <w:kern w:val="2"/>
                <w:sz w:val="21"/>
                <w:szCs w:val="24"/>
                <w:lang w:val="en-US" w:eastAsia="zh-CN" w:bidi="ar-SA"/>
              </w:rPr>
              <w:t>1.</w:t>
            </w:r>
            <w:r>
              <w:rPr>
                <w:b/>
                <w:bCs/>
                <w:color w:val="auto"/>
                <w:szCs w:val="24"/>
              </w:rPr>
              <w:t>大气环境</w:t>
            </w:r>
          </w:p>
          <w:p w14:paraId="2A6EB741">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color w:val="auto"/>
                <w:szCs w:val="24"/>
              </w:rPr>
            </w:pPr>
            <w:r>
              <w:rPr>
                <w:rFonts w:ascii="Times New Roman" w:hAnsi="Times New Roman" w:eastAsia="宋体" w:cs="Times New Roman"/>
                <w:color w:val="auto"/>
                <w:kern w:val="0"/>
                <w:sz w:val="24"/>
                <w:szCs w:val="24"/>
                <w:lang w:val="en-US" w:eastAsia="zh-CN" w:bidi="ar-SA"/>
              </w:rPr>
              <w:t>厂界外500米范围内无自然保护区、风景名胜区、居住区、文化区和农村地区中人群较集中的区域。</w:t>
            </w:r>
          </w:p>
          <w:p w14:paraId="7486847A">
            <w:pPr>
              <w:pStyle w:val="26"/>
              <w:numPr>
                <w:ilvl w:val="0"/>
                <w:numId w:val="0"/>
              </w:numPr>
              <w:spacing w:after="0" w:line="360" w:lineRule="auto"/>
              <w:ind w:left="0" w:leftChars="0" w:firstLine="0" w:firstLineChars="0"/>
              <w:rPr>
                <w:rFonts w:ascii="Times New Roman" w:hAnsi="Times New Roman" w:eastAsia="宋体" w:cs="Times New Roman"/>
                <w:b/>
                <w:bCs/>
                <w:color w:val="auto"/>
                <w:kern w:val="0"/>
                <w:sz w:val="24"/>
                <w:szCs w:val="24"/>
                <w:lang w:val="en-US" w:eastAsia="zh-CN" w:bidi="ar-SA"/>
              </w:rPr>
            </w:pPr>
            <w:r>
              <w:rPr>
                <w:rFonts w:ascii="Times New Roman" w:hAnsi="Times New Roman" w:eastAsia="宋体" w:cs="Times New Roman"/>
                <w:b/>
                <w:bCs/>
                <w:color w:val="auto"/>
                <w:kern w:val="0"/>
                <w:sz w:val="24"/>
                <w:szCs w:val="24"/>
                <w:lang w:val="en-US" w:eastAsia="zh-CN" w:bidi="ar-SA"/>
              </w:rPr>
              <w:t>2.</w:t>
            </w:r>
            <w:r>
              <w:rPr>
                <w:b/>
                <w:bCs/>
                <w:color w:val="auto"/>
                <w:szCs w:val="21"/>
              </w:rPr>
              <w:t>水环境</w:t>
            </w:r>
          </w:p>
          <w:p w14:paraId="77C90040">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厂界外500米范围内无地下水集中式饮用水水源和热水、矿泉水、温泉等特殊地下水资源</w:t>
            </w:r>
            <w:r>
              <w:rPr>
                <w:rFonts w:hint="eastAsia" w:ascii="Times New Roman" w:hAnsi="Times New Roman" w:eastAsia="宋体" w:cs="Times New Roman"/>
                <w:color w:val="auto"/>
                <w:kern w:val="0"/>
                <w:sz w:val="24"/>
                <w:szCs w:val="24"/>
                <w:lang w:val="en-US" w:eastAsia="zh-CN" w:bidi="ar-SA"/>
              </w:rPr>
              <w:t>。</w:t>
            </w:r>
          </w:p>
          <w:p w14:paraId="7120C99A">
            <w:pPr>
              <w:pStyle w:val="26"/>
              <w:numPr>
                <w:ilvl w:val="0"/>
                <w:numId w:val="0"/>
              </w:numPr>
              <w:spacing w:after="0" w:line="360" w:lineRule="auto"/>
              <w:ind w:left="0" w:leftChars="0" w:firstLine="0" w:firstLineChars="0"/>
              <w:rPr>
                <w:b/>
                <w:bCs/>
                <w:color w:val="auto"/>
                <w:szCs w:val="21"/>
              </w:rPr>
            </w:pPr>
            <w:r>
              <w:rPr>
                <w:rFonts w:ascii="Times New Roman" w:hAnsi="Times New Roman" w:eastAsia="宋体" w:cs="Times New Roman"/>
                <w:b/>
                <w:bCs/>
                <w:color w:val="auto"/>
                <w:kern w:val="2"/>
                <w:sz w:val="21"/>
                <w:szCs w:val="21"/>
                <w:lang w:val="en-US" w:eastAsia="zh-CN" w:bidi="ar-SA"/>
              </w:rPr>
              <w:t>3.</w:t>
            </w:r>
            <w:r>
              <w:rPr>
                <w:b/>
                <w:bCs/>
                <w:color w:val="auto"/>
                <w:szCs w:val="21"/>
              </w:rPr>
              <w:t>声环境</w:t>
            </w:r>
          </w:p>
          <w:p w14:paraId="1A22C6EA">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厂界50米范围内无声环境保护目标。</w:t>
            </w:r>
          </w:p>
          <w:p w14:paraId="195CA0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ascii="Times New Roman" w:hAnsi="Times New Roman" w:eastAsia="宋体" w:cs="Times New Roman"/>
                <w:b/>
                <w:bCs/>
                <w:color w:val="auto"/>
                <w:kern w:val="0"/>
                <w:sz w:val="24"/>
              </w:rPr>
            </w:pPr>
            <w:r>
              <w:rPr>
                <w:rFonts w:ascii="Times New Roman" w:hAnsi="Times New Roman" w:eastAsia="宋体" w:cs="Times New Roman"/>
                <w:b/>
                <w:bCs/>
                <w:color w:val="auto"/>
                <w:kern w:val="0"/>
                <w:sz w:val="24"/>
                <w:szCs w:val="24"/>
                <w:lang w:val="en-US" w:eastAsia="zh-CN" w:bidi="ar-SA"/>
              </w:rPr>
              <w:t>4.</w:t>
            </w:r>
            <w:r>
              <w:rPr>
                <w:b/>
                <w:bCs/>
                <w:color w:val="auto"/>
                <w:sz w:val="24"/>
                <w:szCs w:val="21"/>
              </w:rPr>
              <w:t>生态环境</w:t>
            </w:r>
          </w:p>
          <w:p w14:paraId="33C81FA7">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ascii="宋体" w:hAnsi="宋体" w:cs="宋体"/>
                <w:color w:val="auto"/>
                <w:kern w:val="0"/>
                <w:szCs w:val="21"/>
              </w:rPr>
            </w:pPr>
            <w:r>
              <w:rPr>
                <w:rFonts w:ascii="Times New Roman" w:hAnsi="Times New Roman" w:eastAsia="宋体" w:cs="Times New Roman"/>
                <w:color w:val="auto"/>
                <w:kern w:val="0"/>
                <w:sz w:val="24"/>
                <w:szCs w:val="24"/>
                <w:lang w:val="en-US" w:eastAsia="zh-CN" w:bidi="ar-SA"/>
              </w:rPr>
              <w:t>项目位于</w:t>
            </w:r>
            <w:r>
              <w:rPr>
                <w:rFonts w:hint="eastAsia" w:ascii="Times New Roman" w:hAnsi="Times New Roman" w:eastAsia="宋体" w:cs="Times New Roman"/>
                <w:color w:val="auto"/>
                <w:kern w:val="0"/>
                <w:sz w:val="24"/>
                <w:szCs w:val="24"/>
                <w:lang w:val="en-US" w:eastAsia="zh-CN" w:bidi="ar-SA"/>
              </w:rPr>
              <w:t>木垒县</w:t>
            </w:r>
            <w:r>
              <w:rPr>
                <w:rFonts w:hint="eastAsia" w:cs="Times New Roman"/>
                <w:color w:val="auto"/>
                <w:kern w:val="0"/>
                <w:sz w:val="24"/>
                <w:szCs w:val="24"/>
                <w:lang w:val="en-US" w:eastAsia="zh-CN" w:bidi="ar-SA"/>
              </w:rPr>
              <w:t>照壁山乡霍斯阔拉村</w:t>
            </w:r>
            <w:r>
              <w:rPr>
                <w:rFonts w:ascii="Times New Roman" w:hAnsi="Times New Roman" w:eastAsia="宋体"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项目周边均为</w:t>
            </w:r>
            <w:r>
              <w:rPr>
                <w:rFonts w:hint="eastAsia" w:cs="Times New Roman"/>
                <w:color w:val="auto"/>
                <w:kern w:val="0"/>
                <w:sz w:val="24"/>
                <w:szCs w:val="24"/>
                <w:lang w:val="en-US" w:eastAsia="zh-CN" w:bidi="ar-SA"/>
              </w:rPr>
              <w:t>空地</w:t>
            </w:r>
            <w:r>
              <w:rPr>
                <w:rFonts w:hint="eastAsia" w:ascii="Times New Roman" w:hAnsi="Times New Roman" w:eastAsia="宋体" w:cs="Times New Roman"/>
                <w:color w:val="auto"/>
                <w:kern w:val="0"/>
                <w:sz w:val="24"/>
                <w:szCs w:val="24"/>
                <w:lang w:val="en-US" w:eastAsia="zh-CN" w:bidi="ar-SA"/>
              </w:rPr>
              <w:t>，项目</w:t>
            </w:r>
            <w:r>
              <w:rPr>
                <w:rFonts w:hint="eastAsia" w:cs="Times New Roman"/>
                <w:color w:val="auto"/>
                <w:kern w:val="0"/>
                <w:sz w:val="24"/>
                <w:szCs w:val="24"/>
                <w:lang w:val="en-US" w:eastAsia="zh-CN" w:bidi="ar-SA"/>
              </w:rPr>
              <w:t>选址</w:t>
            </w:r>
            <w:r>
              <w:rPr>
                <w:rFonts w:hint="eastAsia" w:ascii="Times New Roman" w:hAnsi="Times New Roman" w:eastAsia="宋体" w:cs="Times New Roman"/>
                <w:color w:val="auto"/>
                <w:kern w:val="0"/>
                <w:sz w:val="24"/>
                <w:szCs w:val="24"/>
                <w:lang w:val="en-US" w:eastAsia="zh-CN" w:bidi="ar-SA"/>
              </w:rPr>
              <w:t>所在区域</w:t>
            </w:r>
            <w:r>
              <w:rPr>
                <w:rFonts w:hint="eastAsia" w:cs="Times New Roman"/>
                <w:color w:val="auto"/>
                <w:kern w:val="0"/>
                <w:sz w:val="24"/>
                <w:szCs w:val="24"/>
                <w:lang w:val="en-US" w:eastAsia="zh-CN" w:bidi="ar-SA"/>
              </w:rPr>
              <w:t>无</w:t>
            </w:r>
            <w:r>
              <w:rPr>
                <w:rFonts w:hint="eastAsia" w:ascii="Times New Roman" w:hAnsi="Times New Roman" w:eastAsia="宋体" w:cs="Times New Roman"/>
                <w:color w:val="auto"/>
                <w:kern w:val="0"/>
                <w:sz w:val="24"/>
                <w:szCs w:val="24"/>
                <w:lang w:val="en-US" w:eastAsia="zh-CN" w:bidi="ar-SA"/>
              </w:rPr>
              <w:t>居民区</w:t>
            </w:r>
            <w:r>
              <w:rPr>
                <w:rFonts w:hint="eastAsia"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水源</w:t>
            </w:r>
            <w:r>
              <w:rPr>
                <w:rFonts w:hint="eastAsia" w:cs="Times New Roman"/>
                <w:color w:val="auto"/>
                <w:kern w:val="0"/>
                <w:sz w:val="24"/>
                <w:szCs w:val="24"/>
                <w:lang w:val="en-US" w:eastAsia="zh-CN" w:bidi="ar-SA"/>
              </w:rPr>
              <w:t>、野生动物、</w:t>
            </w:r>
            <w:r>
              <w:rPr>
                <w:rFonts w:hint="eastAsia" w:ascii="Times New Roman" w:hAnsi="Times New Roman" w:eastAsia="宋体" w:cs="Times New Roman"/>
                <w:color w:val="auto"/>
                <w:kern w:val="0"/>
                <w:sz w:val="24"/>
                <w:szCs w:val="24"/>
                <w:lang w:val="en-US" w:eastAsia="zh-CN" w:bidi="ar-SA"/>
              </w:rPr>
              <w:t>保护地等敏感目标，本项目用地范围内无生态环境保护目标</w:t>
            </w:r>
            <w:r>
              <w:rPr>
                <w:rFonts w:ascii="Times New Roman" w:hAnsi="Times New Roman" w:eastAsia="宋体" w:cs="Times New Roman"/>
                <w:color w:val="auto"/>
                <w:kern w:val="0"/>
                <w:sz w:val="24"/>
                <w:szCs w:val="24"/>
                <w:lang w:val="en-US" w:eastAsia="zh-CN" w:bidi="ar-SA"/>
              </w:rPr>
              <w:t>。</w:t>
            </w:r>
          </w:p>
        </w:tc>
      </w:tr>
      <w:tr w14:paraId="3FBF4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0" w:type="dxa"/>
            <w:tcMar>
              <w:left w:w="28" w:type="dxa"/>
              <w:right w:w="28" w:type="dxa"/>
            </w:tcMar>
            <w:vAlign w:val="center"/>
          </w:tcPr>
          <w:p w14:paraId="0869FA1D">
            <w:pPr>
              <w:adjustRightInd w:val="0"/>
              <w:snapToGrid w:val="0"/>
              <w:jc w:val="center"/>
              <w:rPr>
                <w:rFonts w:ascii="宋体" w:hAnsi="宋体" w:cs="宋体"/>
                <w:color w:val="auto"/>
                <w:kern w:val="0"/>
                <w:szCs w:val="21"/>
              </w:rPr>
            </w:pPr>
            <w:r>
              <w:rPr>
                <w:rFonts w:hint="eastAsia" w:ascii="宋体" w:hAnsi="宋体" w:cs="宋体"/>
                <w:color w:val="auto"/>
                <w:kern w:val="0"/>
                <w:szCs w:val="21"/>
              </w:rPr>
              <w:t>污染</w:t>
            </w:r>
          </w:p>
          <w:p w14:paraId="770780C5">
            <w:pPr>
              <w:adjustRightInd w:val="0"/>
              <w:snapToGrid w:val="0"/>
              <w:jc w:val="center"/>
              <w:rPr>
                <w:rFonts w:ascii="宋体" w:hAnsi="宋体" w:cs="宋体"/>
                <w:color w:val="auto"/>
                <w:kern w:val="0"/>
                <w:szCs w:val="21"/>
              </w:rPr>
            </w:pPr>
            <w:r>
              <w:rPr>
                <w:rFonts w:hint="eastAsia" w:ascii="宋体" w:hAnsi="宋体" w:cs="宋体"/>
                <w:color w:val="auto"/>
                <w:kern w:val="0"/>
                <w:szCs w:val="21"/>
              </w:rPr>
              <w:t>物排</w:t>
            </w:r>
          </w:p>
          <w:p w14:paraId="08F8664C">
            <w:pPr>
              <w:adjustRightInd w:val="0"/>
              <w:snapToGrid w:val="0"/>
              <w:jc w:val="center"/>
              <w:rPr>
                <w:rFonts w:ascii="宋体" w:hAnsi="宋体" w:cs="宋体"/>
                <w:color w:val="auto"/>
                <w:kern w:val="0"/>
                <w:szCs w:val="21"/>
              </w:rPr>
            </w:pPr>
            <w:r>
              <w:rPr>
                <w:rFonts w:hint="eastAsia" w:ascii="宋体" w:hAnsi="宋体" w:cs="宋体"/>
                <w:color w:val="auto"/>
                <w:kern w:val="0"/>
                <w:szCs w:val="21"/>
              </w:rPr>
              <w:t>放控</w:t>
            </w:r>
          </w:p>
          <w:p w14:paraId="47BB6499">
            <w:pPr>
              <w:adjustRightInd w:val="0"/>
              <w:snapToGrid w:val="0"/>
              <w:jc w:val="center"/>
              <w:rPr>
                <w:rFonts w:ascii="宋体" w:hAnsi="宋体" w:cs="宋体"/>
                <w:color w:val="auto"/>
                <w:kern w:val="0"/>
                <w:szCs w:val="21"/>
              </w:rPr>
            </w:pPr>
            <w:r>
              <w:rPr>
                <w:rFonts w:hint="eastAsia" w:ascii="宋体" w:hAnsi="宋体" w:cs="宋体"/>
                <w:color w:val="auto"/>
                <w:kern w:val="0"/>
                <w:szCs w:val="21"/>
              </w:rPr>
              <w:t>制标</w:t>
            </w:r>
          </w:p>
          <w:p w14:paraId="34DFDC26">
            <w:pPr>
              <w:adjustRightInd w:val="0"/>
              <w:snapToGrid w:val="0"/>
              <w:jc w:val="center"/>
              <w:rPr>
                <w:rFonts w:ascii="宋体" w:hAnsi="宋体" w:cs="宋体"/>
                <w:color w:val="auto"/>
                <w:kern w:val="0"/>
                <w:szCs w:val="21"/>
              </w:rPr>
            </w:pPr>
            <w:r>
              <w:rPr>
                <w:rFonts w:hint="eastAsia" w:ascii="宋体" w:hAnsi="宋体" w:cs="宋体"/>
                <w:color w:val="auto"/>
                <w:kern w:val="0"/>
                <w:szCs w:val="21"/>
              </w:rPr>
              <w:t>准</w:t>
            </w:r>
          </w:p>
        </w:tc>
        <w:tc>
          <w:tcPr>
            <w:tcW w:w="8190" w:type="dxa"/>
            <w:vAlign w:val="center"/>
          </w:tcPr>
          <w:p w14:paraId="68255C6E">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b/>
                <w:bCs/>
                <w:color w:val="auto"/>
                <w:sz w:val="24"/>
                <w:szCs w:val="24"/>
              </w:rPr>
            </w:pPr>
            <w:r>
              <w:rPr>
                <w:rFonts w:ascii="Times New Roman" w:hAnsi="Times New Roman" w:eastAsia="宋体" w:cs="Times New Roman"/>
                <w:b/>
                <w:bCs/>
                <w:color w:val="auto"/>
                <w:kern w:val="2"/>
                <w:sz w:val="24"/>
                <w:szCs w:val="24"/>
                <w:lang w:val="en-US" w:eastAsia="zh-CN" w:bidi="ar-SA"/>
              </w:rPr>
              <w:t>1.</w:t>
            </w:r>
            <w:r>
              <w:rPr>
                <w:rFonts w:hint="eastAsia"/>
                <w:b/>
                <w:bCs/>
                <w:color w:val="auto"/>
                <w:sz w:val="24"/>
                <w:szCs w:val="24"/>
              </w:rPr>
              <w:t>大气污染物排放标准</w:t>
            </w:r>
          </w:p>
          <w:p w14:paraId="09A25288">
            <w:pPr>
              <w:adjustRightInd w:val="0"/>
              <w:snapToGrid w:val="0"/>
              <w:spacing w:line="360" w:lineRule="auto"/>
              <w:ind w:firstLine="480" w:firstLineChars="200"/>
              <w:rPr>
                <w:color w:val="000000"/>
                <w:kern w:val="0"/>
                <w:sz w:val="24"/>
              </w:rPr>
            </w:pPr>
            <w:r>
              <w:rPr>
                <w:rFonts w:hint="eastAsia"/>
                <w:color w:val="000000"/>
                <w:kern w:val="0"/>
                <w:sz w:val="24"/>
              </w:rPr>
              <w:t>（1）</w:t>
            </w:r>
            <w:r>
              <w:rPr>
                <w:color w:val="000000"/>
                <w:kern w:val="0"/>
                <w:sz w:val="24"/>
              </w:rPr>
              <w:t>有组织</w:t>
            </w:r>
            <w:r>
              <w:rPr>
                <w:rFonts w:hint="eastAsia"/>
                <w:color w:val="000000"/>
                <w:kern w:val="0"/>
                <w:sz w:val="24"/>
              </w:rPr>
              <w:t>废气</w:t>
            </w:r>
          </w:p>
          <w:p w14:paraId="07910B23">
            <w:pPr>
              <w:adjustRightInd w:val="0"/>
              <w:snapToGrid w:val="0"/>
              <w:spacing w:line="360" w:lineRule="auto"/>
              <w:ind w:firstLine="480" w:firstLineChars="200"/>
              <w:jc w:val="left"/>
              <w:rPr>
                <w:rFonts w:hint="eastAsia"/>
                <w:color w:val="000000"/>
                <w:kern w:val="0"/>
                <w:sz w:val="24"/>
              </w:rPr>
            </w:pPr>
            <w:r>
              <w:rPr>
                <w:rFonts w:hint="eastAsia"/>
                <w:color w:val="000000"/>
                <w:kern w:val="0"/>
                <w:sz w:val="24"/>
                <w:lang w:val="en-US" w:eastAsia="zh-CN"/>
              </w:rPr>
              <w:t>项目运营期产生的颗粒物</w:t>
            </w:r>
            <w:r>
              <w:rPr>
                <w:color w:val="000000"/>
                <w:kern w:val="0"/>
                <w:sz w:val="24"/>
              </w:rPr>
              <w:t>排放执行</w:t>
            </w:r>
            <w:r>
              <w:rPr>
                <w:rFonts w:hint="eastAsia"/>
                <w:color w:val="auto"/>
                <w:sz w:val="24"/>
                <w:szCs w:val="24"/>
              </w:rPr>
              <w:t>《水泥工业大气污染物排放标准》（GB4915-2013）表</w:t>
            </w:r>
            <w:r>
              <w:rPr>
                <w:rFonts w:hint="eastAsia"/>
                <w:color w:val="auto"/>
                <w:sz w:val="24"/>
                <w:szCs w:val="24"/>
                <w:lang w:val="en-US" w:eastAsia="zh-CN"/>
              </w:rPr>
              <w:t>1</w:t>
            </w:r>
            <w:r>
              <w:rPr>
                <w:rFonts w:hint="eastAsia"/>
                <w:color w:val="auto"/>
                <w:sz w:val="24"/>
                <w:szCs w:val="24"/>
              </w:rPr>
              <w:t>大气污染物排放限值</w:t>
            </w:r>
            <w:r>
              <w:rPr>
                <w:rFonts w:hint="eastAsia"/>
                <w:color w:val="000000"/>
                <w:kern w:val="0"/>
                <w:sz w:val="24"/>
                <w:szCs w:val="24"/>
                <w:lang w:eastAsia="zh-CN"/>
              </w:rPr>
              <w:t>，</w:t>
            </w:r>
            <w:r>
              <w:rPr>
                <w:rFonts w:hint="eastAsia"/>
                <w:color w:val="000000"/>
                <w:kern w:val="0"/>
                <w:sz w:val="24"/>
                <w:lang w:val="en-US" w:eastAsia="zh-CN"/>
              </w:rPr>
              <w:t>详见表3-3</w:t>
            </w:r>
            <w:r>
              <w:rPr>
                <w:rFonts w:hint="eastAsia"/>
                <w:color w:val="000000"/>
                <w:kern w:val="0"/>
                <w:sz w:val="24"/>
              </w:rPr>
              <w:t>。</w:t>
            </w:r>
          </w:p>
          <w:p w14:paraId="25574898">
            <w:pPr>
              <w:adjustRightInd w:val="0"/>
              <w:snapToGrid w:val="0"/>
              <w:spacing w:line="240" w:lineRule="auto"/>
              <w:ind w:firstLine="422" w:firstLineChars="200"/>
              <w:jc w:val="center"/>
              <w:rPr>
                <w:rFonts w:hint="eastAsia" w:ascii="Times New Roman" w:hAnsi="Times New Roman"/>
                <w:b/>
                <w:bCs/>
                <w:color w:val="000000"/>
                <w:sz w:val="21"/>
                <w:szCs w:val="21"/>
              </w:rPr>
            </w:pPr>
            <w:r>
              <w:rPr>
                <w:rFonts w:hint="eastAsia" w:ascii="Times New Roman" w:hAnsi="Times New Roman"/>
                <w:b/>
                <w:bCs/>
                <w:color w:val="000000"/>
                <w:sz w:val="21"/>
                <w:szCs w:val="21"/>
              </w:rPr>
              <w:t>表</w:t>
            </w:r>
            <w:r>
              <w:rPr>
                <w:rFonts w:hint="eastAsia" w:ascii="Times New Roman" w:hAnsi="Times New Roman"/>
                <w:b/>
                <w:bCs/>
                <w:color w:val="000000"/>
                <w:sz w:val="21"/>
                <w:szCs w:val="21"/>
                <w:lang w:val="en-US" w:eastAsia="zh-CN"/>
              </w:rPr>
              <w:t>3-3</w:t>
            </w:r>
            <w:r>
              <w:rPr>
                <w:rFonts w:hint="eastAsia" w:ascii="Times New Roman" w:hAnsi="Times New Roman"/>
                <w:b/>
                <w:bCs/>
                <w:color w:val="000000"/>
                <w:sz w:val="21"/>
                <w:szCs w:val="21"/>
              </w:rPr>
              <w:t xml:space="preserve">   有组织粉尘污染物排放标准</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1"/>
              <w:gridCol w:w="1369"/>
              <w:gridCol w:w="713"/>
              <w:gridCol w:w="597"/>
              <w:gridCol w:w="5000"/>
            </w:tblGrid>
            <w:tr w14:paraId="5C5EB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225" w:type="pct"/>
                  <w:noWrap w:val="0"/>
                  <w:vAlign w:val="center"/>
                </w:tcPr>
                <w:p w14:paraId="3FA73D99">
                  <w:pPr>
                    <w:jc w:val="center"/>
                    <w:rPr>
                      <w:b/>
                      <w:bCs/>
                      <w:szCs w:val="21"/>
                    </w:rPr>
                  </w:pPr>
                  <w:r>
                    <w:rPr>
                      <w:b/>
                      <w:bCs/>
                      <w:szCs w:val="21"/>
                    </w:rPr>
                    <w:t>序号</w:t>
                  </w:r>
                </w:p>
              </w:tc>
              <w:tc>
                <w:tcPr>
                  <w:tcW w:w="851" w:type="pct"/>
                  <w:noWrap w:val="0"/>
                  <w:vAlign w:val="center"/>
                </w:tcPr>
                <w:p w14:paraId="30508E50">
                  <w:pPr>
                    <w:jc w:val="center"/>
                    <w:rPr>
                      <w:b/>
                      <w:bCs/>
                      <w:szCs w:val="21"/>
                    </w:rPr>
                  </w:pPr>
                  <w:r>
                    <w:rPr>
                      <w:b/>
                      <w:bCs/>
                      <w:szCs w:val="21"/>
                    </w:rPr>
                    <w:t>控制项目</w:t>
                  </w:r>
                </w:p>
              </w:tc>
              <w:tc>
                <w:tcPr>
                  <w:tcW w:w="443" w:type="pct"/>
                  <w:noWrap w:val="0"/>
                  <w:vAlign w:val="center"/>
                </w:tcPr>
                <w:p w14:paraId="0CF9EEDB">
                  <w:pPr>
                    <w:jc w:val="center"/>
                    <w:rPr>
                      <w:b/>
                      <w:bCs/>
                      <w:szCs w:val="21"/>
                    </w:rPr>
                  </w:pPr>
                  <w:r>
                    <w:rPr>
                      <w:rFonts w:hint="eastAsia"/>
                      <w:b/>
                      <w:bCs/>
                      <w:szCs w:val="21"/>
                    </w:rPr>
                    <w:t>标准值</w:t>
                  </w:r>
                </w:p>
              </w:tc>
              <w:tc>
                <w:tcPr>
                  <w:tcW w:w="371" w:type="pct"/>
                  <w:noWrap w:val="0"/>
                  <w:vAlign w:val="center"/>
                </w:tcPr>
                <w:p w14:paraId="7F177DE1">
                  <w:pPr>
                    <w:jc w:val="center"/>
                    <w:rPr>
                      <w:rFonts w:hint="eastAsia"/>
                      <w:b/>
                      <w:bCs/>
                      <w:szCs w:val="21"/>
                    </w:rPr>
                  </w:pPr>
                  <w:r>
                    <w:rPr>
                      <w:rFonts w:hint="eastAsia"/>
                      <w:b/>
                      <w:bCs/>
                      <w:szCs w:val="21"/>
                    </w:rPr>
                    <w:t>单位</w:t>
                  </w:r>
                </w:p>
              </w:tc>
              <w:tc>
                <w:tcPr>
                  <w:tcW w:w="3108" w:type="pct"/>
                  <w:noWrap w:val="0"/>
                  <w:vAlign w:val="center"/>
                </w:tcPr>
                <w:p w14:paraId="17213494">
                  <w:pPr>
                    <w:jc w:val="center"/>
                    <w:rPr>
                      <w:b/>
                      <w:bCs/>
                      <w:szCs w:val="21"/>
                    </w:rPr>
                  </w:pPr>
                  <w:r>
                    <w:rPr>
                      <w:rFonts w:hint="eastAsia"/>
                      <w:b/>
                      <w:bCs/>
                      <w:szCs w:val="21"/>
                    </w:rPr>
                    <w:t>标准来源</w:t>
                  </w:r>
                </w:p>
              </w:tc>
            </w:tr>
            <w:tr w14:paraId="21168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25" w:type="pct"/>
                  <w:noWrap w:val="0"/>
                  <w:vAlign w:val="center"/>
                </w:tcPr>
                <w:p w14:paraId="34B9F680">
                  <w:pPr>
                    <w:jc w:val="center"/>
                    <w:rPr>
                      <w:szCs w:val="21"/>
                    </w:rPr>
                  </w:pPr>
                  <w:r>
                    <w:rPr>
                      <w:szCs w:val="21"/>
                    </w:rPr>
                    <w:t>1</w:t>
                  </w:r>
                </w:p>
              </w:tc>
              <w:tc>
                <w:tcPr>
                  <w:tcW w:w="851" w:type="pct"/>
                  <w:noWrap w:val="0"/>
                  <w:vAlign w:val="center"/>
                </w:tcPr>
                <w:p w14:paraId="15E7761B">
                  <w:pPr>
                    <w:jc w:val="center"/>
                    <w:rPr>
                      <w:rFonts w:hint="eastAsia"/>
                      <w:szCs w:val="21"/>
                    </w:rPr>
                  </w:pPr>
                  <w:r>
                    <w:rPr>
                      <w:rFonts w:hint="eastAsia"/>
                      <w:szCs w:val="21"/>
                      <w:lang w:val="en-US" w:eastAsia="zh-CN"/>
                    </w:rPr>
                    <w:t>运营期有组织</w:t>
                  </w:r>
                  <w:r>
                    <w:rPr>
                      <w:rFonts w:hint="eastAsia"/>
                      <w:szCs w:val="21"/>
                    </w:rPr>
                    <w:t>颗粒物</w:t>
                  </w:r>
                </w:p>
              </w:tc>
              <w:tc>
                <w:tcPr>
                  <w:tcW w:w="443" w:type="pct"/>
                  <w:noWrap w:val="0"/>
                  <w:vAlign w:val="center"/>
                </w:tcPr>
                <w:p w14:paraId="740C6D23">
                  <w:pPr>
                    <w:jc w:val="center"/>
                    <w:rPr>
                      <w:rFonts w:hint="default"/>
                      <w:szCs w:val="21"/>
                      <w:lang w:val="en-US"/>
                    </w:rPr>
                  </w:pPr>
                  <w:r>
                    <w:rPr>
                      <w:rFonts w:hint="eastAsia"/>
                      <w:szCs w:val="21"/>
                      <w:lang w:val="en-US" w:eastAsia="zh-CN"/>
                    </w:rPr>
                    <w:t>20</w:t>
                  </w:r>
                </w:p>
              </w:tc>
              <w:tc>
                <w:tcPr>
                  <w:tcW w:w="371" w:type="pct"/>
                  <w:noWrap w:val="0"/>
                  <w:vAlign w:val="center"/>
                </w:tcPr>
                <w:p w14:paraId="3F05B7F9">
                  <w:pPr>
                    <w:jc w:val="center"/>
                    <w:rPr>
                      <w:szCs w:val="21"/>
                    </w:rPr>
                  </w:pPr>
                  <w:r>
                    <w:rPr>
                      <w:rFonts w:hint="eastAsia"/>
                      <w:szCs w:val="21"/>
                    </w:rPr>
                    <w:t>mg/m</w:t>
                  </w:r>
                  <w:r>
                    <w:rPr>
                      <w:rFonts w:hint="eastAsia"/>
                      <w:szCs w:val="21"/>
                      <w:vertAlign w:val="superscript"/>
                    </w:rPr>
                    <w:t>3</w:t>
                  </w:r>
                </w:p>
              </w:tc>
              <w:tc>
                <w:tcPr>
                  <w:tcW w:w="3108" w:type="pct"/>
                  <w:noWrap w:val="0"/>
                  <w:vAlign w:val="center"/>
                </w:tcPr>
                <w:p w14:paraId="71F4C089">
                  <w:pPr>
                    <w:jc w:val="center"/>
                    <w:rPr>
                      <w:szCs w:val="21"/>
                    </w:rPr>
                  </w:pPr>
                  <w:r>
                    <w:rPr>
                      <w:rFonts w:hint="eastAsia"/>
                      <w:color w:val="auto"/>
                      <w:sz w:val="21"/>
                      <w:szCs w:val="21"/>
                      <w:lang w:eastAsia="zh-CN"/>
                    </w:rPr>
                    <w:t>《</w:t>
                  </w:r>
                  <w:r>
                    <w:rPr>
                      <w:rFonts w:hint="eastAsia"/>
                      <w:color w:val="auto"/>
                      <w:sz w:val="21"/>
                      <w:szCs w:val="21"/>
                    </w:rPr>
                    <w:t>水泥工业大气污染物排放标准》（GB4915-2013）表</w:t>
                  </w:r>
                  <w:r>
                    <w:rPr>
                      <w:rFonts w:hint="eastAsia"/>
                      <w:color w:val="auto"/>
                      <w:sz w:val="21"/>
                      <w:szCs w:val="21"/>
                      <w:lang w:val="en-US" w:eastAsia="zh-CN"/>
                    </w:rPr>
                    <w:t>1</w:t>
                  </w:r>
                  <w:r>
                    <w:rPr>
                      <w:rFonts w:hint="eastAsia"/>
                      <w:color w:val="auto"/>
                      <w:sz w:val="21"/>
                      <w:szCs w:val="21"/>
                    </w:rPr>
                    <w:t>大气污染物排放限值</w:t>
                  </w:r>
                </w:p>
              </w:tc>
            </w:tr>
          </w:tbl>
          <w:p w14:paraId="3D8D1944">
            <w:pPr>
              <w:adjustRightInd w:val="0"/>
              <w:snapToGrid w:val="0"/>
              <w:spacing w:line="520" w:lineRule="exact"/>
              <w:ind w:firstLine="480" w:firstLineChars="200"/>
              <w:rPr>
                <w:color w:val="000000"/>
                <w:kern w:val="0"/>
                <w:sz w:val="24"/>
              </w:rPr>
            </w:pPr>
            <w:r>
              <w:rPr>
                <w:rFonts w:hint="eastAsia"/>
                <w:color w:val="000000"/>
                <w:kern w:val="0"/>
                <w:sz w:val="24"/>
              </w:rPr>
              <w:t>（2）无组织废气</w:t>
            </w:r>
          </w:p>
          <w:p w14:paraId="27D0DC7F">
            <w:pPr>
              <w:adjustRightInd w:val="0"/>
              <w:snapToGrid w:val="0"/>
              <w:spacing w:line="520" w:lineRule="exact"/>
              <w:ind w:firstLine="480" w:firstLineChars="200"/>
              <w:rPr>
                <w:color w:val="000000"/>
                <w:kern w:val="0"/>
                <w:sz w:val="24"/>
              </w:rPr>
            </w:pPr>
            <w:r>
              <w:rPr>
                <w:rFonts w:hint="eastAsia"/>
                <w:color w:val="000000"/>
                <w:kern w:val="0"/>
                <w:sz w:val="24"/>
                <w:lang w:val="en-US" w:eastAsia="zh-CN"/>
              </w:rPr>
              <w:t>施工期</w:t>
            </w:r>
            <w:r>
              <w:rPr>
                <w:color w:val="000000"/>
                <w:kern w:val="0"/>
                <w:sz w:val="24"/>
              </w:rPr>
              <w:t>无组织</w:t>
            </w:r>
            <w:r>
              <w:rPr>
                <w:rFonts w:hint="eastAsia"/>
                <w:color w:val="000000"/>
                <w:kern w:val="0"/>
                <w:sz w:val="24"/>
                <w:lang w:val="en-US" w:eastAsia="zh-CN"/>
              </w:rPr>
              <w:t>颗粒物</w:t>
            </w:r>
            <w:r>
              <w:rPr>
                <w:color w:val="000000"/>
                <w:kern w:val="0"/>
                <w:sz w:val="24"/>
              </w:rPr>
              <w:t>排放执行《大气污染物综合排放标准》（GB16297-1996）表2无组织排放</w:t>
            </w:r>
            <w:r>
              <w:rPr>
                <w:rFonts w:hint="eastAsia"/>
                <w:color w:val="000000"/>
                <w:kern w:val="0"/>
                <w:sz w:val="24"/>
              </w:rPr>
              <w:t>监控</w:t>
            </w:r>
            <w:r>
              <w:rPr>
                <w:color w:val="000000"/>
                <w:kern w:val="0"/>
                <w:sz w:val="24"/>
              </w:rPr>
              <w:t>浓度限值</w:t>
            </w:r>
            <w:r>
              <w:rPr>
                <w:rFonts w:hint="eastAsia"/>
                <w:color w:val="000000"/>
                <w:kern w:val="0"/>
                <w:sz w:val="24"/>
                <w:lang w:eastAsia="zh-CN"/>
              </w:rPr>
              <w:t>，</w:t>
            </w:r>
            <w:r>
              <w:rPr>
                <w:rFonts w:hint="eastAsia"/>
                <w:color w:val="000000"/>
                <w:kern w:val="0"/>
                <w:sz w:val="24"/>
                <w:lang w:val="en-US" w:eastAsia="zh-CN"/>
              </w:rPr>
              <w:t>运营期</w:t>
            </w:r>
            <w:r>
              <w:rPr>
                <w:color w:val="000000"/>
                <w:kern w:val="0"/>
                <w:sz w:val="24"/>
              </w:rPr>
              <w:t>无组织</w:t>
            </w:r>
            <w:r>
              <w:rPr>
                <w:rFonts w:hint="eastAsia"/>
                <w:color w:val="000000"/>
                <w:kern w:val="0"/>
                <w:sz w:val="24"/>
                <w:lang w:val="en-US" w:eastAsia="zh-CN"/>
              </w:rPr>
              <w:t>颗粒物</w:t>
            </w:r>
            <w:r>
              <w:rPr>
                <w:color w:val="000000"/>
                <w:kern w:val="0"/>
                <w:sz w:val="24"/>
              </w:rPr>
              <w:t>排放执行</w:t>
            </w:r>
            <w:r>
              <w:rPr>
                <w:rFonts w:hint="eastAsia"/>
                <w:color w:val="auto"/>
                <w:sz w:val="24"/>
                <w:szCs w:val="24"/>
              </w:rPr>
              <w:t>《水泥工业大气污染物排放标准》（GB4915-2013）表</w:t>
            </w:r>
            <w:r>
              <w:rPr>
                <w:rFonts w:hint="eastAsia"/>
                <w:color w:val="auto"/>
                <w:sz w:val="24"/>
                <w:szCs w:val="24"/>
                <w:lang w:val="en-US" w:eastAsia="zh-CN"/>
              </w:rPr>
              <w:t>3</w:t>
            </w:r>
            <w:r>
              <w:rPr>
                <w:rFonts w:hint="eastAsia"/>
                <w:color w:val="auto"/>
                <w:sz w:val="24"/>
                <w:szCs w:val="24"/>
              </w:rPr>
              <w:t>大气污染物</w:t>
            </w:r>
            <w:r>
              <w:rPr>
                <w:rFonts w:hint="eastAsia"/>
                <w:color w:val="auto"/>
                <w:sz w:val="24"/>
                <w:szCs w:val="24"/>
                <w:lang w:val="en-US" w:eastAsia="zh-CN"/>
              </w:rPr>
              <w:t>无组织</w:t>
            </w:r>
            <w:r>
              <w:rPr>
                <w:rFonts w:hint="eastAsia"/>
                <w:color w:val="auto"/>
                <w:sz w:val="24"/>
                <w:szCs w:val="24"/>
              </w:rPr>
              <w:t>排放</w:t>
            </w:r>
            <w:r>
              <w:rPr>
                <w:rFonts w:hint="eastAsia"/>
                <w:color w:val="auto"/>
                <w:sz w:val="24"/>
                <w:szCs w:val="24"/>
                <w:lang w:val="en-US" w:eastAsia="zh-CN"/>
              </w:rPr>
              <w:t>浓度0.5mg/m</w:t>
            </w:r>
            <w:r>
              <w:rPr>
                <w:rFonts w:hint="eastAsia"/>
                <w:color w:val="auto"/>
                <w:sz w:val="24"/>
                <w:szCs w:val="24"/>
                <w:vertAlign w:val="superscript"/>
                <w:lang w:val="en-US" w:eastAsia="zh-CN"/>
              </w:rPr>
              <w:t>3</w:t>
            </w:r>
            <w:r>
              <w:rPr>
                <w:rFonts w:hint="eastAsia"/>
                <w:color w:val="auto"/>
                <w:sz w:val="24"/>
                <w:szCs w:val="24"/>
                <w:vertAlign w:val="baseline"/>
                <w:lang w:val="en-US" w:eastAsia="zh-CN"/>
              </w:rPr>
              <w:t>的</w:t>
            </w:r>
            <w:r>
              <w:rPr>
                <w:rFonts w:hint="eastAsia"/>
                <w:color w:val="auto"/>
                <w:sz w:val="24"/>
                <w:szCs w:val="24"/>
              </w:rPr>
              <w:t>限值</w:t>
            </w:r>
            <w:r>
              <w:rPr>
                <w:rFonts w:hint="eastAsia"/>
                <w:color w:val="auto"/>
                <w:sz w:val="24"/>
                <w:szCs w:val="24"/>
                <w:lang w:val="en-US" w:eastAsia="zh-CN"/>
              </w:rPr>
              <w:t>要求</w:t>
            </w:r>
            <w:r>
              <w:rPr>
                <w:color w:val="000000"/>
                <w:kern w:val="0"/>
                <w:sz w:val="24"/>
                <w:szCs w:val="24"/>
                <w:highlight w:val="none"/>
              </w:rPr>
              <w:t>。</w:t>
            </w:r>
          </w:p>
          <w:p w14:paraId="7E79DF99">
            <w:pPr>
              <w:pStyle w:val="59"/>
              <w:spacing w:before="0" w:after="0" w:line="520" w:lineRule="exact"/>
            </w:pPr>
            <w:r>
              <w:t>表</w:t>
            </w:r>
            <w:r>
              <w:rPr>
                <w:rFonts w:hint="eastAsia"/>
                <w:lang w:val="en-US" w:eastAsia="zh-CN"/>
              </w:rPr>
              <w:t>3-4</w:t>
            </w:r>
            <w:r>
              <w:t xml:space="preserve">   </w:t>
            </w:r>
            <w:r>
              <w:rPr>
                <w:rFonts w:hint="eastAsia"/>
              </w:rPr>
              <w:t>无组织</w:t>
            </w:r>
            <w:r>
              <w:rPr>
                <w:rFonts w:hint="eastAsia"/>
                <w:lang w:val="en-US" w:eastAsia="zh-CN"/>
              </w:rPr>
              <w:t>颗粒物</w:t>
            </w:r>
            <w:r>
              <w:rPr>
                <w:rFonts w:hint="eastAsia"/>
              </w:rPr>
              <w:t>污染物排放标准</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7"/>
              <w:gridCol w:w="1244"/>
              <w:gridCol w:w="756"/>
              <w:gridCol w:w="700"/>
              <w:gridCol w:w="4993"/>
            </w:tblGrid>
            <w:tr w14:paraId="7828B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216" w:type="pct"/>
                  <w:noWrap w:val="0"/>
                  <w:vAlign w:val="center"/>
                </w:tcPr>
                <w:p w14:paraId="09C8D54F">
                  <w:pPr>
                    <w:jc w:val="center"/>
                    <w:rPr>
                      <w:b/>
                      <w:bCs/>
                      <w:szCs w:val="21"/>
                    </w:rPr>
                  </w:pPr>
                  <w:r>
                    <w:rPr>
                      <w:b/>
                      <w:bCs/>
                      <w:szCs w:val="21"/>
                    </w:rPr>
                    <w:t>序号</w:t>
                  </w:r>
                </w:p>
              </w:tc>
              <w:tc>
                <w:tcPr>
                  <w:tcW w:w="773" w:type="pct"/>
                  <w:noWrap w:val="0"/>
                  <w:vAlign w:val="center"/>
                </w:tcPr>
                <w:p w14:paraId="79C21BD3">
                  <w:pPr>
                    <w:jc w:val="center"/>
                    <w:rPr>
                      <w:b/>
                      <w:bCs/>
                      <w:szCs w:val="21"/>
                    </w:rPr>
                  </w:pPr>
                  <w:r>
                    <w:rPr>
                      <w:b/>
                      <w:bCs/>
                      <w:szCs w:val="21"/>
                    </w:rPr>
                    <w:t>控制项目</w:t>
                  </w:r>
                </w:p>
              </w:tc>
              <w:tc>
                <w:tcPr>
                  <w:tcW w:w="470" w:type="pct"/>
                  <w:noWrap w:val="0"/>
                  <w:vAlign w:val="center"/>
                </w:tcPr>
                <w:p w14:paraId="536CDCE7">
                  <w:pPr>
                    <w:jc w:val="center"/>
                    <w:rPr>
                      <w:b/>
                      <w:bCs/>
                      <w:szCs w:val="21"/>
                    </w:rPr>
                  </w:pPr>
                  <w:r>
                    <w:rPr>
                      <w:rFonts w:hint="eastAsia"/>
                      <w:b/>
                      <w:bCs/>
                      <w:szCs w:val="21"/>
                    </w:rPr>
                    <w:t>标准值</w:t>
                  </w:r>
                </w:p>
              </w:tc>
              <w:tc>
                <w:tcPr>
                  <w:tcW w:w="435" w:type="pct"/>
                  <w:noWrap w:val="0"/>
                  <w:vAlign w:val="center"/>
                </w:tcPr>
                <w:p w14:paraId="51E4E690">
                  <w:pPr>
                    <w:jc w:val="center"/>
                    <w:rPr>
                      <w:rFonts w:hint="eastAsia"/>
                      <w:b/>
                      <w:bCs/>
                      <w:szCs w:val="21"/>
                    </w:rPr>
                  </w:pPr>
                  <w:r>
                    <w:rPr>
                      <w:rFonts w:hint="eastAsia"/>
                      <w:b/>
                      <w:bCs/>
                      <w:szCs w:val="21"/>
                    </w:rPr>
                    <w:t>单位</w:t>
                  </w:r>
                </w:p>
              </w:tc>
              <w:tc>
                <w:tcPr>
                  <w:tcW w:w="3103" w:type="pct"/>
                  <w:noWrap w:val="0"/>
                  <w:vAlign w:val="center"/>
                </w:tcPr>
                <w:p w14:paraId="5C14B07F">
                  <w:pPr>
                    <w:jc w:val="center"/>
                    <w:rPr>
                      <w:b/>
                      <w:bCs/>
                      <w:szCs w:val="21"/>
                    </w:rPr>
                  </w:pPr>
                  <w:r>
                    <w:rPr>
                      <w:rFonts w:hint="eastAsia"/>
                      <w:b/>
                      <w:bCs/>
                      <w:szCs w:val="21"/>
                    </w:rPr>
                    <w:t>标准来源</w:t>
                  </w:r>
                </w:p>
              </w:tc>
            </w:tr>
            <w:tr w14:paraId="067AD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6" w:type="pct"/>
                  <w:noWrap w:val="0"/>
                  <w:vAlign w:val="center"/>
                </w:tcPr>
                <w:p w14:paraId="70FA971A">
                  <w:pPr>
                    <w:jc w:val="center"/>
                    <w:rPr>
                      <w:szCs w:val="21"/>
                    </w:rPr>
                  </w:pPr>
                  <w:r>
                    <w:rPr>
                      <w:szCs w:val="21"/>
                    </w:rPr>
                    <w:t>1</w:t>
                  </w:r>
                </w:p>
              </w:tc>
              <w:tc>
                <w:tcPr>
                  <w:tcW w:w="773" w:type="pct"/>
                  <w:noWrap w:val="0"/>
                  <w:vAlign w:val="center"/>
                </w:tcPr>
                <w:p w14:paraId="28CD6E80">
                  <w:pPr>
                    <w:jc w:val="center"/>
                    <w:rPr>
                      <w:rFonts w:hint="eastAsia"/>
                      <w:szCs w:val="21"/>
                    </w:rPr>
                  </w:pPr>
                  <w:r>
                    <w:rPr>
                      <w:rFonts w:hint="eastAsia"/>
                      <w:szCs w:val="21"/>
                      <w:lang w:val="en-US" w:eastAsia="zh-CN"/>
                    </w:rPr>
                    <w:t>施工期无组织</w:t>
                  </w:r>
                  <w:r>
                    <w:rPr>
                      <w:rFonts w:hint="eastAsia"/>
                      <w:szCs w:val="21"/>
                    </w:rPr>
                    <w:t>颗粒物</w:t>
                  </w:r>
                </w:p>
              </w:tc>
              <w:tc>
                <w:tcPr>
                  <w:tcW w:w="470" w:type="pct"/>
                  <w:noWrap w:val="0"/>
                  <w:vAlign w:val="center"/>
                </w:tcPr>
                <w:p w14:paraId="5C55B5FA">
                  <w:pPr>
                    <w:jc w:val="center"/>
                    <w:rPr>
                      <w:szCs w:val="21"/>
                    </w:rPr>
                  </w:pPr>
                  <w:r>
                    <w:rPr>
                      <w:rFonts w:hint="eastAsia"/>
                      <w:szCs w:val="21"/>
                    </w:rPr>
                    <w:t>1.0</w:t>
                  </w:r>
                </w:p>
              </w:tc>
              <w:tc>
                <w:tcPr>
                  <w:tcW w:w="435" w:type="pct"/>
                  <w:noWrap w:val="0"/>
                  <w:vAlign w:val="center"/>
                </w:tcPr>
                <w:p w14:paraId="7B23CCB9">
                  <w:pPr>
                    <w:jc w:val="center"/>
                    <w:rPr>
                      <w:szCs w:val="21"/>
                    </w:rPr>
                  </w:pPr>
                  <w:r>
                    <w:rPr>
                      <w:rFonts w:hint="eastAsia"/>
                      <w:szCs w:val="21"/>
                    </w:rPr>
                    <w:t>mg/m</w:t>
                  </w:r>
                  <w:r>
                    <w:rPr>
                      <w:rFonts w:hint="eastAsia"/>
                      <w:szCs w:val="21"/>
                      <w:vertAlign w:val="superscript"/>
                    </w:rPr>
                    <w:t>3</w:t>
                  </w:r>
                </w:p>
              </w:tc>
              <w:tc>
                <w:tcPr>
                  <w:tcW w:w="3103" w:type="pct"/>
                  <w:noWrap w:val="0"/>
                  <w:vAlign w:val="center"/>
                </w:tcPr>
                <w:p w14:paraId="131260BD">
                  <w:pPr>
                    <w:jc w:val="center"/>
                    <w:rPr>
                      <w:szCs w:val="21"/>
                    </w:rPr>
                  </w:pPr>
                  <w:r>
                    <w:rPr>
                      <w:szCs w:val="21"/>
                    </w:rPr>
                    <w:t>《大气污染物综合排放标准》（GB16297-1996）表2二级排放标准</w:t>
                  </w:r>
                </w:p>
              </w:tc>
            </w:tr>
            <w:tr w14:paraId="4A7A0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6" w:type="pct"/>
                  <w:noWrap w:val="0"/>
                  <w:vAlign w:val="center"/>
                </w:tcPr>
                <w:p w14:paraId="1360D217">
                  <w:pPr>
                    <w:jc w:val="center"/>
                    <w:rPr>
                      <w:rFonts w:hint="eastAsia" w:eastAsia="宋体"/>
                      <w:szCs w:val="21"/>
                      <w:lang w:val="en-US" w:eastAsia="zh-CN"/>
                    </w:rPr>
                  </w:pPr>
                  <w:r>
                    <w:rPr>
                      <w:rFonts w:hint="eastAsia"/>
                      <w:szCs w:val="21"/>
                      <w:lang w:val="en-US" w:eastAsia="zh-CN"/>
                    </w:rPr>
                    <w:t>2</w:t>
                  </w:r>
                </w:p>
              </w:tc>
              <w:tc>
                <w:tcPr>
                  <w:tcW w:w="773" w:type="pct"/>
                  <w:noWrap w:val="0"/>
                  <w:vAlign w:val="center"/>
                </w:tcPr>
                <w:p w14:paraId="14AE147B">
                  <w:pPr>
                    <w:jc w:val="center"/>
                    <w:rPr>
                      <w:rFonts w:hint="default" w:eastAsia="宋体"/>
                      <w:szCs w:val="21"/>
                      <w:lang w:val="en-US" w:eastAsia="zh-CN"/>
                    </w:rPr>
                  </w:pPr>
                  <w:r>
                    <w:rPr>
                      <w:rFonts w:hint="eastAsia"/>
                      <w:szCs w:val="21"/>
                      <w:lang w:val="en-US" w:eastAsia="zh-CN"/>
                    </w:rPr>
                    <w:t>运营期无组织颗粒物</w:t>
                  </w:r>
                </w:p>
              </w:tc>
              <w:tc>
                <w:tcPr>
                  <w:tcW w:w="470" w:type="pct"/>
                  <w:noWrap w:val="0"/>
                  <w:vAlign w:val="center"/>
                </w:tcPr>
                <w:p w14:paraId="440A2BA9">
                  <w:pPr>
                    <w:jc w:val="center"/>
                    <w:rPr>
                      <w:rFonts w:hint="default" w:eastAsia="宋体"/>
                      <w:szCs w:val="21"/>
                      <w:lang w:val="en-US" w:eastAsia="zh-CN"/>
                    </w:rPr>
                  </w:pPr>
                  <w:r>
                    <w:rPr>
                      <w:rFonts w:hint="eastAsia"/>
                      <w:szCs w:val="21"/>
                      <w:lang w:val="en-US" w:eastAsia="zh-CN"/>
                    </w:rPr>
                    <w:t>0.5</w:t>
                  </w:r>
                </w:p>
              </w:tc>
              <w:tc>
                <w:tcPr>
                  <w:tcW w:w="435" w:type="pct"/>
                  <w:noWrap w:val="0"/>
                  <w:vAlign w:val="center"/>
                </w:tcPr>
                <w:p w14:paraId="0E2C398C">
                  <w:pPr>
                    <w:jc w:val="center"/>
                    <w:rPr>
                      <w:rFonts w:hint="eastAsia"/>
                      <w:szCs w:val="21"/>
                    </w:rPr>
                  </w:pPr>
                  <w:r>
                    <w:rPr>
                      <w:rFonts w:hint="eastAsia"/>
                      <w:szCs w:val="21"/>
                    </w:rPr>
                    <w:t>mg/m</w:t>
                  </w:r>
                  <w:r>
                    <w:rPr>
                      <w:rFonts w:hint="eastAsia"/>
                      <w:szCs w:val="21"/>
                      <w:vertAlign w:val="superscript"/>
                    </w:rPr>
                    <w:t>3</w:t>
                  </w:r>
                </w:p>
              </w:tc>
              <w:tc>
                <w:tcPr>
                  <w:tcW w:w="3103" w:type="pct"/>
                  <w:noWrap w:val="0"/>
                  <w:vAlign w:val="center"/>
                </w:tcPr>
                <w:p w14:paraId="5EB1AED7">
                  <w:pPr>
                    <w:jc w:val="center"/>
                    <w:rPr>
                      <w:szCs w:val="21"/>
                    </w:rPr>
                  </w:pPr>
                  <w:r>
                    <w:rPr>
                      <w:rFonts w:hint="eastAsia"/>
                      <w:color w:val="auto"/>
                      <w:sz w:val="21"/>
                      <w:szCs w:val="21"/>
                    </w:rPr>
                    <w:t>《水泥工业大气污染物排放标准》（GB4915-2013）表</w:t>
                  </w:r>
                  <w:r>
                    <w:rPr>
                      <w:rFonts w:hint="eastAsia"/>
                      <w:color w:val="auto"/>
                      <w:sz w:val="21"/>
                      <w:szCs w:val="21"/>
                      <w:lang w:val="en-US" w:eastAsia="zh-CN"/>
                    </w:rPr>
                    <w:t>3</w:t>
                  </w:r>
                  <w:r>
                    <w:rPr>
                      <w:rFonts w:hint="eastAsia"/>
                      <w:color w:val="auto"/>
                      <w:sz w:val="21"/>
                      <w:szCs w:val="21"/>
                    </w:rPr>
                    <w:t>大气污染物</w:t>
                  </w:r>
                  <w:r>
                    <w:rPr>
                      <w:rFonts w:hint="eastAsia"/>
                      <w:color w:val="auto"/>
                      <w:sz w:val="21"/>
                      <w:szCs w:val="21"/>
                      <w:lang w:val="en-US" w:eastAsia="zh-CN"/>
                    </w:rPr>
                    <w:t>无组织</w:t>
                  </w:r>
                  <w:r>
                    <w:rPr>
                      <w:rFonts w:hint="eastAsia"/>
                      <w:color w:val="auto"/>
                      <w:sz w:val="21"/>
                      <w:szCs w:val="21"/>
                    </w:rPr>
                    <w:t>排放限值</w:t>
                  </w:r>
                </w:p>
              </w:tc>
            </w:tr>
          </w:tbl>
          <w:p w14:paraId="5020361F">
            <w:pPr>
              <w:pStyle w:val="56"/>
              <w:numPr>
                <w:ilvl w:val="0"/>
                <w:numId w:val="0"/>
              </w:numPr>
              <w:spacing w:line="360" w:lineRule="auto"/>
              <w:rPr>
                <w:b/>
                <w:bCs/>
                <w:color w:val="auto"/>
                <w:highlight w:val="none"/>
              </w:rPr>
            </w:pPr>
            <w:r>
              <w:rPr>
                <w:rFonts w:ascii="Times New Roman" w:hAnsi="Times New Roman" w:eastAsia="宋体" w:cs="Times New Roman"/>
                <w:b/>
                <w:bCs/>
                <w:color w:val="auto"/>
                <w:sz w:val="24"/>
                <w:lang w:val="en-US" w:eastAsia="zh-CN" w:bidi="ar-SA"/>
              </w:rPr>
              <w:t>2.</w:t>
            </w:r>
            <w:r>
              <w:rPr>
                <w:rFonts w:hint="eastAsia"/>
                <w:b/>
                <w:bCs/>
                <w:color w:val="auto"/>
                <w:highlight w:val="none"/>
              </w:rPr>
              <w:t>废水排放标准</w:t>
            </w:r>
          </w:p>
          <w:p w14:paraId="711AFEA8">
            <w:pPr>
              <w:pStyle w:val="5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本项目废水</w:t>
            </w:r>
            <w:r>
              <w:rPr>
                <w:rFonts w:hint="eastAsia" w:cs="Times New Roman"/>
                <w:color w:val="auto"/>
                <w:kern w:val="0"/>
                <w:sz w:val="24"/>
                <w:szCs w:val="24"/>
                <w:highlight w:val="none"/>
                <w:lang w:val="en-US" w:eastAsia="zh-CN" w:bidi="ar-SA"/>
              </w:rPr>
              <w:t>排放标准</w:t>
            </w:r>
            <w:r>
              <w:rPr>
                <w:rFonts w:hint="eastAsia" w:ascii="Times New Roman" w:hAnsi="Times New Roman" w:eastAsia="宋体" w:cs="Times New Roman"/>
                <w:color w:val="auto"/>
                <w:kern w:val="0"/>
                <w:sz w:val="24"/>
                <w:szCs w:val="24"/>
                <w:highlight w:val="none"/>
                <w:lang w:val="en-US" w:eastAsia="zh-CN" w:bidi="ar-SA"/>
              </w:rPr>
              <w:t>执行《</w:t>
            </w:r>
            <w:r>
              <w:rPr>
                <w:rFonts w:hint="eastAsia" w:cs="Times New Roman"/>
                <w:color w:val="auto"/>
                <w:kern w:val="0"/>
                <w:sz w:val="24"/>
                <w:szCs w:val="24"/>
                <w:highlight w:val="none"/>
                <w:lang w:val="en-US" w:eastAsia="zh-CN" w:bidi="ar-SA"/>
              </w:rPr>
              <w:t>农村生活污水处理排放标准（发布稿）</w:t>
            </w:r>
            <w:r>
              <w:rPr>
                <w:rFonts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DB65/4275-2019</w:t>
            </w:r>
            <w:r>
              <w:rPr>
                <w:rFonts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表2中C级排放浓度限值</w:t>
            </w:r>
            <w:r>
              <w:rPr>
                <w:rFonts w:hint="eastAsia" w:ascii="Times New Roman" w:hAnsi="Times New Roman" w:eastAsia="宋体" w:cs="Times New Roman"/>
                <w:color w:val="auto"/>
                <w:kern w:val="0"/>
                <w:sz w:val="24"/>
                <w:szCs w:val="24"/>
                <w:highlight w:val="none"/>
                <w:lang w:val="en-US" w:eastAsia="zh-CN" w:bidi="ar-SA"/>
              </w:rPr>
              <w:t>，具体标准见下表3-</w:t>
            </w:r>
            <w:r>
              <w:rPr>
                <w:rFonts w:hint="eastAsia" w:cs="Times New Roman"/>
                <w:color w:val="auto"/>
                <w:kern w:val="0"/>
                <w:sz w:val="24"/>
                <w:szCs w:val="24"/>
                <w:highlight w:val="none"/>
                <w:lang w:val="en-US" w:eastAsia="zh-CN" w:bidi="ar-SA"/>
              </w:rPr>
              <w:t>5</w:t>
            </w:r>
            <w:r>
              <w:rPr>
                <w:rFonts w:hint="eastAsia" w:ascii="Times New Roman" w:hAnsi="Times New Roman" w:eastAsia="宋体" w:cs="Times New Roman"/>
                <w:color w:val="auto"/>
                <w:kern w:val="0"/>
                <w:sz w:val="24"/>
                <w:szCs w:val="24"/>
                <w:highlight w:val="none"/>
                <w:lang w:val="en-US" w:eastAsia="zh-CN" w:bidi="ar-SA"/>
              </w:rPr>
              <w:t>。</w:t>
            </w:r>
          </w:p>
          <w:p w14:paraId="743137ED">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表3-</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rPr>
              <w:t xml:space="preserve">    </w:t>
            </w:r>
            <w:r>
              <w:rPr>
                <w:rFonts w:hint="eastAsia" w:cs="Times New Roman"/>
                <w:color w:val="auto"/>
                <w:highlight w:val="none"/>
                <w:lang w:val="en-US" w:eastAsia="zh-CN"/>
              </w:rPr>
              <w:t>生活污水</w:t>
            </w:r>
            <w:r>
              <w:rPr>
                <w:rFonts w:hint="eastAsia" w:ascii="Times New Roman" w:hAnsi="Times New Roman" w:eastAsia="宋体" w:cs="Times New Roman"/>
                <w:color w:val="auto"/>
                <w:highlight w:val="none"/>
                <w:lang w:val="en-US" w:eastAsia="zh-CN"/>
              </w:rPr>
              <w:t>排放浓度限值</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994"/>
              <w:gridCol w:w="1055"/>
              <w:gridCol w:w="1069"/>
              <w:gridCol w:w="1040"/>
              <w:gridCol w:w="1041"/>
              <w:gridCol w:w="848"/>
            </w:tblGrid>
            <w:tr w14:paraId="781C5B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859" w:type="pct"/>
                  <w:tcBorders>
                    <w:bottom w:val="single" w:color="auto" w:sz="12" w:space="0"/>
                  </w:tcBorders>
                  <w:vAlign w:val="center"/>
                </w:tcPr>
                <w:p w14:paraId="7A9320AF">
                  <w:pPr>
                    <w:pStyle w:val="23"/>
                    <w:spacing w:line="240" w:lineRule="auto"/>
                    <w:jc w:val="center"/>
                    <w:rPr>
                      <w:b/>
                      <w:bCs/>
                      <w:color w:val="auto"/>
                      <w:sz w:val="21"/>
                      <w:szCs w:val="21"/>
                      <w:highlight w:val="none"/>
                    </w:rPr>
                  </w:pPr>
                  <w:r>
                    <w:rPr>
                      <w:b/>
                      <w:bCs/>
                      <w:color w:val="auto"/>
                      <w:sz w:val="21"/>
                      <w:szCs w:val="21"/>
                      <w:highlight w:val="none"/>
                    </w:rPr>
                    <w:t>标准来源</w:t>
                  </w:r>
                </w:p>
              </w:tc>
              <w:tc>
                <w:tcPr>
                  <w:tcW w:w="655" w:type="pct"/>
                  <w:tcBorders>
                    <w:bottom w:val="single" w:color="auto" w:sz="12" w:space="0"/>
                  </w:tcBorders>
                  <w:vAlign w:val="center"/>
                </w:tcPr>
                <w:p w14:paraId="6BB9FF39">
                  <w:pPr>
                    <w:pStyle w:val="23"/>
                    <w:spacing w:line="240" w:lineRule="auto"/>
                    <w:jc w:val="center"/>
                    <w:rPr>
                      <w:b/>
                      <w:bCs/>
                      <w:color w:val="auto"/>
                      <w:sz w:val="21"/>
                      <w:szCs w:val="21"/>
                      <w:highlight w:val="none"/>
                    </w:rPr>
                  </w:pPr>
                  <w:r>
                    <w:rPr>
                      <w:b/>
                      <w:bCs/>
                      <w:color w:val="auto"/>
                      <w:sz w:val="21"/>
                      <w:szCs w:val="21"/>
                      <w:highlight w:val="none"/>
                    </w:rPr>
                    <w:t>pH</w:t>
                  </w:r>
                </w:p>
              </w:tc>
              <w:tc>
                <w:tcPr>
                  <w:tcW w:w="664" w:type="pct"/>
                  <w:tcBorders>
                    <w:bottom w:val="single" w:color="auto" w:sz="12" w:space="0"/>
                  </w:tcBorders>
                  <w:vAlign w:val="center"/>
                </w:tcPr>
                <w:p w14:paraId="10FD13FF">
                  <w:pPr>
                    <w:pStyle w:val="23"/>
                    <w:spacing w:line="240" w:lineRule="auto"/>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C</w:t>
                  </w:r>
                  <w:r>
                    <w:rPr>
                      <w:b/>
                      <w:bCs/>
                      <w:color w:val="auto"/>
                      <w:sz w:val="21"/>
                      <w:szCs w:val="21"/>
                      <w:highlight w:val="none"/>
                    </w:rPr>
                    <w:t>OD</w:t>
                  </w:r>
                </w:p>
              </w:tc>
              <w:tc>
                <w:tcPr>
                  <w:tcW w:w="646" w:type="pct"/>
                  <w:tcBorders>
                    <w:bottom w:val="single" w:color="auto" w:sz="12" w:space="0"/>
                  </w:tcBorders>
                  <w:vAlign w:val="center"/>
                </w:tcPr>
                <w:p w14:paraId="65B6B980">
                  <w:pPr>
                    <w:pStyle w:val="23"/>
                    <w:spacing w:line="240" w:lineRule="auto"/>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BOD</w:t>
                  </w:r>
                </w:p>
              </w:tc>
              <w:tc>
                <w:tcPr>
                  <w:tcW w:w="646" w:type="pct"/>
                  <w:tcBorders>
                    <w:bottom w:val="single" w:color="auto" w:sz="12" w:space="0"/>
                  </w:tcBorders>
                  <w:vAlign w:val="center"/>
                </w:tcPr>
                <w:p w14:paraId="1CD40110">
                  <w:pPr>
                    <w:pStyle w:val="23"/>
                    <w:spacing w:line="240" w:lineRule="auto"/>
                    <w:jc w:val="center"/>
                    <w:rPr>
                      <w:b/>
                      <w:bCs/>
                      <w:color w:val="auto"/>
                      <w:sz w:val="21"/>
                      <w:szCs w:val="21"/>
                      <w:highlight w:val="none"/>
                    </w:rPr>
                  </w:pPr>
                  <w:r>
                    <w:rPr>
                      <w:b/>
                      <w:bCs/>
                      <w:color w:val="auto"/>
                      <w:sz w:val="21"/>
                      <w:szCs w:val="21"/>
                      <w:highlight w:val="none"/>
                    </w:rPr>
                    <w:t>NH</w:t>
                  </w:r>
                  <w:r>
                    <w:rPr>
                      <w:b/>
                      <w:bCs/>
                      <w:color w:val="auto"/>
                      <w:sz w:val="21"/>
                      <w:szCs w:val="21"/>
                      <w:highlight w:val="none"/>
                      <w:vertAlign w:val="subscript"/>
                    </w:rPr>
                    <w:t>3</w:t>
                  </w:r>
                  <w:r>
                    <w:rPr>
                      <w:b/>
                      <w:bCs/>
                      <w:color w:val="auto"/>
                      <w:sz w:val="21"/>
                      <w:szCs w:val="21"/>
                      <w:highlight w:val="none"/>
                    </w:rPr>
                    <w:t>-N</w:t>
                  </w:r>
                </w:p>
              </w:tc>
              <w:tc>
                <w:tcPr>
                  <w:tcW w:w="526" w:type="pct"/>
                  <w:tcBorders>
                    <w:bottom w:val="single" w:color="auto" w:sz="12" w:space="0"/>
                  </w:tcBorders>
                  <w:vAlign w:val="center"/>
                </w:tcPr>
                <w:p w14:paraId="3F527C23">
                  <w:pPr>
                    <w:pStyle w:val="23"/>
                    <w:spacing w:line="240" w:lineRule="auto"/>
                    <w:jc w:val="center"/>
                    <w:rPr>
                      <w:b/>
                      <w:bCs/>
                      <w:color w:val="auto"/>
                      <w:sz w:val="21"/>
                      <w:szCs w:val="21"/>
                      <w:highlight w:val="none"/>
                    </w:rPr>
                  </w:pPr>
                  <w:r>
                    <w:rPr>
                      <w:b/>
                      <w:bCs/>
                      <w:color w:val="auto"/>
                      <w:sz w:val="21"/>
                      <w:szCs w:val="21"/>
                      <w:highlight w:val="none"/>
                    </w:rPr>
                    <w:t>SS</w:t>
                  </w:r>
                </w:p>
              </w:tc>
            </w:tr>
            <w:tr w14:paraId="6E29390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859" w:type="pct"/>
                  <w:tcBorders>
                    <w:top w:val="single" w:color="auto" w:sz="12" w:space="0"/>
                    <w:tl2br w:val="nil"/>
                    <w:tr2bl w:val="nil"/>
                  </w:tcBorders>
                  <w:vAlign w:val="center"/>
                </w:tcPr>
                <w:p w14:paraId="2604B78C">
                  <w:pPr>
                    <w:pStyle w:val="23"/>
                    <w:spacing w:line="240" w:lineRule="auto"/>
                    <w:jc w:val="center"/>
                    <w:rPr>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农村生活污水处理排放标准（发布稿）</w:t>
                  </w:r>
                  <w:r>
                    <w:rPr>
                      <w:rFonts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DB65/4275-2019</w:t>
                  </w:r>
                  <w:r>
                    <w:rPr>
                      <w:rFonts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表2中C级排放浓度限值</w:t>
                  </w:r>
                </w:p>
              </w:tc>
              <w:tc>
                <w:tcPr>
                  <w:tcW w:w="655" w:type="pct"/>
                  <w:tcBorders>
                    <w:top w:val="single" w:color="auto" w:sz="12" w:space="0"/>
                    <w:tl2br w:val="nil"/>
                    <w:tr2bl w:val="nil"/>
                  </w:tcBorders>
                  <w:vAlign w:val="center"/>
                </w:tcPr>
                <w:p w14:paraId="37C81566">
                  <w:pPr>
                    <w:pStyle w:val="23"/>
                    <w:spacing w:line="240" w:lineRule="auto"/>
                    <w:jc w:val="center"/>
                    <w:rPr>
                      <w:color w:val="auto"/>
                      <w:sz w:val="21"/>
                      <w:szCs w:val="21"/>
                      <w:highlight w:val="none"/>
                    </w:rPr>
                  </w:pPr>
                  <w:r>
                    <w:rPr>
                      <w:color w:val="auto"/>
                      <w:sz w:val="21"/>
                      <w:szCs w:val="21"/>
                      <w:highlight w:val="none"/>
                    </w:rPr>
                    <w:t>6</w:t>
                  </w:r>
                  <w:r>
                    <w:rPr>
                      <w:rFonts w:hint="eastAsia"/>
                      <w:color w:val="auto"/>
                      <w:sz w:val="21"/>
                      <w:szCs w:val="21"/>
                      <w:highlight w:val="none"/>
                      <w:lang w:eastAsia="zh-CN"/>
                    </w:rPr>
                    <w:t>-</w:t>
                  </w:r>
                  <w:r>
                    <w:rPr>
                      <w:color w:val="auto"/>
                      <w:sz w:val="21"/>
                      <w:szCs w:val="21"/>
                      <w:highlight w:val="none"/>
                    </w:rPr>
                    <w:t>9</w:t>
                  </w:r>
                </w:p>
              </w:tc>
              <w:tc>
                <w:tcPr>
                  <w:tcW w:w="664" w:type="pct"/>
                  <w:tcBorders>
                    <w:top w:val="single" w:color="auto" w:sz="12" w:space="0"/>
                    <w:tl2br w:val="nil"/>
                    <w:tr2bl w:val="nil"/>
                  </w:tcBorders>
                  <w:vAlign w:val="center"/>
                </w:tcPr>
                <w:p w14:paraId="3453720A">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200</w:t>
                  </w:r>
                </w:p>
              </w:tc>
              <w:tc>
                <w:tcPr>
                  <w:tcW w:w="646" w:type="pct"/>
                  <w:tcBorders>
                    <w:top w:val="single" w:color="auto" w:sz="12" w:space="0"/>
                    <w:tl2br w:val="nil"/>
                    <w:tr2bl w:val="nil"/>
                  </w:tcBorders>
                  <w:vAlign w:val="center"/>
                </w:tcPr>
                <w:p w14:paraId="60BA451D">
                  <w:pPr>
                    <w:pStyle w:val="23"/>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646" w:type="pct"/>
                  <w:tcBorders>
                    <w:top w:val="single" w:color="auto" w:sz="12" w:space="0"/>
                    <w:tl2br w:val="nil"/>
                    <w:tr2bl w:val="nil"/>
                  </w:tcBorders>
                  <w:vAlign w:val="center"/>
                </w:tcPr>
                <w:p w14:paraId="6807FAAC">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526" w:type="pct"/>
                  <w:tcBorders>
                    <w:top w:val="single" w:color="auto" w:sz="12" w:space="0"/>
                    <w:tl2br w:val="nil"/>
                    <w:tr2bl w:val="nil"/>
                  </w:tcBorders>
                  <w:vAlign w:val="center"/>
                </w:tcPr>
                <w:p w14:paraId="3146B73A">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100</w:t>
                  </w:r>
                </w:p>
              </w:tc>
            </w:tr>
          </w:tbl>
          <w:p w14:paraId="38EBECF4">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b/>
                <w:bCs/>
                <w:color w:val="auto"/>
                <w:sz w:val="24"/>
              </w:rPr>
            </w:pPr>
            <w:r>
              <w:rPr>
                <w:rFonts w:ascii="Times New Roman" w:hAnsi="Times New Roman" w:eastAsia="宋体" w:cs="Times New Roman"/>
                <w:b/>
                <w:bCs/>
                <w:color w:val="auto"/>
                <w:kern w:val="2"/>
                <w:sz w:val="24"/>
                <w:szCs w:val="24"/>
                <w:lang w:val="en-US" w:eastAsia="zh-CN" w:bidi="ar-SA"/>
              </w:rPr>
              <w:t>3.</w:t>
            </w:r>
            <w:r>
              <w:rPr>
                <w:rFonts w:hint="eastAsia"/>
                <w:b/>
                <w:bCs/>
                <w:color w:val="auto"/>
                <w:sz w:val="24"/>
              </w:rPr>
              <w:t>噪声排放标准</w:t>
            </w:r>
          </w:p>
          <w:p w14:paraId="4D036C3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w:t>
            </w:r>
            <w:r>
              <w:rPr>
                <w:rFonts w:ascii="Times New Roman" w:hAnsi="Times New Roman" w:eastAsia="宋体" w:cs="Times New Roman"/>
                <w:color w:val="auto"/>
                <w:kern w:val="0"/>
                <w:sz w:val="24"/>
              </w:rPr>
              <w:t>施工期执行《建筑施工场界环境噪声排放标准》（GB12523-2011）标准，</w:t>
            </w:r>
            <w:r>
              <w:rPr>
                <w:rFonts w:hint="eastAsia" w:ascii="Times New Roman" w:hAnsi="Times New Roman" w:eastAsia="宋体" w:cs="Times New Roman"/>
                <w:color w:val="auto"/>
                <w:kern w:val="0"/>
                <w:sz w:val="24"/>
              </w:rPr>
              <w:t>详见表3-5；</w:t>
            </w:r>
            <w:r>
              <w:rPr>
                <w:rFonts w:ascii="Times New Roman" w:hAnsi="Times New Roman" w:eastAsia="宋体" w:cs="Times New Roman"/>
                <w:color w:val="auto"/>
                <w:kern w:val="0"/>
                <w:sz w:val="24"/>
              </w:rPr>
              <w:t>运营期厂界噪声执行《工业企业厂界环境噪声排放标准</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（GB12348-2008）中</w:t>
            </w:r>
            <w:r>
              <w:rPr>
                <w:rFonts w:hint="eastAsia" w:cs="Times New Roman"/>
                <w:color w:val="auto"/>
                <w:kern w:val="0"/>
                <w:sz w:val="24"/>
                <w:lang w:val="en-US" w:eastAsia="zh-CN"/>
              </w:rPr>
              <w:t>2</w:t>
            </w:r>
            <w:r>
              <w:rPr>
                <w:rFonts w:ascii="Times New Roman" w:hAnsi="Times New Roman" w:eastAsia="宋体" w:cs="Times New Roman"/>
                <w:color w:val="auto"/>
                <w:kern w:val="0"/>
                <w:sz w:val="24"/>
              </w:rPr>
              <w:t>类标准</w:t>
            </w:r>
            <w:r>
              <w:rPr>
                <w:rFonts w:hint="eastAsia" w:ascii="Times New Roman" w:hAnsi="Times New Roman" w:eastAsia="宋体" w:cs="Times New Roman"/>
                <w:color w:val="auto"/>
                <w:kern w:val="0"/>
                <w:sz w:val="24"/>
              </w:rPr>
              <w:t>，详见表3-6。</w:t>
            </w:r>
          </w:p>
          <w:p w14:paraId="05390BA7">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表3-5    建筑施工场界环境噪声排放限值</w:t>
            </w:r>
          </w:p>
          <w:tbl>
            <w:tblPr>
              <w:tblStyle w:val="27"/>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2209"/>
              <w:gridCol w:w="1892"/>
              <w:gridCol w:w="3949"/>
            </w:tblGrid>
            <w:tr w14:paraId="4EC9A4F5">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c>
                <w:tcPr>
                  <w:tcW w:w="2547" w:type="pct"/>
                  <w:gridSpan w:val="2"/>
                  <w:vAlign w:val="center"/>
                </w:tcPr>
                <w:p w14:paraId="2759B5A9">
                  <w:pPr>
                    <w:widowControl/>
                    <w:adjustRightInd w:val="0"/>
                    <w:snapToGrid w:val="0"/>
                    <w:jc w:val="center"/>
                    <w:rPr>
                      <w:b/>
                      <w:bCs/>
                      <w:color w:val="auto"/>
                      <w:sz w:val="21"/>
                      <w:szCs w:val="21"/>
                    </w:rPr>
                  </w:pPr>
                  <w:r>
                    <w:rPr>
                      <w:rFonts w:hint="eastAsia" w:hAnsi="宋体"/>
                      <w:b/>
                      <w:bCs/>
                      <w:color w:val="auto"/>
                      <w:sz w:val="21"/>
                      <w:szCs w:val="21"/>
                    </w:rPr>
                    <w:t>噪声排放限值</w:t>
                  </w:r>
                  <w:r>
                    <w:rPr>
                      <w:b/>
                      <w:bCs/>
                      <w:color w:val="auto"/>
                      <w:sz w:val="21"/>
                      <w:szCs w:val="21"/>
                    </w:rPr>
                    <w:t>dB</w:t>
                  </w:r>
                  <w:r>
                    <w:rPr>
                      <w:rFonts w:hint="eastAsia" w:hAnsi="宋体"/>
                      <w:b/>
                      <w:bCs/>
                      <w:color w:val="auto"/>
                      <w:sz w:val="21"/>
                      <w:szCs w:val="21"/>
                    </w:rPr>
                    <w:t>（</w:t>
                  </w:r>
                  <w:r>
                    <w:rPr>
                      <w:b/>
                      <w:bCs/>
                      <w:color w:val="auto"/>
                      <w:sz w:val="21"/>
                      <w:szCs w:val="21"/>
                    </w:rPr>
                    <w:t>A</w:t>
                  </w:r>
                  <w:r>
                    <w:rPr>
                      <w:rFonts w:hint="eastAsia" w:hAnsi="宋体"/>
                      <w:b/>
                      <w:bCs/>
                      <w:color w:val="auto"/>
                      <w:sz w:val="21"/>
                      <w:szCs w:val="21"/>
                    </w:rPr>
                    <w:t>）</w:t>
                  </w:r>
                </w:p>
              </w:tc>
              <w:tc>
                <w:tcPr>
                  <w:tcW w:w="2452" w:type="pct"/>
                  <w:vMerge w:val="restart"/>
                  <w:vAlign w:val="center"/>
                </w:tcPr>
                <w:p w14:paraId="6B1CFC00">
                  <w:pPr>
                    <w:widowControl/>
                    <w:adjustRightInd w:val="0"/>
                    <w:snapToGrid w:val="0"/>
                    <w:jc w:val="center"/>
                    <w:rPr>
                      <w:b/>
                      <w:bCs/>
                      <w:color w:val="auto"/>
                      <w:sz w:val="21"/>
                      <w:szCs w:val="21"/>
                    </w:rPr>
                  </w:pPr>
                  <w:r>
                    <w:rPr>
                      <w:rFonts w:hint="eastAsia" w:hAnsi="宋体"/>
                      <w:b/>
                      <w:bCs/>
                      <w:color w:val="auto"/>
                      <w:sz w:val="21"/>
                      <w:szCs w:val="21"/>
                    </w:rPr>
                    <w:t>标准来源</w:t>
                  </w:r>
                </w:p>
              </w:tc>
            </w:tr>
            <w:tr w14:paraId="2FA36D6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1372" w:type="pct"/>
                  <w:tcBorders>
                    <w:bottom w:val="single" w:color="000000" w:sz="12" w:space="0"/>
                  </w:tcBorders>
                  <w:vAlign w:val="center"/>
                </w:tcPr>
                <w:p w14:paraId="10D7F38C">
                  <w:pPr>
                    <w:widowControl/>
                    <w:adjustRightInd w:val="0"/>
                    <w:snapToGrid w:val="0"/>
                    <w:jc w:val="center"/>
                    <w:rPr>
                      <w:b/>
                      <w:bCs/>
                      <w:color w:val="auto"/>
                      <w:sz w:val="21"/>
                      <w:szCs w:val="21"/>
                    </w:rPr>
                  </w:pPr>
                  <w:r>
                    <w:rPr>
                      <w:rFonts w:hint="eastAsia" w:hAnsi="宋体"/>
                      <w:b/>
                      <w:bCs/>
                      <w:color w:val="auto"/>
                      <w:sz w:val="21"/>
                      <w:szCs w:val="21"/>
                    </w:rPr>
                    <w:t>昼间</w:t>
                  </w:r>
                </w:p>
              </w:tc>
              <w:tc>
                <w:tcPr>
                  <w:tcW w:w="1175" w:type="pct"/>
                  <w:tcBorders>
                    <w:bottom w:val="single" w:color="000000" w:sz="12" w:space="0"/>
                  </w:tcBorders>
                  <w:vAlign w:val="center"/>
                </w:tcPr>
                <w:p w14:paraId="466B0720">
                  <w:pPr>
                    <w:widowControl/>
                    <w:adjustRightInd w:val="0"/>
                    <w:snapToGrid w:val="0"/>
                    <w:jc w:val="center"/>
                    <w:rPr>
                      <w:b/>
                      <w:bCs/>
                      <w:color w:val="auto"/>
                      <w:sz w:val="21"/>
                      <w:szCs w:val="21"/>
                    </w:rPr>
                  </w:pPr>
                  <w:r>
                    <w:rPr>
                      <w:rFonts w:hint="eastAsia" w:hAnsi="宋体"/>
                      <w:b/>
                      <w:bCs/>
                      <w:color w:val="auto"/>
                      <w:sz w:val="21"/>
                      <w:szCs w:val="21"/>
                    </w:rPr>
                    <w:t>夜间</w:t>
                  </w:r>
                </w:p>
              </w:tc>
              <w:tc>
                <w:tcPr>
                  <w:tcW w:w="2452" w:type="pct"/>
                  <w:vMerge w:val="continue"/>
                  <w:tcBorders>
                    <w:bottom w:val="single" w:color="000000" w:sz="12" w:space="0"/>
                  </w:tcBorders>
                  <w:vAlign w:val="center"/>
                </w:tcPr>
                <w:p w14:paraId="43991CFD">
                  <w:pPr>
                    <w:widowControl/>
                    <w:adjustRightInd w:val="0"/>
                    <w:snapToGrid w:val="0"/>
                    <w:jc w:val="center"/>
                    <w:rPr>
                      <w:b/>
                      <w:bCs/>
                      <w:color w:val="auto"/>
                      <w:sz w:val="21"/>
                      <w:szCs w:val="21"/>
                    </w:rPr>
                  </w:pPr>
                </w:p>
              </w:tc>
            </w:tr>
            <w:tr w14:paraId="30DCFAB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1372" w:type="pct"/>
                  <w:tcBorders>
                    <w:top w:val="single" w:color="000000" w:sz="12" w:space="0"/>
                    <w:tl2br w:val="nil"/>
                    <w:tr2bl w:val="nil"/>
                  </w:tcBorders>
                  <w:vAlign w:val="center"/>
                </w:tcPr>
                <w:p w14:paraId="6E3F4B57">
                  <w:pPr>
                    <w:widowControl/>
                    <w:adjustRightInd w:val="0"/>
                    <w:snapToGrid w:val="0"/>
                    <w:jc w:val="center"/>
                    <w:rPr>
                      <w:color w:val="auto"/>
                      <w:sz w:val="21"/>
                      <w:szCs w:val="21"/>
                    </w:rPr>
                  </w:pPr>
                  <w:r>
                    <w:rPr>
                      <w:color w:val="auto"/>
                      <w:sz w:val="21"/>
                      <w:szCs w:val="21"/>
                    </w:rPr>
                    <w:t>70</w:t>
                  </w:r>
                </w:p>
              </w:tc>
              <w:tc>
                <w:tcPr>
                  <w:tcW w:w="1175" w:type="pct"/>
                  <w:tcBorders>
                    <w:top w:val="single" w:color="000000" w:sz="12" w:space="0"/>
                    <w:tl2br w:val="nil"/>
                    <w:tr2bl w:val="nil"/>
                  </w:tcBorders>
                  <w:vAlign w:val="center"/>
                </w:tcPr>
                <w:p w14:paraId="0812EDC6">
                  <w:pPr>
                    <w:widowControl/>
                    <w:adjustRightInd w:val="0"/>
                    <w:snapToGrid w:val="0"/>
                    <w:jc w:val="center"/>
                    <w:rPr>
                      <w:color w:val="auto"/>
                      <w:sz w:val="21"/>
                      <w:szCs w:val="21"/>
                    </w:rPr>
                  </w:pPr>
                  <w:r>
                    <w:rPr>
                      <w:color w:val="auto"/>
                      <w:sz w:val="21"/>
                      <w:szCs w:val="21"/>
                    </w:rPr>
                    <w:t>55</w:t>
                  </w:r>
                </w:p>
              </w:tc>
              <w:tc>
                <w:tcPr>
                  <w:tcW w:w="2452" w:type="pct"/>
                  <w:tcBorders>
                    <w:top w:val="single" w:color="000000" w:sz="12" w:space="0"/>
                    <w:tl2br w:val="nil"/>
                    <w:tr2bl w:val="nil"/>
                  </w:tcBorders>
                  <w:vAlign w:val="center"/>
                </w:tcPr>
                <w:p w14:paraId="4469F65B">
                  <w:pPr>
                    <w:widowControl/>
                    <w:adjustRightInd w:val="0"/>
                    <w:snapToGrid w:val="0"/>
                    <w:jc w:val="center"/>
                    <w:rPr>
                      <w:color w:val="auto"/>
                      <w:sz w:val="21"/>
                      <w:szCs w:val="21"/>
                    </w:rPr>
                  </w:pPr>
                  <w:r>
                    <w:rPr>
                      <w:rFonts w:hint="eastAsia" w:hAnsi="宋体"/>
                      <w:color w:val="auto"/>
                      <w:sz w:val="21"/>
                      <w:szCs w:val="21"/>
                    </w:rPr>
                    <w:t>《建筑施工场界环境噪声排放标准》（</w:t>
                  </w:r>
                  <w:r>
                    <w:rPr>
                      <w:color w:val="auto"/>
                      <w:sz w:val="21"/>
                      <w:szCs w:val="21"/>
                    </w:rPr>
                    <w:t>GB12523-2011</w:t>
                  </w:r>
                  <w:r>
                    <w:rPr>
                      <w:rFonts w:hint="eastAsia" w:hAnsi="宋体"/>
                      <w:color w:val="auto"/>
                      <w:sz w:val="21"/>
                      <w:szCs w:val="21"/>
                    </w:rPr>
                    <w:t>）</w:t>
                  </w:r>
                </w:p>
              </w:tc>
            </w:tr>
          </w:tbl>
          <w:p w14:paraId="45508DCD">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表3-6    工业企业厂界环境噪声排放标准</w:t>
            </w:r>
          </w:p>
          <w:tbl>
            <w:tblPr>
              <w:tblStyle w:val="27"/>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266"/>
              <w:gridCol w:w="1417"/>
              <w:gridCol w:w="1414"/>
              <w:gridCol w:w="3953"/>
            </w:tblGrid>
            <w:tr w14:paraId="1EF0A8F5">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786" w:type="pct"/>
                  <w:vMerge w:val="restart"/>
                  <w:vAlign w:val="center"/>
                </w:tcPr>
                <w:p w14:paraId="2B6FDE6B">
                  <w:pPr>
                    <w:widowControl/>
                    <w:adjustRightInd w:val="0"/>
                    <w:snapToGrid w:val="0"/>
                    <w:jc w:val="center"/>
                    <w:rPr>
                      <w:b/>
                      <w:bCs/>
                      <w:color w:val="auto"/>
                      <w:sz w:val="21"/>
                      <w:szCs w:val="21"/>
                    </w:rPr>
                  </w:pPr>
                  <w:r>
                    <w:rPr>
                      <w:rFonts w:hint="eastAsia" w:hAnsi="宋体"/>
                      <w:b/>
                      <w:bCs/>
                      <w:color w:val="auto"/>
                      <w:sz w:val="21"/>
                      <w:szCs w:val="21"/>
                    </w:rPr>
                    <w:t>功能区类别</w:t>
                  </w:r>
                </w:p>
              </w:tc>
              <w:tc>
                <w:tcPr>
                  <w:tcW w:w="1758" w:type="pct"/>
                  <w:gridSpan w:val="2"/>
                  <w:vAlign w:val="center"/>
                </w:tcPr>
                <w:p w14:paraId="152B948A">
                  <w:pPr>
                    <w:widowControl/>
                    <w:adjustRightInd w:val="0"/>
                    <w:snapToGrid w:val="0"/>
                    <w:jc w:val="center"/>
                    <w:rPr>
                      <w:b/>
                      <w:bCs/>
                      <w:color w:val="auto"/>
                      <w:sz w:val="21"/>
                      <w:szCs w:val="21"/>
                    </w:rPr>
                  </w:pPr>
                  <w:r>
                    <w:rPr>
                      <w:rFonts w:hint="eastAsia" w:hAnsi="宋体"/>
                      <w:b/>
                      <w:bCs/>
                      <w:color w:val="auto"/>
                      <w:sz w:val="21"/>
                      <w:szCs w:val="21"/>
                    </w:rPr>
                    <w:t>标准值</w:t>
                  </w:r>
                  <w:r>
                    <w:rPr>
                      <w:b/>
                      <w:bCs/>
                      <w:color w:val="auto"/>
                      <w:sz w:val="21"/>
                      <w:szCs w:val="21"/>
                    </w:rPr>
                    <w:t>dB</w:t>
                  </w:r>
                  <w:r>
                    <w:rPr>
                      <w:rFonts w:hint="eastAsia" w:hAnsi="宋体"/>
                      <w:b/>
                      <w:bCs/>
                      <w:color w:val="auto"/>
                      <w:sz w:val="21"/>
                      <w:szCs w:val="21"/>
                    </w:rPr>
                    <w:t>（</w:t>
                  </w:r>
                  <w:r>
                    <w:rPr>
                      <w:b/>
                      <w:bCs/>
                      <w:color w:val="auto"/>
                      <w:sz w:val="21"/>
                      <w:szCs w:val="21"/>
                    </w:rPr>
                    <w:t>A</w:t>
                  </w:r>
                  <w:r>
                    <w:rPr>
                      <w:rFonts w:hint="eastAsia" w:hAnsi="宋体"/>
                      <w:b/>
                      <w:bCs/>
                      <w:color w:val="auto"/>
                      <w:sz w:val="21"/>
                      <w:szCs w:val="21"/>
                    </w:rPr>
                    <w:t>）</w:t>
                  </w:r>
                </w:p>
              </w:tc>
              <w:tc>
                <w:tcPr>
                  <w:tcW w:w="2454" w:type="pct"/>
                  <w:vMerge w:val="restart"/>
                  <w:vAlign w:val="center"/>
                </w:tcPr>
                <w:p w14:paraId="77C13795">
                  <w:pPr>
                    <w:widowControl/>
                    <w:adjustRightInd w:val="0"/>
                    <w:snapToGrid w:val="0"/>
                    <w:jc w:val="center"/>
                    <w:rPr>
                      <w:b/>
                      <w:bCs/>
                      <w:color w:val="auto"/>
                      <w:sz w:val="21"/>
                      <w:szCs w:val="21"/>
                    </w:rPr>
                  </w:pPr>
                  <w:r>
                    <w:rPr>
                      <w:rFonts w:hint="eastAsia" w:hAnsi="宋体"/>
                      <w:b/>
                      <w:bCs/>
                      <w:color w:val="auto"/>
                      <w:sz w:val="21"/>
                      <w:szCs w:val="21"/>
                    </w:rPr>
                    <w:t>标准来源</w:t>
                  </w:r>
                </w:p>
              </w:tc>
            </w:tr>
            <w:tr w14:paraId="0841AA0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33" w:hRule="atLeast"/>
              </w:trPr>
              <w:tc>
                <w:tcPr>
                  <w:tcW w:w="786" w:type="pct"/>
                  <w:vMerge w:val="continue"/>
                  <w:tcBorders>
                    <w:bottom w:val="single" w:color="000000" w:sz="12" w:space="0"/>
                  </w:tcBorders>
                  <w:vAlign w:val="center"/>
                </w:tcPr>
                <w:p w14:paraId="7C583FBC">
                  <w:pPr>
                    <w:widowControl/>
                    <w:adjustRightInd w:val="0"/>
                    <w:snapToGrid w:val="0"/>
                    <w:jc w:val="center"/>
                    <w:rPr>
                      <w:color w:val="auto"/>
                      <w:sz w:val="21"/>
                      <w:szCs w:val="21"/>
                    </w:rPr>
                  </w:pPr>
                </w:p>
              </w:tc>
              <w:tc>
                <w:tcPr>
                  <w:tcW w:w="880" w:type="pct"/>
                  <w:tcBorders>
                    <w:bottom w:val="single" w:color="000000" w:sz="12" w:space="0"/>
                  </w:tcBorders>
                  <w:vAlign w:val="center"/>
                </w:tcPr>
                <w:p w14:paraId="39D550C4">
                  <w:pPr>
                    <w:widowControl/>
                    <w:adjustRightInd w:val="0"/>
                    <w:snapToGrid w:val="0"/>
                    <w:jc w:val="center"/>
                    <w:rPr>
                      <w:b/>
                      <w:bCs/>
                      <w:color w:val="auto"/>
                      <w:sz w:val="21"/>
                      <w:szCs w:val="21"/>
                    </w:rPr>
                  </w:pPr>
                  <w:r>
                    <w:rPr>
                      <w:rFonts w:hint="eastAsia" w:hAnsi="宋体"/>
                      <w:b/>
                      <w:bCs/>
                      <w:color w:val="auto"/>
                      <w:sz w:val="21"/>
                      <w:szCs w:val="21"/>
                    </w:rPr>
                    <w:t>昼间</w:t>
                  </w:r>
                </w:p>
              </w:tc>
              <w:tc>
                <w:tcPr>
                  <w:tcW w:w="877" w:type="pct"/>
                  <w:tcBorders>
                    <w:bottom w:val="single" w:color="000000" w:sz="12" w:space="0"/>
                  </w:tcBorders>
                  <w:vAlign w:val="center"/>
                </w:tcPr>
                <w:p w14:paraId="5D04BE76">
                  <w:pPr>
                    <w:widowControl/>
                    <w:adjustRightInd w:val="0"/>
                    <w:snapToGrid w:val="0"/>
                    <w:jc w:val="center"/>
                    <w:rPr>
                      <w:b/>
                      <w:bCs/>
                      <w:color w:val="auto"/>
                      <w:sz w:val="21"/>
                      <w:szCs w:val="21"/>
                    </w:rPr>
                  </w:pPr>
                  <w:r>
                    <w:rPr>
                      <w:rFonts w:hint="eastAsia" w:hAnsi="宋体"/>
                      <w:b/>
                      <w:bCs/>
                      <w:color w:val="auto"/>
                      <w:sz w:val="21"/>
                      <w:szCs w:val="21"/>
                    </w:rPr>
                    <w:t>夜间</w:t>
                  </w:r>
                </w:p>
              </w:tc>
              <w:tc>
                <w:tcPr>
                  <w:tcW w:w="2454" w:type="pct"/>
                  <w:vMerge w:val="continue"/>
                  <w:tcBorders>
                    <w:bottom w:val="single" w:color="000000" w:sz="12" w:space="0"/>
                  </w:tcBorders>
                  <w:vAlign w:val="center"/>
                </w:tcPr>
                <w:p w14:paraId="5BB85616">
                  <w:pPr>
                    <w:widowControl/>
                    <w:adjustRightInd w:val="0"/>
                    <w:snapToGrid w:val="0"/>
                    <w:jc w:val="center"/>
                    <w:rPr>
                      <w:color w:val="auto"/>
                      <w:sz w:val="21"/>
                      <w:szCs w:val="21"/>
                    </w:rPr>
                  </w:pPr>
                </w:p>
              </w:tc>
            </w:tr>
            <w:tr w14:paraId="28D0A24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786" w:type="pct"/>
                  <w:tcBorders>
                    <w:top w:val="single" w:color="000000" w:sz="12" w:space="0"/>
                    <w:tl2br w:val="nil"/>
                    <w:tr2bl w:val="nil"/>
                  </w:tcBorders>
                  <w:vAlign w:val="center"/>
                </w:tcPr>
                <w:p w14:paraId="323B4B81">
                  <w:pPr>
                    <w:widowControl/>
                    <w:adjustRightInd w:val="0"/>
                    <w:snapToGrid w:val="0"/>
                    <w:jc w:val="center"/>
                    <w:rPr>
                      <w:color w:val="auto"/>
                      <w:sz w:val="21"/>
                      <w:szCs w:val="21"/>
                    </w:rPr>
                  </w:pPr>
                  <w:r>
                    <w:rPr>
                      <w:rFonts w:hint="eastAsia"/>
                      <w:color w:val="auto"/>
                      <w:sz w:val="21"/>
                      <w:szCs w:val="21"/>
                      <w:lang w:val="en-US" w:eastAsia="zh-CN"/>
                    </w:rPr>
                    <w:t>2</w:t>
                  </w:r>
                  <w:r>
                    <w:rPr>
                      <w:rFonts w:hint="eastAsia" w:hAnsi="宋体"/>
                      <w:color w:val="auto"/>
                      <w:sz w:val="21"/>
                      <w:szCs w:val="21"/>
                    </w:rPr>
                    <w:t>类</w:t>
                  </w:r>
                </w:p>
              </w:tc>
              <w:tc>
                <w:tcPr>
                  <w:tcW w:w="880" w:type="pct"/>
                  <w:tcBorders>
                    <w:top w:val="single" w:color="000000" w:sz="12" w:space="0"/>
                    <w:tl2br w:val="nil"/>
                    <w:tr2bl w:val="nil"/>
                  </w:tcBorders>
                  <w:vAlign w:val="center"/>
                </w:tcPr>
                <w:p w14:paraId="637234F8">
                  <w:pPr>
                    <w:widowControl/>
                    <w:adjustRightInd w:val="0"/>
                    <w:snapToGrid w:val="0"/>
                    <w:jc w:val="center"/>
                    <w:rPr>
                      <w:rFonts w:hint="eastAsia" w:eastAsia="宋体"/>
                      <w:color w:val="auto"/>
                      <w:sz w:val="21"/>
                      <w:szCs w:val="21"/>
                      <w:lang w:eastAsia="zh-CN"/>
                    </w:rPr>
                  </w:pPr>
                  <w:r>
                    <w:rPr>
                      <w:rFonts w:hint="eastAsia"/>
                      <w:color w:val="auto"/>
                      <w:sz w:val="21"/>
                      <w:szCs w:val="21"/>
                    </w:rPr>
                    <w:t>6</w:t>
                  </w:r>
                  <w:r>
                    <w:rPr>
                      <w:rFonts w:hint="eastAsia"/>
                      <w:color w:val="auto"/>
                      <w:sz w:val="21"/>
                      <w:szCs w:val="21"/>
                      <w:lang w:val="en-US" w:eastAsia="zh-CN"/>
                    </w:rPr>
                    <w:t>0</w:t>
                  </w:r>
                </w:p>
              </w:tc>
              <w:tc>
                <w:tcPr>
                  <w:tcW w:w="877" w:type="pct"/>
                  <w:tcBorders>
                    <w:top w:val="single" w:color="000000" w:sz="12" w:space="0"/>
                    <w:tl2br w:val="nil"/>
                    <w:tr2bl w:val="nil"/>
                  </w:tcBorders>
                  <w:vAlign w:val="center"/>
                </w:tcPr>
                <w:p w14:paraId="2DFB8BA2">
                  <w:pPr>
                    <w:widowControl/>
                    <w:adjustRightInd w:val="0"/>
                    <w:snapToGrid w:val="0"/>
                    <w:jc w:val="center"/>
                    <w:rPr>
                      <w:rFonts w:hint="eastAsia" w:eastAsia="宋体"/>
                      <w:color w:val="auto"/>
                      <w:sz w:val="21"/>
                      <w:szCs w:val="21"/>
                      <w:lang w:eastAsia="zh-CN"/>
                    </w:rPr>
                  </w:pPr>
                  <w:r>
                    <w:rPr>
                      <w:rFonts w:hint="eastAsia"/>
                      <w:color w:val="auto"/>
                      <w:sz w:val="21"/>
                      <w:szCs w:val="21"/>
                    </w:rPr>
                    <w:t>5</w:t>
                  </w:r>
                  <w:r>
                    <w:rPr>
                      <w:rFonts w:hint="eastAsia"/>
                      <w:color w:val="auto"/>
                      <w:sz w:val="21"/>
                      <w:szCs w:val="21"/>
                      <w:lang w:val="en-US" w:eastAsia="zh-CN"/>
                    </w:rPr>
                    <w:t>0</w:t>
                  </w:r>
                </w:p>
              </w:tc>
              <w:tc>
                <w:tcPr>
                  <w:tcW w:w="2454" w:type="pct"/>
                  <w:tcBorders>
                    <w:top w:val="single" w:color="000000" w:sz="12" w:space="0"/>
                    <w:tl2br w:val="nil"/>
                    <w:tr2bl w:val="nil"/>
                  </w:tcBorders>
                  <w:vAlign w:val="center"/>
                </w:tcPr>
                <w:p w14:paraId="37E282D3">
                  <w:pPr>
                    <w:widowControl/>
                    <w:adjustRightInd w:val="0"/>
                    <w:snapToGrid w:val="0"/>
                    <w:jc w:val="center"/>
                    <w:rPr>
                      <w:color w:val="auto"/>
                      <w:sz w:val="21"/>
                      <w:szCs w:val="21"/>
                    </w:rPr>
                  </w:pPr>
                  <w:r>
                    <w:rPr>
                      <w:rFonts w:hint="eastAsia" w:hAnsi="宋体"/>
                      <w:color w:val="auto"/>
                      <w:sz w:val="21"/>
                      <w:szCs w:val="21"/>
                    </w:rPr>
                    <w:t>《工业企业厂界环境噪声排放标准》（</w:t>
                  </w:r>
                  <w:r>
                    <w:rPr>
                      <w:color w:val="auto"/>
                      <w:sz w:val="21"/>
                      <w:szCs w:val="21"/>
                    </w:rPr>
                    <w:t>GB12348-20</w:t>
                  </w:r>
                  <w:r>
                    <w:rPr>
                      <w:rFonts w:hint="eastAsia"/>
                      <w:color w:val="auto"/>
                      <w:sz w:val="21"/>
                      <w:szCs w:val="21"/>
                    </w:rPr>
                    <w:t>08</w:t>
                  </w:r>
                  <w:r>
                    <w:rPr>
                      <w:rFonts w:hint="eastAsia" w:hAnsi="宋体"/>
                      <w:color w:val="auto"/>
                      <w:sz w:val="21"/>
                      <w:szCs w:val="21"/>
                    </w:rPr>
                    <w:t>）中</w:t>
                  </w:r>
                  <w:r>
                    <w:rPr>
                      <w:rFonts w:hint="eastAsia" w:hAnsi="宋体"/>
                      <w:color w:val="auto"/>
                      <w:sz w:val="21"/>
                      <w:szCs w:val="21"/>
                      <w:lang w:val="en-US" w:eastAsia="zh-CN"/>
                    </w:rPr>
                    <w:t>2</w:t>
                  </w:r>
                  <w:r>
                    <w:rPr>
                      <w:rFonts w:hint="eastAsia" w:hAnsi="宋体"/>
                      <w:color w:val="auto"/>
                      <w:sz w:val="21"/>
                      <w:szCs w:val="21"/>
                    </w:rPr>
                    <w:t>类标准</w:t>
                  </w:r>
                </w:p>
              </w:tc>
            </w:tr>
          </w:tbl>
          <w:p w14:paraId="28947796">
            <w:pPr>
              <w:numPr>
                <w:ilvl w:val="0"/>
                <w:numId w:val="0"/>
              </w:numPr>
              <w:spacing w:line="360" w:lineRule="auto"/>
              <w:ind w:left="0" w:leftChars="0" w:firstLine="0" w:firstLineChars="0"/>
              <w:rPr>
                <w:rFonts w:ascii="Times New Roman" w:hAnsi="Times New Roman" w:eastAsia="宋体" w:cs="Times New Roman"/>
                <w:b/>
                <w:bCs/>
                <w:color w:val="auto"/>
                <w:sz w:val="24"/>
              </w:rPr>
            </w:pPr>
            <w:r>
              <w:rPr>
                <w:rFonts w:ascii="Times New Roman" w:hAnsi="Times New Roman" w:eastAsia="宋体" w:cs="Times New Roman"/>
                <w:b/>
                <w:bCs/>
                <w:color w:val="auto"/>
                <w:kern w:val="2"/>
                <w:sz w:val="24"/>
                <w:szCs w:val="24"/>
                <w:lang w:val="en-US" w:eastAsia="zh-CN" w:bidi="ar-SA"/>
              </w:rPr>
              <w:t>4.</w:t>
            </w:r>
            <w:r>
              <w:rPr>
                <w:rFonts w:hint="eastAsia" w:ascii="Times New Roman" w:hAnsi="Times New Roman" w:eastAsia="宋体" w:cs="Times New Roman"/>
                <w:b/>
                <w:bCs/>
                <w:color w:val="auto"/>
                <w:sz w:val="24"/>
              </w:rPr>
              <w:t>固废</w:t>
            </w:r>
          </w:p>
          <w:p w14:paraId="3B230235">
            <w:pPr>
              <w:adjustRightInd w:val="0"/>
              <w:snapToGrid w:val="0"/>
              <w:spacing w:line="360" w:lineRule="auto"/>
              <w:ind w:firstLine="480" w:firstLineChars="200"/>
              <w:rPr>
                <w:rFonts w:ascii="宋体" w:hAnsi="宋体" w:cs="宋体"/>
                <w:color w:val="auto"/>
                <w:kern w:val="0"/>
                <w:szCs w:val="21"/>
              </w:rPr>
            </w:pPr>
            <w:r>
              <w:rPr>
                <w:rFonts w:hint="eastAsia" w:ascii="Times New Roman" w:hAnsi="Times New Roman" w:eastAsia="宋体" w:cs="Times New Roman"/>
                <w:color w:val="auto"/>
                <w:kern w:val="0"/>
                <w:sz w:val="24"/>
              </w:rPr>
              <w:t>本项目一般固废</w:t>
            </w:r>
            <w:r>
              <w:rPr>
                <w:rFonts w:ascii="Times New Roman" w:hAnsi="Times New Roman" w:eastAsia="宋体" w:cs="Times New Roman"/>
                <w:color w:val="auto"/>
                <w:kern w:val="0"/>
                <w:sz w:val="24"/>
              </w:rPr>
              <w:t>执行《一般工业固体废物贮存和填埋污染控制标准》（GB18599-2020）要求</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危险废物执行《危险废物贮存污染控制标准》（GB18597-</w:t>
            </w:r>
            <w:r>
              <w:rPr>
                <w:rFonts w:hint="eastAsia" w:cs="Times New Roman"/>
                <w:color w:val="auto"/>
                <w:kern w:val="0"/>
                <w:sz w:val="24"/>
                <w:lang w:val="en-US" w:eastAsia="zh-CN"/>
              </w:rPr>
              <w:t>2023）</w:t>
            </w:r>
            <w:r>
              <w:rPr>
                <w:rFonts w:hint="eastAsia" w:ascii="Times New Roman" w:hAnsi="Times New Roman" w:eastAsia="宋体" w:cs="Times New Roman"/>
                <w:color w:val="auto"/>
                <w:kern w:val="0"/>
                <w:sz w:val="24"/>
              </w:rPr>
              <w:t>。</w:t>
            </w:r>
          </w:p>
        </w:tc>
      </w:tr>
      <w:tr w14:paraId="2203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1" w:hRule="atLeast"/>
          <w:jc w:val="center"/>
        </w:trPr>
        <w:tc>
          <w:tcPr>
            <w:tcW w:w="800" w:type="dxa"/>
            <w:vAlign w:val="center"/>
          </w:tcPr>
          <w:p w14:paraId="0B2714E5">
            <w:pPr>
              <w:adjustRightInd w:val="0"/>
              <w:snapToGrid w:val="0"/>
              <w:jc w:val="center"/>
              <w:rPr>
                <w:rFonts w:ascii="宋体" w:hAnsi="宋体" w:cs="宋体"/>
                <w:color w:val="auto"/>
                <w:kern w:val="0"/>
                <w:szCs w:val="21"/>
              </w:rPr>
            </w:pPr>
            <w:r>
              <w:rPr>
                <w:rFonts w:hint="eastAsia" w:ascii="宋体" w:hAnsi="宋体" w:cs="宋体"/>
                <w:color w:val="auto"/>
                <w:kern w:val="0"/>
                <w:szCs w:val="21"/>
              </w:rPr>
              <w:t>总量</w:t>
            </w:r>
          </w:p>
          <w:p w14:paraId="309C4ABF">
            <w:pPr>
              <w:adjustRightInd w:val="0"/>
              <w:snapToGrid w:val="0"/>
              <w:jc w:val="center"/>
              <w:rPr>
                <w:rFonts w:ascii="宋体" w:hAnsi="宋体" w:cs="宋体"/>
                <w:color w:val="auto"/>
                <w:kern w:val="0"/>
                <w:szCs w:val="21"/>
              </w:rPr>
            </w:pPr>
            <w:r>
              <w:rPr>
                <w:rFonts w:hint="eastAsia" w:ascii="宋体" w:hAnsi="宋体" w:cs="宋体"/>
                <w:color w:val="auto"/>
                <w:kern w:val="0"/>
                <w:szCs w:val="21"/>
              </w:rPr>
              <w:t>控制</w:t>
            </w:r>
          </w:p>
          <w:p w14:paraId="2AB975B9">
            <w:pPr>
              <w:adjustRightInd w:val="0"/>
              <w:snapToGrid w:val="0"/>
              <w:jc w:val="center"/>
              <w:rPr>
                <w:rFonts w:ascii="宋体" w:hAnsi="宋体" w:cs="宋体"/>
                <w:color w:val="auto"/>
                <w:kern w:val="0"/>
                <w:szCs w:val="21"/>
              </w:rPr>
            </w:pPr>
            <w:r>
              <w:rPr>
                <w:rFonts w:hint="eastAsia" w:ascii="宋体" w:hAnsi="宋体" w:cs="宋体"/>
                <w:color w:val="auto"/>
                <w:kern w:val="0"/>
                <w:szCs w:val="21"/>
              </w:rPr>
              <w:t>指标</w:t>
            </w:r>
          </w:p>
        </w:tc>
        <w:tc>
          <w:tcPr>
            <w:tcW w:w="8190" w:type="dxa"/>
            <w:vAlign w:val="center"/>
          </w:tcPr>
          <w:p w14:paraId="2F854A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rPr>
            </w:pPr>
            <w:r>
              <w:rPr>
                <w:rFonts w:hint="default" w:ascii="Times New Roman" w:hAnsi="Times New Roman" w:eastAsia="宋体" w:cs="Times New Roman"/>
                <w:b w:val="0"/>
                <w:bCs w:val="0"/>
                <w:color w:val="auto"/>
                <w:sz w:val="24"/>
                <w:szCs w:val="32"/>
                <w:highlight w:val="none"/>
              </w:rPr>
              <w:t>根据国家总量控制相关要求，结合本项目厂址区域环境质量现状、外排污染物特征，</w:t>
            </w:r>
            <w:r>
              <w:rPr>
                <w:rFonts w:hint="eastAsia" w:ascii="宋体" w:hAnsi="宋体" w:cs="宋体"/>
                <w:color w:val="auto"/>
                <w:kern w:val="0"/>
                <w:sz w:val="24"/>
                <w:szCs w:val="24"/>
                <w:lang w:val="en-US" w:eastAsia="zh-CN"/>
              </w:rPr>
              <w:t>木</w:t>
            </w:r>
            <w:r>
              <w:rPr>
                <w:rFonts w:hint="eastAsia" w:ascii="宋体" w:hAnsi="宋体" w:cs="宋体"/>
                <w:color w:val="auto"/>
                <w:kern w:val="0"/>
                <w:sz w:val="24"/>
                <w:szCs w:val="24"/>
                <w:highlight w:val="none"/>
                <w:lang w:val="en-US" w:eastAsia="zh-CN"/>
              </w:rPr>
              <w:t>垒县为环境空气质量达标区，因此本项目有组织颗粒物需要进行等量消减替代，</w:t>
            </w:r>
            <w:r>
              <w:rPr>
                <w:rFonts w:hint="eastAsia" w:eastAsia="宋体" w:cs="Times New Roman"/>
                <w:b w:val="0"/>
                <w:bCs w:val="0"/>
                <w:color w:val="auto"/>
                <w:sz w:val="24"/>
                <w:szCs w:val="32"/>
                <w:highlight w:val="none"/>
                <w:lang w:val="en-US" w:eastAsia="zh-CN"/>
              </w:rPr>
              <w:t>经计算本项目营运期</w:t>
            </w:r>
            <w:r>
              <w:rPr>
                <w:rFonts w:hint="eastAsia" w:ascii="Times New Roman" w:hAnsi="Times New Roman" w:eastAsia="宋体" w:cs="Times New Roman"/>
                <w:b w:val="0"/>
                <w:bCs w:val="0"/>
                <w:color w:val="auto"/>
                <w:sz w:val="24"/>
                <w:szCs w:val="32"/>
                <w:highlight w:val="none"/>
                <w:lang w:val="en-US" w:eastAsia="zh-CN"/>
              </w:rPr>
              <w:t>颗粒物排放量</w:t>
            </w:r>
            <w:r>
              <w:rPr>
                <w:rFonts w:hint="eastAsia" w:ascii="宋体" w:hAnsi="宋体" w:cs="宋体"/>
                <w:color w:val="auto"/>
                <w:kern w:val="0"/>
                <w:sz w:val="24"/>
                <w:szCs w:val="24"/>
                <w:highlight w:val="none"/>
                <w:lang w:val="en-US" w:eastAsia="zh-CN"/>
              </w:rPr>
              <w:t>为</w:t>
            </w:r>
            <w:r>
              <w:rPr>
                <w:rFonts w:hint="eastAsia" w:cs="Times New Roman"/>
                <w:color w:val="auto"/>
                <w:kern w:val="0"/>
                <w:sz w:val="24"/>
                <w:szCs w:val="24"/>
                <w:highlight w:val="none"/>
                <w:lang w:val="en-US" w:eastAsia="zh-CN"/>
              </w:rPr>
              <w:t>0.185</w:t>
            </w:r>
            <w:r>
              <w:rPr>
                <w:rFonts w:hint="default" w:ascii="Times New Roman" w:hAnsi="Times New Roman" w:cs="Times New Roman"/>
                <w:color w:val="auto"/>
                <w:kern w:val="0"/>
                <w:sz w:val="24"/>
                <w:szCs w:val="24"/>
                <w:highlight w:val="none"/>
                <w:lang w:val="en-US" w:eastAsia="zh-CN"/>
              </w:rPr>
              <w:t>t/a</w:t>
            </w:r>
            <w:r>
              <w:rPr>
                <w:rFonts w:hint="eastAsia" w:ascii="宋体" w:hAnsi="宋体" w:cs="宋体"/>
                <w:color w:val="auto"/>
                <w:kern w:val="0"/>
                <w:sz w:val="24"/>
                <w:szCs w:val="24"/>
                <w:highlight w:val="none"/>
                <w:lang w:val="en-US" w:eastAsia="zh-CN"/>
              </w:rPr>
              <w:t>，</w:t>
            </w:r>
            <w:r>
              <w:rPr>
                <w:rFonts w:hint="default" w:ascii="Times New Roman" w:hAnsi="Times New Roman" w:eastAsia="宋体" w:cs="Times New Roman"/>
                <w:b w:val="0"/>
                <w:bCs w:val="0"/>
                <w:color w:val="auto"/>
                <w:sz w:val="24"/>
                <w:szCs w:val="32"/>
                <w:highlight w:val="none"/>
              </w:rPr>
              <w:t>总量控制指标为</w:t>
            </w:r>
            <w:r>
              <w:rPr>
                <w:rFonts w:hint="eastAsia" w:ascii="Times New Roman" w:hAnsi="Times New Roman" w:eastAsia="宋体" w:cs="Times New Roman"/>
                <w:b w:val="0"/>
                <w:bCs w:val="0"/>
                <w:color w:val="auto"/>
                <w:sz w:val="24"/>
                <w:szCs w:val="32"/>
                <w:highlight w:val="none"/>
                <w:lang w:val="en-US" w:eastAsia="zh-CN"/>
              </w:rPr>
              <w:t>颗粒物</w:t>
            </w:r>
            <w:r>
              <w:rPr>
                <w:rFonts w:hint="eastAsia" w:cs="Times New Roman"/>
                <w:color w:val="auto"/>
                <w:kern w:val="0"/>
                <w:sz w:val="24"/>
                <w:szCs w:val="24"/>
                <w:highlight w:val="none"/>
                <w:lang w:val="en-US" w:eastAsia="zh-CN"/>
              </w:rPr>
              <w:t>0.185</w:t>
            </w:r>
            <w:r>
              <w:rPr>
                <w:rFonts w:hint="default" w:ascii="Times New Roman" w:hAnsi="Times New Roman" w:cs="Times New Roman"/>
                <w:color w:val="auto"/>
                <w:kern w:val="0"/>
                <w:sz w:val="24"/>
                <w:szCs w:val="24"/>
                <w:highlight w:val="none"/>
                <w:lang w:val="en-US" w:eastAsia="zh-CN"/>
              </w:rPr>
              <w:t>t/a</w:t>
            </w:r>
            <w:r>
              <w:rPr>
                <w:rFonts w:hint="default" w:ascii="宋体" w:hAnsi="宋体" w:cs="宋体"/>
                <w:color w:val="auto"/>
                <w:kern w:val="0"/>
                <w:sz w:val="24"/>
                <w:szCs w:val="24"/>
                <w:highlight w:val="none"/>
              </w:rPr>
              <w:t>。</w:t>
            </w:r>
          </w:p>
          <w:p w14:paraId="09BD9BF4">
            <w:pPr>
              <w:adjustRightInd w:val="0"/>
              <w:snapToGrid w:val="0"/>
              <w:jc w:val="left"/>
              <w:rPr>
                <w:rFonts w:ascii="宋体" w:hAnsi="宋体" w:cs="宋体"/>
                <w:color w:val="auto"/>
                <w:kern w:val="0"/>
                <w:szCs w:val="21"/>
              </w:rPr>
            </w:pPr>
          </w:p>
          <w:p w14:paraId="21B4720A">
            <w:pPr>
              <w:adjustRightInd w:val="0"/>
              <w:snapToGrid w:val="0"/>
              <w:jc w:val="left"/>
              <w:rPr>
                <w:rFonts w:ascii="宋体" w:hAnsi="宋体" w:cs="宋体"/>
                <w:color w:val="auto"/>
                <w:kern w:val="0"/>
                <w:szCs w:val="21"/>
              </w:rPr>
            </w:pPr>
          </w:p>
          <w:p w14:paraId="0C8746B6">
            <w:pPr>
              <w:adjustRightInd w:val="0"/>
              <w:snapToGrid w:val="0"/>
              <w:jc w:val="left"/>
              <w:rPr>
                <w:rFonts w:ascii="宋体" w:hAnsi="宋体" w:cs="宋体"/>
                <w:color w:val="auto"/>
                <w:kern w:val="0"/>
                <w:szCs w:val="21"/>
              </w:rPr>
            </w:pPr>
          </w:p>
          <w:p w14:paraId="01224437">
            <w:pPr>
              <w:adjustRightInd w:val="0"/>
              <w:snapToGrid w:val="0"/>
              <w:jc w:val="left"/>
              <w:rPr>
                <w:rFonts w:ascii="宋体" w:hAnsi="宋体" w:cs="宋体"/>
                <w:color w:val="auto"/>
                <w:kern w:val="0"/>
                <w:szCs w:val="21"/>
              </w:rPr>
            </w:pPr>
          </w:p>
          <w:p w14:paraId="5094DA07">
            <w:pPr>
              <w:adjustRightInd w:val="0"/>
              <w:snapToGrid w:val="0"/>
              <w:jc w:val="left"/>
              <w:rPr>
                <w:rFonts w:ascii="宋体" w:hAnsi="宋体" w:cs="宋体"/>
                <w:color w:val="auto"/>
                <w:kern w:val="0"/>
                <w:szCs w:val="21"/>
              </w:rPr>
            </w:pPr>
          </w:p>
          <w:p w14:paraId="5FCF4A6C">
            <w:pPr>
              <w:adjustRightInd w:val="0"/>
              <w:snapToGrid w:val="0"/>
              <w:jc w:val="left"/>
              <w:rPr>
                <w:rFonts w:ascii="宋体" w:hAnsi="宋体" w:cs="宋体"/>
                <w:color w:val="auto"/>
                <w:kern w:val="0"/>
                <w:szCs w:val="21"/>
              </w:rPr>
            </w:pPr>
          </w:p>
          <w:p w14:paraId="275ADF6E">
            <w:pPr>
              <w:adjustRightInd w:val="0"/>
              <w:snapToGrid w:val="0"/>
              <w:jc w:val="left"/>
              <w:rPr>
                <w:rFonts w:ascii="宋体" w:hAnsi="宋体" w:cs="宋体"/>
                <w:color w:val="auto"/>
                <w:kern w:val="0"/>
                <w:szCs w:val="21"/>
              </w:rPr>
            </w:pPr>
          </w:p>
          <w:p w14:paraId="12C773FD">
            <w:pPr>
              <w:adjustRightInd w:val="0"/>
              <w:snapToGrid w:val="0"/>
              <w:jc w:val="left"/>
              <w:rPr>
                <w:rFonts w:ascii="宋体" w:hAnsi="宋体" w:cs="宋体"/>
                <w:color w:val="auto"/>
                <w:kern w:val="0"/>
                <w:szCs w:val="21"/>
              </w:rPr>
            </w:pPr>
          </w:p>
          <w:p w14:paraId="02D1388A">
            <w:pPr>
              <w:adjustRightInd w:val="0"/>
              <w:snapToGrid w:val="0"/>
              <w:jc w:val="left"/>
              <w:rPr>
                <w:rFonts w:ascii="宋体" w:hAnsi="宋体" w:cs="宋体"/>
                <w:color w:val="auto"/>
                <w:kern w:val="0"/>
                <w:szCs w:val="21"/>
              </w:rPr>
            </w:pPr>
          </w:p>
          <w:p w14:paraId="64C1D2A2">
            <w:pPr>
              <w:adjustRightInd w:val="0"/>
              <w:snapToGrid w:val="0"/>
              <w:jc w:val="left"/>
              <w:rPr>
                <w:rFonts w:ascii="宋体" w:hAnsi="宋体" w:cs="宋体"/>
                <w:color w:val="auto"/>
                <w:kern w:val="0"/>
                <w:szCs w:val="21"/>
              </w:rPr>
            </w:pPr>
          </w:p>
          <w:p w14:paraId="673C27E8">
            <w:pPr>
              <w:adjustRightInd w:val="0"/>
              <w:snapToGrid w:val="0"/>
              <w:jc w:val="left"/>
              <w:rPr>
                <w:rFonts w:ascii="宋体" w:hAnsi="宋体" w:cs="宋体"/>
                <w:color w:val="auto"/>
                <w:kern w:val="0"/>
                <w:szCs w:val="21"/>
              </w:rPr>
            </w:pPr>
          </w:p>
          <w:p w14:paraId="1018A2C6">
            <w:pPr>
              <w:adjustRightInd w:val="0"/>
              <w:snapToGrid w:val="0"/>
              <w:jc w:val="left"/>
              <w:rPr>
                <w:rFonts w:ascii="宋体" w:hAnsi="宋体" w:cs="宋体"/>
                <w:color w:val="auto"/>
                <w:kern w:val="0"/>
                <w:szCs w:val="21"/>
              </w:rPr>
            </w:pPr>
          </w:p>
          <w:p w14:paraId="6DAD1034">
            <w:pPr>
              <w:adjustRightInd w:val="0"/>
              <w:snapToGrid w:val="0"/>
              <w:jc w:val="left"/>
              <w:rPr>
                <w:rFonts w:ascii="宋体" w:hAnsi="宋体" w:cs="宋体"/>
                <w:color w:val="auto"/>
                <w:kern w:val="0"/>
                <w:szCs w:val="21"/>
              </w:rPr>
            </w:pPr>
          </w:p>
          <w:p w14:paraId="0497F192">
            <w:pPr>
              <w:adjustRightInd w:val="0"/>
              <w:snapToGrid w:val="0"/>
              <w:jc w:val="left"/>
              <w:rPr>
                <w:rFonts w:ascii="宋体" w:hAnsi="宋体" w:cs="宋体"/>
                <w:color w:val="auto"/>
                <w:kern w:val="0"/>
                <w:szCs w:val="21"/>
              </w:rPr>
            </w:pPr>
          </w:p>
          <w:p w14:paraId="3D691853">
            <w:pPr>
              <w:adjustRightInd w:val="0"/>
              <w:snapToGrid w:val="0"/>
              <w:jc w:val="left"/>
              <w:rPr>
                <w:rFonts w:ascii="宋体" w:hAnsi="宋体" w:cs="宋体"/>
                <w:color w:val="auto"/>
                <w:kern w:val="0"/>
                <w:szCs w:val="21"/>
              </w:rPr>
            </w:pPr>
          </w:p>
          <w:p w14:paraId="14EB658B">
            <w:pPr>
              <w:adjustRightInd w:val="0"/>
              <w:snapToGrid w:val="0"/>
              <w:jc w:val="left"/>
              <w:rPr>
                <w:rFonts w:ascii="宋体" w:hAnsi="宋体" w:cs="宋体"/>
                <w:color w:val="auto"/>
                <w:kern w:val="0"/>
                <w:szCs w:val="21"/>
              </w:rPr>
            </w:pPr>
          </w:p>
          <w:p w14:paraId="7B371B7A">
            <w:pPr>
              <w:adjustRightInd w:val="0"/>
              <w:snapToGrid w:val="0"/>
              <w:jc w:val="left"/>
              <w:rPr>
                <w:rFonts w:ascii="宋体" w:hAnsi="宋体" w:cs="宋体"/>
                <w:color w:val="auto"/>
                <w:kern w:val="0"/>
                <w:szCs w:val="21"/>
              </w:rPr>
            </w:pPr>
          </w:p>
          <w:p w14:paraId="3E5142C0">
            <w:pPr>
              <w:adjustRightInd w:val="0"/>
              <w:snapToGrid w:val="0"/>
              <w:jc w:val="left"/>
              <w:rPr>
                <w:rFonts w:ascii="宋体" w:hAnsi="宋体" w:cs="宋体"/>
                <w:color w:val="auto"/>
                <w:kern w:val="0"/>
                <w:szCs w:val="21"/>
              </w:rPr>
            </w:pPr>
          </w:p>
          <w:p w14:paraId="3F394ABC">
            <w:pPr>
              <w:adjustRightInd w:val="0"/>
              <w:snapToGrid w:val="0"/>
              <w:jc w:val="left"/>
              <w:rPr>
                <w:rFonts w:ascii="宋体" w:hAnsi="宋体" w:cs="宋体"/>
                <w:color w:val="auto"/>
                <w:kern w:val="0"/>
                <w:szCs w:val="21"/>
              </w:rPr>
            </w:pPr>
          </w:p>
          <w:p w14:paraId="0BE98BE2">
            <w:pPr>
              <w:adjustRightInd w:val="0"/>
              <w:snapToGrid w:val="0"/>
              <w:jc w:val="left"/>
              <w:rPr>
                <w:rFonts w:ascii="宋体" w:hAnsi="宋体" w:cs="宋体"/>
                <w:color w:val="auto"/>
                <w:kern w:val="0"/>
                <w:szCs w:val="21"/>
              </w:rPr>
            </w:pPr>
          </w:p>
          <w:p w14:paraId="3911732C">
            <w:pPr>
              <w:adjustRightInd w:val="0"/>
              <w:snapToGrid w:val="0"/>
              <w:jc w:val="left"/>
              <w:rPr>
                <w:rFonts w:ascii="宋体" w:hAnsi="宋体" w:cs="宋体"/>
                <w:color w:val="auto"/>
                <w:kern w:val="0"/>
                <w:szCs w:val="21"/>
              </w:rPr>
            </w:pPr>
          </w:p>
          <w:p w14:paraId="0299594E">
            <w:pPr>
              <w:adjustRightInd w:val="0"/>
              <w:snapToGrid w:val="0"/>
              <w:jc w:val="left"/>
              <w:rPr>
                <w:rFonts w:ascii="宋体" w:hAnsi="宋体" w:cs="宋体"/>
                <w:color w:val="auto"/>
                <w:kern w:val="0"/>
                <w:szCs w:val="21"/>
              </w:rPr>
            </w:pPr>
          </w:p>
          <w:p w14:paraId="6E0A9128">
            <w:pPr>
              <w:adjustRightInd w:val="0"/>
              <w:snapToGrid w:val="0"/>
              <w:jc w:val="left"/>
              <w:rPr>
                <w:rFonts w:ascii="宋体" w:hAnsi="宋体" w:cs="宋体"/>
                <w:color w:val="auto"/>
                <w:kern w:val="0"/>
                <w:szCs w:val="21"/>
              </w:rPr>
            </w:pPr>
          </w:p>
          <w:p w14:paraId="34209DF0">
            <w:pPr>
              <w:adjustRightInd w:val="0"/>
              <w:snapToGrid w:val="0"/>
              <w:jc w:val="left"/>
              <w:rPr>
                <w:rFonts w:ascii="宋体" w:hAnsi="宋体" w:cs="宋体"/>
                <w:color w:val="auto"/>
                <w:kern w:val="0"/>
                <w:szCs w:val="21"/>
              </w:rPr>
            </w:pPr>
          </w:p>
          <w:p w14:paraId="09A746DD">
            <w:pPr>
              <w:adjustRightInd w:val="0"/>
              <w:snapToGrid w:val="0"/>
              <w:jc w:val="left"/>
              <w:rPr>
                <w:rFonts w:ascii="宋体" w:hAnsi="宋体" w:cs="宋体"/>
                <w:color w:val="auto"/>
                <w:kern w:val="0"/>
                <w:szCs w:val="21"/>
              </w:rPr>
            </w:pPr>
          </w:p>
          <w:p w14:paraId="4034A07F">
            <w:pPr>
              <w:adjustRightInd w:val="0"/>
              <w:snapToGrid w:val="0"/>
              <w:jc w:val="left"/>
              <w:rPr>
                <w:rFonts w:ascii="宋体" w:hAnsi="宋体" w:cs="宋体"/>
                <w:color w:val="auto"/>
                <w:kern w:val="0"/>
                <w:szCs w:val="21"/>
              </w:rPr>
            </w:pPr>
          </w:p>
          <w:p w14:paraId="2BFF58EB">
            <w:pPr>
              <w:adjustRightInd w:val="0"/>
              <w:snapToGrid w:val="0"/>
              <w:jc w:val="left"/>
              <w:rPr>
                <w:rFonts w:ascii="宋体" w:hAnsi="宋体" w:cs="宋体"/>
                <w:color w:val="auto"/>
                <w:kern w:val="0"/>
                <w:szCs w:val="21"/>
              </w:rPr>
            </w:pPr>
          </w:p>
          <w:p w14:paraId="22A5BFED">
            <w:pPr>
              <w:adjustRightInd w:val="0"/>
              <w:snapToGrid w:val="0"/>
              <w:jc w:val="left"/>
              <w:rPr>
                <w:rFonts w:ascii="宋体" w:hAnsi="宋体" w:cs="宋体"/>
                <w:color w:val="auto"/>
                <w:kern w:val="0"/>
                <w:szCs w:val="21"/>
              </w:rPr>
            </w:pPr>
          </w:p>
          <w:p w14:paraId="1360A978">
            <w:pPr>
              <w:adjustRightInd w:val="0"/>
              <w:snapToGrid w:val="0"/>
              <w:jc w:val="left"/>
              <w:rPr>
                <w:rFonts w:ascii="宋体" w:hAnsi="宋体" w:cs="宋体"/>
                <w:color w:val="auto"/>
                <w:kern w:val="0"/>
                <w:szCs w:val="21"/>
              </w:rPr>
            </w:pPr>
          </w:p>
          <w:p w14:paraId="7D1E06B2">
            <w:pPr>
              <w:adjustRightInd w:val="0"/>
              <w:snapToGrid w:val="0"/>
              <w:jc w:val="left"/>
              <w:rPr>
                <w:rFonts w:ascii="宋体" w:hAnsi="宋体" w:cs="宋体"/>
                <w:color w:val="auto"/>
                <w:kern w:val="0"/>
                <w:szCs w:val="21"/>
              </w:rPr>
            </w:pPr>
          </w:p>
          <w:p w14:paraId="366571CE">
            <w:pPr>
              <w:adjustRightInd w:val="0"/>
              <w:snapToGrid w:val="0"/>
              <w:jc w:val="left"/>
              <w:rPr>
                <w:rFonts w:ascii="宋体" w:hAnsi="宋体" w:cs="宋体"/>
                <w:color w:val="auto"/>
                <w:kern w:val="0"/>
                <w:szCs w:val="21"/>
              </w:rPr>
            </w:pPr>
          </w:p>
          <w:p w14:paraId="7B76361C">
            <w:pPr>
              <w:adjustRightInd w:val="0"/>
              <w:snapToGrid w:val="0"/>
              <w:jc w:val="left"/>
              <w:rPr>
                <w:rFonts w:ascii="宋体" w:hAnsi="宋体" w:cs="宋体"/>
                <w:color w:val="auto"/>
                <w:kern w:val="0"/>
                <w:szCs w:val="21"/>
              </w:rPr>
            </w:pPr>
          </w:p>
        </w:tc>
      </w:tr>
    </w:tbl>
    <w:p w14:paraId="36528BDB">
      <w:pPr>
        <w:pStyle w:val="24"/>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46"/>
        <w:gridCol w:w="8735"/>
      </w:tblGrid>
      <w:tr w14:paraId="1C04B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49" w:hRule="atLeast"/>
          <w:jc w:val="center"/>
        </w:trPr>
        <w:tc>
          <w:tcPr>
            <w:tcW w:w="746" w:type="dxa"/>
            <w:tcMar>
              <w:left w:w="28" w:type="dxa"/>
              <w:right w:w="28" w:type="dxa"/>
            </w:tcMar>
            <w:vAlign w:val="center"/>
          </w:tcPr>
          <w:p w14:paraId="57A7EAD7">
            <w:pPr>
              <w:pStyle w:val="24"/>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施工</w:t>
            </w:r>
          </w:p>
          <w:p w14:paraId="621EF144">
            <w:pPr>
              <w:pStyle w:val="24"/>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期环</w:t>
            </w:r>
          </w:p>
          <w:p w14:paraId="362C6D0B">
            <w:pPr>
              <w:pStyle w:val="24"/>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境保</w:t>
            </w:r>
          </w:p>
          <w:p w14:paraId="11BC54FB">
            <w:pPr>
              <w:pStyle w:val="24"/>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护措</w:t>
            </w:r>
          </w:p>
          <w:p w14:paraId="69E3E198">
            <w:pPr>
              <w:pStyle w:val="24"/>
              <w:adjustRightInd w:val="0"/>
              <w:snapToGrid w:val="0"/>
              <w:spacing w:before="0" w:beforeAutospacing="0" w:after="0" w:afterAutospacing="0"/>
              <w:jc w:val="center"/>
              <w:rPr>
                <w:rFonts w:cs="宋体"/>
                <w:bCs/>
                <w:color w:val="auto"/>
                <w:kern w:val="2"/>
                <w:sz w:val="21"/>
                <w:szCs w:val="21"/>
              </w:rPr>
            </w:pPr>
            <w:r>
              <w:rPr>
                <w:rFonts w:hint="eastAsia" w:cs="宋体"/>
                <w:color w:val="auto"/>
                <w:kern w:val="2"/>
                <w:sz w:val="21"/>
                <w:szCs w:val="21"/>
              </w:rPr>
              <w:t>施</w:t>
            </w:r>
          </w:p>
        </w:tc>
        <w:tc>
          <w:tcPr>
            <w:tcW w:w="8162" w:type="dxa"/>
            <w:vAlign w:val="center"/>
          </w:tcPr>
          <w:p w14:paraId="16FFC7C8">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1.大气污染及防治措施</w:t>
            </w:r>
          </w:p>
          <w:p w14:paraId="09F773A1">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1.1施工扬尘</w:t>
            </w:r>
            <w:r>
              <w:rPr>
                <w:rFonts w:hint="eastAsia" w:ascii="Times New Roman" w:hAnsi="Times New Roman" w:eastAsia="宋体" w:cs="Times New Roman"/>
                <w:b/>
                <w:bCs/>
                <w:color w:val="auto"/>
                <w:sz w:val="24"/>
              </w:rPr>
              <w:t>及防治措施</w:t>
            </w:r>
          </w:p>
          <w:p w14:paraId="3AEBA59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w:t>
            </w:r>
            <w:r>
              <w:rPr>
                <w:rFonts w:ascii="Times New Roman" w:hAnsi="Times New Roman" w:eastAsia="宋体" w:cs="Times New Roman"/>
                <w:color w:val="auto"/>
                <w:kern w:val="0"/>
                <w:sz w:val="24"/>
              </w:rPr>
              <w:t>项目建设施工期大气污染物主要为施工场地的扬尘。施工期产生扬尘的作业主要有土地平整、开挖、</w:t>
            </w:r>
            <w:r>
              <w:rPr>
                <w:rFonts w:hint="eastAsia" w:cs="Times New Roman"/>
                <w:color w:val="auto"/>
                <w:kern w:val="0"/>
                <w:sz w:val="24"/>
                <w:lang w:val="en-US" w:eastAsia="zh-CN"/>
              </w:rPr>
              <w:t>土方</w:t>
            </w:r>
            <w:r>
              <w:rPr>
                <w:rFonts w:ascii="Times New Roman" w:hAnsi="Times New Roman" w:eastAsia="宋体" w:cs="Times New Roman"/>
                <w:color w:val="auto"/>
                <w:kern w:val="0"/>
                <w:sz w:val="24"/>
              </w:rPr>
              <w:t>回填、</w:t>
            </w:r>
            <w:r>
              <w:rPr>
                <w:rFonts w:hint="eastAsia" w:cs="Times New Roman"/>
                <w:color w:val="auto"/>
                <w:kern w:val="0"/>
                <w:sz w:val="24"/>
                <w:lang w:val="en-US" w:eastAsia="zh-CN"/>
              </w:rPr>
              <w:t>材料</w:t>
            </w:r>
            <w:r>
              <w:rPr>
                <w:rFonts w:ascii="Times New Roman" w:hAnsi="Times New Roman" w:eastAsia="宋体" w:cs="Times New Roman"/>
                <w:color w:val="auto"/>
                <w:kern w:val="0"/>
                <w:sz w:val="24"/>
              </w:rPr>
              <w:t>装卸等，如遇大风</w:t>
            </w:r>
            <w:r>
              <w:rPr>
                <w:rFonts w:hint="eastAsia" w:cs="Times New Roman"/>
                <w:color w:val="auto"/>
                <w:kern w:val="0"/>
                <w:sz w:val="24"/>
                <w:lang w:val="en-US" w:eastAsia="zh-CN"/>
              </w:rPr>
              <w:t>天气</w:t>
            </w:r>
            <w:r>
              <w:rPr>
                <w:rFonts w:ascii="Times New Roman" w:hAnsi="Times New Roman" w:eastAsia="宋体" w:cs="Times New Roman"/>
                <w:color w:val="auto"/>
                <w:kern w:val="0"/>
                <w:sz w:val="24"/>
              </w:rPr>
              <w:t>，施工扬尘将更严重。</w:t>
            </w:r>
          </w:p>
          <w:p w14:paraId="6E7CA17D">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ascii="Times New Roman" w:hAnsi="Times New Roman" w:eastAsia="宋体" w:cs="Times New Roman"/>
                <w:color w:val="auto"/>
                <w:kern w:val="0"/>
                <w:sz w:val="24"/>
              </w:rPr>
              <w:t>为</w:t>
            </w:r>
            <w:r>
              <w:rPr>
                <w:rFonts w:hint="eastAsia" w:cs="Times New Roman"/>
                <w:color w:val="auto"/>
                <w:kern w:val="0"/>
                <w:sz w:val="24"/>
                <w:lang w:val="en-US" w:eastAsia="zh-CN"/>
              </w:rPr>
              <w:t>降低</w:t>
            </w:r>
            <w:r>
              <w:rPr>
                <w:rFonts w:ascii="Times New Roman" w:hAnsi="Times New Roman" w:eastAsia="宋体" w:cs="Times New Roman"/>
                <w:color w:val="auto"/>
                <w:kern w:val="0"/>
                <w:sz w:val="24"/>
              </w:rPr>
              <w:t>施工扬尘对</w:t>
            </w:r>
            <w:r>
              <w:rPr>
                <w:rFonts w:hint="eastAsia" w:cs="Times New Roman"/>
                <w:color w:val="auto"/>
                <w:kern w:val="0"/>
                <w:sz w:val="24"/>
                <w:lang w:val="en-US" w:eastAsia="zh-CN"/>
              </w:rPr>
              <w:t>当地</w:t>
            </w:r>
            <w:r>
              <w:rPr>
                <w:rFonts w:ascii="Times New Roman" w:hAnsi="Times New Roman" w:eastAsia="宋体" w:cs="Times New Roman"/>
                <w:color w:val="auto"/>
                <w:kern w:val="0"/>
                <w:sz w:val="24"/>
              </w:rPr>
              <w:t>区域空气环境产生的不利影响，</w:t>
            </w:r>
            <w:r>
              <w:rPr>
                <w:rFonts w:hint="eastAsia" w:ascii="Times New Roman" w:hAnsi="Times New Roman" w:eastAsia="宋体" w:cs="Times New Roman"/>
                <w:color w:val="auto"/>
                <w:kern w:val="0"/>
                <w:sz w:val="24"/>
              </w:rPr>
              <w:t>施工单位应采取以下措施：施工工地全面落实“六个百分之百”（施工工地周边围挡、物料堆放覆盖、出入车辆冲洗、施工现场地面硬化、拆迁工地湿法作业、渣土车辆密闭运输）。</w:t>
            </w:r>
          </w:p>
          <w:p w14:paraId="33F6741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根据《新疆维吾尔自治区大气污染防治条例》第三十八条房屋建筑、市政基础设施建设和城市规划区内水利工程等可能产生扬尘污染活动的施工现场，施工单位应当采取下列防尘措施：</w:t>
            </w:r>
          </w:p>
          <w:p w14:paraId="627D451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①建设工程开工前，按照标准在施工现场周边设置围挡，并对围挡进行维护；</w:t>
            </w:r>
          </w:p>
          <w:p w14:paraId="7EE7247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②在施工现场出入口公示施工现场负责人、环保监督员、扬尘污染主要控制措施、举报电话等信息；</w:t>
            </w:r>
          </w:p>
          <w:p w14:paraId="630EAED3">
            <w:pPr>
              <w:pStyle w:val="56"/>
              <w:spacing w:line="360" w:lineRule="auto"/>
              <w:ind w:firstLine="48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③对施工现场内主要道路和物料堆放场地进行硬化，对其他裸露场地进行覆盖或者临时洒水降尘，对土方进行集中堆放，并采取覆盖或者密闭等措施；</w:t>
            </w:r>
          </w:p>
          <w:p w14:paraId="5FDD1516">
            <w:pPr>
              <w:pStyle w:val="56"/>
              <w:spacing w:line="360" w:lineRule="auto"/>
              <w:ind w:firstLine="48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④施工现场出口处应当设置车辆冲洗设施，施工车辆冲洗干净后方可上路行驶；</w:t>
            </w:r>
          </w:p>
          <w:p w14:paraId="7D2DE287">
            <w:pPr>
              <w:pStyle w:val="56"/>
              <w:spacing w:line="360" w:lineRule="auto"/>
              <w:ind w:firstLine="48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⑤施工过程中，及时覆盖破损路面，并采取洒水等措施防止扬尘污染；道路挖掘施工完成后应当及时修复路面；临时便道应当进行硬化处理，并定时洒水；</w:t>
            </w:r>
          </w:p>
          <w:p w14:paraId="09DD7FFE">
            <w:pPr>
              <w:pStyle w:val="56"/>
              <w:spacing w:line="360" w:lineRule="auto"/>
              <w:ind w:firstLine="48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⑥及时对施工现场进行清理和平整，不得从高处向下倾倒或者抛洒各类物料和建筑垃圾。</w:t>
            </w:r>
          </w:p>
          <w:p w14:paraId="0F549DA7">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1.2施工机械尾气及防治措施</w:t>
            </w:r>
          </w:p>
          <w:p w14:paraId="61A53C77">
            <w:pPr>
              <w:pStyle w:val="8"/>
              <w:spacing w:before="0" w:after="0" w:line="360" w:lineRule="auto"/>
              <w:ind w:right="0" w:firstLine="480" w:firstLineChars="200"/>
              <w:rPr>
                <w:rFonts w:ascii="Times New Roman" w:hAnsi="Times New Roman" w:eastAsia="宋体" w:cs="Times New Roman"/>
                <w:color w:val="auto"/>
                <w:kern w:val="0"/>
                <w:sz w:val="24"/>
                <w:szCs w:val="24"/>
                <w:lang w:val="en-US" w:eastAsia="zh-CN" w:bidi="ar-SA"/>
              </w:rPr>
            </w:pPr>
            <w:r>
              <w:rPr>
                <w:rFonts w:ascii="宋体" w:hAnsi="宋体" w:eastAsia="宋体" w:cs="宋体"/>
                <w:b w:val="0"/>
                <w:bCs w:val="0"/>
                <w:color w:val="000000"/>
                <w:sz w:val="24"/>
                <w:szCs w:val="24"/>
              </w:rPr>
              <w:t>施工单位应采用尾气排放符合国家规定标准的车辆和施工机械，确保其在运行时尾气达标排放，减少对环境空气的污染。</w:t>
            </w:r>
            <w:r>
              <w:rPr>
                <w:rFonts w:ascii="Times New Roman" w:hAnsi="Times New Roman" w:eastAsia="宋体" w:cs="Times New Roman"/>
                <w:color w:val="auto"/>
                <w:kern w:val="0"/>
                <w:sz w:val="24"/>
                <w:szCs w:val="24"/>
                <w:lang w:val="en-US" w:eastAsia="zh-CN" w:bidi="ar-SA"/>
              </w:rPr>
              <w:t>对燃柴油的大型运输车辆、推土机、挖掘机等要安装尾气净化装置，保证尾气达标排放；运</w:t>
            </w:r>
            <w:r>
              <w:rPr>
                <w:rFonts w:hint="eastAsia" w:ascii="Times New Roman" w:hAnsi="Times New Roman" w:eastAsia="宋体" w:cs="Times New Roman"/>
                <w:color w:val="auto"/>
                <w:kern w:val="0"/>
                <w:sz w:val="24"/>
                <w:szCs w:val="24"/>
                <w:lang w:val="en-US" w:eastAsia="zh-CN" w:bidi="ar-SA"/>
              </w:rPr>
              <w:t>输</w:t>
            </w:r>
            <w:r>
              <w:rPr>
                <w:rFonts w:ascii="Times New Roman" w:hAnsi="Times New Roman" w:eastAsia="宋体" w:cs="Times New Roman"/>
                <w:color w:val="auto"/>
                <w:kern w:val="0"/>
                <w:sz w:val="24"/>
                <w:szCs w:val="24"/>
                <w:lang w:val="en-US" w:eastAsia="zh-CN" w:bidi="ar-SA"/>
              </w:rPr>
              <w:t>车辆禁止超载、不得使用劣质燃料；对车辆的尾气排放进行监督管理，严格执行汽车排污监管办法</w:t>
            </w:r>
            <w:r>
              <w:rPr>
                <w:rFonts w:hint="eastAsia" w:ascii="Times New Roman" w:hAnsi="Times New Roman" w:eastAsia="宋体" w:cs="Times New Roman"/>
                <w:color w:val="auto"/>
                <w:kern w:val="0"/>
                <w:sz w:val="24"/>
                <w:szCs w:val="24"/>
                <w:lang w:val="en-US" w:eastAsia="zh-CN" w:bidi="ar-SA"/>
              </w:rPr>
              <w:t>。</w:t>
            </w:r>
          </w:p>
          <w:p w14:paraId="0603516B">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2.水污染及防治措施</w:t>
            </w:r>
          </w:p>
          <w:p w14:paraId="0EA95732">
            <w:pPr>
              <w:pStyle w:val="56"/>
              <w:spacing w:line="360" w:lineRule="auto"/>
              <w:ind w:firstLine="48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施工工地产生的废水主要为施工废水与施工人员生活污水。</w:t>
            </w:r>
          </w:p>
          <w:p w14:paraId="40A29914">
            <w:pPr>
              <w:pStyle w:val="56"/>
              <w:spacing w:line="360" w:lineRule="auto"/>
              <w:ind w:firstLine="48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施工废水主要</w:t>
            </w:r>
            <w:r>
              <w:rPr>
                <w:rFonts w:hint="eastAsia" w:cs="Times New Roman"/>
                <w:color w:val="auto"/>
                <w:kern w:val="0"/>
                <w:sz w:val="24"/>
                <w:szCs w:val="24"/>
                <w:lang w:val="en-US" w:eastAsia="zh-CN" w:bidi="ar-SA"/>
              </w:rPr>
              <w:t>为</w:t>
            </w:r>
            <w:r>
              <w:rPr>
                <w:rFonts w:hint="eastAsia" w:ascii="Times New Roman" w:hAnsi="Times New Roman" w:eastAsia="宋体" w:cs="Times New Roman"/>
                <w:color w:val="auto"/>
                <w:kern w:val="0"/>
                <w:sz w:val="24"/>
                <w:szCs w:val="24"/>
                <w:lang w:val="en-US" w:eastAsia="zh-CN" w:bidi="ar-SA"/>
              </w:rPr>
              <w:t>施工机械及运输车辆的清洗水，废水中主要污染物为</w:t>
            </w:r>
            <w:r>
              <w:rPr>
                <w:rFonts w:ascii="Times New Roman" w:hAnsi="Times New Roman" w:eastAsia="宋体" w:cs="Times New Roman"/>
                <w:color w:val="auto"/>
                <w:kern w:val="0"/>
                <w:sz w:val="24"/>
                <w:szCs w:val="24"/>
                <w:lang w:val="en-US" w:eastAsia="zh-CN" w:bidi="ar-SA"/>
              </w:rPr>
              <w:t>悬浮物和泥沙</w:t>
            </w:r>
            <w:r>
              <w:rPr>
                <w:rFonts w:hint="eastAsia" w:ascii="Times New Roman" w:hAnsi="Times New Roman" w:eastAsia="宋体" w:cs="Times New Roman"/>
                <w:color w:val="auto"/>
                <w:kern w:val="0"/>
                <w:sz w:val="24"/>
                <w:szCs w:val="24"/>
                <w:lang w:val="en-US" w:eastAsia="zh-CN" w:bidi="ar-SA"/>
              </w:rPr>
              <w:t>，施工废水经集中收集后排入临时废水沉淀池，经沉淀后全部回用于洒水降尘。</w:t>
            </w:r>
          </w:p>
          <w:p w14:paraId="004DD997">
            <w:pPr>
              <w:pStyle w:val="56"/>
              <w:spacing w:line="360" w:lineRule="auto"/>
              <w:ind w:firstLine="48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生活污水</w:t>
            </w:r>
            <w:r>
              <w:rPr>
                <w:rFonts w:hint="eastAsia" w:ascii="Times New Roman" w:hAnsi="Times New Roman" w:eastAsia="宋体" w:cs="Times New Roman"/>
                <w:color w:val="auto"/>
                <w:kern w:val="0"/>
                <w:sz w:val="24"/>
                <w:szCs w:val="24"/>
                <w:lang w:val="en-US" w:eastAsia="zh-CN" w:bidi="ar-SA"/>
              </w:rPr>
              <w:t>主要</w:t>
            </w:r>
            <w:r>
              <w:rPr>
                <w:rFonts w:ascii="Times New Roman" w:hAnsi="Times New Roman" w:eastAsia="宋体" w:cs="Times New Roman"/>
                <w:color w:val="auto"/>
                <w:kern w:val="0"/>
                <w:sz w:val="24"/>
                <w:szCs w:val="24"/>
                <w:lang w:val="en-US" w:eastAsia="zh-CN" w:bidi="ar-SA"/>
              </w:rPr>
              <w:t>来自施工人员排放的生活污水</w:t>
            </w:r>
            <w:r>
              <w:rPr>
                <w:rFonts w:hint="eastAsia" w:ascii="Times New Roman" w:hAnsi="Times New Roman" w:eastAsia="宋体" w:cs="Times New Roman"/>
                <w:color w:val="auto"/>
                <w:kern w:val="0"/>
                <w:sz w:val="24"/>
                <w:szCs w:val="24"/>
                <w:lang w:val="en-US" w:eastAsia="zh-CN" w:bidi="ar-SA"/>
              </w:rPr>
              <w:t>，施工人数以</w:t>
            </w:r>
            <w:r>
              <w:rPr>
                <w:rFonts w:hint="eastAsia" w:cs="Times New Roman"/>
                <w:color w:val="auto"/>
                <w:kern w:val="0"/>
                <w:sz w:val="24"/>
                <w:szCs w:val="24"/>
                <w:lang w:val="en-US" w:eastAsia="zh-CN" w:bidi="ar-SA"/>
              </w:rPr>
              <w:t>12</w:t>
            </w:r>
            <w:r>
              <w:rPr>
                <w:rFonts w:hint="eastAsia" w:ascii="Times New Roman" w:hAnsi="Times New Roman" w:eastAsia="宋体" w:cs="Times New Roman"/>
                <w:color w:val="auto"/>
                <w:kern w:val="0"/>
                <w:sz w:val="24"/>
                <w:szCs w:val="24"/>
                <w:lang w:val="en-US" w:eastAsia="zh-CN" w:bidi="ar-SA"/>
              </w:rPr>
              <w:t>人计，施工生活用水按</w:t>
            </w:r>
            <w:r>
              <w:rPr>
                <w:rFonts w:hint="eastAsia" w:cs="Times New Roman"/>
                <w:color w:val="auto"/>
                <w:kern w:val="0"/>
                <w:sz w:val="24"/>
                <w:szCs w:val="24"/>
                <w:lang w:val="en-US" w:eastAsia="zh-CN" w:bidi="ar-SA"/>
              </w:rPr>
              <w:t>6</w:t>
            </w:r>
            <w:r>
              <w:rPr>
                <w:rFonts w:hint="eastAsia" w:ascii="Times New Roman" w:hAnsi="Times New Roman" w:eastAsia="宋体" w:cs="Times New Roman"/>
                <w:color w:val="auto"/>
                <w:kern w:val="0"/>
                <w:sz w:val="24"/>
                <w:szCs w:val="24"/>
                <w:lang w:val="en-US" w:eastAsia="zh-CN" w:bidi="ar-SA"/>
              </w:rPr>
              <w:t>0L/人·d计，施工期</w:t>
            </w:r>
            <w:r>
              <w:rPr>
                <w:rFonts w:hint="eastAsia" w:cs="Times New Roman"/>
                <w:color w:val="auto"/>
                <w:kern w:val="0"/>
                <w:sz w:val="24"/>
                <w:szCs w:val="24"/>
                <w:lang w:val="en-US" w:eastAsia="zh-CN" w:bidi="ar-SA"/>
              </w:rPr>
              <w:t>3</w:t>
            </w:r>
            <w:r>
              <w:rPr>
                <w:rFonts w:hint="eastAsia" w:ascii="Times New Roman" w:hAnsi="Times New Roman" w:eastAsia="宋体" w:cs="Times New Roman"/>
                <w:color w:val="auto"/>
                <w:kern w:val="0"/>
                <w:sz w:val="24"/>
                <w:szCs w:val="24"/>
                <w:lang w:val="en-US" w:eastAsia="zh-CN" w:bidi="ar-SA"/>
              </w:rPr>
              <w:t>个月，用水总量为</w:t>
            </w:r>
            <w:r>
              <w:rPr>
                <w:rFonts w:hint="eastAsia" w:cs="Times New Roman"/>
                <w:color w:val="auto"/>
                <w:kern w:val="0"/>
                <w:sz w:val="24"/>
                <w:szCs w:val="24"/>
                <w:lang w:val="en-US" w:eastAsia="zh-CN" w:bidi="ar-SA"/>
              </w:rPr>
              <w:t>64.8</w:t>
            </w:r>
            <w:r>
              <w:rPr>
                <w:rFonts w:hint="eastAsia" w:ascii="Times New Roman" w:hAnsi="Times New Roman" w:eastAsia="宋体" w:cs="Times New Roman"/>
                <w:color w:val="auto"/>
                <w:kern w:val="0"/>
                <w:sz w:val="24"/>
                <w:szCs w:val="24"/>
                <w:lang w:val="en-US" w:eastAsia="zh-CN" w:bidi="ar-SA"/>
              </w:rPr>
              <w:t>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，施工生活污水的排放量按施工生活用水量80%计算，施工期生活污水的排放量为</w:t>
            </w:r>
            <w:r>
              <w:rPr>
                <w:rFonts w:hint="eastAsia" w:cs="Times New Roman"/>
                <w:color w:val="auto"/>
                <w:kern w:val="0"/>
                <w:sz w:val="24"/>
                <w:szCs w:val="24"/>
                <w:lang w:val="en-US" w:eastAsia="zh-CN" w:bidi="ar-SA"/>
              </w:rPr>
              <w:t>51.84</w:t>
            </w:r>
            <w:r>
              <w:rPr>
                <w:rFonts w:hint="eastAsia" w:ascii="Times New Roman" w:hAnsi="Times New Roman" w:eastAsia="宋体" w:cs="Times New Roman"/>
                <w:color w:val="auto"/>
                <w:kern w:val="0"/>
                <w:sz w:val="24"/>
                <w:szCs w:val="24"/>
                <w:lang w:val="en-US" w:eastAsia="zh-CN" w:bidi="ar-SA"/>
              </w:rPr>
              <w:t>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，本项目</w:t>
            </w:r>
            <w:r>
              <w:rPr>
                <w:rFonts w:hint="eastAsia" w:cs="Times New Roman"/>
                <w:color w:val="auto"/>
                <w:kern w:val="0"/>
                <w:sz w:val="24"/>
                <w:szCs w:val="24"/>
                <w:lang w:val="en-US" w:eastAsia="zh-CN" w:bidi="ar-SA"/>
              </w:rPr>
              <w:t>施工期产生的</w:t>
            </w:r>
            <w:r>
              <w:rPr>
                <w:rFonts w:hint="eastAsia" w:ascii="Times New Roman" w:hAnsi="Times New Roman" w:eastAsia="宋体" w:cs="Times New Roman"/>
                <w:color w:val="auto"/>
                <w:kern w:val="0"/>
                <w:sz w:val="24"/>
                <w:szCs w:val="24"/>
                <w:lang w:val="en-US" w:eastAsia="zh-CN" w:bidi="ar-SA"/>
              </w:rPr>
              <w:t>生活污水经</w:t>
            </w:r>
            <w:r>
              <w:rPr>
                <w:rFonts w:hint="eastAsia" w:cs="Times New Roman"/>
                <w:color w:val="auto"/>
                <w:kern w:val="0"/>
                <w:sz w:val="24"/>
                <w:szCs w:val="24"/>
                <w:lang w:val="en-US" w:eastAsia="zh-CN" w:bidi="ar-SA"/>
              </w:rPr>
              <w:t>地埋式一体化污水处理设施（运营期使用的生活污水处理设施提前安装）处理后用于洒水降尘，施工期生活污水</w:t>
            </w:r>
            <w:r>
              <w:rPr>
                <w:rFonts w:hint="eastAsia" w:ascii="Times New Roman" w:hAnsi="Times New Roman" w:eastAsia="宋体" w:cs="Times New Roman"/>
                <w:color w:val="auto"/>
                <w:kern w:val="0"/>
                <w:sz w:val="24"/>
                <w:szCs w:val="24"/>
                <w:lang w:val="en-US" w:eastAsia="zh-CN" w:bidi="ar-SA"/>
              </w:rPr>
              <w:t>排放标准《农村生活污水处理排放标准（发布稿）》（DB65/4275-2019）表2中C级排放浓度限值。</w:t>
            </w:r>
          </w:p>
          <w:p w14:paraId="61FCEBB7">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3.噪声污染及防治措施</w:t>
            </w:r>
          </w:p>
          <w:p w14:paraId="3241D629">
            <w:pPr>
              <w:pStyle w:val="57"/>
              <w:spacing w:line="360" w:lineRule="auto"/>
              <w:ind w:firstLine="480" w:firstLineChars="200"/>
              <w:rPr>
                <w:rFonts w:ascii="Times New Roman" w:hAnsi="Times New Roman" w:eastAsia="宋体" w:cs="Times New Roman"/>
                <w:b w:val="0"/>
                <w:color w:val="auto"/>
                <w:kern w:val="0"/>
                <w:sz w:val="24"/>
                <w:szCs w:val="24"/>
                <w:lang w:val="en-US" w:eastAsia="zh-CN" w:bidi="ar-SA"/>
              </w:rPr>
            </w:pPr>
            <w:r>
              <w:rPr>
                <w:rFonts w:hint="eastAsia" w:cs="Times New Roman"/>
                <w:b w:val="0"/>
                <w:color w:val="auto"/>
                <w:kern w:val="0"/>
                <w:sz w:val="24"/>
                <w:szCs w:val="24"/>
                <w:lang w:val="en-US" w:eastAsia="zh-CN" w:bidi="ar-SA"/>
              </w:rPr>
              <w:t>项目施工均在地面，</w:t>
            </w:r>
            <w:r>
              <w:rPr>
                <w:rFonts w:ascii="Times New Roman" w:hAnsi="Times New Roman" w:eastAsia="宋体" w:cs="Times New Roman"/>
                <w:b w:val="0"/>
                <w:color w:val="auto"/>
                <w:kern w:val="0"/>
                <w:sz w:val="24"/>
                <w:szCs w:val="24"/>
                <w:lang w:val="en-US" w:eastAsia="zh-CN" w:bidi="ar-SA"/>
              </w:rPr>
              <w:t>为减轻施工噪声的环境影响</w:t>
            </w:r>
            <w:r>
              <w:rPr>
                <w:rFonts w:hint="eastAsia" w:cs="Times New Roman"/>
                <w:b w:val="0"/>
                <w:color w:val="auto"/>
                <w:kern w:val="0"/>
                <w:sz w:val="24"/>
                <w:szCs w:val="24"/>
                <w:lang w:val="en-US" w:eastAsia="zh-CN" w:bidi="ar-SA"/>
              </w:rPr>
              <w:t>，</w:t>
            </w:r>
            <w:r>
              <w:rPr>
                <w:rFonts w:ascii="Times New Roman" w:hAnsi="Times New Roman" w:eastAsia="宋体" w:cs="Times New Roman"/>
                <w:b w:val="0"/>
                <w:color w:val="auto"/>
                <w:kern w:val="0"/>
                <w:sz w:val="24"/>
                <w:szCs w:val="24"/>
                <w:lang w:val="en-US" w:eastAsia="zh-CN" w:bidi="ar-SA"/>
              </w:rPr>
              <w:t>建议采取的措施如下：</w:t>
            </w:r>
          </w:p>
          <w:p w14:paraId="7014F3F9">
            <w:pPr>
              <w:pStyle w:val="26"/>
              <w:spacing w:after="0" w:line="360" w:lineRule="auto"/>
              <w:ind w:left="0" w:leftChars="0" w:firstLine="480"/>
              <w:rPr>
                <w:rFonts w:ascii="Times New Roman" w:hAnsi="Times New Roman" w:eastAsia="宋体" w:cs="Times New Roman"/>
                <w:b w:val="0"/>
                <w:color w:val="auto"/>
                <w:kern w:val="0"/>
                <w:sz w:val="24"/>
                <w:szCs w:val="24"/>
                <w:lang w:val="en-US" w:eastAsia="zh-CN" w:bidi="ar-SA"/>
              </w:rPr>
            </w:pPr>
            <w:r>
              <w:rPr>
                <w:rFonts w:ascii="Times New Roman" w:hAnsi="Times New Roman" w:eastAsia="宋体" w:cs="Times New Roman"/>
                <w:b w:val="0"/>
                <w:color w:val="auto"/>
                <w:kern w:val="0"/>
                <w:sz w:val="24"/>
                <w:szCs w:val="24"/>
                <w:lang w:val="en-US" w:eastAsia="zh-CN" w:bidi="ar-SA"/>
              </w:rPr>
              <w:t>（1）设备选型上尽量采用低噪声</w:t>
            </w:r>
            <w:r>
              <w:rPr>
                <w:rFonts w:hint="eastAsia" w:cs="Times New Roman"/>
                <w:b w:val="0"/>
                <w:color w:val="auto"/>
                <w:kern w:val="0"/>
                <w:sz w:val="24"/>
                <w:szCs w:val="24"/>
                <w:lang w:val="en-US" w:eastAsia="zh-CN" w:bidi="ar-SA"/>
              </w:rPr>
              <w:t>施工</w:t>
            </w:r>
            <w:r>
              <w:rPr>
                <w:rFonts w:ascii="Times New Roman" w:hAnsi="Times New Roman" w:eastAsia="宋体" w:cs="Times New Roman"/>
                <w:b w:val="0"/>
                <w:color w:val="auto"/>
                <w:kern w:val="0"/>
                <w:sz w:val="24"/>
                <w:szCs w:val="24"/>
                <w:lang w:val="en-US" w:eastAsia="zh-CN" w:bidi="ar-SA"/>
              </w:rPr>
              <w:t>设备，</w:t>
            </w:r>
            <w:r>
              <w:rPr>
                <w:rFonts w:hint="default" w:ascii="Times New Roman" w:hAnsi="Times New Roman" w:eastAsia="宋体" w:cs="Times New Roman"/>
                <w:color w:val="auto"/>
                <w:spacing w:val="0"/>
                <w:kern w:val="0"/>
                <w:sz w:val="24"/>
                <w:highlight w:val="none"/>
                <w:lang w:eastAsia="zh-CN"/>
              </w:rPr>
              <w:t>对各施工环节中噪声较为突出且又难以对声源进行降噪的设备装置，应采取临时围障措施，以达到降噪效果</w:t>
            </w:r>
            <w:r>
              <w:rPr>
                <w:rFonts w:ascii="Times New Roman" w:hAnsi="Times New Roman" w:eastAsia="宋体" w:cs="Times New Roman"/>
                <w:b w:val="0"/>
                <w:color w:val="auto"/>
                <w:kern w:val="0"/>
                <w:sz w:val="24"/>
                <w:szCs w:val="24"/>
                <w:lang w:val="en-US" w:eastAsia="zh-CN" w:bidi="ar-SA"/>
              </w:rPr>
              <w:t>。</w:t>
            </w:r>
          </w:p>
          <w:p w14:paraId="676BB6B9">
            <w:pPr>
              <w:pStyle w:val="26"/>
              <w:spacing w:after="0" w:line="360" w:lineRule="auto"/>
              <w:ind w:left="0" w:leftChars="0" w:firstLine="480"/>
              <w:rPr>
                <w:rFonts w:ascii="Times New Roman" w:hAnsi="Times New Roman" w:eastAsia="宋体" w:cs="Times New Roman"/>
                <w:b w:val="0"/>
                <w:color w:val="auto"/>
                <w:kern w:val="0"/>
                <w:sz w:val="24"/>
                <w:szCs w:val="24"/>
                <w:lang w:val="en-US" w:eastAsia="zh-CN" w:bidi="ar-SA"/>
              </w:rPr>
            </w:pPr>
            <w:r>
              <w:rPr>
                <w:rFonts w:ascii="Times New Roman" w:hAnsi="Times New Roman" w:eastAsia="宋体" w:cs="Times New Roman"/>
                <w:b w:val="0"/>
                <w:color w:val="auto"/>
                <w:kern w:val="0"/>
                <w:sz w:val="24"/>
                <w:szCs w:val="24"/>
                <w:lang w:val="en-US" w:eastAsia="zh-CN" w:bidi="ar-SA"/>
              </w:rPr>
              <w:t>（2）在施工作业中必须合理安排各类施工机械的工作时间，</w:t>
            </w:r>
            <w:r>
              <w:rPr>
                <w:rFonts w:hint="default" w:ascii="Times New Roman" w:hAnsi="Times New Roman" w:eastAsia="宋体" w:cs="Times New Roman"/>
                <w:color w:val="auto"/>
                <w:spacing w:val="0"/>
                <w:kern w:val="0"/>
                <w:sz w:val="24"/>
                <w:highlight w:val="none"/>
                <w:lang w:eastAsia="zh-CN"/>
              </w:rPr>
              <w:t>夜间不得进行高噪声施工作业</w:t>
            </w:r>
            <w:r>
              <w:rPr>
                <w:rFonts w:ascii="Times New Roman" w:hAnsi="Times New Roman" w:eastAsia="宋体" w:cs="Times New Roman"/>
                <w:b w:val="0"/>
                <w:color w:val="auto"/>
                <w:kern w:val="0"/>
                <w:sz w:val="24"/>
                <w:szCs w:val="24"/>
                <w:lang w:val="en-US" w:eastAsia="zh-CN" w:bidi="ar-SA"/>
              </w:rPr>
              <w:t>。</w:t>
            </w:r>
          </w:p>
          <w:p w14:paraId="0C537D4D">
            <w:pPr>
              <w:pStyle w:val="26"/>
              <w:spacing w:after="0" w:line="360" w:lineRule="auto"/>
              <w:ind w:left="0" w:leftChars="0" w:firstLine="48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（3）物料运输车辆行驶</w:t>
            </w:r>
            <w:r>
              <w:rPr>
                <w:rFonts w:hint="eastAsia" w:cs="Times New Roman"/>
                <w:color w:val="auto"/>
                <w:kern w:val="0"/>
                <w:sz w:val="24"/>
                <w:szCs w:val="24"/>
                <w:lang w:val="en-US" w:eastAsia="zh-CN" w:bidi="ar-SA"/>
              </w:rPr>
              <w:t>时</w:t>
            </w:r>
            <w:r>
              <w:rPr>
                <w:rFonts w:ascii="Times New Roman" w:hAnsi="Times New Roman" w:eastAsia="宋体" w:cs="Times New Roman"/>
                <w:color w:val="auto"/>
                <w:kern w:val="0"/>
                <w:sz w:val="24"/>
                <w:szCs w:val="24"/>
                <w:lang w:val="en-US" w:eastAsia="zh-CN" w:bidi="ar-SA"/>
              </w:rPr>
              <w:t>，尽可能避开有敏感点和</w:t>
            </w:r>
            <w:r>
              <w:rPr>
                <w:rFonts w:hint="eastAsia" w:ascii="Times New Roman" w:hAnsi="Times New Roman" w:eastAsia="宋体" w:cs="Times New Roman"/>
                <w:color w:val="auto"/>
                <w:kern w:val="0"/>
                <w:sz w:val="24"/>
                <w:szCs w:val="24"/>
                <w:lang w:val="en-US" w:eastAsia="zh-CN" w:bidi="ar-SA"/>
              </w:rPr>
              <w:t>车辆</w:t>
            </w:r>
            <w:r>
              <w:rPr>
                <w:rFonts w:ascii="Times New Roman" w:hAnsi="Times New Roman" w:eastAsia="宋体" w:cs="Times New Roman"/>
                <w:color w:val="auto"/>
                <w:kern w:val="0"/>
                <w:sz w:val="24"/>
                <w:szCs w:val="24"/>
                <w:lang w:val="en-US" w:eastAsia="zh-CN" w:bidi="ar-SA"/>
              </w:rPr>
              <w:t>拥挤路段</w:t>
            </w:r>
            <w:r>
              <w:rPr>
                <w:rFonts w:hint="eastAsia"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在不能避开的敏感地区，应减速行驶</w:t>
            </w:r>
            <w:r>
              <w:rPr>
                <w:rFonts w:hint="eastAsia" w:cs="Times New Roman"/>
                <w:color w:val="auto"/>
                <w:kern w:val="0"/>
                <w:sz w:val="24"/>
                <w:szCs w:val="24"/>
                <w:lang w:val="en-US" w:eastAsia="zh-CN" w:bidi="ar-SA"/>
              </w:rPr>
              <w:t>，尽量减少</w:t>
            </w:r>
            <w:r>
              <w:rPr>
                <w:rFonts w:ascii="Times New Roman" w:hAnsi="Times New Roman" w:eastAsia="宋体" w:cs="Times New Roman"/>
                <w:color w:val="auto"/>
                <w:kern w:val="0"/>
                <w:sz w:val="24"/>
                <w:szCs w:val="24"/>
                <w:lang w:val="en-US" w:eastAsia="zh-CN" w:bidi="ar-SA"/>
              </w:rPr>
              <w:t>鸣笛</w:t>
            </w:r>
            <w:r>
              <w:rPr>
                <w:rFonts w:hint="eastAsia" w:cs="Times New Roman"/>
                <w:color w:val="auto"/>
                <w:kern w:val="0"/>
                <w:sz w:val="24"/>
                <w:szCs w:val="24"/>
                <w:lang w:val="en-US" w:eastAsia="zh-CN" w:bidi="ar-SA"/>
              </w:rPr>
              <w:t>，以降低噪声影响</w:t>
            </w:r>
            <w:r>
              <w:rPr>
                <w:rFonts w:ascii="Times New Roman" w:hAnsi="Times New Roman" w:eastAsia="宋体" w:cs="Times New Roman"/>
                <w:color w:val="auto"/>
                <w:kern w:val="0"/>
                <w:sz w:val="24"/>
                <w:szCs w:val="24"/>
                <w:lang w:val="en-US" w:eastAsia="zh-CN" w:bidi="ar-SA"/>
              </w:rPr>
              <w:t>。</w:t>
            </w:r>
          </w:p>
          <w:p w14:paraId="5B92BEEF">
            <w:pPr>
              <w:pStyle w:val="26"/>
              <w:spacing w:after="0" w:line="360" w:lineRule="auto"/>
              <w:ind w:left="0" w:leftChars="0" w:firstLine="48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（4）做好</w:t>
            </w:r>
            <w:r>
              <w:rPr>
                <w:rFonts w:hint="eastAsia" w:cs="Times New Roman"/>
                <w:color w:val="auto"/>
                <w:kern w:val="0"/>
                <w:sz w:val="24"/>
                <w:szCs w:val="24"/>
                <w:lang w:val="en-US" w:eastAsia="zh-CN" w:bidi="ar-SA"/>
              </w:rPr>
              <w:t>施工人员</w:t>
            </w:r>
            <w:r>
              <w:rPr>
                <w:rFonts w:ascii="Times New Roman" w:hAnsi="Times New Roman" w:eastAsia="宋体" w:cs="Times New Roman"/>
                <w:color w:val="auto"/>
                <w:kern w:val="0"/>
                <w:sz w:val="24"/>
                <w:szCs w:val="24"/>
                <w:lang w:val="en-US" w:eastAsia="zh-CN" w:bidi="ar-SA"/>
              </w:rPr>
              <w:t>劳动保护工作，为强噪声源施工机械操作人员配备必要的防护耳塞或耳罩。</w:t>
            </w:r>
          </w:p>
          <w:p w14:paraId="303E8157">
            <w:pPr>
              <w:pStyle w:val="56"/>
              <w:spacing w:line="360" w:lineRule="auto"/>
              <w:ind w:firstLine="480" w:firstLineChars="20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本项目施工期在采取上述治理及控制措施后，各类机械设备的施工噪声能从影响程度、影响时间及影响强度等方面得以一定程度的削减，噪声属无残留污染，施工结束噪声污染也随之结束，周围声环境即可恢复至现状水平。</w:t>
            </w:r>
          </w:p>
          <w:p w14:paraId="3317220C">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4.固体废物防治污染措施</w:t>
            </w:r>
          </w:p>
          <w:p w14:paraId="600C2B8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施工期的固废主要有施工人员产生的生活垃圾和各种建筑垃圾等。</w:t>
            </w:r>
          </w:p>
          <w:p w14:paraId="604A102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生活垃圾：生活垃圾堆放点应定期清洁，同时场区应配备固体废弃物清扫、收集工具和垃圾桶等，</w:t>
            </w:r>
            <w:r>
              <w:rPr>
                <w:rFonts w:hint="eastAsia" w:cs="Times New Roman"/>
                <w:color w:val="auto"/>
                <w:kern w:val="0"/>
                <w:sz w:val="24"/>
                <w:lang w:val="en-US" w:eastAsia="zh-CN"/>
              </w:rPr>
              <w:t>集中</w:t>
            </w:r>
            <w:r>
              <w:rPr>
                <w:rFonts w:hint="eastAsia" w:ascii="Times New Roman" w:hAnsi="Times New Roman" w:eastAsia="宋体" w:cs="Times New Roman"/>
                <w:color w:val="auto"/>
                <w:kern w:val="0"/>
                <w:sz w:val="24"/>
              </w:rPr>
              <w:t>收集后由</w:t>
            </w:r>
            <w:r>
              <w:rPr>
                <w:rFonts w:hint="eastAsia" w:cs="Times New Roman"/>
                <w:color w:val="auto"/>
                <w:kern w:val="0"/>
                <w:sz w:val="24"/>
                <w:lang w:val="en-US" w:eastAsia="zh-CN"/>
              </w:rPr>
              <w:t>施工单位统一清运</w:t>
            </w:r>
            <w:r>
              <w:rPr>
                <w:rFonts w:hint="eastAsia" w:ascii="Times New Roman" w:hAnsi="Times New Roman" w:eastAsia="宋体" w:cs="Times New Roman"/>
                <w:color w:val="auto"/>
                <w:kern w:val="0"/>
                <w:sz w:val="24"/>
              </w:rPr>
              <w:t>，保障施工现场环境。</w:t>
            </w:r>
          </w:p>
          <w:p w14:paraId="7215DC93">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建筑垃圾：能回收的应尽可能回收利用，不可回收利用的统一运送至指定的建筑垃圾填埋场填埋处理。</w:t>
            </w:r>
          </w:p>
          <w:p w14:paraId="147F549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color w:val="auto"/>
                <w:sz w:val="24"/>
                <w:szCs w:val="32"/>
                <w:highlight w:val="none"/>
              </w:rPr>
              <w:t>施工区作业结束后，应及</w:t>
            </w:r>
            <w:r>
              <w:rPr>
                <w:color w:val="auto"/>
                <w:sz w:val="24"/>
                <w:highlight w:val="none"/>
              </w:rPr>
              <w:t>时、全面地进行清场作业，做到施工区内不遗留</w:t>
            </w:r>
            <w:r>
              <w:rPr>
                <w:rFonts w:hint="eastAsia"/>
                <w:color w:val="auto"/>
                <w:sz w:val="24"/>
                <w:highlight w:val="none"/>
                <w:lang w:val="en-US" w:eastAsia="zh-CN"/>
              </w:rPr>
              <w:t>各类</w:t>
            </w:r>
            <w:r>
              <w:rPr>
                <w:color w:val="auto"/>
                <w:sz w:val="24"/>
                <w:highlight w:val="none"/>
              </w:rPr>
              <w:t>垃圾。</w:t>
            </w:r>
          </w:p>
          <w:p w14:paraId="782694D2">
            <w:pPr>
              <w:spacing w:line="360" w:lineRule="auto"/>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5</w:t>
            </w:r>
            <w:r>
              <w:rPr>
                <w:rFonts w:hint="eastAsia" w:ascii="Times New Roman" w:hAnsi="Times New Roman" w:eastAsia="宋体" w:cs="Times New Roman"/>
                <w:b/>
                <w:bCs/>
                <w:color w:val="auto"/>
                <w:sz w:val="24"/>
              </w:rPr>
              <w:t>.</w:t>
            </w:r>
            <w:r>
              <w:rPr>
                <w:rFonts w:hint="eastAsia" w:ascii="Times New Roman" w:hAnsi="Times New Roman" w:eastAsia="宋体" w:cs="Times New Roman"/>
                <w:b/>
                <w:bCs/>
                <w:color w:val="auto"/>
                <w:sz w:val="24"/>
                <w:lang w:val="en-US" w:eastAsia="zh-CN"/>
              </w:rPr>
              <w:t>工程占地影响及治理措施</w:t>
            </w:r>
          </w:p>
          <w:p w14:paraId="2B1A4870">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本项目占地为</w:t>
            </w:r>
            <w:r>
              <w:rPr>
                <w:rFonts w:hint="eastAsia" w:ascii="Times New Roman" w:hAnsi="Times New Roman" w:eastAsia="宋体" w:cs="Times New Roman"/>
                <w:color w:val="auto"/>
                <w:kern w:val="0"/>
                <w:sz w:val="24"/>
                <w:highlight w:val="none"/>
                <w:lang w:val="en-US" w:eastAsia="zh-CN"/>
              </w:rPr>
              <w:t>临时占地</w:t>
            </w:r>
            <w:r>
              <w:rPr>
                <w:rFonts w:hint="eastAsia" w:ascii="Times New Roman" w:hAnsi="Times New Roman" w:eastAsia="宋体" w:cs="Times New Roman"/>
                <w:color w:val="auto"/>
                <w:kern w:val="0"/>
                <w:sz w:val="24"/>
                <w:lang w:val="en-US" w:eastAsia="zh-CN"/>
              </w:rPr>
              <w:t>，项目区域地势开阔，地形平坦微向西南倾斜。项目不占用基本农田，且项目区内地表无常年水流，也未见地下水出露。</w:t>
            </w:r>
          </w:p>
          <w:p w14:paraId="7FB90584">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szCs w:val="24"/>
                <w:lang w:val="en-US" w:eastAsia="zh-CN"/>
              </w:rPr>
              <w:t>本项目临时工程造成的压占必将破坏原有植被生长，项目区及周边自然植被覆盖度约12%，主要植被为草本植物</w:t>
            </w:r>
            <w:r>
              <w:rPr>
                <w:rFonts w:hint="eastAsia" w:ascii="Times New Roman" w:hAnsi="Times New Roman" w:eastAsia="宋体" w:cs="Times New Roman"/>
                <w:color w:val="auto"/>
                <w:kern w:val="0"/>
                <w:sz w:val="24"/>
                <w:szCs w:val="24"/>
                <w:highlight w:val="none"/>
                <w:lang w:val="en-US" w:eastAsia="zh-CN" w:bidi="ar-SA"/>
              </w:rPr>
              <w:t>，主要物种</w:t>
            </w:r>
            <w:r>
              <w:rPr>
                <w:rFonts w:hint="eastAsia" w:ascii="Times New Roman" w:hAnsi="Times New Roman" w:eastAsia="宋体" w:cs="Times New Roman"/>
                <w:color w:val="auto"/>
                <w:kern w:val="0"/>
                <w:sz w:val="24"/>
                <w:szCs w:val="24"/>
                <w:lang w:val="en-US" w:eastAsia="zh-CN"/>
              </w:rPr>
              <w:t>有：伊犁绢蒿、叉手蓬、猪手菜、木地肤，粉苞苣。</w:t>
            </w:r>
            <w:r>
              <w:rPr>
                <w:rFonts w:hint="default" w:ascii="Times New Roman" w:hAnsi="Times New Roman" w:eastAsia="宋体" w:cs="Times New Roman"/>
                <w:color w:val="auto"/>
                <w:kern w:val="0"/>
                <w:sz w:val="24"/>
                <w:szCs w:val="24"/>
                <w:lang w:val="en-US" w:eastAsia="zh-CN"/>
              </w:rPr>
              <w:t>对照有关资料和经验公式计算（主要参考</w:t>
            </w:r>
            <w:r>
              <w:rPr>
                <w:rFonts w:hint="eastAsia" w:ascii="Times New Roman" w:hAnsi="Times New Roman" w:eastAsia="宋体" w:cs="Times New Roman"/>
                <w:color w:val="auto"/>
                <w:kern w:val="0"/>
                <w:sz w:val="24"/>
                <w:szCs w:val="24"/>
                <w:lang w:val="en-US" w:eastAsia="zh-CN"/>
              </w:rPr>
              <w:t>《环境影响评价技术导则 非污染生态影响》</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严重荒漠化为0.9~0.0t/</w:t>
            </w:r>
            <w:r>
              <w:rPr>
                <w:rFonts w:hint="default" w:ascii="Times New Roman" w:hAnsi="Times New Roman" w:eastAsia="宋体" w:cs="Times New Roman"/>
                <w:color w:val="auto"/>
                <w:kern w:val="0"/>
                <w:sz w:val="24"/>
                <w:szCs w:val="24"/>
                <w:lang w:val="en-US" w:eastAsia="zh-CN"/>
              </w:rPr>
              <w:t>hm</w:t>
            </w:r>
            <w:r>
              <w:rPr>
                <w:rFonts w:hint="default" w:ascii="Times New Roman" w:hAnsi="Times New Roman" w:eastAsia="宋体" w:cs="Times New Roman"/>
                <w:color w:val="auto"/>
                <w:kern w:val="0"/>
                <w:sz w:val="24"/>
                <w:szCs w:val="24"/>
                <w:vertAlign w:val="superscript"/>
                <w:lang w:val="en-US" w:eastAsia="zh-CN"/>
              </w:rPr>
              <w:t>2</w:t>
            </w:r>
            <w:r>
              <w:rPr>
                <w:rFonts w:hint="eastAsia" w:ascii="Times New Roman" w:hAnsi="Times New Roman" w:eastAsia="宋体" w:cs="Times New Roman"/>
                <w:color w:val="auto"/>
                <w:kern w:val="0"/>
                <w:sz w:val="24"/>
                <w:szCs w:val="24"/>
                <w:lang w:val="en-US" w:eastAsia="zh-CN"/>
              </w:rPr>
              <w:t>.a，</w:t>
            </w:r>
            <w:r>
              <w:rPr>
                <w:rFonts w:hint="default" w:ascii="Times New Roman" w:hAnsi="Times New Roman" w:eastAsia="宋体" w:cs="Times New Roman"/>
                <w:color w:val="auto"/>
                <w:kern w:val="0"/>
                <w:sz w:val="24"/>
                <w:szCs w:val="24"/>
                <w:lang w:val="en-US" w:eastAsia="zh-CN"/>
              </w:rPr>
              <w:t>结合所在区域实际</w:t>
            </w:r>
            <w:r>
              <w:rPr>
                <w:rFonts w:hint="eastAsia" w:ascii="Times New Roman" w:hAnsi="Times New Roman" w:eastAsia="宋体" w:cs="Times New Roman"/>
                <w:color w:val="auto"/>
                <w:kern w:val="0"/>
                <w:sz w:val="24"/>
                <w:szCs w:val="24"/>
                <w:lang w:val="en-US" w:eastAsia="zh-CN"/>
              </w:rPr>
              <w:t>情况，本次环评生物损失量按0.1t/</w:t>
            </w:r>
            <w:r>
              <w:rPr>
                <w:rFonts w:hint="default" w:ascii="Times New Roman" w:hAnsi="Times New Roman" w:eastAsia="宋体" w:cs="Times New Roman"/>
                <w:color w:val="auto"/>
                <w:kern w:val="0"/>
                <w:sz w:val="24"/>
                <w:szCs w:val="24"/>
                <w:lang w:val="en-US" w:eastAsia="zh-CN"/>
              </w:rPr>
              <w:t>hm</w:t>
            </w:r>
            <w:r>
              <w:rPr>
                <w:rFonts w:hint="default" w:ascii="Times New Roman" w:hAnsi="Times New Roman" w:eastAsia="宋体" w:cs="Times New Roman"/>
                <w:color w:val="auto"/>
                <w:kern w:val="0"/>
                <w:sz w:val="24"/>
                <w:szCs w:val="24"/>
                <w:vertAlign w:val="superscript"/>
                <w:lang w:val="en-US" w:eastAsia="zh-CN"/>
              </w:rPr>
              <w:t>2</w:t>
            </w:r>
            <w:r>
              <w:rPr>
                <w:rFonts w:hint="eastAsia" w:ascii="Times New Roman" w:hAnsi="Times New Roman" w:eastAsia="宋体" w:cs="Times New Roman"/>
                <w:color w:val="auto"/>
                <w:kern w:val="0"/>
                <w:sz w:val="24"/>
                <w:szCs w:val="24"/>
                <w:lang w:val="en-US" w:eastAsia="zh-CN"/>
              </w:rPr>
              <w:t>.a计算</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，因此，项目的生物损失量为0.22t/a。</w:t>
            </w:r>
            <w:r>
              <w:rPr>
                <w:rFonts w:hint="eastAsia" w:ascii="Times New Roman" w:hAnsi="Times New Roman" w:eastAsia="宋体" w:cs="Times New Roman"/>
                <w:color w:val="auto"/>
                <w:kern w:val="0"/>
                <w:sz w:val="24"/>
                <w:lang w:val="en-US" w:eastAsia="zh-CN"/>
              </w:rPr>
              <w:t>不会对区域植被群落的种类组成发生变化，也不会造成某种植物的消失。</w:t>
            </w:r>
          </w:p>
          <w:p w14:paraId="6F1F6310">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因此，在施工过程中要严格划定施工场地范围，注意保护植被，在项目区明显位置设立标志牌、粉刷标语等形式进行广泛宣传，加强生态环境治理的重大意义的宣传教育，增强工人管护的责任感和利益感，做到文明施工，尽量减少项目对附近地区土壤和植被的破坏，减少破坏面积，同时在施工期结束后再不要进行扰动，以促使植被自然恢复。</w:t>
            </w:r>
          </w:p>
          <w:p w14:paraId="29E19806">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项目服务期满后，将项目区域内建筑等进行拆除、清运、整平压实处理，对场地内的较大起伏和坡度进行推高和填低，使其基本水平或其坡度在允许范围内，以利于雨季排水，播撒草籽将其恢复原有地形地貌景观和土地使用功能。</w:t>
            </w:r>
          </w:p>
          <w:p w14:paraId="74384DE5">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val="en-US" w:eastAsia="zh-CN"/>
              </w:rPr>
              <w:t>项目在复垦草地时，采用</w:t>
            </w:r>
            <w:r>
              <w:rPr>
                <w:rFonts w:hint="default" w:ascii="Times New Roman" w:hAnsi="Times New Roman" w:eastAsia="宋体" w:cs="Times New Roman"/>
                <w:color w:val="auto"/>
                <w:kern w:val="0"/>
                <w:sz w:val="24"/>
                <w:lang w:val="en-US" w:eastAsia="zh-CN"/>
              </w:rPr>
              <w:t>“</w:t>
            </w:r>
            <w:r>
              <w:rPr>
                <w:rFonts w:hint="eastAsia" w:ascii="Times New Roman" w:hAnsi="Times New Roman" w:eastAsia="宋体" w:cs="Times New Roman"/>
                <w:color w:val="auto"/>
                <w:kern w:val="0"/>
                <w:sz w:val="24"/>
                <w:lang w:val="en-US" w:eastAsia="zh-CN"/>
              </w:rPr>
              <w:t>自然恢复</w:t>
            </w:r>
            <w:r>
              <w:rPr>
                <w:rFonts w:hint="default" w:ascii="Times New Roman" w:hAnsi="Times New Roman" w:eastAsia="宋体" w:cs="Times New Roman"/>
                <w:color w:val="auto"/>
                <w:kern w:val="0"/>
                <w:sz w:val="24"/>
                <w:lang w:val="en-US" w:eastAsia="zh-CN"/>
              </w:rPr>
              <w:t>”</w:t>
            </w:r>
            <w:r>
              <w:rPr>
                <w:rFonts w:hint="eastAsia" w:ascii="Times New Roman" w:hAnsi="Times New Roman" w:eastAsia="宋体" w:cs="Times New Roman"/>
                <w:color w:val="auto"/>
                <w:kern w:val="0"/>
                <w:sz w:val="24"/>
                <w:lang w:val="en-US" w:eastAsia="zh-CN"/>
              </w:rPr>
              <w:t>和</w:t>
            </w:r>
            <w:r>
              <w:rPr>
                <w:rFonts w:hint="default" w:ascii="Times New Roman" w:hAnsi="Times New Roman" w:eastAsia="宋体" w:cs="Times New Roman"/>
                <w:color w:val="auto"/>
                <w:kern w:val="0"/>
                <w:sz w:val="24"/>
                <w:lang w:val="en-US" w:eastAsia="zh-CN"/>
              </w:rPr>
              <w:t>“</w:t>
            </w:r>
            <w:r>
              <w:rPr>
                <w:rFonts w:hint="eastAsia" w:ascii="Times New Roman" w:hAnsi="Times New Roman" w:eastAsia="宋体" w:cs="Times New Roman"/>
                <w:color w:val="auto"/>
                <w:kern w:val="0"/>
                <w:sz w:val="24"/>
                <w:lang w:val="en-US" w:eastAsia="zh-CN"/>
              </w:rPr>
              <w:t>人工措施</w:t>
            </w:r>
            <w:r>
              <w:rPr>
                <w:rFonts w:hint="default" w:ascii="Times New Roman" w:hAnsi="Times New Roman" w:eastAsia="宋体" w:cs="Times New Roman"/>
                <w:color w:val="auto"/>
                <w:kern w:val="0"/>
                <w:sz w:val="24"/>
                <w:lang w:val="en-US" w:eastAsia="zh-CN"/>
              </w:rPr>
              <w:t>”</w:t>
            </w:r>
            <w:r>
              <w:rPr>
                <w:rFonts w:hint="eastAsia" w:ascii="Times New Roman" w:hAnsi="Times New Roman" w:eastAsia="宋体" w:cs="Times New Roman"/>
                <w:color w:val="auto"/>
                <w:kern w:val="0"/>
                <w:sz w:val="24"/>
                <w:lang w:val="en-US" w:eastAsia="zh-CN"/>
              </w:rPr>
              <w:t>相结合的综合方法。根据该复垦土地施工前植被生长情况以及地形地貌和当地自然气候，草籽采用适应当地自然条件的伊犁绢蒿、叉毛蓬等，草籽用量</w:t>
            </w:r>
            <w:r>
              <w:rPr>
                <w:rFonts w:hint="default" w:ascii="Times New Roman" w:hAnsi="Times New Roman" w:eastAsia="宋体" w:cs="Times New Roman"/>
                <w:color w:val="auto"/>
                <w:kern w:val="0"/>
                <w:sz w:val="24"/>
                <w:lang w:val="en-US" w:eastAsia="zh-CN"/>
              </w:rPr>
              <w:t>50kg</w:t>
            </w:r>
            <w:r>
              <w:rPr>
                <w:rFonts w:hint="eastAsia" w:ascii="Times New Roman" w:hAnsi="Times New Roman" w:eastAsia="宋体" w:cs="Times New Roman"/>
                <w:color w:val="auto"/>
                <w:kern w:val="0"/>
                <w:sz w:val="24"/>
                <w:lang w:val="en-US" w:eastAsia="zh-CN"/>
              </w:rPr>
              <w:t>/公顷。草籽需从当地收集、购买，草籽播种前先进行浸种、消毒、去芒、摩擦（轻度擦破种皮）处理，保证播下的是优质种籽，有利于种籽出苗，防止病虫害和鼠害，有利于幼苗生长。播种前，施入适量复合肥做底肥。草籽播种时间为复垦年的</w:t>
            </w:r>
            <w:r>
              <w:rPr>
                <w:rFonts w:hint="default" w:ascii="Times New Roman" w:hAnsi="Times New Roman" w:eastAsia="宋体" w:cs="Times New Roman"/>
                <w:color w:val="auto"/>
                <w:kern w:val="0"/>
                <w:sz w:val="24"/>
                <w:lang w:val="en-US" w:eastAsia="zh-CN"/>
              </w:rPr>
              <w:t>5</w:t>
            </w:r>
            <w:r>
              <w:rPr>
                <w:rFonts w:hint="eastAsia" w:ascii="Times New Roman" w:hAnsi="Times New Roman" w:eastAsia="宋体" w:cs="Times New Roman"/>
                <w:color w:val="auto"/>
                <w:kern w:val="0"/>
                <w:sz w:val="24"/>
                <w:lang w:val="en-US" w:eastAsia="zh-CN"/>
              </w:rPr>
              <w:t>月中旬（应复垦年的上一年度收集或购买当地适宜草籽，做好存储，以备复垦年使用），用钉齿耙将草籽耙入土内，并稍镇压保证土体与草籽紧密结合，也防止大风吹走表土和种子。项目区及周边土壤有机质含量较低，参考项目区周边人工植被种植经验，增施有机肥有助于改良土壤结构及其理化性质，提高土壤保肥保水能力，提高复垦植被的成活率，降低植被补种成本。</w:t>
            </w:r>
          </w:p>
          <w:p w14:paraId="72D71FF0">
            <w:pPr>
              <w:keepNext w:val="0"/>
              <w:keepLines w:val="0"/>
              <w:widowControl/>
              <w:suppressLineNumbers w:val="0"/>
              <w:jc w:val="left"/>
            </w:pPr>
          </w:p>
          <w:p w14:paraId="35320784">
            <w:pPr>
              <w:keepNext w:val="0"/>
              <w:keepLines w:val="0"/>
              <w:widowControl/>
              <w:suppressLineNumbers w:val="0"/>
              <w:jc w:val="left"/>
            </w:pPr>
          </w:p>
          <w:p w14:paraId="627C24A1">
            <w:pPr>
              <w:keepNext w:val="0"/>
              <w:keepLines w:val="0"/>
              <w:widowControl/>
              <w:suppressLineNumbers w:val="0"/>
              <w:jc w:val="left"/>
              <w:rPr>
                <w:rFonts w:hint="eastAsia" w:ascii="Times New Roman" w:hAnsi="Times New Roman" w:eastAsia="宋体" w:cs="Times New Roman"/>
                <w:color w:val="auto"/>
                <w:sz w:val="24"/>
                <w:szCs w:val="32"/>
                <w:highlight w:val="none"/>
                <w:lang w:val="en-US" w:eastAsia="zh-CN"/>
              </w:rPr>
            </w:pPr>
          </w:p>
          <w:p w14:paraId="426FAB75">
            <w:pPr>
              <w:keepNext w:val="0"/>
              <w:keepLines w:val="0"/>
              <w:widowControl/>
              <w:suppressLineNumbers w:val="0"/>
              <w:jc w:val="left"/>
              <w:rPr>
                <w:rFonts w:hint="eastAsia" w:eastAsia="宋体"/>
                <w:lang w:val="en-US" w:eastAsia="zh-CN"/>
              </w:rPr>
            </w:pPr>
          </w:p>
          <w:p w14:paraId="5ABB9521">
            <w:pPr>
              <w:keepNext w:val="0"/>
              <w:keepLines w:val="0"/>
              <w:widowControl/>
              <w:suppressLineNumbers w:val="0"/>
              <w:jc w:val="left"/>
            </w:pPr>
          </w:p>
          <w:p w14:paraId="47BA961C">
            <w:pPr>
              <w:keepNext w:val="0"/>
              <w:keepLines w:val="0"/>
              <w:widowControl/>
              <w:suppressLineNumbers w:val="0"/>
              <w:jc w:val="left"/>
            </w:pPr>
          </w:p>
          <w:p w14:paraId="3515FDD8">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32"/>
                <w:highlight w:val="none"/>
                <w:lang w:val="en-US" w:eastAsia="zh-CN"/>
              </w:rPr>
            </w:pPr>
          </w:p>
          <w:p w14:paraId="3C2A1744">
            <w:pPr>
              <w:adjustRightInd w:val="0"/>
              <w:snapToGrid w:val="0"/>
              <w:rPr>
                <w:rFonts w:ascii="宋体" w:hAnsi="宋体" w:cs="宋体"/>
                <w:bCs/>
                <w:color w:val="auto"/>
                <w:spacing w:val="-10"/>
                <w:szCs w:val="21"/>
              </w:rPr>
            </w:pPr>
          </w:p>
          <w:p w14:paraId="180E8DC0">
            <w:pPr>
              <w:adjustRightInd w:val="0"/>
              <w:snapToGrid w:val="0"/>
              <w:rPr>
                <w:rFonts w:ascii="宋体" w:hAnsi="宋体" w:cs="宋体"/>
                <w:bCs/>
                <w:color w:val="auto"/>
                <w:spacing w:val="-10"/>
                <w:szCs w:val="21"/>
              </w:rPr>
            </w:pPr>
          </w:p>
          <w:p w14:paraId="0D7BDB5C">
            <w:pPr>
              <w:adjustRightInd w:val="0"/>
              <w:snapToGrid w:val="0"/>
              <w:rPr>
                <w:rFonts w:ascii="宋体" w:hAnsi="宋体" w:cs="宋体"/>
                <w:bCs/>
                <w:color w:val="auto"/>
                <w:spacing w:val="-10"/>
                <w:szCs w:val="21"/>
              </w:rPr>
            </w:pPr>
          </w:p>
          <w:p w14:paraId="591A609F">
            <w:pPr>
              <w:adjustRightInd w:val="0"/>
              <w:snapToGrid w:val="0"/>
              <w:rPr>
                <w:rFonts w:ascii="宋体" w:hAnsi="宋体" w:cs="宋体"/>
                <w:bCs/>
                <w:color w:val="auto"/>
                <w:spacing w:val="-10"/>
                <w:szCs w:val="21"/>
              </w:rPr>
            </w:pPr>
          </w:p>
          <w:p w14:paraId="16E4CBD1">
            <w:pPr>
              <w:adjustRightInd w:val="0"/>
              <w:snapToGrid w:val="0"/>
              <w:rPr>
                <w:rFonts w:ascii="宋体" w:hAnsi="宋体" w:cs="宋体"/>
                <w:bCs/>
                <w:color w:val="auto"/>
                <w:spacing w:val="-10"/>
                <w:szCs w:val="21"/>
              </w:rPr>
            </w:pPr>
          </w:p>
          <w:p w14:paraId="2F7C710C">
            <w:pPr>
              <w:adjustRightInd w:val="0"/>
              <w:snapToGrid w:val="0"/>
              <w:rPr>
                <w:rFonts w:ascii="宋体" w:hAnsi="宋体" w:cs="宋体"/>
                <w:bCs/>
                <w:color w:val="auto"/>
                <w:spacing w:val="-10"/>
                <w:szCs w:val="21"/>
              </w:rPr>
            </w:pPr>
          </w:p>
          <w:p w14:paraId="4456588E">
            <w:pPr>
              <w:adjustRightInd w:val="0"/>
              <w:snapToGrid w:val="0"/>
              <w:rPr>
                <w:rFonts w:ascii="宋体" w:hAnsi="宋体" w:cs="宋体"/>
                <w:bCs/>
                <w:color w:val="auto"/>
                <w:spacing w:val="-10"/>
                <w:szCs w:val="21"/>
              </w:rPr>
            </w:pPr>
          </w:p>
          <w:p w14:paraId="5071D6AE">
            <w:pPr>
              <w:adjustRightInd w:val="0"/>
              <w:snapToGrid w:val="0"/>
              <w:rPr>
                <w:rFonts w:ascii="宋体" w:hAnsi="宋体" w:cs="宋体"/>
                <w:bCs/>
                <w:color w:val="auto"/>
                <w:spacing w:val="-10"/>
                <w:szCs w:val="21"/>
              </w:rPr>
            </w:pPr>
          </w:p>
          <w:p w14:paraId="5CC71D67">
            <w:pPr>
              <w:adjustRightInd w:val="0"/>
              <w:snapToGrid w:val="0"/>
              <w:rPr>
                <w:rFonts w:ascii="宋体" w:hAnsi="宋体" w:cs="宋体"/>
                <w:bCs/>
                <w:color w:val="auto"/>
                <w:spacing w:val="-10"/>
                <w:szCs w:val="21"/>
              </w:rPr>
            </w:pPr>
          </w:p>
        </w:tc>
      </w:tr>
      <w:tr w14:paraId="44028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75" w:hRule="atLeast"/>
          <w:jc w:val="center"/>
        </w:trPr>
        <w:tc>
          <w:tcPr>
            <w:tcW w:w="746" w:type="dxa"/>
            <w:tcMar>
              <w:left w:w="28" w:type="dxa"/>
              <w:right w:w="28" w:type="dxa"/>
            </w:tcMar>
            <w:vAlign w:val="center"/>
          </w:tcPr>
          <w:p w14:paraId="0C60A954">
            <w:pPr>
              <w:adjustRightInd w:val="0"/>
              <w:snapToGrid w:val="0"/>
              <w:jc w:val="center"/>
              <w:rPr>
                <w:rFonts w:ascii="宋体" w:hAnsi="宋体" w:cs="宋体"/>
                <w:bCs/>
                <w:color w:val="auto"/>
                <w:szCs w:val="21"/>
              </w:rPr>
            </w:pPr>
            <w:r>
              <w:rPr>
                <w:rFonts w:hint="eastAsia" w:ascii="宋体" w:hAnsi="宋体" w:cs="宋体"/>
                <w:bCs/>
                <w:color w:val="auto"/>
                <w:szCs w:val="21"/>
              </w:rPr>
              <w:t>运营</w:t>
            </w:r>
          </w:p>
          <w:p w14:paraId="6ACE2A82">
            <w:pPr>
              <w:adjustRightInd w:val="0"/>
              <w:snapToGrid w:val="0"/>
              <w:jc w:val="center"/>
              <w:rPr>
                <w:rFonts w:ascii="宋体" w:hAnsi="宋体" w:cs="宋体"/>
                <w:bCs/>
                <w:color w:val="auto"/>
                <w:szCs w:val="21"/>
              </w:rPr>
            </w:pPr>
            <w:r>
              <w:rPr>
                <w:rFonts w:hint="eastAsia" w:ascii="宋体" w:hAnsi="宋体" w:cs="宋体"/>
                <w:bCs/>
                <w:color w:val="auto"/>
                <w:szCs w:val="21"/>
              </w:rPr>
              <w:t>期环</w:t>
            </w:r>
          </w:p>
          <w:p w14:paraId="07125D9B">
            <w:pPr>
              <w:adjustRightInd w:val="0"/>
              <w:snapToGrid w:val="0"/>
              <w:jc w:val="center"/>
              <w:rPr>
                <w:rFonts w:ascii="宋体" w:hAnsi="宋体" w:cs="宋体"/>
                <w:bCs/>
                <w:color w:val="auto"/>
                <w:szCs w:val="21"/>
              </w:rPr>
            </w:pPr>
            <w:r>
              <w:rPr>
                <w:rFonts w:hint="eastAsia" w:ascii="宋体" w:hAnsi="宋体" w:cs="宋体"/>
                <w:bCs/>
                <w:color w:val="auto"/>
                <w:szCs w:val="21"/>
              </w:rPr>
              <w:t>境影</w:t>
            </w:r>
          </w:p>
          <w:p w14:paraId="2E77A17A">
            <w:pPr>
              <w:adjustRightInd w:val="0"/>
              <w:snapToGrid w:val="0"/>
              <w:jc w:val="center"/>
              <w:rPr>
                <w:rFonts w:ascii="宋体" w:hAnsi="宋体" w:cs="宋体"/>
                <w:bCs/>
                <w:color w:val="auto"/>
                <w:szCs w:val="21"/>
              </w:rPr>
            </w:pPr>
            <w:r>
              <w:rPr>
                <w:rFonts w:hint="eastAsia" w:ascii="宋体" w:hAnsi="宋体" w:cs="宋体"/>
                <w:bCs/>
                <w:color w:val="auto"/>
                <w:szCs w:val="21"/>
              </w:rPr>
              <w:t>响和</w:t>
            </w:r>
          </w:p>
          <w:p w14:paraId="795212FD">
            <w:pPr>
              <w:adjustRightInd w:val="0"/>
              <w:snapToGrid w:val="0"/>
              <w:jc w:val="center"/>
              <w:rPr>
                <w:rFonts w:ascii="宋体" w:hAnsi="宋体" w:cs="宋体"/>
                <w:bCs/>
                <w:color w:val="auto"/>
                <w:szCs w:val="21"/>
              </w:rPr>
            </w:pPr>
            <w:r>
              <w:rPr>
                <w:rFonts w:hint="eastAsia" w:ascii="宋体" w:hAnsi="宋体" w:cs="宋体"/>
                <w:bCs/>
                <w:color w:val="auto"/>
                <w:szCs w:val="21"/>
              </w:rPr>
              <w:t>保护</w:t>
            </w:r>
          </w:p>
          <w:p w14:paraId="3F8FD9CC">
            <w:pPr>
              <w:adjustRightInd w:val="0"/>
              <w:snapToGrid w:val="0"/>
              <w:jc w:val="center"/>
              <w:rPr>
                <w:rFonts w:ascii="宋体" w:hAnsi="宋体" w:cs="宋体"/>
                <w:bCs/>
                <w:color w:val="auto"/>
                <w:szCs w:val="21"/>
              </w:rPr>
            </w:pPr>
            <w:r>
              <w:rPr>
                <w:rFonts w:hint="eastAsia" w:ascii="宋体" w:hAnsi="宋体" w:cs="宋体"/>
                <w:bCs/>
                <w:color w:val="auto"/>
                <w:szCs w:val="21"/>
              </w:rPr>
              <w:t>措施</w:t>
            </w:r>
          </w:p>
        </w:tc>
        <w:tc>
          <w:tcPr>
            <w:tcW w:w="8162" w:type="dxa"/>
            <w:vAlign w:val="center"/>
          </w:tcPr>
          <w:p w14:paraId="5F386C4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本项目营运期产生的</w:t>
            </w:r>
            <w:r>
              <w:rPr>
                <w:rFonts w:hint="eastAsia" w:cs="Times New Roman"/>
                <w:color w:val="auto"/>
                <w:kern w:val="0"/>
                <w:sz w:val="24"/>
                <w:lang w:val="en-US" w:eastAsia="zh-CN"/>
              </w:rPr>
              <w:t>大气</w:t>
            </w:r>
            <w:r>
              <w:rPr>
                <w:rFonts w:hint="eastAsia" w:ascii="Times New Roman" w:hAnsi="Times New Roman" w:eastAsia="宋体" w:cs="Times New Roman"/>
                <w:color w:val="auto"/>
                <w:kern w:val="0"/>
                <w:sz w:val="24"/>
              </w:rPr>
              <w:t>污染物</w:t>
            </w:r>
            <w:r>
              <w:rPr>
                <w:rFonts w:hint="eastAsia" w:cs="Times New Roman"/>
                <w:color w:val="auto"/>
                <w:kern w:val="0"/>
                <w:sz w:val="24"/>
                <w:lang w:val="en-US" w:eastAsia="zh-CN"/>
              </w:rPr>
              <w:t>主要为</w:t>
            </w:r>
            <w:r>
              <w:rPr>
                <w:rFonts w:hint="eastAsia" w:ascii="Times New Roman" w:hAnsi="Times New Roman" w:eastAsia="宋体" w:cs="Times New Roman"/>
                <w:color w:val="auto"/>
                <w:kern w:val="0"/>
                <w:sz w:val="24"/>
              </w:rPr>
              <w:t>料场扬尘及装卸扬尘</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筒仓粉尘</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搅拌机产生的粉尘</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场内运输扬尘</w:t>
            </w:r>
            <w:r>
              <w:rPr>
                <w:rFonts w:hint="eastAsia" w:cs="Times New Roman"/>
                <w:color w:val="auto"/>
                <w:kern w:val="0"/>
                <w:sz w:val="24"/>
                <w:lang w:eastAsia="zh-CN"/>
              </w:rPr>
              <w:t>、廊道输送</w:t>
            </w:r>
            <w:r>
              <w:rPr>
                <w:rFonts w:hint="eastAsia" w:cs="Times New Roman"/>
                <w:color w:val="auto"/>
                <w:kern w:val="0"/>
                <w:sz w:val="24"/>
                <w:lang w:val="en-US" w:eastAsia="zh-CN"/>
              </w:rPr>
              <w:t>扬尘</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废水为</w:t>
            </w:r>
            <w:r>
              <w:rPr>
                <w:rFonts w:hint="eastAsia" w:ascii="Times New Roman" w:hAnsi="Times New Roman" w:eastAsia="宋体" w:cs="Times New Roman"/>
                <w:color w:val="auto"/>
                <w:kern w:val="0"/>
                <w:sz w:val="24"/>
              </w:rPr>
              <w:t>职工</w:t>
            </w:r>
            <w:r>
              <w:rPr>
                <w:rFonts w:hint="eastAsia" w:cs="Times New Roman"/>
                <w:color w:val="auto"/>
                <w:kern w:val="0"/>
                <w:sz w:val="24"/>
                <w:lang w:val="en-US" w:eastAsia="zh-CN"/>
              </w:rPr>
              <w:t>的</w:t>
            </w:r>
            <w:r>
              <w:rPr>
                <w:rFonts w:hint="eastAsia" w:ascii="Times New Roman" w:hAnsi="Times New Roman" w:eastAsia="宋体" w:cs="Times New Roman"/>
                <w:color w:val="auto"/>
                <w:kern w:val="0"/>
                <w:sz w:val="24"/>
              </w:rPr>
              <w:t>生活污水；</w:t>
            </w:r>
            <w:r>
              <w:rPr>
                <w:rFonts w:hint="eastAsia" w:cs="Times New Roman"/>
                <w:color w:val="auto"/>
                <w:kern w:val="0"/>
                <w:sz w:val="24"/>
                <w:lang w:val="en-US" w:eastAsia="zh-CN"/>
              </w:rPr>
              <w:t>噪声为</w:t>
            </w:r>
            <w:r>
              <w:rPr>
                <w:rFonts w:hint="eastAsia" w:ascii="Times New Roman" w:hAnsi="Times New Roman" w:eastAsia="宋体" w:cs="Times New Roman"/>
                <w:color w:val="auto"/>
                <w:kern w:val="0"/>
                <w:sz w:val="24"/>
              </w:rPr>
              <w:t>生产设备运行产生的噪声、运输车辆噪声；</w:t>
            </w:r>
            <w:r>
              <w:rPr>
                <w:rFonts w:hint="eastAsia" w:cs="Times New Roman"/>
                <w:color w:val="auto"/>
                <w:kern w:val="0"/>
                <w:sz w:val="24"/>
                <w:lang w:val="en-US" w:eastAsia="zh-CN"/>
              </w:rPr>
              <w:t>固废为</w:t>
            </w:r>
            <w:r>
              <w:rPr>
                <w:rFonts w:hint="eastAsia" w:ascii="Times New Roman" w:hAnsi="Times New Roman" w:eastAsia="宋体" w:cs="Times New Roman"/>
                <w:color w:val="auto"/>
                <w:kern w:val="0"/>
                <w:sz w:val="24"/>
              </w:rPr>
              <w:t>职工产生的生活垃圾、生产</w:t>
            </w:r>
            <w:r>
              <w:rPr>
                <w:rFonts w:hint="eastAsia" w:cs="Times New Roman"/>
                <w:color w:val="auto"/>
                <w:kern w:val="0"/>
                <w:sz w:val="24"/>
                <w:lang w:val="en-US" w:eastAsia="zh-CN"/>
              </w:rPr>
              <w:t>过程</w:t>
            </w:r>
            <w:r>
              <w:rPr>
                <w:rFonts w:hint="eastAsia" w:ascii="Times New Roman" w:hAnsi="Times New Roman" w:eastAsia="宋体" w:cs="Times New Roman"/>
                <w:color w:val="auto"/>
                <w:kern w:val="0"/>
                <w:sz w:val="24"/>
              </w:rPr>
              <w:t>产生的固体废弃物及设备保养维护产生的废机油。</w:t>
            </w:r>
          </w:p>
          <w:p w14:paraId="176FF164">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1.废气</w:t>
            </w:r>
          </w:p>
          <w:p w14:paraId="1778D404">
            <w:pPr>
              <w:spacing w:line="360" w:lineRule="auto"/>
              <w:rPr>
                <w:rFonts w:ascii="Times New Roman" w:hAnsi="Times New Roman" w:eastAsia="宋体" w:cs="Times New Roman"/>
                <w:b/>
                <w:bCs/>
                <w:color w:val="auto"/>
                <w:sz w:val="24"/>
              </w:rPr>
            </w:pPr>
            <w:r>
              <w:rPr>
                <w:rFonts w:hint="eastAsia" w:cs="Times New Roman"/>
                <w:b/>
                <w:bCs/>
                <w:color w:val="auto"/>
                <w:sz w:val="24"/>
                <w:lang w:val="en-US" w:eastAsia="zh-CN"/>
              </w:rPr>
              <w:t>（1）</w:t>
            </w:r>
            <w:r>
              <w:rPr>
                <w:rFonts w:hint="eastAsia" w:ascii="Times New Roman" w:hAnsi="Times New Roman" w:eastAsia="宋体" w:cs="Times New Roman"/>
                <w:b/>
                <w:bCs/>
                <w:color w:val="auto"/>
                <w:sz w:val="24"/>
              </w:rPr>
              <w:t>搅拌机产生的粉尘</w:t>
            </w:r>
          </w:p>
          <w:p w14:paraId="65EF156F">
            <w:pPr>
              <w:widowControl/>
              <w:spacing w:line="360" w:lineRule="auto"/>
              <w:ind w:firstLine="480" w:firstLineChars="200"/>
              <w:jc w:val="left"/>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rPr>
              <w:t>本项目设置</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rPr>
              <w:t>条混凝土生产线，配有</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rPr>
              <w:t>套搅拌设备，</w:t>
            </w:r>
            <w:r>
              <w:rPr>
                <w:rFonts w:hint="eastAsia" w:cs="Times New Roman"/>
                <w:color w:val="auto"/>
                <w:kern w:val="0"/>
                <w:sz w:val="24"/>
                <w:lang w:val="en-US" w:eastAsia="zh-CN"/>
              </w:rPr>
              <w:t>年生产时间为</w:t>
            </w:r>
            <w:r>
              <w:rPr>
                <w:rFonts w:hint="eastAsia" w:cs="Times New Roman"/>
                <w:color w:val="auto"/>
                <w:kern w:val="0"/>
                <w:sz w:val="24"/>
                <w:highlight w:val="none"/>
                <w:lang w:val="en-US" w:eastAsia="zh-CN"/>
              </w:rPr>
              <w:t>240</w:t>
            </w:r>
            <w:r>
              <w:rPr>
                <w:rFonts w:hint="eastAsia" w:cs="Times New Roman"/>
                <w:color w:val="auto"/>
                <w:kern w:val="0"/>
                <w:sz w:val="24"/>
                <w:lang w:val="en-US" w:eastAsia="zh-CN"/>
              </w:rPr>
              <w:t>天，每天工作8小时，</w:t>
            </w:r>
            <w:r>
              <w:rPr>
                <w:rFonts w:hint="eastAsia" w:ascii="Times New Roman" w:hAnsi="Times New Roman" w:eastAsia="宋体" w:cs="Times New Roman"/>
                <w:color w:val="auto"/>
                <w:kern w:val="0"/>
                <w:sz w:val="24"/>
              </w:rPr>
              <w:t>项目建成后年产20万立方米混凝土，每立方米混凝土按2.4t计</w:t>
            </w:r>
            <w:r>
              <w:rPr>
                <w:rFonts w:hint="eastAsia" w:cs="Times New Roman"/>
                <w:color w:val="auto"/>
                <w:kern w:val="0"/>
                <w:sz w:val="24"/>
                <w:lang w:val="en-US" w:eastAsia="zh-CN"/>
              </w:rPr>
              <w:t>算，年产混凝土量为</w:t>
            </w:r>
            <w:r>
              <w:rPr>
                <w:rFonts w:hint="eastAsia" w:ascii="Times New Roman" w:hAnsi="Times New Roman" w:eastAsia="宋体" w:cs="Times New Roman"/>
                <w:color w:val="auto"/>
                <w:kern w:val="0"/>
                <w:sz w:val="24"/>
              </w:rPr>
              <w:t>480000t/a，生产设备为</w:t>
            </w:r>
            <w:r>
              <w:rPr>
                <w:rFonts w:hint="eastAsia" w:cs="Times New Roman"/>
                <w:color w:val="auto"/>
                <w:kern w:val="0"/>
                <w:sz w:val="24"/>
                <w:lang w:val="en-US" w:eastAsia="zh-CN"/>
              </w:rPr>
              <w:t>先进</w:t>
            </w:r>
            <w:r>
              <w:rPr>
                <w:rFonts w:hint="eastAsia" w:ascii="Times New Roman" w:hAnsi="Times New Roman" w:eastAsia="宋体" w:cs="Times New Roman"/>
                <w:color w:val="auto"/>
                <w:kern w:val="0"/>
                <w:sz w:val="24"/>
              </w:rPr>
              <w:t>的成套搅拌设备，搅拌设备位于密闭搅拌楼中，搅拌机</w:t>
            </w:r>
            <w:r>
              <w:rPr>
                <w:rFonts w:hint="eastAsia" w:cs="Times New Roman"/>
                <w:color w:val="auto"/>
                <w:kern w:val="0"/>
                <w:sz w:val="24"/>
                <w:lang w:val="en-US" w:eastAsia="zh-CN"/>
              </w:rPr>
              <w:t>内</w:t>
            </w:r>
            <w:r>
              <w:rPr>
                <w:rFonts w:hint="eastAsia" w:ascii="Times New Roman" w:hAnsi="Times New Roman" w:eastAsia="宋体" w:cs="Times New Roman"/>
                <w:color w:val="auto"/>
                <w:kern w:val="0"/>
                <w:sz w:val="24"/>
              </w:rPr>
              <w:t>自带脉冲布袋除尘器，</w:t>
            </w:r>
            <w:r>
              <w:rPr>
                <w:rFonts w:hint="eastAsia" w:cs="Times New Roman"/>
                <w:color w:val="auto"/>
                <w:kern w:val="0"/>
                <w:sz w:val="24"/>
                <w:lang w:val="en-US" w:eastAsia="zh-CN"/>
              </w:rPr>
              <w:t>内部</w:t>
            </w:r>
            <w:r>
              <w:rPr>
                <w:rFonts w:hint="eastAsia" w:ascii="Times New Roman" w:hAnsi="Times New Roman" w:eastAsia="宋体" w:cs="Times New Roman"/>
                <w:color w:val="auto"/>
                <w:kern w:val="0"/>
                <w:sz w:val="24"/>
              </w:rPr>
              <w:t>形成封闭的除尘系统进行除尘。物料搅拌过程产生的粉尘经搅拌机自带的脉冲布袋除尘器处理后</w:t>
            </w:r>
            <w:r>
              <w:rPr>
                <w:rFonts w:hint="eastAsia" w:cs="Times New Roman"/>
                <w:color w:val="auto"/>
                <w:kern w:val="0"/>
                <w:sz w:val="24"/>
                <w:lang w:eastAsia="zh-CN"/>
              </w:rPr>
              <w:t>，</w:t>
            </w:r>
            <w:r>
              <w:rPr>
                <w:rFonts w:hint="eastAsia" w:cs="Times New Roman"/>
                <w:color w:val="auto"/>
                <w:kern w:val="0"/>
                <w:sz w:val="24"/>
                <w:lang w:val="en-US" w:eastAsia="zh-CN"/>
              </w:rPr>
              <w:t>在2座搅拌楼顶部通过密闭管道连接后由1根15m高的排气筒（DA001）排放。</w:t>
            </w:r>
          </w:p>
          <w:p w14:paraId="373B9F26">
            <w:pPr>
              <w:widowControl/>
              <w:spacing w:line="360" w:lineRule="auto"/>
              <w:ind w:firstLine="480" w:firstLineChars="200"/>
              <w:rPr>
                <w:rFonts w:hint="eastAsia" w:eastAsia="宋体"/>
                <w:bCs/>
                <w:sz w:val="24"/>
                <w:szCs w:val="32"/>
                <w:lang w:eastAsia="zh-CN"/>
              </w:rPr>
            </w:pPr>
            <w:r>
              <w:rPr>
                <w:rFonts w:hint="eastAsia" w:ascii="Times New Roman" w:hAnsi="Times New Roman" w:eastAsia="宋体" w:cs="Times New Roman"/>
                <w:color w:val="auto"/>
                <w:kern w:val="0"/>
                <w:sz w:val="24"/>
              </w:rPr>
              <w:t>根据《排放源统计调查产排污核算方法和系数手册》（3021水泥制品制造</w:t>
            </w:r>
            <w:r>
              <w:rPr>
                <w:rFonts w:hint="eastAsia" w:cs="Times New Roman"/>
                <w:color w:val="auto"/>
                <w:kern w:val="0"/>
                <w:sz w:val="24"/>
                <w:lang w:eastAsia="zh-CN"/>
              </w:rPr>
              <w:t>）</w:t>
            </w:r>
            <w:r>
              <w:rPr>
                <w:rFonts w:hint="default" w:ascii="Times New Roman" w:hAnsi="Times New Roman" w:eastAsia="宋体" w:cs="Times New Roman"/>
                <w:color w:val="auto"/>
                <w:kern w:val="0"/>
                <w:sz w:val="24"/>
              </w:rPr>
              <w:t>（含3022砼结构构件制造、3029其他水泥类似制品制造）</w:t>
            </w:r>
            <w:r>
              <w:rPr>
                <w:rFonts w:hint="eastAsia" w:cs="Times New Roman"/>
                <w:color w:val="auto"/>
                <w:kern w:val="0"/>
                <w:sz w:val="24"/>
                <w:lang w:val="en-US" w:eastAsia="zh-CN"/>
              </w:rPr>
              <w:t>行业系数手册）</w:t>
            </w:r>
            <w:r>
              <w:rPr>
                <w:rFonts w:hint="eastAsia" w:ascii="Times New Roman" w:hAnsi="Times New Roman" w:eastAsia="宋体" w:cs="Times New Roman"/>
                <w:color w:val="auto"/>
                <w:kern w:val="0"/>
                <w:sz w:val="24"/>
              </w:rPr>
              <w:t>，颗粒物</w:t>
            </w:r>
            <w:r>
              <w:rPr>
                <w:rFonts w:hint="eastAsia" w:cs="Times New Roman"/>
                <w:color w:val="auto"/>
                <w:kern w:val="0"/>
                <w:sz w:val="24"/>
                <w:lang w:val="en-US" w:eastAsia="zh-CN"/>
              </w:rPr>
              <w:t>的</w:t>
            </w:r>
            <w:r>
              <w:rPr>
                <w:rFonts w:hint="eastAsia" w:ascii="Times New Roman" w:hAnsi="Times New Roman" w:eastAsia="宋体" w:cs="Times New Roman"/>
                <w:color w:val="auto"/>
                <w:kern w:val="0"/>
                <w:sz w:val="24"/>
              </w:rPr>
              <w:t>产污系数为0.13</w:t>
            </w:r>
            <w:r>
              <w:rPr>
                <w:rFonts w:hint="eastAsia" w:cs="Times New Roman"/>
                <w:color w:val="auto"/>
                <w:kern w:val="0"/>
                <w:sz w:val="24"/>
                <w:lang w:val="en-US" w:eastAsia="zh-CN"/>
              </w:rPr>
              <w:t>kg</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t</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产品</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则本项目</w:t>
            </w:r>
            <w:r>
              <w:rPr>
                <w:rFonts w:hint="eastAsia" w:cs="Times New Roman"/>
                <w:color w:val="auto"/>
                <w:kern w:val="0"/>
                <w:sz w:val="24"/>
                <w:lang w:val="en-US" w:eastAsia="zh-CN"/>
              </w:rPr>
              <w:t>搅拌工序</w:t>
            </w:r>
            <w:r>
              <w:rPr>
                <w:rFonts w:hint="eastAsia" w:ascii="Times New Roman" w:hAnsi="Times New Roman" w:eastAsia="宋体" w:cs="Times New Roman"/>
                <w:color w:val="auto"/>
                <w:kern w:val="0"/>
                <w:sz w:val="24"/>
              </w:rPr>
              <w:t>产生的颗粒物</w:t>
            </w:r>
            <w:r>
              <w:rPr>
                <w:rFonts w:hint="eastAsia" w:cs="Times New Roman"/>
                <w:color w:val="auto"/>
                <w:kern w:val="0"/>
                <w:sz w:val="24"/>
                <w:lang w:val="en-US" w:eastAsia="zh-CN"/>
              </w:rPr>
              <w:t>量</w:t>
            </w:r>
            <w:r>
              <w:rPr>
                <w:rFonts w:hint="eastAsia" w:ascii="Times New Roman" w:hAnsi="Times New Roman" w:eastAsia="宋体" w:cs="Times New Roman"/>
                <w:color w:val="auto"/>
                <w:kern w:val="0"/>
                <w:sz w:val="24"/>
              </w:rPr>
              <w:t>为62.4t/a</w:t>
            </w:r>
            <w:r>
              <w:rPr>
                <w:rFonts w:hint="eastAsia" w:cs="Times New Roman"/>
                <w:color w:val="auto"/>
                <w:kern w:val="0"/>
                <w:sz w:val="24"/>
                <w:lang w:eastAsia="zh-CN"/>
              </w:rPr>
              <w:t>，</w:t>
            </w:r>
            <w:r>
              <w:rPr>
                <w:rFonts w:hint="eastAsia" w:cs="Times New Roman"/>
                <w:color w:val="auto"/>
                <w:kern w:val="0"/>
                <w:sz w:val="24"/>
                <w:lang w:val="en-US" w:eastAsia="zh-CN"/>
              </w:rPr>
              <w:t>产生速率为32.5kg/h，搅拌楼、搅拌设备均为密闭设置，除尘设备的收集效率约99%，根据</w:t>
            </w:r>
            <w:r>
              <w:rPr>
                <w:rFonts w:hint="default" w:ascii="Times New Roman" w:hAnsi="Times New Roman" w:eastAsia="宋体" w:cs="Times New Roman"/>
                <w:color w:val="auto"/>
                <w:kern w:val="0"/>
                <w:sz w:val="24"/>
              </w:rPr>
              <w:t>《排放源统计调查产排污核算方法和系数手册》（3021水泥制品制造（含3022砼结构构件制造、3029其他水泥类似制品制造）行业系数手册）</w:t>
            </w:r>
            <w:r>
              <w:rPr>
                <w:rFonts w:hint="eastAsia" w:cs="Times New Roman"/>
                <w:color w:val="auto"/>
                <w:kern w:val="0"/>
                <w:sz w:val="24"/>
                <w:lang w:eastAsia="zh-CN"/>
              </w:rPr>
              <w:t>，</w:t>
            </w:r>
            <w:r>
              <w:rPr>
                <w:rFonts w:hint="eastAsia" w:ascii="Times New Roman" w:hAnsi="Times New Roman" w:eastAsia="宋体" w:cs="Times New Roman"/>
                <w:color w:val="auto"/>
                <w:kern w:val="0"/>
                <w:sz w:val="24"/>
                <w:lang w:val="en-US" w:eastAsia="zh-CN"/>
              </w:rPr>
              <w:t>袋式除尘</w:t>
            </w:r>
            <w:r>
              <w:rPr>
                <w:rFonts w:hint="default" w:ascii="Times New Roman" w:hAnsi="Times New Roman" w:eastAsia="宋体" w:cs="Times New Roman"/>
                <w:color w:val="auto"/>
                <w:kern w:val="0"/>
                <w:sz w:val="24"/>
              </w:rPr>
              <w:t>效率</w:t>
            </w:r>
            <w:r>
              <w:rPr>
                <w:rFonts w:hint="eastAsia" w:cs="Times New Roman"/>
                <w:color w:val="auto"/>
                <w:kern w:val="0"/>
                <w:sz w:val="24"/>
                <w:lang w:val="en-US" w:eastAsia="zh-CN"/>
              </w:rPr>
              <w:t>为</w:t>
            </w:r>
            <w:r>
              <w:rPr>
                <w:rFonts w:hint="default" w:ascii="Times New Roman" w:hAnsi="Times New Roman" w:eastAsia="宋体" w:cs="Times New Roman"/>
                <w:color w:val="auto"/>
                <w:kern w:val="0"/>
                <w:sz w:val="24"/>
              </w:rPr>
              <w:t>99.7%</w:t>
            </w:r>
            <w:r>
              <w:rPr>
                <w:rFonts w:hint="eastAsia" w:cs="Times New Roman"/>
                <w:color w:val="auto"/>
                <w:kern w:val="0"/>
                <w:sz w:val="24"/>
                <w:lang w:eastAsia="zh-CN"/>
              </w:rPr>
              <w:t>，</w:t>
            </w:r>
            <w:r>
              <w:rPr>
                <w:rFonts w:hint="eastAsia" w:cs="Times New Roman"/>
                <w:color w:val="auto"/>
                <w:kern w:val="0"/>
                <w:sz w:val="24"/>
                <w:lang w:val="en-US" w:eastAsia="zh-CN"/>
              </w:rPr>
              <w:t>风机风量为10000m</w:t>
            </w:r>
            <w:r>
              <w:rPr>
                <w:rFonts w:hint="eastAsia" w:cs="Times New Roman"/>
                <w:color w:val="auto"/>
                <w:kern w:val="0"/>
                <w:sz w:val="24"/>
                <w:vertAlign w:val="superscript"/>
                <w:lang w:val="en-US" w:eastAsia="zh-CN"/>
              </w:rPr>
              <w:t>3</w:t>
            </w:r>
            <w:r>
              <w:rPr>
                <w:rFonts w:hint="eastAsia" w:cs="Times New Roman"/>
                <w:color w:val="auto"/>
                <w:kern w:val="0"/>
                <w:sz w:val="24"/>
                <w:lang w:val="en-US" w:eastAsia="zh-CN"/>
              </w:rPr>
              <w:t>/h，则颗粒物的排放量为0.185t/a，</w:t>
            </w:r>
            <w:r>
              <w:rPr>
                <w:rFonts w:hint="eastAsia"/>
                <w:bCs/>
                <w:sz w:val="24"/>
                <w:szCs w:val="32"/>
              </w:rPr>
              <w:t>排放速率为0</w:t>
            </w:r>
            <w:r>
              <w:rPr>
                <w:bCs/>
                <w:sz w:val="24"/>
                <w:szCs w:val="32"/>
              </w:rPr>
              <w:t>.</w:t>
            </w:r>
            <w:r>
              <w:rPr>
                <w:rFonts w:hint="eastAsia"/>
                <w:bCs/>
                <w:sz w:val="24"/>
                <w:szCs w:val="32"/>
                <w:lang w:val="en-US" w:eastAsia="zh-CN"/>
              </w:rPr>
              <w:t>096</w:t>
            </w:r>
            <w:r>
              <w:rPr>
                <w:rFonts w:hint="eastAsia"/>
                <w:bCs/>
                <w:sz w:val="24"/>
                <w:szCs w:val="32"/>
              </w:rPr>
              <w:t xml:space="preserve"> kg</w:t>
            </w:r>
            <w:r>
              <w:rPr>
                <w:bCs/>
                <w:sz w:val="24"/>
                <w:szCs w:val="32"/>
              </w:rPr>
              <w:t>/h</w:t>
            </w:r>
            <w:r>
              <w:rPr>
                <w:rFonts w:hint="eastAsia"/>
                <w:bCs/>
                <w:sz w:val="24"/>
                <w:szCs w:val="32"/>
              </w:rPr>
              <w:t>，排放浓度为</w:t>
            </w:r>
            <w:r>
              <w:rPr>
                <w:rFonts w:hint="eastAsia"/>
                <w:bCs/>
                <w:sz w:val="24"/>
                <w:szCs w:val="32"/>
                <w:lang w:val="en-US" w:eastAsia="zh-CN"/>
              </w:rPr>
              <w:t>9.6</w:t>
            </w:r>
            <w:r>
              <w:rPr>
                <w:rFonts w:hint="eastAsia"/>
                <w:bCs/>
                <w:sz w:val="24"/>
                <w:szCs w:val="32"/>
              </w:rPr>
              <w:t>mg</w:t>
            </w:r>
            <w:r>
              <w:rPr>
                <w:bCs/>
                <w:sz w:val="24"/>
                <w:szCs w:val="32"/>
              </w:rPr>
              <w:t>/m</w:t>
            </w:r>
            <w:r>
              <w:rPr>
                <w:bCs/>
                <w:sz w:val="24"/>
                <w:szCs w:val="32"/>
                <w:vertAlign w:val="superscript"/>
              </w:rPr>
              <w:t>3</w:t>
            </w:r>
            <w:r>
              <w:rPr>
                <w:rFonts w:hint="eastAsia"/>
                <w:bCs/>
                <w:sz w:val="24"/>
                <w:szCs w:val="32"/>
                <w:lang w:eastAsia="zh-CN"/>
              </w:rPr>
              <w:t>，</w:t>
            </w:r>
            <w:r>
              <w:rPr>
                <w:rFonts w:hint="eastAsia" w:cs="Times New Roman"/>
                <w:sz w:val="24"/>
                <w:highlight w:val="none"/>
                <w:lang w:val="en-US" w:eastAsia="zh-CN"/>
              </w:rPr>
              <w:t>搅拌工序有</w:t>
            </w:r>
            <w:r>
              <w:rPr>
                <w:rFonts w:hint="default" w:ascii="Times New Roman" w:hAnsi="Times New Roman" w:cs="Times New Roman"/>
                <w:sz w:val="24"/>
                <w:highlight w:val="none"/>
                <w:lang w:val="en-US" w:eastAsia="zh-CN"/>
              </w:rPr>
              <w:t>组织颗粒物的排放浓度</w:t>
            </w:r>
            <w:r>
              <w:rPr>
                <w:rFonts w:hint="default" w:ascii="Times New Roman" w:hAnsi="Times New Roman" w:cs="Times New Roman"/>
                <w:sz w:val="24"/>
                <w:highlight w:val="none"/>
              </w:rPr>
              <w:t>满足</w:t>
            </w:r>
            <w:r>
              <w:rPr>
                <w:rFonts w:hint="eastAsia"/>
                <w:color w:val="auto"/>
                <w:sz w:val="24"/>
                <w:szCs w:val="24"/>
              </w:rPr>
              <w:t>《水泥工业大气污染物排放标准》（GB4915-2013）表</w:t>
            </w:r>
            <w:r>
              <w:rPr>
                <w:rFonts w:hint="eastAsia"/>
                <w:color w:val="auto"/>
                <w:sz w:val="24"/>
                <w:szCs w:val="24"/>
                <w:lang w:val="en-US" w:eastAsia="zh-CN"/>
              </w:rPr>
              <w:t>1</w:t>
            </w:r>
            <w:r>
              <w:rPr>
                <w:rFonts w:hint="eastAsia"/>
                <w:color w:val="auto"/>
                <w:sz w:val="24"/>
                <w:szCs w:val="24"/>
              </w:rPr>
              <w:t>大气污染物排放限值</w:t>
            </w:r>
            <w:r>
              <w:rPr>
                <w:rFonts w:hint="eastAsia"/>
                <w:color w:val="auto"/>
                <w:sz w:val="24"/>
                <w:szCs w:val="24"/>
                <w:lang w:eastAsia="zh-CN"/>
              </w:rPr>
              <w:t>，</w:t>
            </w:r>
            <w:r>
              <w:rPr>
                <w:rFonts w:hint="eastAsia" w:cs="Times New Roman"/>
                <w:sz w:val="24"/>
                <w:lang w:val="en-US" w:eastAsia="zh-CN"/>
              </w:rPr>
              <w:t>对周围环境影响不大。</w:t>
            </w:r>
          </w:p>
          <w:p w14:paraId="25DECB4F">
            <w:pPr>
              <w:numPr>
                <w:ilvl w:val="0"/>
                <w:numId w:val="0"/>
              </w:numPr>
              <w:spacing w:line="360" w:lineRule="auto"/>
              <w:ind w:left="0" w:leftChars="0" w:firstLine="482" w:firstLineChars="200"/>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kern w:val="2"/>
                <w:sz w:val="24"/>
                <w:szCs w:val="24"/>
                <w:lang w:val="en-US" w:eastAsia="zh-CN" w:bidi="ar-SA"/>
              </w:rPr>
              <w:t>（2）</w:t>
            </w:r>
            <w:r>
              <w:rPr>
                <w:rFonts w:hint="eastAsia" w:ascii="Times New Roman" w:hAnsi="Times New Roman" w:eastAsia="宋体" w:cs="Times New Roman"/>
                <w:b/>
                <w:bCs/>
                <w:color w:val="auto"/>
                <w:sz w:val="24"/>
              </w:rPr>
              <w:t>筒仓粉尘</w:t>
            </w:r>
          </w:p>
          <w:p w14:paraId="5D22C571">
            <w:pPr>
              <w:numPr>
                <w:ilvl w:val="0"/>
                <w:numId w:val="0"/>
              </w:numPr>
              <w:spacing w:line="360" w:lineRule="auto"/>
              <w:ind w:left="0" w:leftChars="0" w:firstLine="480" w:firstLineChars="200"/>
              <w:rPr>
                <w:rFonts w:hint="eastAsia"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本项目设有</w:t>
            </w:r>
            <w:r>
              <w:rPr>
                <w:rFonts w:hint="eastAsia" w:cs="Times New Roman"/>
                <w:color w:val="auto"/>
                <w:kern w:val="0"/>
                <w:sz w:val="24"/>
                <w:lang w:val="en-US" w:eastAsia="zh-CN"/>
              </w:rPr>
              <w:t>4</w:t>
            </w:r>
            <w:r>
              <w:rPr>
                <w:rFonts w:hint="default" w:ascii="Times New Roman" w:hAnsi="Times New Roman" w:eastAsia="宋体" w:cs="Times New Roman"/>
                <w:color w:val="auto"/>
                <w:kern w:val="0"/>
                <w:sz w:val="24"/>
              </w:rPr>
              <w:t>个筒仓，每个筒仓</w:t>
            </w:r>
            <w:r>
              <w:rPr>
                <w:rFonts w:hint="eastAsia" w:cs="Times New Roman"/>
                <w:color w:val="auto"/>
                <w:kern w:val="0"/>
                <w:sz w:val="24"/>
                <w:lang w:val="en-US" w:eastAsia="zh-CN"/>
              </w:rPr>
              <w:t>均</w:t>
            </w:r>
            <w:r>
              <w:rPr>
                <w:rFonts w:hint="default" w:ascii="Times New Roman" w:hAnsi="Times New Roman" w:eastAsia="宋体" w:cs="Times New Roman"/>
                <w:color w:val="auto"/>
                <w:kern w:val="0"/>
                <w:sz w:val="24"/>
                <w:lang w:val="en-US" w:eastAsia="zh-CN"/>
              </w:rPr>
              <w:t>设</w:t>
            </w:r>
            <w:r>
              <w:rPr>
                <w:rFonts w:hint="eastAsia" w:cs="Times New Roman"/>
                <w:color w:val="auto"/>
                <w:kern w:val="0"/>
                <w:sz w:val="24"/>
                <w:lang w:val="en-US" w:eastAsia="zh-CN"/>
              </w:rPr>
              <w:t>置1套脉冲</w:t>
            </w:r>
            <w:r>
              <w:rPr>
                <w:rFonts w:hint="default" w:ascii="Times New Roman" w:hAnsi="Times New Roman" w:eastAsia="宋体" w:cs="Times New Roman"/>
                <w:color w:val="auto"/>
                <w:kern w:val="0"/>
                <w:sz w:val="24"/>
              </w:rPr>
              <w:t>布袋除尘器进行过滤除尘，根据《排放源统计调查产排污核算方法和系数手册》（3021水泥制品制造（含3022砼结构构件制造、3029其他水泥类似制品制造）行业系数手册），颗粒物产污系数为0.12</w:t>
            </w:r>
            <w:r>
              <w:rPr>
                <w:rFonts w:hint="eastAsia" w:cs="Times New Roman"/>
                <w:color w:val="auto"/>
                <w:kern w:val="0"/>
                <w:sz w:val="24"/>
                <w:lang w:val="en-US" w:eastAsia="zh-CN"/>
              </w:rPr>
              <w:t>kg</w:t>
            </w:r>
            <w:r>
              <w:rPr>
                <w:rFonts w:hint="default" w:ascii="Times New Roman" w:hAnsi="Times New Roman" w:eastAsia="宋体" w:cs="Times New Roman"/>
                <w:color w:val="auto"/>
                <w:kern w:val="0"/>
                <w:sz w:val="24"/>
              </w:rPr>
              <w:t>/</w:t>
            </w:r>
            <w:r>
              <w:rPr>
                <w:rFonts w:hint="eastAsia" w:cs="Times New Roman"/>
                <w:color w:val="auto"/>
                <w:kern w:val="0"/>
                <w:sz w:val="24"/>
                <w:lang w:val="en-US" w:eastAsia="zh-CN"/>
              </w:rPr>
              <w:t>t</w:t>
            </w:r>
            <w:r>
              <w:rPr>
                <w:rFonts w:hint="default" w:ascii="Times New Roman" w:hAnsi="Times New Roman" w:eastAsia="宋体" w:cs="Times New Roman"/>
                <w:color w:val="auto"/>
                <w:kern w:val="0"/>
                <w:sz w:val="24"/>
              </w:rPr>
              <w:t>-产品。本项目产品量为480000t/a，</w:t>
            </w:r>
            <w:r>
              <w:rPr>
                <w:rFonts w:hint="eastAsia" w:cs="Times New Roman"/>
                <w:color w:val="auto"/>
                <w:kern w:val="0"/>
                <w:sz w:val="24"/>
                <w:lang w:val="en-US" w:eastAsia="zh-CN"/>
              </w:rPr>
              <w:t>年生产时间为1920h，</w:t>
            </w:r>
            <w:r>
              <w:rPr>
                <w:rFonts w:hint="default" w:ascii="Times New Roman" w:hAnsi="Times New Roman" w:eastAsia="宋体" w:cs="Times New Roman"/>
                <w:color w:val="auto"/>
                <w:kern w:val="0"/>
                <w:sz w:val="24"/>
              </w:rPr>
              <w:t>筒仓产生的颗粒物总量为57.6t/a，产生速率</w:t>
            </w:r>
            <w:r>
              <w:rPr>
                <w:rFonts w:hint="eastAsia" w:cs="Times New Roman"/>
                <w:color w:val="auto"/>
                <w:kern w:val="0"/>
                <w:sz w:val="24"/>
                <w:lang w:val="en-US" w:eastAsia="zh-CN"/>
              </w:rPr>
              <w:t>30</w:t>
            </w:r>
            <w:r>
              <w:rPr>
                <w:rFonts w:hint="default" w:ascii="Times New Roman" w:hAnsi="Times New Roman" w:eastAsia="宋体" w:cs="Times New Roman"/>
                <w:color w:val="auto"/>
                <w:kern w:val="0"/>
                <w:sz w:val="24"/>
              </w:rPr>
              <w:t>kg/h</w:t>
            </w:r>
            <w:r>
              <w:rPr>
                <w:rFonts w:hint="eastAsia" w:cs="Times New Roman"/>
                <w:color w:val="auto"/>
                <w:kern w:val="0"/>
                <w:sz w:val="24"/>
                <w:lang w:eastAsia="zh-CN"/>
              </w:rPr>
              <w:t>。</w:t>
            </w:r>
            <w:r>
              <w:rPr>
                <w:rFonts w:hint="eastAsia" w:cs="Times New Roman"/>
                <w:color w:val="auto"/>
                <w:kern w:val="0"/>
                <w:sz w:val="24"/>
                <w:lang w:val="en-US" w:eastAsia="zh-CN"/>
              </w:rPr>
              <w:t>筒仓颗粒物属于间歇式排放，在筒仓进料时筒仓顶部会有废气排出，且排放时间较短，其次筒仓高度较高，不具备排气筒安装条件，因此，筒仓粉尘</w:t>
            </w:r>
            <w:r>
              <w:rPr>
                <w:rFonts w:hint="default" w:ascii="Times New Roman" w:hAnsi="Times New Roman" w:eastAsia="宋体" w:cs="Times New Roman"/>
                <w:color w:val="auto"/>
                <w:kern w:val="0"/>
                <w:sz w:val="24"/>
              </w:rPr>
              <w:t>经脉冲布袋除尘器（</w:t>
            </w:r>
            <w:r>
              <w:rPr>
                <w:rFonts w:hint="eastAsia" w:cs="Times New Roman"/>
                <w:color w:val="auto"/>
                <w:kern w:val="0"/>
                <w:sz w:val="24"/>
                <w:lang w:val="en-US" w:eastAsia="zh-CN"/>
              </w:rPr>
              <w:t>根据</w:t>
            </w:r>
            <w:r>
              <w:rPr>
                <w:rFonts w:hint="default" w:ascii="Times New Roman" w:hAnsi="Times New Roman" w:eastAsia="宋体" w:cs="Times New Roman"/>
                <w:color w:val="auto"/>
                <w:kern w:val="0"/>
                <w:sz w:val="24"/>
              </w:rPr>
              <w:t>《排放源统计调查产排污核算方法和系数手册》（3021水泥制品制造（含3022砼结构构件制造、3029其他水泥类似制品制造）行业系数手册）</w:t>
            </w:r>
            <w:r>
              <w:rPr>
                <w:rFonts w:hint="eastAsia" w:ascii="Times New Roman" w:hAnsi="Times New Roman" w:eastAsia="宋体" w:cs="Times New Roman"/>
                <w:color w:val="auto"/>
                <w:kern w:val="0"/>
                <w:sz w:val="24"/>
                <w:lang w:val="en-US" w:eastAsia="zh-CN"/>
              </w:rPr>
              <w:t>袋式除尘</w:t>
            </w:r>
            <w:r>
              <w:rPr>
                <w:rFonts w:hint="default" w:ascii="Times New Roman" w:hAnsi="Times New Roman" w:eastAsia="宋体" w:cs="Times New Roman"/>
                <w:color w:val="auto"/>
                <w:kern w:val="0"/>
                <w:sz w:val="24"/>
              </w:rPr>
              <w:t>效率</w:t>
            </w:r>
            <w:r>
              <w:rPr>
                <w:rFonts w:hint="eastAsia" w:cs="Times New Roman"/>
                <w:color w:val="auto"/>
                <w:kern w:val="0"/>
                <w:sz w:val="24"/>
                <w:lang w:val="en-US" w:eastAsia="zh-CN"/>
              </w:rPr>
              <w:t>为</w:t>
            </w:r>
            <w:r>
              <w:rPr>
                <w:rFonts w:hint="default" w:ascii="Times New Roman" w:hAnsi="Times New Roman" w:eastAsia="宋体" w:cs="Times New Roman"/>
                <w:color w:val="auto"/>
                <w:kern w:val="0"/>
                <w:sz w:val="24"/>
              </w:rPr>
              <w:t>99.7%）处理后</w:t>
            </w:r>
            <w:r>
              <w:rPr>
                <w:rFonts w:hint="eastAsia" w:cs="Times New Roman"/>
                <w:color w:val="auto"/>
                <w:kern w:val="0"/>
                <w:sz w:val="24"/>
                <w:lang w:val="en-US" w:eastAsia="zh-CN"/>
              </w:rPr>
              <w:t>以无组织形式</w:t>
            </w:r>
            <w:r>
              <w:rPr>
                <w:rFonts w:hint="default" w:ascii="Times New Roman" w:hAnsi="Times New Roman" w:eastAsia="宋体" w:cs="Times New Roman"/>
                <w:color w:val="auto"/>
                <w:kern w:val="0"/>
                <w:sz w:val="24"/>
              </w:rPr>
              <w:t>排放，筒仓颗粒物的排放量为0.173t/a，排放速率为</w:t>
            </w:r>
            <w:r>
              <w:rPr>
                <w:rFonts w:hint="eastAsia" w:cs="Times New Roman"/>
                <w:color w:val="auto"/>
                <w:kern w:val="0"/>
                <w:sz w:val="24"/>
                <w:lang w:val="en-US" w:eastAsia="zh-CN"/>
              </w:rPr>
              <w:t>0.09</w:t>
            </w:r>
            <w:r>
              <w:rPr>
                <w:rFonts w:hint="default" w:ascii="Times New Roman" w:hAnsi="Times New Roman" w:eastAsia="宋体" w:cs="Times New Roman"/>
                <w:color w:val="auto"/>
                <w:kern w:val="0"/>
                <w:sz w:val="24"/>
              </w:rPr>
              <w:t>kg/h</w:t>
            </w:r>
            <w:r>
              <w:rPr>
                <w:rFonts w:hint="eastAsia" w:cs="Times New Roman"/>
                <w:color w:val="auto"/>
                <w:kern w:val="0"/>
                <w:sz w:val="24"/>
                <w:lang w:eastAsia="zh-CN"/>
              </w:rPr>
              <w:t>。</w:t>
            </w:r>
            <w:r>
              <w:rPr>
                <w:rFonts w:hint="eastAsia" w:cs="Times New Roman"/>
                <w:sz w:val="24"/>
                <w:highlight w:val="none"/>
                <w:lang w:val="en-US" w:eastAsia="zh-CN"/>
              </w:rPr>
              <w:t>筒仓</w:t>
            </w:r>
            <w:r>
              <w:rPr>
                <w:rFonts w:hint="default" w:ascii="Times New Roman" w:hAnsi="Times New Roman" w:cs="Times New Roman"/>
                <w:sz w:val="24"/>
                <w:highlight w:val="none"/>
                <w:lang w:val="en-US" w:eastAsia="zh-CN"/>
              </w:rPr>
              <w:t>无组织颗粒物的排放浓度</w:t>
            </w:r>
            <w:r>
              <w:rPr>
                <w:rFonts w:hint="default" w:ascii="Times New Roman" w:hAnsi="Times New Roman" w:cs="Times New Roman"/>
                <w:sz w:val="24"/>
                <w:highlight w:val="none"/>
              </w:rPr>
              <w:t>可满足</w:t>
            </w:r>
            <w:r>
              <w:rPr>
                <w:rFonts w:hint="eastAsia"/>
                <w:color w:val="auto"/>
                <w:sz w:val="24"/>
                <w:szCs w:val="24"/>
              </w:rPr>
              <w:t>《水泥工业大气污染物排放标准》（GB4915-2013）表</w:t>
            </w:r>
            <w:r>
              <w:rPr>
                <w:rFonts w:hint="eastAsia"/>
                <w:color w:val="auto"/>
                <w:sz w:val="24"/>
                <w:szCs w:val="24"/>
                <w:lang w:val="en-US" w:eastAsia="zh-CN"/>
              </w:rPr>
              <w:t>3</w:t>
            </w:r>
            <w:r>
              <w:rPr>
                <w:rFonts w:hint="eastAsia"/>
                <w:color w:val="auto"/>
                <w:sz w:val="24"/>
                <w:szCs w:val="24"/>
              </w:rPr>
              <w:t>大气污染物</w:t>
            </w:r>
            <w:r>
              <w:rPr>
                <w:rFonts w:hint="eastAsia"/>
                <w:color w:val="auto"/>
                <w:sz w:val="24"/>
                <w:szCs w:val="24"/>
                <w:lang w:val="en-US" w:eastAsia="zh-CN"/>
              </w:rPr>
              <w:t>无组织</w:t>
            </w:r>
            <w:r>
              <w:rPr>
                <w:rFonts w:hint="eastAsia"/>
                <w:color w:val="auto"/>
                <w:sz w:val="24"/>
                <w:szCs w:val="24"/>
              </w:rPr>
              <w:t>排放</w:t>
            </w:r>
            <w:r>
              <w:rPr>
                <w:rFonts w:hint="eastAsia"/>
                <w:color w:val="auto"/>
                <w:sz w:val="24"/>
                <w:szCs w:val="24"/>
                <w:lang w:val="en-US" w:eastAsia="zh-CN"/>
              </w:rPr>
              <w:t>浓度0.5mg/m</w:t>
            </w:r>
            <w:r>
              <w:rPr>
                <w:rFonts w:hint="eastAsia"/>
                <w:color w:val="auto"/>
                <w:sz w:val="24"/>
                <w:szCs w:val="24"/>
                <w:vertAlign w:val="superscript"/>
                <w:lang w:val="en-US" w:eastAsia="zh-CN"/>
              </w:rPr>
              <w:t>3</w:t>
            </w:r>
            <w:r>
              <w:rPr>
                <w:rFonts w:hint="eastAsia"/>
                <w:color w:val="auto"/>
                <w:sz w:val="24"/>
                <w:szCs w:val="24"/>
                <w:vertAlign w:val="baseline"/>
                <w:lang w:val="en-US" w:eastAsia="zh-CN"/>
              </w:rPr>
              <w:t>的</w:t>
            </w:r>
            <w:r>
              <w:rPr>
                <w:rFonts w:hint="eastAsia"/>
                <w:color w:val="auto"/>
                <w:sz w:val="24"/>
                <w:szCs w:val="24"/>
              </w:rPr>
              <w:t>限值</w:t>
            </w:r>
            <w:r>
              <w:rPr>
                <w:rFonts w:hint="eastAsia"/>
                <w:color w:val="auto"/>
                <w:sz w:val="24"/>
                <w:szCs w:val="24"/>
                <w:lang w:val="en-US" w:eastAsia="zh-CN"/>
              </w:rPr>
              <w:t>要求，</w:t>
            </w:r>
            <w:r>
              <w:rPr>
                <w:rFonts w:hint="eastAsia" w:cs="Times New Roman"/>
                <w:sz w:val="24"/>
                <w:lang w:val="en-US" w:eastAsia="zh-CN"/>
              </w:rPr>
              <w:t>对周围环境影响不大</w:t>
            </w:r>
            <w:r>
              <w:rPr>
                <w:rFonts w:hint="default" w:ascii="Times New Roman" w:hAnsi="Times New Roman" w:cs="Times New Roman"/>
                <w:sz w:val="24"/>
                <w:lang w:eastAsia="zh-CN"/>
              </w:rPr>
              <w:t>。</w:t>
            </w:r>
          </w:p>
          <w:p w14:paraId="04384B3D">
            <w:pPr>
              <w:widowControl/>
              <w:spacing w:line="360" w:lineRule="auto"/>
              <w:jc w:val="left"/>
              <w:rPr>
                <w:b/>
                <w:bCs/>
                <w:color w:val="auto"/>
                <w:sz w:val="24"/>
                <w:highlight w:val="yellow"/>
              </w:rPr>
            </w:pPr>
            <w:r>
              <w:rPr>
                <w:rFonts w:hint="eastAsia"/>
                <w:b/>
                <w:bCs/>
                <w:color w:val="auto"/>
                <w:sz w:val="24"/>
                <w:lang w:eastAsia="zh-CN"/>
              </w:rPr>
              <w:t>（</w:t>
            </w:r>
            <w:r>
              <w:rPr>
                <w:rFonts w:hint="eastAsia"/>
                <w:b/>
                <w:bCs/>
                <w:color w:val="auto"/>
                <w:sz w:val="24"/>
                <w:lang w:val="en-US" w:eastAsia="zh-CN"/>
              </w:rPr>
              <w:t>3</w:t>
            </w:r>
            <w:r>
              <w:rPr>
                <w:rFonts w:hint="eastAsia"/>
                <w:b/>
                <w:bCs/>
                <w:color w:val="auto"/>
                <w:sz w:val="24"/>
                <w:lang w:eastAsia="zh-CN"/>
              </w:rPr>
              <w:t>）</w:t>
            </w:r>
            <w:r>
              <w:rPr>
                <w:rFonts w:hint="eastAsia"/>
                <w:b/>
                <w:bCs/>
                <w:color w:val="auto"/>
                <w:sz w:val="24"/>
              </w:rPr>
              <w:t>料场扬尘及装卸扬尘</w:t>
            </w:r>
          </w:p>
          <w:p w14:paraId="1B23320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cs="Times New Roman"/>
                <w:color w:val="auto"/>
                <w:kern w:val="0"/>
                <w:sz w:val="24"/>
                <w:lang w:val="en-US" w:eastAsia="zh-CN"/>
              </w:rPr>
              <w:t>本</w:t>
            </w:r>
            <w:r>
              <w:rPr>
                <w:rFonts w:ascii="Times New Roman" w:hAnsi="Times New Roman" w:eastAsia="宋体" w:cs="Times New Roman"/>
                <w:color w:val="auto"/>
                <w:kern w:val="0"/>
                <w:sz w:val="24"/>
              </w:rPr>
              <w:t>项目砂石</w:t>
            </w:r>
            <w:r>
              <w:rPr>
                <w:rFonts w:hint="eastAsia" w:cs="Times New Roman"/>
                <w:color w:val="auto"/>
                <w:kern w:val="0"/>
                <w:sz w:val="24"/>
                <w:lang w:val="en-US" w:eastAsia="zh-CN"/>
              </w:rPr>
              <w:t>料</w:t>
            </w:r>
            <w:r>
              <w:rPr>
                <w:rFonts w:ascii="Times New Roman" w:hAnsi="Times New Roman" w:eastAsia="宋体" w:cs="Times New Roman"/>
                <w:color w:val="auto"/>
                <w:kern w:val="0"/>
                <w:sz w:val="24"/>
              </w:rPr>
              <w:t>堆场</w:t>
            </w:r>
            <w:r>
              <w:rPr>
                <w:rFonts w:hint="eastAsia" w:cs="Times New Roman"/>
                <w:color w:val="auto"/>
                <w:kern w:val="0"/>
                <w:sz w:val="24"/>
                <w:lang w:val="en-US" w:eastAsia="zh-CN"/>
              </w:rPr>
              <w:t>的</w:t>
            </w:r>
            <w:r>
              <w:rPr>
                <w:rFonts w:ascii="Times New Roman" w:hAnsi="Times New Roman" w:eastAsia="宋体" w:cs="Times New Roman"/>
                <w:color w:val="auto"/>
                <w:kern w:val="0"/>
                <w:sz w:val="24"/>
              </w:rPr>
              <w:t>粉尘主要是砂石料中粒径较小的砂粒在风力作用、机械装卸过程中</w:t>
            </w:r>
            <w:r>
              <w:rPr>
                <w:rFonts w:hint="eastAsia" w:cs="Times New Roman"/>
                <w:color w:val="auto"/>
                <w:kern w:val="0"/>
                <w:sz w:val="24"/>
                <w:lang w:val="en-US" w:eastAsia="zh-CN"/>
              </w:rPr>
              <w:t>产生的扬</w:t>
            </w:r>
            <w:r>
              <w:rPr>
                <w:rFonts w:ascii="Times New Roman" w:hAnsi="Times New Roman" w:eastAsia="宋体" w:cs="Times New Roman"/>
                <w:color w:val="auto"/>
                <w:kern w:val="0"/>
                <w:sz w:val="24"/>
              </w:rPr>
              <w:t>尘，</w:t>
            </w:r>
            <w:r>
              <w:rPr>
                <w:rFonts w:hint="eastAsia" w:ascii="Times New Roman" w:hAnsi="Times New Roman" w:eastAsia="宋体" w:cs="Times New Roman"/>
                <w:color w:val="auto"/>
                <w:kern w:val="0"/>
                <w:sz w:val="24"/>
              </w:rPr>
              <w:t>通过对</w:t>
            </w:r>
            <w:r>
              <w:rPr>
                <w:rFonts w:ascii="Times New Roman" w:hAnsi="Times New Roman" w:eastAsia="宋体" w:cs="Times New Roman"/>
                <w:color w:val="auto"/>
                <w:kern w:val="0"/>
                <w:sz w:val="24"/>
              </w:rPr>
              <w:t>料场全覆盖洒水</w:t>
            </w:r>
            <w:r>
              <w:rPr>
                <w:rFonts w:hint="eastAsia" w:ascii="Times New Roman" w:hAnsi="Times New Roman" w:eastAsia="宋体" w:cs="Times New Roman"/>
                <w:color w:val="auto"/>
                <w:kern w:val="0"/>
                <w:sz w:val="24"/>
              </w:rPr>
              <w:t>降尘</w:t>
            </w:r>
            <w:r>
              <w:rPr>
                <w:rFonts w:ascii="Times New Roman" w:hAnsi="Times New Roman" w:eastAsia="宋体" w:cs="Times New Roman"/>
                <w:color w:val="auto"/>
                <w:kern w:val="0"/>
                <w:sz w:val="24"/>
              </w:rPr>
              <w:t>，</w:t>
            </w:r>
            <w:r>
              <w:rPr>
                <w:rFonts w:hint="eastAsia" w:cs="Times New Roman"/>
                <w:color w:val="auto"/>
                <w:kern w:val="0"/>
                <w:sz w:val="24"/>
                <w:lang w:val="en-US" w:eastAsia="zh-CN"/>
              </w:rPr>
              <w:t>能有效</w:t>
            </w:r>
            <w:r>
              <w:rPr>
                <w:rFonts w:ascii="Times New Roman" w:hAnsi="Times New Roman" w:eastAsia="宋体" w:cs="Times New Roman"/>
                <w:color w:val="auto"/>
                <w:kern w:val="0"/>
                <w:sz w:val="24"/>
              </w:rPr>
              <w:t>减少堆场的起尘量。因此，项目砂石扬尘主要产生于装卸环节。</w:t>
            </w:r>
          </w:p>
          <w:p w14:paraId="485CD04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cs="Times New Roman"/>
                <w:color w:val="auto"/>
                <w:kern w:val="0"/>
                <w:sz w:val="24"/>
                <w:lang w:val="en-US" w:eastAsia="zh-CN"/>
              </w:rPr>
              <w:t>根据</w:t>
            </w:r>
            <w:r>
              <w:rPr>
                <w:rFonts w:ascii="宋体" w:hAnsi="宋体" w:eastAsia="宋体" w:cs="宋体"/>
                <w:b w:val="0"/>
                <w:bCs w:val="0"/>
                <w:color w:val="000000"/>
                <w:sz w:val="24"/>
                <w:szCs w:val="24"/>
              </w:rPr>
              <w:t>《排放源统计调查产排污核算方法和系数手册》</w:t>
            </w:r>
            <w:r>
              <w:rPr>
                <w:rFonts w:hint="eastAsia" w:ascii="宋体" w:hAnsi="宋体" w:eastAsia="宋体" w:cs="宋体"/>
                <w:b w:val="0"/>
                <w:bCs w:val="0"/>
                <w:color w:val="000000"/>
                <w:sz w:val="24"/>
                <w:szCs w:val="24"/>
                <w:lang w:val="en-US" w:eastAsia="zh-CN"/>
              </w:rPr>
              <w:t>中</w:t>
            </w:r>
            <w:r>
              <w:rPr>
                <w:rFonts w:hint="eastAsia" w:cs="Times New Roman"/>
                <w:color w:val="auto"/>
                <w:kern w:val="0"/>
                <w:sz w:val="24"/>
                <w:lang w:val="en-US" w:eastAsia="zh-CN"/>
              </w:rPr>
              <w:t>《工业源固体物料堆场颗粒物核算系数手册》颗粒物产生量采用以下公式来计算</w:t>
            </w:r>
            <w:r>
              <w:rPr>
                <w:rFonts w:ascii="Times New Roman" w:hAnsi="Times New Roman" w:eastAsia="宋体" w:cs="Times New Roman"/>
                <w:color w:val="auto"/>
                <w:kern w:val="0"/>
                <w:sz w:val="24"/>
              </w:rPr>
              <w:t>：</w:t>
            </w:r>
          </w:p>
          <w:p w14:paraId="79F70C0C">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1）颗粒物产生量核算</w:t>
            </w:r>
          </w:p>
          <w:p w14:paraId="16E6C142">
            <w:pPr>
              <w:pStyle w:val="6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Cs/>
                <w:color w:val="auto"/>
                <w:sz w:val="24"/>
                <w:vertAlign w:val="superscript"/>
                <w:lang w:val="en-US" w:eastAsia="zh-CN"/>
              </w:rPr>
            </w:pPr>
            <w:r>
              <w:rPr>
                <w:rFonts w:hint="default" w:ascii="Times New Roman" w:hAnsi="Times New Roman" w:cs="Times New Roman"/>
                <w:bCs/>
                <w:color w:val="auto"/>
                <w:sz w:val="24"/>
                <w:lang w:val="en-US" w:eastAsia="zh-CN"/>
              </w:rPr>
              <w:t>P=ZCy+FCy={Nc×D×（a/b）+2×E</w:t>
            </w:r>
            <w:r>
              <w:rPr>
                <w:rFonts w:hint="default" w:ascii="Times New Roman" w:hAnsi="Times New Roman" w:cs="Times New Roman"/>
                <w:bCs/>
                <w:color w:val="auto"/>
                <w:sz w:val="24"/>
                <w:vertAlign w:val="subscript"/>
                <w:lang w:val="en-US" w:eastAsia="zh-CN"/>
              </w:rPr>
              <w:t>f</w:t>
            </w:r>
            <w:r>
              <w:rPr>
                <w:rFonts w:hint="default" w:ascii="Times New Roman" w:hAnsi="Times New Roman" w:cs="Times New Roman"/>
                <w:bCs/>
                <w:color w:val="auto"/>
                <w:sz w:val="24"/>
                <w:lang w:val="en-US" w:eastAsia="zh-CN"/>
              </w:rPr>
              <w:t>×S}×10</w:t>
            </w:r>
            <w:r>
              <w:rPr>
                <w:rFonts w:hint="default" w:ascii="Times New Roman" w:hAnsi="Times New Roman" w:cs="Times New Roman"/>
                <w:bCs/>
                <w:color w:val="auto"/>
                <w:sz w:val="24"/>
                <w:vertAlign w:val="superscript"/>
                <w:lang w:val="en-US" w:eastAsia="zh-CN"/>
              </w:rPr>
              <w:t>-3</w:t>
            </w:r>
          </w:p>
          <w:p w14:paraId="05E004F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rPr>
              <w:t>式中：</w:t>
            </w:r>
            <w:r>
              <w:rPr>
                <w:rStyle w:val="68"/>
                <w:rFonts w:hint="default" w:ascii="Times New Roman" w:hAnsi="Times New Roman" w:cs="Times New Roman"/>
                <w:color w:val="auto"/>
                <w:sz w:val="24"/>
                <w:szCs w:val="24"/>
                <w:lang w:eastAsia="zh-CN"/>
              </w:rPr>
              <w:t>P—</w:t>
            </w:r>
            <w:r>
              <w:rPr>
                <w:rStyle w:val="69"/>
                <w:rFonts w:hint="default" w:ascii="Times New Roman" w:hAnsi="Times New Roman" w:cs="Times New Roman"/>
                <w:color w:val="auto"/>
                <w:sz w:val="24"/>
                <w:szCs w:val="24"/>
                <w:lang w:eastAsia="zh-CN"/>
              </w:rPr>
              <w:t>指颗粒物产生量（t）；</w:t>
            </w:r>
          </w:p>
          <w:p w14:paraId="57C95430">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24"/>
                <w:lang w:eastAsia="zh-CN"/>
              </w:rPr>
            </w:pPr>
            <w:r>
              <w:rPr>
                <w:rStyle w:val="68"/>
                <w:rFonts w:hint="default" w:ascii="Times New Roman" w:hAnsi="Times New Roman" w:cs="Times New Roman"/>
                <w:color w:val="auto"/>
                <w:sz w:val="24"/>
                <w:szCs w:val="24"/>
                <w:lang w:eastAsia="zh-CN"/>
              </w:rPr>
              <w:t>ZCy—</w:t>
            </w:r>
            <w:r>
              <w:rPr>
                <w:rStyle w:val="69"/>
                <w:rFonts w:hint="default" w:ascii="Times New Roman" w:hAnsi="Times New Roman" w:cs="Times New Roman"/>
                <w:color w:val="auto"/>
                <w:sz w:val="24"/>
                <w:szCs w:val="24"/>
                <w:lang w:eastAsia="zh-CN"/>
              </w:rPr>
              <w:t>指装卸扬尘产生量（t）；</w:t>
            </w:r>
          </w:p>
          <w:p w14:paraId="7E60A3DC">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24"/>
                <w:lang w:eastAsia="zh-CN"/>
              </w:rPr>
            </w:pPr>
            <w:r>
              <w:rPr>
                <w:rStyle w:val="68"/>
                <w:rFonts w:hint="default" w:ascii="Times New Roman" w:hAnsi="Times New Roman" w:cs="Times New Roman"/>
                <w:color w:val="auto"/>
                <w:sz w:val="24"/>
                <w:szCs w:val="24"/>
                <w:lang w:eastAsia="zh-CN"/>
              </w:rPr>
              <w:t>FCy—</w:t>
            </w:r>
            <w:r>
              <w:rPr>
                <w:rStyle w:val="69"/>
                <w:rFonts w:hint="default" w:ascii="Times New Roman" w:hAnsi="Times New Roman" w:cs="Times New Roman"/>
                <w:color w:val="auto"/>
                <w:sz w:val="24"/>
                <w:szCs w:val="24"/>
                <w:lang w:eastAsia="zh-CN"/>
              </w:rPr>
              <w:t>指风蚀扬尘产生量（t）；</w:t>
            </w:r>
          </w:p>
          <w:p w14:paraId="65260F37">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24"/>
                <w:lang w:eastAsia="zh-CN"/>
              </w:rPr>
            </w:pPr>
            <w:r>
              <w:rPr>
                <w:rStyle w:val="68"/>
                <w:rFonts w:hint="default" w:ascii="Times New Roman" w:hAnsi="Times New Roman" w:cs="Times New Roman"/>
                <w:color w:val="auto"/>
                <w:sz w:val="24"/>
                <w:szCs w:val="24"/>
                <w:lang w:eastAsia="zh-CN"/>
              </w:rPr>
              <w:t>Nc—</w:t>
            </w:r>
            <w:r>
              <w:rPr>
                <w:rStyle w:val="69"/>
                <w:rFonts w:hint="default" w:ascii="Times New Roman" w:hAnsi="Times New Roman" w:cs="Times New Roman"/>
                <w:color w:val="auto"/>
                <w:sz w:val="24"/>
                <w:szCs w:val="24"/>
                <w:lang w:eastAsia="zh-CN"/>
              </w:rPr>
              <w:t>指年物料（车）；</w:t>
            </w:r>
          </w:p>
          <w:p w14:paraId="14B1C067">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ascii="TimesNewRomanPSMT" w:hAnsi="TimesNewRomanPSMT"/>
                <w:color w:val="auto"/>
                <w:sz w:val="24"/>
                <w:szCs w:val="24"/>
                <w:lang w:eastAsia="zh-CN"/>
              </w:rPr>
            </w:pPr>
            <w:r>
              <w:rPr>
                <w:rStyle w:val="68"/>
                <w:rFonts w:hint="default" w:ascii="Times New Roman" w:hAnsi="Times New Roman" w:cs="Times New Roman"/>
                <w:color w:val="auto"/>
                <w:sz w:val="24"/>
                <w:szCs w:val="24"/>
                <w:lang w:eastAsia="zh-CN"/>
              </w:rPr>
              <w:t>D—</w:t>
            </w:r>
            <w:r>
              <w:rPr>
                <w:rStyle w:val="69"/>
                <w:rFonts w:hint="default" w:ascii="Times New Roman" w:hAnsi="Times New Roman" w:cs="Times New Roman"/>
                <w:color w:val="auto"/>
                <w:sz w:val="24"/>
                <w:szCs w:val="24"/>
                <w:lang w:eastAsia="zh-CN"/>
              </w:rPr>
              <w:t>指单车平均运载量（t</w:t>
            </w:r>
            <w:r>
              <w:rPr>
                <w:rStyle w:val="68"/>
                <w:rFonts w:hint="default" w:ascii="Times New Roman" w:hAnsi="Times New Roman" w:cs="Times New Roman"/>
                <w:color w:val="auto"/>
                <w:sz w:val="24"/>
                <w:szCs w:val="24"/>
                <w:lang w:eastAsia="zh-CN"/>
              </w:rPr>
              <w:t>/</w:t>
            </w:r>
            <w:r>
              <w:rPr>
                <w:rStyle w:val="69"/>
                <w:rFonts w:hint="default" w:ascii="Times New Roman" w:hAnsi="Times New Roman" w:cs="Times New Roman"/>
                <w:color w:val="auto"/>
                <w:sz w:val="24"/>
                <w:szCs w:val="24"/>
                <w:lang w:eastAsia="zh-CN"/>
              </w:rPr>
              <w:t>车）</w:t>
            </w:r>
            <w:r>
              <w:rPr>
                <w:rStyle w:val="69"/>
                <w:rFonts w:ascii="Times New Roman" w:hAnsi="Times New Roman"/>
                <w:color w:val="auto"/>
                <w:sz w:val="24"/>
                <w:szCs w:val="24"/>
                <w:lang w:eastAsia="zh-CN"/>
              </w:rPr>
              <w:t>；</w:t>
            </w:r>
          </w:p>
          <w:p w14:paraId="185DA055">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Style w:val="69"/>
                <w:rFonts w:hint="eastAsia"/>
                <w:color w:val="auto"/>
                <w:sz w:val="24"/>
                <w:szCs w:val="24"/>
                <w:lang w:val="en-US" w:eastAsia="zh-CN"/>
              </w:rPr>
            </w:pPr>
            <w:r>
              <w:rPr>
                <w:rStyle w:val="69"/>
                <w:rFonts w:hint="eastAsia" w:ascii="Times New Roman" w:hAnsi="Times New Roman"/>
                <w:color w:val="auto"/>
                <w:sz w:val="24"/>
                <w:szCs w:val="24"/>
                <w:lang w:eastAsia="zh-CN"/>
              </w:rPr>
              <w:t>（a/b）—</w:t>
            </w:r>
            <w:r>
              <w:rPr>
                <w:rStyle w:val="69"/>
                <w:rFonts w:ascii="Times New Roman" w:hAnsi="Times New Roman"/>
                <w:color w:val="auto"/>
                <w:sz w:val="24"/>
                <w:szCs w:val="24"/>
                <w:lang w:eastAsia="zh-CN"/>
              </w:rPr>
              <w:t>指装卸扬尘概化系数（</w:t>
            </w:r>
            <w:r>
              <w:rPr>
                <w:rStyle w:val="69"/>
                <w:rFonts w:hint="eastAsia" w:ascii="Times New Roman" w:hAnsi="Times New Roman"/>
                <w:color w:val="auto"/>
                <w:sz w:val="24"/>
                <w:szCs w:val="24"/>
                <w:lang w:eastAsia="zh-CN"/>
              </w:rPr>
              <w:t>kg</w:t>
            </w:r>
            <w:r>
              <w:rPr>
                <w:rStyle w:val="69"/>
                <w:rFonts w:ascii="Times New Roman" w:hAnsi="Times New Roman"/>
                <w:color w:val="auto"/>
                <w:sz w:val="24"/>
                <w:szCs w:val="24"/>
                <w:lang w:eastAsia="zh-CN"/>
              </w:rPr>
              <w:t>/</w:t>
            </w:r>
            <w:r>
              <w:rPr>
                <w:rStyle w:val="69"/>
                <w:rFonts w:hint="eastAsia" w:ascii="Times New Roman" w:hAnsi="Times New Roman"/>
                <w:color w:val="auto"/>
                <w:sz w:val="24"/>
                <w:szCs w:val="24"/>
                <w:lang w:eastAsia="zh-CN"/>
              </w:rPr>
              <w:t>t</w:t>
            </w:r>
            <w:r>
              <w:rPr>
                <w:rStyle w:val="69"/>
                <w:rFonts w:ascii="Times New Roman" w:hAnsi="Times New Roman"/>
                <w:color w:val="auto"/>
                <w:sz w:val="24"/>
                <w:szCs w:val="24"/>
                <w:lang w:eastAsia="zh-CN"/>
              </w:rPr>
              <w:t>），a指各省风速概化系数，见附录1，b指物料含水率概化系数，</w:t>
            </w:r>
            <w:r>
              <w:rPr>
                <w:rStyle w:val="69"/>
                <w:rFonts w:hint="eastAsia"/>
                <w:color w:val="auto"/>
                <w:sz w:val="24"/>
                <w:szCs w:val="24"/>
                <w:lang w:val="en-US" w:eastAsia="zh-CN"/>
              </w:rPr>
              <w:t>见附录2；</w:t>
            </w:r>
          </w:p>
          <w:p w14:paraId="2970FC9F">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Style w:val="69"/>
                <w:rFonts w:ascii="Times New Roman" w:hAnsi="Times New Roman"/>
                <w:color w:val="auto"/>
                <w:sz w:val="24"/>
                <w:szCs w:val="24"/>
                <w:lang w:eastAsia="zh-CN"/>
              </w:rPr>
            </w:pPr>
            <w:r>
              <w:rPr>
                <w:rStyle w:val="69"/>
                <w:rFonts w:ascii="Times New Roman" w:hAnsi="Times New Roman"/>
                <w:color w:val="auto"/>
                <w:sz w:val="24"/>
                <w:szCs w:val="24"/>
                <w:lang w:eastAsia="zh-CN"/>
              </w:rPr>
              <w:t>E</w:t>
            </w:r>
            <w:r>
              <w:rPr>
                <w:rStyle w:val="69"/>
                <w:rFonts w:ascii="Times New Roman" w:hAnsi="Times New Roman"/>
                <w:color w:val="auto"/>
                <w:sz w:val="24"/>
                <w:szCs w:val="24"/>
                <w:vertAlign w:val="subscript"/>
                <w:lang w:eastAsia="zh-CN"/>
              </w:rPr>
              <w:t>f</w:t>
            </w:r>
            <w:r>
              <w:rPr>
                <w:rStyle w:val="69"/>
                <w:rFonts w:hint="eastAsia" w:ascii="Times New Roman" w:hAnsi="Times New Roman"/>
                <w:color w:val="auto"/>
                <w:sz w:val="24"/>
                <w:szCs w:val="24"/>
                <w:vertAlign w:val="subscript"/>
                <w:lang w:eastAsia="zh-CN"/>
              </w:rPr>
              <w:t>—</w:t>
            </w:r>
            <w:r>
              <w:rPr>
                <w:rStyle w:val="69"/>
                <w:rFonts w:ascii="Times New Roman" w:hAnsi="Times New Roman"/>
                <w:color w:val="auto"/>
                <w:sz w:val="24"/>
                <w:szCs w:val="24"/>
                <w:lang w:eastAsia="zh-CN"/>
              </w:rPr>
              <w:t>指堆场风蚀扬尘概化系数，</w:t>
            </w:r>
            <w:r>
              <w:rPr>
                <w:rStyle w:val="69"/>
                <w:rFonts w:hint="eastAsia"/>
                <w:color w:val="auto"/>
                <w:sz w:val="24"/>
                <w:szCs w:val="24"/>
                <w:lang w:val="en-US" w:eastAsia="zh-CN"/>
              </w:rPr>
              <w:t>见附录3，</w:t>
            </w:r>
            <w:r>
              <w:rPr>
                <w:rStyle w:val="69"/>
                <w:rFonts w:ascii="Times New Roman" w:hAnsi="Times New Roman"/>
                <w:color w:val="auto"/>
                <w:sz w:val="24"/>
                <w:szCs w:val="24"/>
                <w:lang w:eastAsia="zh-CN"/>
              </w:rPr>
              <w:t>本项目取</w:t>
            </w:r>
            <w:r>
              <w:rPr>
                <w:rStyle w:val="69"/>
                <w:rFonts w:hint="eastAsia"/>
                <w:color w:val="auto"/>
                <w:sz w:val="24"/>
                <w:szCs w:val="24"/>
                <w:lang w:val="en-US" w:eastAsia="zh-CN"/>
              </w:rPr>
              <w:t>0</w:t>
            </w:r>
            <w:r>
              <w:rPr>
                <w:rStyle w:val="69"/>
                <w:rFonts w:ascii="Times New Roman" w:hAnsi="Times New Roman"/>
                <w:color w:val="auto"/>
                <w:sz w:val="24"/>
                <w:szCs w:val="24"/>
                <w:lang w:eastAsia="zh-CN"/>
              </w:rPr>
              <w:t>；</w:t>
            </w:r>
          </w:p>
          <w:p w14:paraId="42ECC043">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Style w:val="69"/>
                <w:rFonts w:ascii="Times New Roman" w:hAnsi="Times New Roman"/>
                <w:color w:val="auto"/>
                <w:sz w:val="24"/>
                <w:szCs w:val="24"/>
                <w:lang w:eastAsia="zh-CN"/>
              </w:rPr>
            </w:pPr>
            <w:r>
              <w:rPr>
                <w:rStyle w:val="69"/>
                <w:rFonts w:ascii="Times New Roman" w:hAnsi="Times New Roman"/>
                <w:color w:val="auto"/>
                <w:sz w:val="24"/>
                <w:szCs w:val="24"/>
                <w:lang w:eastAsia="zh-CN"/>
              </w:rPr>
              <w:t>S</w:t>
            </w:r>
            <w:r>
              <w:rPr>
                <w:rStyle w:val="69"/>
                <w:rFonts w:hint="eastAsia" w:ascii="Times New Roman" w:hAnsi="Times New Roman"/>
                <w:color w:val="auto"/>
                <w:sz w:val="24"/>
                <w:szCs w:val="24"/>
                <w:lang w:eastAsia="zh-CN"/>
              </w:rPr>
              <w:t>—</w:t>
            </w:r>
            <w:r>
              <w:rPr>
                <w:rStyle w:val="69"/>
                <w:rFonts w:ascii="Times New Roman" w:hAnsi="Times New Roman"/>
                <w:color w:val="auto"/>
                <w:sz w:val="24"/>
                <w:szCs w:val="24"/>
                <w:lang w:eastAsia="zh-CN"/>
              </w:rPr>
              <w:t>指堆场占地面积（</w:t>
            </w:r>
            <w:r>
              <w:rPr>
                <w:rStyle w:val="69"/>
                <w:rFonts w:hint="eastAsia" w:ascii="Times New Roman" w:hAnsi="Times New Roman"/>
                <w:color w:val="auto"/>
                <w:sz w:val="24"/>
                <w:szCs w:val="24"/>
                <w:lang w:eastAsia="zh-CN"/>
              </w:rPr>
              <w:t>m</w:t>
            </w:r>
            <w:r>
              <w:rPr>
                <w:rStyle w:val="69"/>
                <w:rFonts w:hint="eastAsia" w:ascii="Times New Roman" w:hAnsi="Times New Roman"/>
                <w:color w:val="auto"/>
                <w:sz w:val="24"/>
                <w:szCs w:val="24"/>
                <w:vertAlign w:val="superscript"/>
                <w:lang w:eastAsia="zh-CN"/>
              </w:rPr>
              <w:t>2</w:t>
            </w:r>
            <w:r>
              <w:rPr>
                <w:rStyle w:val="69"/>
                <w:rFonts w:ascii="Times New Roman" w:hAnsi="Times New Roman"/>
                <w:color w:val="auto"/>
                <w:sz w:val="24"/>
                <w:szCs w:val="24"/>
                <w:lang w:eastAsia="zh-CN"/>
              </w:rPr>
              <w:t>）。</w:t>
            </w:r>
          </w:p>
          <w:p w14:paraId="5F0D9A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val="en-US" w:eastAsia="zh-CN"/>
              </w:rPr>
            </w:pPr>
            <w:r>
              <w:rPr>
                <w:rStyle w:val="69"/>
                <w:rFonts w:ascii="Times New Roman" w:hAnsi="Times New Roman"/>
                <w:color w:val="auto"/>
                <w:sz w:val="24"/>
                <w:szCs w:val="24"/>
                <w:lang w:eastAsia="zh-CN"/>
              </w:rPr>
              <w:t>本项目</w:t>
            </w:r>
            <w:r>
              <w:rPr>
                <w:rStyle w:val="69"/>
                <w:rFonts w:hint="eastAsia"/>
                <w:color w:val="auto"/>
                <w:sz w:val="24"/>
                <w:szCs w:val="24"/>
                <w:lang w:val="en-US" w:eastAsia="zh-CN"/>
              </w:rPr>
              <w:t>位于新疆，故a</w:t>
            </w:r>
            <w:r>
              <w:rPr>
                <w:rStyle w:val="69"/>
                <w:rFonts w:ascii="Times New Roman" w:hAnsi="Times New Roman"/>
                <w:color w:val="auto"/>
                <w:sz w:val="24"/>
                <w:szCs w:val="24"/>
                <w:lang w:eastAsia="zh-CN"/>
              </w:rPr>
              <w:t>取0.0011，</w:t>
            </w:r>
            <w:r>
              <w:rPr>
                <w:rStyle w:val="69"/>
                <w:rFonts w:hint="eastAsia"/>
                <w:color w:val="auto"/>
                <w:sz w:val="24"/>
                <w:szCs w:val="24"/>
                <w:lang w:val="en-US" w:eastAsia="zh-CN"/>
              </w:rPr>
              <w:t>b取</w:t>
            </w:r>
            <w:r>
              <w:rPr>
                <w:rStyle w:val="69"/>
                <w:rFonts w:ascii="Times New Roman" w:hAnsi="Times New Roman"/>
                <w:color w:val="auto"/>
                <w:sz w:val="24"/>
                <w:szCs w:val="24"/>
                <w:lang w:eastAsia="zh-CN"/>
              </w:rPr>
              <w:t>0.00</w:t>
            </w:r>
            <w:r>
              <w:rPr>
                <w:rStyle w:val="69"/>
                <w:rFonts w:hint="eastAsia"/>
                <w:color w:val="auto"/>
                <w:sz w:val="24"/>
                <w:szCs w:val="24"/>
                <w:lang w:val="en-US" w:eastAsia="zh-CN"/>
              </w:rPr>
              <w:t>84，项目每年需装卸砂石料357200t，</w:t>
            </w:r>
            <w:r>
              <w:rPr>
                <w:rStyle w:val="69"/>
                <w:rFonts w:ascii="Times New Roman" w:hAnsi="Times New Roman"/>
                <w:color w:val="auto"/>
                <w:sz w:val="24"/>
                <w:szCs w:val="24"/>
                <w:lang w:eastAsia="zh-CN"/>
              </w:rPr>
              <w:t>单车平均运载量</w:t>
            </w:r>
            <w:r>
              <w:rPr>
                <w:rStyle w:val="69"/>
                <w:rFonts w:hint="eastAsia"/>
                <w:color w:val="auto"/>
                <w:sz w:val="24"/>
                <w:szCs w:val="24"/>
                <w:lang w:val="en-US" w:eastAsia="zh-CN"/>
              </w:rPr>
              <w:t>30t，</w:t>
            </w:r>
            <w:r>
              <w:rPr>
                <w:rStyle w:val="69"/>
                <w:rFonts w:ascii="Times New Roman" w:hAnsi="Times New Roman"/>
                <w:color w:val="auto"/>
                <w:sz w:val="24"/>
                <w:szCs w:val="24"/>
                <w:lang w:eastAsia="zh-CN"/>
              </w:rPr>
              <w:t>运载车次</w:t>
            </w:r>
            <w:r>
              <w:rPr>
                <w:rStyle w:val="69"/>
                <w:rFonts w:hint="eastAsia"/>
                <w:color w:val="auto"/>
                <w:sz w:val="24"/>
                <w:szCs w:val="24"/>
                <w:lang w:val="en-US" w:eastAsia="zh-CN"/>
              </w:rPr>
              <w:t>为11907，堆场面积约为3000</w:t>
            </w:r>
            <w:r>
              <w:rPr>
                <w:rStyle w:val="69"/>
                <w:rFonts w:hint="eastAsia" w:ascii="Times New Roman" w:hAnsi="Times New Roman"/>
                <w:color w:val="auto"/>
                <w:sz w:val="24"/>
                <w:szCs w:val="24"/>
                <w:lang w:eastAsia="zh-CN"/>
              </w:rPr>
              <w:t>m</w:t>
            </w:r>
            <w:r>
              <w:rPr>
                <w:rStyle w:val="69"/>
                <w:rFonts w:hint="eastAsia" w:ascii="Times New Roman" w:hAnsi="Times New Roman"/>
                <w:color w:val="auto"/>
                <w:sz w:val="24"/>
                <w:szCs w:val="24"/>
                <w:vertAlign w:val="superscript"/>
                <w:lang w:eastAsia="zh-CN"/>
              </w:rPr>
              <w:t>2</w:t>
            </w:r>
            <w:r>
              <w:rPr>
                <w:rStyle w:val="69"/>
                <w:rFonts w:hint="eastAsia"/>
                <w:color w:val="auto"/>
                <w:sz w:val="24"/>
                <w:szCs w:val="24"/>
                <w:vertAlign w:val="baseline"/>
                <w:lang w:eastAsia="zh-CN"/>
              </w:rPr>
              <w:t>，</w:t>
            </w:r>
            <w:r>
              <w:rPr>
                <w:rStyle w:val="69"/>
                <w:rFonts w:hint="eastAsia"/>
                <w:color w:val="auto"/>
                <w:sz w:val="24"/>
                <w:szCs w:val="24"/>
                <w:vertAlign w:val="baseline"/>
                <w:lang w:val="en-US" w:eastAsia="zh-CN"/>
              </w:rPr>
              <w:t>故本项目</w:t>
            </w:r>
            <w:r>
              <w:rPr>
                <w:rFonts w:hint="eastAsia"/>
                <w:color w:val="auto"/>
                <w:sz w:val="24"/>
                <w:lang w:val="en-US" w:eastAsia="zh-CN"/>
              </w:rPr>
              <w:t>物料堆存过程产生的颗粒物为46.44t/a。</w:t>
            </w:r>
          </w:p>
          <w:p w14:paraId="46A328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lang w:val="en-US" w:eastAsia="zh-CN"/>
              </w:rPr>
            </w:pPr>
            <w:r>
              <w:rPr>
                <w:rFonts w:hint="eastAsia" w:ascii="Times New Roman" w:hAnsi="Times New Roman" w:eastAsia="宋体" w:cs="Times New Roman"/>
                <w:color w:val="auto"/>
                <w:kern w:val="2"/>
                <w:sz w:val="24"/>
                <w:szCs w:val="24"/>
                <w:lang w:val="en-US" w:eastAsia="zh-CN" w:bidi="ar-SA"/>
              </w:rPr>
              <w:t>2）</w:t>
            </w:r>
            <w:r>
              <w:rPr>
                <w:rFonts w:hint="eastAsia"/>
                <w:color w:val="auto"/>
                <w:sz w:val="24"/>
                <w:lang w:val="en-US" w:eastAsia="zh-CN"/>
              </w:rPr>
              <w:t>颗粒物排放量核算</w:t>
            </w:r>
          </w:p>
          <w:p w14:paraId="41B051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lang w:val="en-US" w:eastAsia="zh-CN"/>
              </w:rPr>
            </w:pPr>
            <w:r>
              <w:rPr>
                <w:rFonts w:ascii="宋体" w:hAnsi="宋体" w:eastAsia="宋体" w:cs="宋体"/>
                <w:b w:val="0"/>
                <w:bCs w:val="0"/>
                <w:color w:val="000000"/>
                <w:sz w:val="24"/>
                <w:szCs w:val="24"/>
              </w:rPr>
              <w:t>工业企业固体物料堆场颗粒物排放量核算公式如下：</w:t>
            </w:r>
          </w:p>
          <w:p w14:paraId="3AADEED8">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cs="Times New Roman"/>
                <w:color w:val="auto"/>
                <w:kern w:val="0"/>
                <w:sz w:val="24"/>
                <w:lang w:val="en-US" w:eastAsia="zh-CN"/>
              </w:rPr>
            </w:pPr>
            <w:r>
              <w:rPr>
                <w:rFonts w:hint="eastAsia" w:cs="Times New Roman"/>
                <w:color w:val="auto"/>
                <w:kern w:val="0"/>
                <w:sz w:val="24"/>
                <w:lang w:val="en-US" w:eastAsia="zh-CN"/>
              </w:rPr>
              <w:t>Uc=P×（1-Cm）×（1-Tm）</w:t>
            </w:r>
          </w:p>
          <w:p w14:paraId="73EC812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Style w:val="69"/>
                <w:rFonts w:ascii="Times New Roman" w:hAnsi="Times New Roman"/>
                <w:color w:val="auto"/>
                <w:lang w:eastAsia="zh-CN"/>
              </w:rPr>
            </w:pPr>
            <w:r>
              <w:rPr>
                <w:rStyle w:val="69"/>
                <w:rFonts w:ascii="Times New Roman" w:hAnsi="Times New Roman"/>
                <w:color w:val="auto"/>
                <w:lang w:eastAsia="zh-CN"/>
              </w:rPr>
              <w:t>式中：P</w:t>
            </w:r>
            <w:r>
              <w:rPr>
                <w:rStyle w:val="69"/>
                <w:rFonts w:hint="eastAsia" w:ascii="Times New Roman" w:hAnsi="Times New Roman"/>
                <w:color w:val="auto"/>
                <w:lang w:eastAsia="zh-CN"/>
              </w:rPr>
              <w:t>—</w:t>
            </w:r>
            <w:r>
              <w:rPr>
                <w:rStyle w:val="69"/>
                <w:rFonts w:ascii="Times New Roman" w:hAnsi="Times New Roman"/>
                <w:color w:val="auto"/>
                <w:lang w:eastAsia="zh-CN"/>
              </w:rPr>
              <w:t>指颗粒物产生量（</w:t>
            </w:r>
            <w:r>
              <w:rPr>
                <w:rStyle w:val="69"/>
                <w:rFonts w:hint="eastAsia" w:ascii="Times New Roman" w:hAnsi="Times New Roman"/>
                <w:color w:val="auto"/>
                <w:lang w:eastAsia="zh-CN"/>
              </w:rPr>
              <w:t>t</w:t>
            </w:r>
            <w:r>
              <w:rPr>
                <w:rStyle w:val="69"/>
                <w:rFonts w:ascii="Times New Roman" w:hAnsi="Times New Roman"/>
                <w:color w:val="auto"/>
                <w:lang w:eastAsia="zh-CN"/>
              </w:rPr>
              <w:t>） ；</w:t>
            </w:r>
          </w:p>
          <w:p w14:paraId="400BDBB9">
            <w:pPr>
              <w:keepNext w:val="0"/>
              <w:keepLines w:val="0"/>
              <w:pageBreakBefore w:val="0"/>
              <w:widowControl w:val="0"/>
              <w:kinsoku/>
              <w:wordWrap/>
              <w:overflowPunct/>
              <w:topLinePunct w:val="0"/>
              <w:autoSpaceDE/>
              <w:autoSpaceDN/>
              <w:bidi w:val="0"/>
              <w:adjustRightInd/>
              <w:snapToGrid w:val="0"/>
              <w:spacing w:line="360" w:lineRule="auto"/>
              <w:ind w:firstLine="1200" w:firstLineChars="500"/>
              <w:textAlignment w:val="auto"/>
              <w:rPr>
                <w:rStyle w:val="69"/>
                <w:rFonts w:ascii="Times New Roman" w:hAnsi="Times New Roman"/>
                <w:color w:val="auto"/>
                <w:lang w:eastAsia="zh-CN"/>
              </w:rPr>
            </w:pPr>
            <w:r>
              <w:rPr>
                <w:rStyle w:val="69"/>
                <w:rFonts w:ascii="Times New Roman" w:hAnsi="Times New Roman"/>
                <w:color w:val="auto"/>
                <w:lang w:eastAsia="zh-CN"/>
              </w:rPr>
              <w:t>Uc</w:t>
            </w:r>
            <w:r>
              <w:rPr>
                <w:rStyle w:val="69"/>
                <w:rFonts w:hint="eastAsia" w:ascii="Times New Roman" w:hAnsi="Times New Roman"/>
                <w:color w:val="auto"/>
                <w:lang w:eastAsia="zh-CN"/>
              </w:rPr>
              <w:t>—</w:t>
            </w:r>
            <w:r>
              <w:rPr>
                <w:rStyle w:val="69"/>
                <w:rFonts w:ascii="Times New Roman" w:hAnsi="Times New Roman"/>
                <w:color w:val="auto"/>
                <w:lang w:eastAsia="zh-CN"/>
              </w:rPr>
              <w:t>指颗粒物排放量（</w:t>
            </w:r>
            <w:r>
              <w:rPr>
                <w:rStyle w:val="69"/>
                <w:rFonts w:hint="eastAsia" w:ascii="Times New Roman" w:hAnsi="Times New Roman"/>
                <w:color w:val="auto"/>
                <w:lang w:eastAsia="zh-CN"/>
              </w:rPr>
              <w:t>t</w:t>
            </w:r>
            <w:r>
              <w:rPr>
                <w:rStyle w:val="69"/>
                <w:rFonts w:ascii="Times New Roman" w:hAnsi="Times New Roman"/>
                <w:color w:val="auto"/>
                <w:lang w:eastAsia="zh-CN"/>
              </w:rPr>
              <w:t>） ；</w:t>
            </w:r>
          </w:p>
          <w:p w14:paraId="624F0200">
            <w:pPr>
              <w:keepNext w:val="0"/>
              <w:keepLines w:val="0"/>
              <w:pageBreakBefore w:val="0"/>
              <w:widowControl w:val="0"/>
              <w:kinsoku/>
              <w:wordWrap/>
              <w:overflowPunct/>
              <w:topLinePunct w:val="0"/>
              <w:autoSpaceDE/>
              <w:autoSpaceDN/>
              <w:bidi w:val="0"/>
              <w:adjustRightInd/>
              <w:snapToGrid w:val="0"/>
              <w:spacing w:line="360" w:lineRule="auto"/>
              <w:ind w:firstLine="1200" w:firstLineChars="500"/>
              <w:textAlignment w:val="auto"/>
              <w:rPr>
                <w:rStyle w:val="69"/>
                <w:rFonts w:ascii="Times New Roman" w:hAnsi="Times New Roman"/>
                <w:color w:val="auto"/>
                <w:lang w:eastAsia="zh-CN"/>
              </w:rPr>
            </w:pPr>
            <w:r>
              <w:rPr>
                <w:rStyle w:val="69"/>
                <w:rFonts w:ascii="Times New Roman" w:hAnsi="Times New Roman"/>
                <w:color w:val="auto"/>
                <w:lang w:eastAsia="zh-CN"/>
              </w:rPr>
              <w:t>Cm</w:t>
            </w:r>
            <w:r>
              <w:rPr>
                <w:rStyle w:val="69"/>
                <w:rFonts w:hint="eastAsia" w:ascii="Times New Roman" w:hAnsi="Times New Roman"/>
                <w:color w:val="auto"/>
                <w:lang w:eastAsia="zh-CN"/>
              </w:rPr>
              <w:t>—</w:t>
            </w:r>
            <w:r>
              <w:rPr>
                <w:rStyle w:val="69"/>
                <w:rFonts w:ascii="Times New Roman" w:hAnsi="Times New Roman"/>
                <w:color w:val="auto"/>
                <w:lang w:eastAsia="zh-CN"/>
              </w:rPr>
              <w:t>指颗粒物控制措施控制效率（%），</w:t>
            </w:r>
            <w:r>
              <w:rPr>
                <w:rStyle w:val="69"/>
                <w:rFonts w:hint="eastAsia"/>
                <w:color w:val="auto"/>
                <w:lang w:val="en-US" w:eastAsia="zh-CN"/>
              </w:rPr>
              <w:t>见附录4，</w:t>
            </w:r>
            <w:r>
              <w:rPr>
                <w:rStyle w:val="69"/>
                <w:rFonts w:ascii="Times New Roman" w:hAnsi="Times New Roman"/>
                <w:color w:val="auto"/>
                <w:lang w:eastAsia="zh-CN"/>
              </w:rPr>
              <w:t>本项目取</w:t>
            </w:r>
            <w:r>
              <w:rPr>
                <w:rStyle w:val="69"/>
                <w:rFonts w:hint="eastAsia"/>
                <w:color w:val="auto"/>
                <w:lang w:val="en-US" w:eastAsia="zh-CN"/>
              </w:rPr>
              <w:t>0.9</w:t>
            </w:r>
            <w:r>
              <w:rPr>
                <w:rStyle w:val="69"/>
                <w:rFonts w:ascii="Times New Roman" w:hAnsi="Times New Roman"/>
                <w:color w:val="auto"/>
                <w:lang w:eastAsia="zh-CN"/>
              </w:rPr>
              <w:t>；</w:t>
            </w:r>
          </w:p>
          <w:p w14:paraId="5103A15F">
            <w:pPr>
              <w:pStyle w:val="26"/>
              <w:keepNext w:val="0"/>
              <w:keepLines w:val="0"/>
              <w:pageBreakBefore w:val="0"/>
              <w:widowControl w:val="0"/>
              <w:kinsoku/>
              <w:wordWrap/>
              <w:overflowPunct/>
              <w:topLinePunct w:val="0"/>
              <w:autoSpaceDE/>
              <w:autoSpaceDN/>
              <w:bidi w:val="0"/>
              <w:adjustRightInd/>
              <w:spacing w:after="0" w:line="360" w:lineRule="auto"/>
              <w:ind w:left="0" w:leftChars="0" w:firstLine="1200" w:firstLineChars="500"/>
              <w:textAlignment w:val="auto"/>
              <w:rPr>
                <w:rStyle w:val="69"/>
                <w:rFonts w:ascii="Times New Roman" w:hAnsi="Times New Roman"/>
                <w:color w:val="auto"/>
                <w:lang w:eastAsia="zh-CN"/>
              </w:rPr>
            </w:pPr>
            <w:r>
              <w:rPr>
                <w:rStyle w:val="69"/>
                <w:rFonts w:ascii="Times New Roman" w:hAnsi="Times New Roman"/>
                <w:color w:val="auto"/>
                <w:lang w:eastAsia="zh-CN"/>
              </w:rPr>
              <w:t>Tm</w:t>
            </w:r>
            <w:r>
              <w:rPr>
                <w:rStyle w:val="69"/>
                <w:rFonts w:hint="eastAsia" w:ascii="Times New Roman" w:hAnsi="Times New Roman"/>
                <w:color w:val="auto"/>
                <w:lang w:eastAsia="zh-CN"/>
              </w:rPr>
              <w:t>—</w:t>
            </w:r>
            <w:r>
              <w:rPr>
                <w:rStyle w:val="69"/>
                <w:rFonts w:ascii="Times New Roman" w:hAnsi="Times New Roman"/>
                <w:color w:val="auto"/>
                <w:lang w:eastAsia="zh-CN"/>
              </w:rPr>
              <w:t>指堆场类型控制效率（%），</w:t>
            </w:r>
            <w:r>
              <w:rPr>
                <w:rStyle w:val="69"/>
                <w:rFonts w:hint="eastAsia"/>
                <w:color w:val="auto"/>
                <w:lang w:val="en-US" w:eastAsia="zh-CN"/>
              </w:rPr>
              <w:t>见附录5，</w:t>
            </w:r>
            <w:r>
              <w:rPr>
                <w:rStyle w:val="69"/>
                <w:rFonts w:ascii="Times New Roman" w:hAnsi="Times New Roman"/>
                <w:color w:val="auto"/>
                <w:lang w:eastAsia="zh-CN"/>
              </w:rPr>
              <w:t>本项目取0.</w:t>
            </w:r>
            <w:r>
              <w:rPr>
                <w:rStyle w:val="69"/>
                <w:rFonts w:hint="eastAsia"/>
                <w:color w:val="auto"/>
                <w:lang w:val="en-US" w:eastAsia="zh-CN"/>
              </w:rPr>
              <w:t>6</w:t>
            </w:r>
            <w:r>
              <w:rPr>
                <w:rStyle w:val="69"/>
                <w:rFonts w:ascii="Times New Roman" w:hAnsi="Times New Roman"/>
                <w:color w:val="auto"/>
                <w:lang w:eastAsia="zh-CN"/>
              </w:rPr>
              <w:t>；</w:t>
            </w:r>
          </w:p>
          <w:p w14:paraId="647325CC">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color w:val="auto"/>
                <w:sz w:val="24"/>
                <w:szCs w:val="24"/>
                <w:lang w:val="en-US" w:eastAsia="zh-CN"/>
              </w:rPr>
            </w:pPr>
            <w:r>
              <w:rPr>
                <w:rStyle w:val="69"/>
                <w:rFonts w:hint="eastAsia"/>
                <w:color w:val="auto"/>
                <w:sz w:val="24"/>
                <w:szCs w:val="24"/>
                <w:lang w:val="en-US" w:eastAsia="zh-CN"/>
              </w:rPr>
              <w:t>本项目砂石料堆场要求地面全部硬化，砂石料场采取三面项目原料采用篷布覆盖，并定期采用雾炮机洒水降尘，颗粒物控制措施控制效率可达到90%，</w:t>
            </w:r>
            <w:r>
              <w:rPr>
                <w:rStyle w:val="69"/>
                <w:rFonts w:ascii="Times New Roman" w:hAnsi="Times New Roman"/>
                <w:color w:val="auto"/>
                <w:lang w:eastAsia="zh-CN"/>
              </w:rPr>
              <w:t>堆场类型</w:t>
            </w:r>
            <w:r>
              <w:rPr>
                <w:rStyle w:val="69"/>
                <w:rFonts w:hint="eastAsia"/>
                <w:color w:val="auto"/>
                <w:lang w:val="en-US" w:eastAsia="zh-CN"/>
              </w:rPr>
              <w:t>为半封闭式，</w:t>
            </w:r>
            <w:r>
              <w:rPr>
                <w:rStyle w:val="69"/>
                <w:rFonts w:ascii="Times New Roman" w:hAnsi="Times New Roman"/>
                <w:color w:val="auto"/>
                <w:lang w:eastAsia="zh-CN"/>
              </w:rPr>
              <w:t>控制效率</w:t>
            </w:r>
            <w:r>
              <w:rPr>
                <w:rStyle w:val="69"/>
                <w:rFonts w:hint="eastAsia"/>
                <w:color w:val="auto"/>
                <w:lang w:val="en-US" w:eastAsia="zh-CN"/>
              </w:rPr>
              <w:t>可达60%</w:t>
            </w:r>
            <w:r>
              <w:rPr>
                <w:rStyle w:val="69"/>
                <w:rFonts w:hint="eastAsia"/>
                <w:color w:val="auto"/>
                <w:sz w:val="24"/>
                <w:szCs w:val="24"/>
                <w:lang w:val="en-US" w:eastAsia="zh-CN"/>
              </w:rPr>
              <w:t>，则粉尘无组织排放量为1.86t/a。环评要求对于物料装卸过程中产生的扬尘，要加强管理，定期洒水降尘，采用定点装卸，在装卸原料时应尽量平缓，减少粉尘的散出。同时建设单位制定严格操作规程，加强管理，健全文明生产制度并落实，加强绿化，改善厂区内环境，尽可能减少无组织排放量。</w:t>
            </w:r>
          </w:p>
          <w:p w14:paraId="662D20CC">
            <w:pPr>
              <w:snapToGrid w:val="0"/>
              <w:spacing w:line="360" w:lineRule="auto"/>
              <w:rPr>
                <w:b/>
                <w:bCs/>
                <w:color w:val="auto"/>
                <w:sz w:val="24"/>
                <w:szCs w:val="22"/>
              </w:rPr>
            </w:pPr>
            <w:r>
              <w:rPr>
                <w:rFonts w:hint="eastAsia"/>
                <w:b/>
                <w:bCs/>
                <w:color w:val="auto"/>
                <w:sz w:val="24"/>
                <w:szCs w:val="22"/>
                <w:lang w:eastAsia="zh-CN"/>
              </w:rPr>
              <w:t>（</w:t>
            </w:r>
            <w:r>
              <w:rPr>
                <w:rFonts w:hint="eastAsia"/>
                <w:b/>
                <w:bCs/>
                <w:color w:val="auto"/>
                <w:sz w:val="24"/>
                <w:szCs w:val="22"/>
                <w:lang w:val="en-US" w:eastAsia="zh-CN"/>
              </w:rPr>
              <w:t>4</w:t>
            </w:r>
            <w:r>
              <w:rPr>
                <w:rFonts w:hint="eastAsia"/>
                <w:b/>
                <w:bCs/>
                <w:color w:val="auto"/>
                <w:sz w:val="24"/>
                <w:szCs w:val="22"/>
                <w:lang w:eastAsia="zh-CN"/>
              </w:rPr>
              <w:t>）</w:t>
            </w:r>
            <w:r>
              <w:rPr>
                <w:b/>
                <w:bCs/>
                <w:color w:val="auto"/>
                <w:sz w:val="24"/>
                <w:szCs w:val="22"/>
              </w:rPr>
              <w:t>运输车辆道路扬尘</w:t>
            </w:r>
          </w:p>
          <w:p w14:paraId="68BB800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汽车道路扬尘量按经验公式估算：</w:t>
            </w:r>
          </w:p>
          <w:p w14:paraId="6C662319">
            <w:pPr>
              <w:widowControl/>
              <w:jc w:val="center"/>
              <w:rPr>
                <w:color w:val="auto"/>
              </w:rPr>
            </w:pPr>
            <w:r>
              <w:rPr>
                <w:color w:val="auto"/>
                <w:kern w:val="0"/>
                <w:sz w:val="24"/>
              </w:rPr>
              <w:drawing>
                <wp:inline distT="0" distB="0" distL="114300" distR="114300">
                  <wp:extent cx="2115820" cy="547370"/>
                  <wp:effectExtent l="0" t="0" r="2540" b="1270"/>
                  <wp:docPr id="2" name="图片 3" descr="IMG_256"/>
                  <wp:cNvGraphicFramePr/>
                  <a:graphic xmlns:a="http://schemas.openxmlformats.org/drawingml/2006/main">
                    <a:graphicData uri="http://schemas.openxmlformats.org/drawingml/2006/picture">
                      <pic:pic xmlns:pic="http://schemas.openxmlformats.org/drawingml/2006/picture">
                        <pic:nvPicPr>
                          <pic:cNvPr id="2" name="图片 3" descr="IMG_256"/>
                          <pic:cNvPicPr/>
                        </pic:nvPicPr>
                        <pic:blipFill>
                          <a:blip r:embed="rId9"/>
                          <a:stretch>
                            <a:fillRect/>
                          </a:stretch>
                        </pic:blipFill>
                        <pic:spPr>
                          <a:xfrm>
                            <a:off x="0" y="0"/>
                            <a:ext cx="2115820" cy="547370"/>
                          </a:xfrm>
                          <a:prstGeom prst="rect">
                            <a:avLst/>
                          </a:prstGeom>
                          <a:noFill/>
                          <a:ln>
                            <a:noFill/>
                          </a:ln>
                        </pic:spPr>
                      </pic:pic>
                    </a:graphicData>
                  </a:graphic>
                </wp:inline>
              </w:drawing>
            </w:r>
          </w:p>
          <w:p w14:paraId="2E9E7513">
            <w:pPr>
              <w:snapToGrid w:val="0"/>
              <w:spacing w:line="360" w:lineRule="auto"/>
              <w:ind w:firstLine="480" w:firstLineChars="200"/>
              <w:rPr>
                <w:bCs/>
                <w:color w:val="auto"/>
                <w:kern w:val="24"/>
                <w:sz w:val="24"/>
              </w:rPr>
            </w:pPr>
            <w:r>
              <w:rPr>
                <w:bCs/>
                <w:color w:val="auto"/>
                <w:kern w:val="24"/>
                <w:sz w:val="24"/>
              </w:rPr>
              <w:t>式中：Q</w:t>
            </w:r>
            <w:r>
              <w:rPr>
                <w:rFonts w:hint="eastAsia"/>
                <w:bCs/>
                <w:color w:val="auto"/>
                <w:kern w:val="24"/>
                <w:sz w:val="24"/>
              </w:rPr>
              <w:t>--</w:t>
            </w:r>
            <w:r>
              <w:rPr>
                <w:bCs/>
                <w:color w:val="auto"/>
                <w:kern w:val="24"/>
                <w:sz w:val="24"/>
              </w:rPr>
              <w:t xml:space="preserve"> 汽车行驶的扬尘量，kg/km·辆；</w:t>
            </w:r>
          </w:p>
          <w:p w14:paraId="1F0A2CCA">
            <w:pPr>
              <w:snapToGrid w:val="0"/>
              <w:spacing w:line="360" w:lineRule="auto"/>
              <w:ind w:firstLine="1200" w:firstLineChars="500"/>
              <w:rPr>
                <w:bCs/>
                <w:color w:val="auto"/>
                <w:kern w:val="24"/>
                <w:sz w:val="24"/>
              </w:rPr>
            </w:pPr>
            <w:r>
              <w:rPr>
                <w:bCs/>
                <w:color w:val="auto"/>
                <w:kern w:val="24"/>
                <w:sz w:val="24"/>
              </w:rPr>
              <w:t>V</w:t>
            </w:r>
            <w:r>
              <w:rPr>
                <w:rFonts w:hint="eastAsia"/>
                <w:bCs/>
                <w:color w:val="auto"/>
                <w:kern w:val="24"/>
                <w:sz w:val="24"/>
              </w:rPr>
              <w:t>--</w:t>
            </w:r>
            <w:r>
              <w:rPr>
                <w:bCs/>
                <w:color w:val="auto"/>
                <w:kern w:val="24"/>
                <w:sz w:val="24"/>
              </w:rPr>
              <w:t xml:space="preserve"> 汽车速度，km/h；</w:t>
            </w:r>
          </w:p>
          <w:p w14:paraId="3F784C20">
            <w:pPr>
              <w:snapToGrid w:val="0"/>
              <w:spacing w:line="360" w:lineRule="auto"/>
              <w:ind w:firstLine="1200" w:firstLineChars="500"/>
              <w:rPr>
                <w:bCs/>
                <w:color w:val="auto"/>
                <w:kern w:val="24"/>
                <w:sz w:val="24"/>
              </w:rPr>
            </w:pPr>
            <w:r>
              <w:rPr>
                <w:bCs/>
                <w:color w:val="auto"/>
                <w:kern w:val="24"/>
                <w:sz w:val="24"/>
              </w:rPr>
              <w:t>W</w:t>
            </w:r>
            <w:r>
              <w:rPr>
                <w:rFonts w:hint="eastAsia"/>
                <w:bCs/>
                <w:color w:val="auto"/>
                <w:kern w:val="24"/>
                <w:sz w:val="24"/>
              </w:rPr>
              <w:t>--</w:t>
            </w:r>
            <w:r>
              <w:rPr>
                <w:bCs/>
                <w:color w:val="auto"/>
                <w:kern w:val="24"/>
                <w:sz w:val="24"/>
              </w:rPr>
              <w:t xml:space="preserve"> 汽车载重量，t；</w:t>
            </w:r>
          </w:p>
          <w:p w14:paraId="28A17C30">
            <w:pPr>
              <w:snapToGrid w:val="0"/>
              <w:spacing w:line="360" w:lineRule="auto"/>
              <w:ind w:firstLine="1200" w:firstLineChars="500"/>
              <w:rPr>
                <w:bCs/>
                <w:color w:val="auto"/>
                <w:kern w:val="24"/>
                <w:sz w:val="24"/>
              </w:rPr>
            </w:pPr>
            <w:r>
              <w:rPr>
                <w:bCs/>
                <w:color w:val="auto"/>
                <w:kern w:val="24"/>
                <w:sz w:val="24"/>
              </w:rPr>
              <w:t>P</w:t>
            </w:r>
            <w:r>
              <w:rPr>
                <w:rFonts w:hint="eastAsia"/>
                <w:bCs/>
                <w:color w:val="auto"/>
                <w:kern w:val="24"/>
                <w:sz w:val="24"/>
              </w:rPr>
              <w:t>--</w:t>
            </w:r>
            <w:r>
              <w:rPr>
                <w:bCs/>
                <w:color w:val="auto"/>
                <w:kern w:val="24"/>
                <w:sz w:val="24"/>
              </w:rPr>
              <w:t xml:space="preserve"> 道路表面粉尘量，kg/m</w:t>
            </w:r>
            <w:r>
              <w:rPr>
                <w:bCs/>
                <w:color w:val="auto"/>
                <w:kern w:val="24"/>
                <w:sz w:val="24"/>
                <w:vertAlign w:val="superscript"/>
              </w:rPr>
              <w:t>2</w:t>
            </w:r>
            <w:r>
              <w:rPr>
                <w:bCs/>
                <w:color w:val="auto"/>
                <w:kern w:val="24"/>
                <w:sz w:val="24"/>
              </w:rPr>
              <w:t xml:space="preserve"> 。</w:t>
            </w:r>
          </w:p>
          <w:p w14:paraId="630D3CCC">
            <w:pPr>
              <w:pStyle w:val="8"/>
              <w:widowControl w:val="0"/>
              <w:snapToGrid/>
              <w:ind w:firstLine="480" w:firstLineChars="200"/>
              <w:rPr>
                <w:color w:val="auto"/>
              </w:rPr>
            </w:pPr>
            <w:r>
              <w:rPr>
                <w:rFonts w:ascii="Times New Roman" w:hAnsi="Times New Roman" w:eastAsia="宋体" w:cs="Times New Roman"/>
                <w:color w:val="auto"/>
                <w:kern w:val="0"/>
                <w:sz w:val="24"/>
                <w:szCs w:val="24"/>
                <w:lang w:val="en-US" w:eastAsia="zh-CN" w:bidi="ar-SA"/>
              </w:rPr>
              <w:t>由上述计算公式计算，汽车行驶过程中扬尘量的预测结果见表</w:t>
            </w:r>
            <w:r>
              <w:rPr>
                <w:rFonts w:hint="eastAsia" w:ascii="Times New Roman" w:hAnsi="Times New Roman" w:eastAsia="宋体" w:cs="Times New Roman"/>
                <w:color w:val="auto"/>
                <w:kern w:val="0"/>
                <w:sz w:val="24"/>
                <w:szCs w:val="24"/>
                <w:lang w:val="en-US" w:eastAsia="zh-CN" w:bidi="ar-SA"/>
              </w:rPr>
              <w:t>4-1</w:t>
            </w:r>
            <w:r>
              <w:rPr>
                <w:rFonts w:ascii="Times New Roman" w:hAnsi="Times New Roman" w:eastAsia="宋体" w:cs="Times New Roman"/>
                <w:color w:val="auto"/>
                <w:kern w:val="0"/>
                <w:sz w:val="24"/>
                <w:szCs w:val="24"/>
                <w:lang w:val="en-US" w:eastAsia="zh-CN" w:bidi="ar-SA"/>
              </w:rPr>
              <w:t>。</w:t>
            </w:r>
          </w:p>
          <w:p w14:paraId="47A6DF10">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w:t>
            </w:r>
            <w:r>
              <w:rPr>
                <w:rFonts w:hint="eastAsia" w:ascii="Times New Roman" w:hAnsi="Times New Roman" w:eastAsia="宋体" w:cs="Times New Roman"/>
                <w:color w:val="auto"/>
              </w:rPr>
              <w:t xml:space="preserve">4-1    </w:t>
            </w:r>
            <w:r>
              <w:rPr>
                <w:rFonts w:hint="default" w:ascii="Times New Roman" w:hAnsi="Times New Roman" w:eastAsia="宋体" w:cs="Times New Roman"/>
                <w:color w:val="auto"/>
              </w:rPr>
              <w:t>车辆行驶扬尘量</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2212"/>
              <w:gridCol w:w="2213"/>
              <w:gridCol w:w="2213"/>
            </w:tblGrid>
            <w:tr w14:paraId="025AB1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02" w:type="pct"/>
                  <w:tcBorders>
                    <w:bottom w:val="single" w:color="auto" w:sz="12" w:space="0"/>
                  </w:tcBorders>
                  <w:vAlign w:val="center"/>
                </w:tcPr>
                <w:p w14:paraId="1CE797D6">
                  <w:pPr>
                    <w:pStyle w:val="61"/>
                    <w:rPr>
                      <w:b/>
                      <w:bCs/>
                      <w:color w:val="auto"/>
                      <w:sz w:val="21"/>
                      <w:szCs w:val="21"/>
                    </w:rPr>
                  </w:pPr>
                  <w:r>
                    <w:rPr>
                      <w:b/>
                      <w:bCs/>
                      <w:color w:val="auto"/>
                      <w:sz w:val="21"/>
                      <w:szCs w:val="21"/>
                    </w:rPr>
                    <w:t>汽车平均速度（km/h）</w:t>
                  </w:r>
                </w:p>
              </w:tc>
              <w:tc>
                <w:tcPr>
                  <w:tcW w:w="1298" w:type="pct"/>
                  <w:tcBorders>
                    <w:bottom w:val="single" w:color="auto" w:sz="12" w:space="0"/>
                  </w:tcBorders>
                  <w:vAlign w:val="center"/>
                </w:tcPr>
                <w:p w14:paraId="7EF7B8CE">
                  <w:pPr>
                    <w:pStyle w:val="61"/>
                    <w:rPr>
                      <w:b/>
                      <w:bCs/>
                      <w:color w:val="auto"/>
                      <w:sz w:val="21"/>
                      <w:szCs w:val="21"/>
                    </w:rPr>
                  </w:pPr>
                  <w:r>
                    <w:rPr>
                      <w:b/>
                      <w:bCs/>
                      <w:color w:val="auto"/>
                      <w:sz w:val="21"/>
                      <w:szCs w:val="21"/>
                    </w:rPr>
                    <w:t>汽车平均质量（t）</w:t>
                  </w:r>
                </w:p>
              </w:tc>
              <w:tc>
                <w:tcPr>
                  <w:tcW w:w="1299" w:type="pct"/>
                  <w:tcBorders>
                    <w:bottom w:val="single" w:color="auto" w:sz="12" w:space="0"/>
                  </w:tcBorders>
                  <w:vAlign w:val="center"/>
                </w:tcPr>
                <w:p w14:paraId="3D6C381C">
                  <w:pPr>
                    <w:pStyle w:val="61"/>
                    <w:rPr>
                      <w:b/>
                      <w:bCs/>
                      <w:color w:val="auto"/>
                      <w:sz w:val="21"/>
                      <w:szCs w:val="21"/>
                    </w:rPr>
                  </w:pPr>
                  <w:r>
                    <w:rPr>
                      <w:b/>
                      <w:bCs/>
                      <w:color w:val="auto"/>
                      <w:sz w:val="21"/>
                      <w:szCs w:val="21"/>
                    </w:rPr>
                    <w:t>道路表面粉尘量（kg/m</w:t>
                  </w:r>
                  <w:r>
                    <w:rPr>
                      <w:b/>
                      <w:bCs/>
                      <w:color w:val="auto"/>
                      <w:sz w:val="21"/>
                      <w:szCs w:val="21"/>
                      <w:vertAlign w:val="superscript"/>
                    </w:rPr>
                    <w:t>3</w:t>
                  </w:r>
                  <w:r>
                    <w:rPr>
                      <w:b/>
                      <w:bCs/>
                      <w:color w:val="auto"/>
                      <w:sz w:val="21"/>
                      <w:szCs w:val="21"/>
                    </w:rPr>
                    <w:t>）</w:t>
                  </w:r>
                </w:p>
              </w:tc>
              <w:tc>
                <w:tcPr>
                  <w:tcW w:w="1299" w:type="pct"/>
                  <w:tcBorders>
                    <w:bottom w:val="single" w:color="auto" w:sz="12" w:space="0"/>
                  </w:tcBorders>
                  <w:vAlign w:val="center"/>
                </w:tcPr>
                <w:p w14:paraId="1F3BBFEC">
                  <w:pPr>
                    <w:pStyle w:val="61"/>
                    <w:rPr>
                      <w:b/>
                      <w:bCs/>
                      <w:color w:val="auto"/>
                      <w:sz w:val="21"/>
                      <w:szCs w:val="21"/>
                    </w:rPr>
                  </w:pPr>
                  <w:r>
                    <w:rPr>
                      <w:b/>
                      <w:bCs/>
                      <w:color w:val="auto"/>
                      <w:sz w:val="21"/>
                      <w:szCs w:val="21"/>
                    </w:rPr>
                    <w:t>汽车扬尘量（kg/km·辆）</w:t>
                  </w:r>
                </w:p>
              </w:tc>
            </w:tr>
            <w:tr w14:paraId="3928AF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02" w:type="pct"/>
                  <w:tcBorders>
                    <w:top w:val="single" w:color="auto" w:sz="12" w:space="0"/>
                    <w:tl2br w:val="nil"/>
                    <w:tr2bl w:val="nil"/>
                  </w:tcBorders>
                  <w:vAlign w:val="center"/>
                </w:tcPr>
                <w:p w14:paraId="20F0C1BE">
                  <w:pPr>
                    <w:pStyle w:val="61"/>
                    <w:rPr>
                      <w:color w:val="auto"/>
                      <w:sz w:val="21"/>
                      <w:szCs w:val="21"/>
                    </w:rPr>
                  </w:pPr>
                  <w:r>
                    <w:rPr>
                      <w:color w:val="auto"/>
                      <w:sz w:val="21"/>
                      <w:szCs w:val="21"/>
                    </w:rPr>
                    <w:t>5</w:t>
                  </w:r>
                </w:p>
              </w:tc>
              <w:tc>
                <w:tcPr>
                  <w:tcW w:w="1298" w:type="pct"/>
                  <w:tcBorders>
                    <w:top w:val="single" w:color="auto" w:sz="12" w:space="0"/>
                    <w:tl2br w:val="nil"/>
                    <w:tr2bl w:val="nil"/>
                  </w:tcBorders>
                  <w:vAlign w:val="center"/>
                </w:tcPr>
                <w:p w14:paraId="54F159A6">
                  <w:pPr>
                    <w:pStyle w:val="61"/>
                    <w:rPr>
                      <w:color w:val="auto"/>
                      <w:sz w:val="21"/>
                      <w:szCs w:val="21"/>
                    </w:rPr>
                  </w:pPr>
                  <w:r>
                    <w:rPr>
                      <w:rFonts w:hint="eastAsia"/>
                      <w:color w:val="auto"/>
                      <w:sz w:val="21"/>
                      <w:szCs w:val="21"/>
                      <w:lang w:val="en-US" w:eastAsia="zh-CN"/>
                    </w:rPr>
                    <w:t>3</w:t>
                  </w:r>
                  <w:r>
                    <w:rPr>
                      <w:color w:val="auto"/>
                      <w:sz w:val="21"/>
                      <w:szCs w:val="21"/>
                    </w:rPr>
                    <w:t>0</w:t>
                  </w:r>
                </w:p>
              </w:tc>
              <w:tc>
                <w:tcPr>
                  <w:tcW w:w="1299" w:type="pct"/>
                  <w:tcBorders>
                    <w:top w:val="single" w:color="auto" w:sz="12" w:space="0"/>
                    <w:tl2br w:val="nil"/>
                    <w:tr2bl w:val="nil"/>
                  </w:tcBorders>
                  <w:vAlign w:val="center"/>
                </w:tcPr>
                <w:p w14:paraId="7A3B41A5">
                  <w:pPr>
                    <w:pStyle w:val="61"/>
                    <w:rPr>
                      <w:color w:val="auto"/>
                      <w:sz w:val="21"/>
                      <w:szCs w:val="21"/>
                    </w:rPr>
                  </w:pPr>
                  <w:r>
                    <w:rPr>
                      <w:color w:val="auto"/>
                      <w:sz w:val="21"/>
                      <w:szCs w:val="21"/>
                    </w:rPr>
                    <w:t>0.2</w:t>
                  </w:r>
                </w:p>
              </w:tc>
              <w:tc>
                <w:tcPr>
                  <w:tcW w:w="1299" w:type="pct"/>
                  <w:tcBorders>
                    <w:top w:val="single" w:color="auto" w:sz="12" w:space="0"/>
                    <w:tl2br w:val="nil"/>
                    <w:tr2bl w:val="nil"/>
                  </w:tcBorders>
                  <w:vAlign w:val="center"/>
                </w:tcPr>
                <w:p w14:paraId="76B4C892">
                  <w:pPr>
                    <w:pStyle w:val="61"/>
                    <w:rPr>
                      <w:color w:val="auto"/>
                      <w:sz w:val="21"/>
                      <w:szCs w:val="21"/>
                    </w:rPr>
                  </w:pPr>
                  <w:r>
                    <w:rPr>
                      <w:color w:val="auto"/>
                      <w:sz w:val="21"/>
                      <w:szCs w:val="21"/>
                    </w:rPr>
                    <w:t>0.28</w:t>
                  </w:r>
                </w:p>
              </w:tc>
            </w:tr>
            <w:tr w14:paraId="783461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02" w:type="pct"/>
                  <w:tcBorders>
                    <w:tl2br w:val="nil"/>
                    <w:tr2bl w:val="nil"/>
                  </w:tcBorders>
                  <w:vAlign w:val="center"/>
                </w:tcPr>
                <w:p w14:paraId="0C73EBE3">
                  <w:pPr>
                    <w:pStyle w:val="61"/>
                    <w:rPr>
                      <w:color w:val="auto"/>
                      <w:sz w:val="21"/>
                      <w:szCs w:val="21"/>
                    </w:rPr>
                  </w:pPr>
                  <w:r>
                    <w:rPr>
                      <w:color w:val="auto"/>
                      <w:sz w:val="21"/>
                      <w:szCs w:val="21"/>
                    </w:rPr>
                    <w:t>10</w:t>
                  </w:r>
                </w:p>
              </w:tc>
              <w:tc>
                <w:tcPr>
                  <w:tcW w:w="1298" w:type="pct"/>
                  <w:tcBorders>
                    <w:tl2br w:val="nil"/>
                    <w:tr2bl w:val="nil"/>
                  </w:tcBorders>
                  <w:vAlign w:val="center"/>
                </w:tcPr>
                <w:p w14:paraId="129145FE">
                  <w:pPr>
                    <w:pStyle w:val="61"/>
                    <w:rPr>
                      <w:color w:val="auto"/>
                      <w:sz w:val="21"/>
                      <w:szCs w:val="21"/>
                    </w:rPr>
                  </w:pPr>
                  <w:r>
                    <w:rPr>
                      <w:rFonts w:hint="eastAsia"/>
                      <w:color w:val="auto"/>
                      <w:sz w:val="21"/>
                      <w:szCs w:val="21"/>
                      <w:lang w:val="en-US" w:eastAsia="zh-CN"/>
                    </w:rPr>
                    <w:t>3</w:t>
                  </w:r>
                  <w:r>
                    <w:rPr>
                      <w:color w:val="auto"/>
                      <w:sz w:val="21"/>
                      <w:szCs w:val="21"/>
                    </w:rPr>
                    <w:t>0</w:t>
                  </w:r>
                </w:p>
              </w:tc>
              <w:tc>
                <w:tcPr>
                  <w:tcW w:w="1299" w:type="pct"/>
                  <w:tcBorders>
                    <w:tl2br w:val="nil"/>
                    <w:tr2bl w:val="nil"/>
                  </w:tcBorders>
                  <w:vAlign w:val="center"/>
                </w:tcPr>
                <w:p w14:paraId="2CA2C933">
                  <w:pPr>
                    <w:pStyle w:val="61"/>
                    <w:rPr>
                      <w:color w:val="auto"/>
                      <w:sz w:val="21"/>
                      <w:szCs w:val="21"/>
                    </w:rPr>
                  </w:pPr>
                  <w:r>
                    <w:rPr>
                      <w:color w:val="auto"/>
                      <w:sz w:val="21"/>
                      <w:szCs w:val="21"/>
                    </w:rPr>
                    <w:t>0.2</w:t>
                  </w:r>
                </w:p>
              </w:tc>
              <w:tc>
                <w:tcPr>
                  <w:tcW w:w="1299" w:type="pct"/>
                  <w:tcBorders>
                    <w:tl2br w:val="nil"/>
                    <w:tr2bl w:val="nil"/>
                  </w:tcBorders>
                  <w:vAlign w:val="center"/>
                </w:tcPr>
                <w:p w14:paraId="537E6801">
                  <w:pPr>
                    <w:pStyle w:val="61"/>
                    <w:rPr>
                      <w:color w:val="auto"/>
                      <w:sz w:val="21"/>
                      <w:szCs w:val="21"/>
                    </w:rPr>
                  </w:pPr>
                  <w:r>
                    <w:rPr>
                      <w:color w:val="auto"/>
                      <w:sz w:val="21"/>
                      <w:szCs w:val="21"/>
                    </w:rPr>
                    <w:t>0.56</w:t>
                  </w:r>
                </w:p>
              </w:tc>
            </w:tr>
            <w:tr w14:paraId="5694AF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02" w:type="pct"/>
                  <w:tcBorders>
                    <w:tl2br w:val="nil"/>
                    <w:tr2bl w:val="nil"/>
                  </w:tcBorders>
                  <w:vAlign w:val="center"/>
                </w:tcPr>
                <w:p w14:paraId="74C9080D">
                  <w:pPr>
                    <w:pStyle w:val="61"/>
                    <w:rPr>
                      <w:color w:val="auto"/>
                      <w:sz w:val="21"/>
                      <w:szCs w:val="21"/>
                    </w:rPr>
                  </w:pPr>
                  <w:r>
                    <w:rPr>
                      <w:color w:val="auto"/>
                      <w:sz w:val="21"/>
                      <w:szCs w:val="21"/>
                    </w:rPr>
                    <w:t>20</w:t>
                  </w:r>
                </w:p>
              </w:tc>
              <w:tc>
                <w:tcPr>
                  <w:tcW w:w="1298" w:type="pct"/>
                  <w:tcBorders>
                    <w:tl2br w:val="nil"/>
                    <w:tr2bl w:val="nil"/>
                  </w:tcBorders>
                  <w:vAlign w:val="center"/>
                </w:tcPr>
                <w:p w14:paraId="16C6304B">
                  <w:pPr>
                    <w:pStyle w:val="61"/>
                    <w:rPr>
                      <w:color w:val="auto"/>
                      <w:sz w:val="21"/>
                      <w:szCs w:val="21"/>
                    </w:rPr>
                  </w:pPr>
                  <w:r>
                    <w:rPr>
                      <w:rFonts w:hint="eastAsia"/>
                      <w:color w:val="auto"/>
                      <w:sz w:val="21"/>
                      <w:szCs w:val="21"/>
                      <w:lang w:val="en-US" w:eastAsia="zh-CN"/>
                    </w:rPr>
                    <w:t>3</w:t>
                  </w:r>
                  <w:r>
                    <w:rPr>
                      <w:color w:val="auto"/>
                      <w:sz w:val="21"/>
                      <w:szCs w:val="21"/>
                    </w:rPr>
                    <w:t>0</w:t>
                  </w:r>
                </w:p>
              </w:tc>
              <w:tc>
                <w:tcPr>
                  <w:tcW w:w="1299" w:type="pct"/>
                  <w:tcBorders>
                    <w:tl2br w:val="nil"/>
                    <w:tr2bl w:val="nil"/>
                  </w:tcBorders>
                  <w:vAlign w:val="center"/>
                </w:tcPr>
                <w:p w14:paraId="3EAAB657">
                  <w:pPr>
                    <w:pStyle w:val="61"/>
                    <w:rPr>
                      <w:color w:val="auto"/>
                      <w:sz w:val="21"/>
                      <w:szCs w:val="21"/>
                    </w:rPr>
                  </w:pPr>
                  <w:r>
                    <w:rPr>
                      <w:color w:val="auto"/>
                      <w:sz w:val="21"/>
                      <w:szCs w:val="21"/>
                    </w:rPr>
                    <w:t>0.2</w:t>
                  </w:r>
                </w:p>
              </w:tc>
              <w:tc>
                <w:tcPr>
                  <w:tcW w:w="1299" w:type="pct"/>
                  <w:tcBorders>
                    <w:tl2br w:val="nil"/>
                    <w:tr2bl w:val="nil"/>
                  </w:tcBorders>
                  <w:vAlign w:val="center"/>
                </w:tcPr>
                <w:p w14:paraId="4AD2A855">
                  <w:pPr>
                    <w:pStyle w:val="61"/>
                    <w:rPr>
                      <w:color w:val="auto"/>
                      <w:sz w:val="21"/>
                      <w:szCs w:val="21"/>
                    </w:rPr>
                  </w:pPr>
                  <w:r>
                    <w:rPr>
                      <w:color w:val="auto"/>
                      <w:sz w:val="21"/>
                      <w:szCs w:val="21"/>
                    </w:rPr>
                    <w:t>1.12</w:t>
                  </w:r>
                </w:p>
              </w:tc>
            </w:tr>
          </w:tbl>
          <w:p w14:paraId="27BF49E4">
            <w:pPr>
              <w:pStyle w:val="65"/>
              <w:wordWrap w:val="0"/>
              <w:topLinePunct/>
              <w:spacing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运输车辆在厂区内行驶的距离为100m，</w:t>
            </w:r>
            <w:r>
              <w:rPr>
                <w:rFonts w:hint="eastAsia" w:cs="Times New Roman"/>
                <w:color w:val="auto"/>
                <w:kern w:val="0"/>
                <w:sz w:val="24"/>
                <w:szCs w:val="24"/>
                <w:lang w:val="en-US" w:eastAsia="zh-CN" w:bidi="ar-SA"/>
              </w:rPr>
              <w:t>汽车平均速度以10km/h计，</w:t>
            </w:r>
            <w:r>
              <w:rPr>
                <w:rFonts w:ascii="Times New Roman" w:hAnsi="Times New Roman" w:eastAsia="宋体" w:cs="Times New Roman"/>
                <w:color w:val="auto"/>
                <w:kern w:val="0"/>
                <w:sz w:val="24"/>
                <w:szCs w:val="24"/>
                <w:lang w:val="en-US" w:eastAsia="zh-CN" w:bidi="ar-SA"/>
              </w:rPr>
              <w:t>则汽车在厂区内行驶过程的扬尘量见表</w:t>
            </w:r>
            <w:r>
              <w:rPr>
                <w:rFonts w:hint="eastAsia" w:ascii="Times New Roman" w:hAnsi="Times New Roman" w:eastAsia="宋体" w:cs="Times New Roman"/>
                <w:color w:val="auto"/>
                <w:kern w:val="0"/>
                <w:sz w:val="24"/>
                <w:szCs w:val="24"/>
                <w:lang w:val="en-US" w:eastAsia="zh-CN" w:bidi="ar-SA"/>
              </w:rPr>
              <w:t>4-2</w:t>
            </w:r>
            <w:r>
              <w:rPr>
                <w:rFonts w:ascii="Times New Roman" w:hAnsi="Times New Roman" w:eastAsia="宋体" w:cs="Times New Roman"/>
                <w:color w:val="auto"/>
                <w:kern w:val="0"/>
                <w:sz w:val="24"/>
                <w:szCs w:val="24"/>
                <w:lang w:val="en-US" w:eastAsia="zh-CN" w:bidi="ar-SA"/>
              </w:rPr>
              <w:t>。</w:t>
            </w:r>
          </w:p>
          <w:p w14:paraId="0616AA2E">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w:t>
            </w:r>
            <w:r>
              <w:rPr>
                <w:rFonts w:hint="eastAsia" w:ascii="Times New Roman" w:hAnsi="Times New Roman" w:eastAsia="宋体" w:cs="Times New Roman"/>
                <w:color w:val="auto"/>
              </w:rPr>
              <w:t xml:space="preserve">4-2   </w:t>
            </w:r>
            <w:r>
              <w:rPr>
                <w:rFonts w:hint="default" w:ascii="Times New Roman" w:hAnsi="Times New Roman" w:eastAsia="宋体" w:cs="Times New Roman"/>
                <w:color w:val="auto"/>
              </w:rPr>
              <w:t>车辆行驶扬尘量</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1755"/>
              <w:gridCol w:w="1757"/>
              <w:gridCol w:w="1757"/>
              <w:gridCol w:w="1758"/>
            </w:tblGrid>
            <w:tr w14:paraId="627FBD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4" w:type="pct"/>
                  <w:tcBorders>
                    <w:bottom w:val="single" w:color="auto" w:sz="12" w:space="0"/>
                  </w:tcBorders>
                  <w:vAlign w:val="center"/>
                </w:tcPr>
                <w:p w14:paraId="74CAF14F">
                  <w:pPr>
                    <w:pStyle w:val="61"/>
                    <w:rPr>
                      <w:b/>
                      <w:bCs/>
                      <w:color w:val="auto"/>
                      <w:sz w:val="21"/>
                      <w:szCs w:val="21"/>
                    </w:rPr>
                  </w:pPr>
                  <w:r>
                    <w:rPr>
                      <w:b/>
                      <w:bCs/>
                      <w:color w:val="auto"/>
                      <w:sz w:val="21"/>
                      <w:szCs w:val="21"/>
                    </w:rPr>
                    <w:t>项目</w:t>
                  </w:r>
                </w:p>
              </w:tc>
              <w:tc>
                <w:tcPr>
                  <w:tcW w:w="1030" w:type="pct"/>
                  <w:tcBorders>
                    <w:bottom w:val="single" w:color="auto" w:sz="12" w:space="0"/>
                  </w:tcBorders>
                  <w:vAlign w:val="center"/>
                </w:tcPr>
                <w:p w14:paraId="6204E412">
                  <w:pPr>
                    <w:pStyle w:val="61"/>
                    <w:rPr>
                      <w:b/>
                      <w:bCs/>
                      <w:color w:val="auto"/>
                      <w:sz w:val="21"/>
                      <w:szCs w:val="21"/>
                    </w:rPr>
                  </w:pPr>
                  <w:r>
                    <w:rPr>
                      <w:b/>
                      <w:bCs/>
                      <w:color w:val="auto"/>
                      <w:sz w:val="21"/>
                      <w:szCs w:val="21"/>
                    </w:rPr>
                    <w:t>运输量</w:t>
                  </w:r>
                </w:p>
              </w:tc>
              <w:tc>
                <w:tcPr>
                  <w:tcW w:w="1031" w:type="pct"/>
                  <w:tcBorders>
                    <w:bottom w:val="single" w:color="auto" w:sz="12" w:space="0"/>
                  </w:tcBorders>
                  <w:vAlign w:val="center"/>
                </w:tcPr>
                <w:p w14:paraId="35C6FC22">
                  <w:pPr>
                    <w:pStyle w:val="61"/>
                    <w:rPr>
                      <w:b/>
                      <w:bCs/>
                      <w:color w:val="auto"/>
                      <w:sz w:val="21"/>
                      <w:szCs w:val="21"/>
                    </w:rPr>
                  </w:pPr>
                  <w:r>
                    <w:rPr>
                      <w:b/>
                      <w:bCs/>
                      <w:color w:val="auto"/>
                      <w:sz w:val="21"/>
                      <w:szCs w:val="21"/>
                    </w:rPr>
                    <w:t>单次运输量</w:t>
                  </w:r>
                </w:p>
              </w:tc>
              <w:tc>
                <w:tcPr>
                  <w:tcW w:w="1031" w:type="pct"/>
                  <w:tcBorders>
                    <w:bottom w:val="single" w:color="auto" w:sz="12" w:space="0"/>
                  </w:tcBorders>
                  <w:vAlign w:val="center"/>
                </w:tcPr>
                <w:p w14:paraId="6104F797">
                  <w:pPr>
                    <w:pStyle w:val="61"/>
                    <w:rPr>
                      <w:b/>
                      <w:bCs/>
                      <w:color w:val="auto"/>
                      <w:sz w:val="21"/>
                      <w:szCs w:val="21"/>
                    </w:rPr>
                  </w:pPr>
                  <w:r>
                    <w:rPr>
                      <w:b/>
                      <w:bCs/>
                      <w:color w:val="auto"/>
                      <w:sz w:val="21"/>
                      <w:szCs w:val="21"/>
                    </w:rPr>
                    <w:t>运输次数（次）</w:t>
                  </w:r>
                </w:p>
              </w:tc>
              <w:tc>
                <w:tcPr>
                  <w:tcW w:w="1031" w:type="pct"/>
                  <w:tcBorders>
                    <w:bottom w:val="single" w:color="auto" w:sz="12" w:space="0"/>
                  </w:tcBorders>
                  <w:vAlign w:val="center"/>
                </w:tcPr>
                <w:p w14:paraId="1B7B21A5">
                  <w:pPr>
                    <w:pStyle w:val="61"/>
                    <w:rPr>
                      <w:b/>
                      <w:bCs/>
                      <w:color w:val="auto"/>
                      <w:sz w:val="21"/>
                      <w:szCs w:val="21"/>
                    </w:rPr>
                  </w:pPr>
                  <w:r>
                    <w:rPr>
                      <w:b/>
                      <w:bCs/>
                      <w:color w:val="auto"/>
                      <w:sz w:val="21"/>
                      <w:szCs w:val="21"/>
                    </w:rPr>
                    <w:t>扬尘量（t）</w:t>
                  </w:r>
                </w:p>
              </w:tc>
            </w:tr>
            <w:tr w14:paraId="4459EA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4" w:type="pct"/>
                  <w:tcBorders>
                    <w:top w:val="single" w:color="auto" w:sz="12" w:space="0"/>
                    <w:tl2br w:val="nil"/>
                    <w:tr2bl w:val="nil"/>
                  </w:tcBorders>
                  <w:vAlign w:val="center"/>
                </w:tcPr>
                <w:p w14:paraId="061B9183">
                  <w:pPr>
                    <w:pStyle w:val="61"/>
                    <w:rPr>
                      <w:color w:val="auto"/>
                      <w:sz w:val="21"/>
                      <w:szCs w:val="21"/>
                    </w:rPr>
                  </w:pPr>
                  <w:r>
                    <w:rPr>
                      <w:color w:val="auto"/>
                      <w:sz w:val="21"/>
                      <w:szCs w:val="21"/>
                    </w:rPr>
                    <w:t>成品混凝土</w:t>
                  </w:r>
                </w:p>
              </w:tc>
              <w:tc>
                <w:tcPr>
                  <w:tcW w:w="1030" w:type="pct"/>
                  <w:tcBorders>
                    <w:top w:val="single" w:color="auto" w:sz="12" w:space="0"/>
                    <w:tl2br w:val="nil"/>
                    <w:tr2bl w:val="nil"/>
                  </w:tcBorders>
                  <w:vAlign w:val="center"/>
                </w:tcPr>
                <w:p w14:paraId="0CC1B6C2">
                  <w:pPr>
                    <w:pStyle w:val="61"/>
                    <w:rPr>
                      <w:color w:val="auto"/>
                      <w:sz w:val="21"/>
                      <w:szCs w:val="21"/>
                    </w:rPr>
                  </w:pPr>
                  <w:r>
                    <w:rPr>
                      <w:rFonts w:hint="eastAsia"/>
                      <w:color w:val="auto"/>
                      <w:sz w:val="21"/>
                      <w:szCs w:val="21"/>
                    </w:rPr>
                    <w:t>20万m</w:t>
                  </w:r>
                  <w:r>
                    <w:rPr>
                      <w:rFonts w:hint="eastAsia"/>
                      <w:color w:val="auto"/>
                      <w:sz w:val="21"/>
                      <w:szCs w:val="21"/>
                      <w:vertAlign w:val="superscript"/>
                    </w:rPr>
                    <w:t>3</w:t>
                  </w:r>
                  <w:r>
                    <w:rPr>
                      <w:color w:val="auto"/>
                      <w:sz w:val="21"/>
                      <w:szCs w:val="21"/>
                    </w:rPr>
                    <w:t>/a</w:t>
                  </w:r>
                </w:p>
              </w:tc>
              <w:tc>
                <w:tcPr>
                  <w:tcW w:w="1031" w:type="pct"/>
                  <w:tcBorders>
                    <w:top w:val="single" w:color="auto" w:sz="12" w:space="0"/>
                    <w:tl2br w:val="nil"/>
                    <w:tr2bl w:val="nil"/>
                  </w:tcBorders>
                  <w:vAlign w:val="center"/>
                </w:tcPr>
                <w:p w14:paraId="40643185">
                  <w:pPr>
                    <w:pStyle w:val="61"/>
                    <w:rPr>
                      <w:color w:val="auto"/>
                      <w:sz w:val="21"/>
                      <w:szCs w:val="21"/>
                    </w:rPr>
                  </w:pPr>
                  <w:r>
                    <w:rPr>
                      <w:color w:val="auto"/>
                      <w:sz w:val="21"/>
                      <w:szCs w:val="21"/>
                    </w:rPr>
                    <w:t>20m</w:t>
                  </w:r>
                  <w:r>
                    <w:rPr>
                      <w:color w:val="auto"/>
                      <w:sz w:val="21"/>
                      <w:szCs w:val="21"/>
                      <w:vertAlign w:val="superscript"/>
                    </w:rPr>
                    <w:t>3</w:t>
                  </w:r>
                </w:p>
              </w:tc>
              <w:tc>
                <w:tcPr>
                  <w:tcW w:w="1639" w:type="dxa"/>
                  <w:tcBorders>
                    <w:top w:val="single" w:color="auto" w:sz="12" w:space="0"/>
                    <w:tl2br w:val="nil"/>
                    <w:tr2bl w:val="nil"/>
                  </w:tcBorders>
                  <w:vAlign w:val="center"/>
                </w:tcPr>
                <w:p w14:paraId="32892BA6">
                  <w:pPr>
                    <w:widowControl/>
                    <w:jc w:val="center"/>
                    <w:textAlignment w:val="center"/>
                    <w:rPr>
                      <w:color w:val="auto"/>
                      <w:sz w:val="21"/>
                      <w:szCs w:val="21"/>
                    </w:rPr>
                  </w:pPr>
                  <w:r>
                    <w:rPr>
                      <w:color w:val="auto"/>
                      <w:kern w:val="0"/>
                      <w:sz w:val="21"/>
                      <w:szCs w:val="21"/>
                      <w:lang w:bidi="ar"/>
                    </w:rPr>
                    <w:t>10000</w:t>
                  </w:r>
                </w:p>
              </w:tc>
              <w:tc>
                <w:tcPr>
                  <w:tcW w:w="1639" w:type="dxa"/>
                  <w:tcBorders>
                    <w:top w:val="single" w:color="auto" w:sz="12" w:space="0"/>
                    <w:tl2br w:val="nil"/>
                    <w:tr2bl w:val="nil"/>
                  </w:tcBorders>
                  <w:vAlign w:val="center"/>
                </w:tcPr>
                <w:p w14:paraId="4F0CF692">
                  <w:pPr>
                    <w:widowControl/>
                    <w:jc w:val="center"/>
                    <w:textAlignment w:val="center"/>
                    <w:rPr>
                      <w:color w:val="auto"/>
                      <w:sz w:val="21"/>
                      <w:szCs w:val="21"/>
                    </w:rPr>
                  </w:pPr>
                  <w:r>
                    <w:rPr>
                      <w:color w:val="auto"/>
                      <w:kern w:val="0"/>
                      <w:sz w:val="21"/>
                      <w:szCs w:val="21"/>
                      <w:lang w:bidi="ar"/>
                    </w:rPr>
                    <w:t>0.56</w:t>
                  </w:r>
                </w:p>
              </w:tc>
            </w:tr>
            <w:tr w14:paraId="59818B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dxa"/>
                  <w:tcBorders>
                    <w:tl2br w:val="nil"/>
                    <w:tr2bl w:val="nil"/>
                  </w:tcBorders>
                  <w:vAlign w:val="center"/>
                </w:tcPr>
                <w:p w14:paraId="6C721F18">
                  <w:pPr>
                    <w:adjustRightInd w:val="0"/>
                    <w:snapToGrid w:val="0"/>
                    <w:jc w:val="center"/>
                    <w:rPr>
                      <w:color w:val="auto"/>
                      <w:sz w:val="21"/>
                      <w:szCs w:val="21"/>
                    </w:rPr>
                  </w:pPr>
                  <w:r>
                    <w:rPr>
                      <w:color w:val="auto"/>
                      <w:sz w:val="21"/>
                      <w:szCs w:val="21"/>
                    </w:rPr>
                    <w:t>水泥</w:t>
                  </w:r>
                </w:p>
              </w:tc>
              <w:tc>
                <w:tcPr>
                  <w:tcW w:w="1030" w:type="pct"/>
                  <w:tcBorders>
                    <w:tl2br w:val="nil"/>
                    <w:tr2bl w:val="nil"/>
                  </w:tcBorders>
                  <w:vAlign w:val="center"/>
                </w:tcPr>
                <w:p w14:paraId="3065B8CE">
                  <w:pPr>
                    <w:pStyle w:val="61"/>
                    <w:rPr>
                      <w:color w:val="auto"/>
                      <w:sz w:val="21"/>
                      <w:szCs w:val="21"/>
                    </w:rPr>
                  </w:pPr>
                  <w:r>
                    <w:rPr>
                      <w:rFonts w:hint="eastAsia"/>
                      <w:color w:val="auto"/>
                      <w:sz w:val="21"/>
                      <w:szCs w:val="21"/>
                    </w:rPr>
                    <w:t>65200</w:t>
                  </w:r>
                  <w:r>
                    <w:rPr>
                      <w:color w:val="auto"/>
                      <w:sz w:val="21"/>
                      <w:szCs w:val="21"/>
                    </w:rPr>
                    <w:t>t/a</w:t>
                  </w:r>
                </w:p>
              </w:tc>
              <w:tc>
                <w:tcPr>
                  <w:tcW w:w="1031" w:type="pct"/>
                  <w:tcBorders>
                    <w:tl2br w:val="nil"/>
                    <w:tr2bl w:val="nil"/>
                  </w:tcBorders>
                  <w:vAlign w:val="center"/>
                </w:tcPr>
                <w:p w14:paraId="3C43932D">
                  <w:pPr>
                    <w:pStyle w:val="61"/>
                    <w:rPr>
                      <w:color w:val="auto"/>
                      <w:sz w:val="21"/>
                      <w:szCs w:val="21"/>
                    </w:rPr>
                  </w:pPr>
                  <w:r>
                    <w:rPr>
                      <w:rFonts w:hint="eastAsia"/>
                      <w:color w:val="auto"/>
                      <w:sz w:val="21"/>
                      <w:szCs w:val="21"/>
                      <w:lang w:val="en-US" w:eastAsia="zh-CN"/>
                    </w:rPr>
                    <w:t>3</w:t>
                  </w:r>
                  <w:r>
                    <w:rPr>
                      <w:color w:val="auto"/>
                      <w:sz w:val="21"/>
                      <w:szCs w:val="21"/>
                    </w:rPr>
                    <w:t>0t</w:t>
                  </w:r>
                </w:p>
              </w:tc>
              <w:tc>
                <w:tcPr>
                  <w:tcW w:w="1639" w:type="dxa"/>
                  <w:tcBorders>
                    <w:tl2br w:val="nil"/>
                    <w:tr2bl w:val="nil"/>
                  </w:tcBorders>
                  <w:vAlign w:val="center"/>
                </w:tcPr>
                <w:p w14:paraId="795E3377">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2174</w:t>
                  </w:r>
                </w:p>
              </w:tc>
              <w:tc>
                <w:tcPr>
                  <w:tcW w:w="1639" w:type="dxa"/>
                  <w:tcBorders>
                    <w:tl2br w:val="nil"/>
                    <w:tr2bl w:val="nil"/>
                  </w:tcBorders>
                  <w:vAlign w:val="center"/>
                </w:tcPr>
                <w:p w14:paraId="49DBAF8F">
                  <w:pPr>
                    <w:widowControl/>
                    <w:jc w:val="center"/>
                    <w:textAlignment w:val="center"/>
                    <w:rPr>
                      <w:rFonts w:hint="default" w:eastAsia="宋体"/>
                      <w:color w:val="auto"/>
                      <w:sz w:val="21"/>
                      <w:szCs w:val="21"/>
                      <w:lang w:val="en-US" w:eastAsia="zh-CN"/>
                    </w:rPr>
                  </w:pPr>
                  <w:r>
                    <w:rPr>
                      <w:color w:val="auto"/>
                      <w:kern w:val="0"/>
                      <w:sz w:val="21"/>
                      <w:szCs w:val="21"/>
                      <w:lang w:bidi="ar"/>
                    </w:rPr>
                    <w:t>0.</w:t>
                  </w:r>
                  <w:r>
                    <w:rPr>
                      <w:rFonts w:hint="eastAsia"/>
                      <w:color w:val="auto"/>
                      <w:kern w:val="0"/>
                      <w:sz w:val="21"/>
                      <w:szCs w:val="21"/>
                      <w:lang w:val="en-US" w:eastAsia="zh-CN" w:bidi="ar"/>
                    </w:rPr>
                    <w:t>12</w:t>
                  </w:r>
                </w:p>
              </w:tc>
            </w:tr>
            <w:tr w14:paraId="1A7F1C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89" w:type="dxa"/>
                  <w:tcBorders>
                    <w:tl2br w:val="nil"/>
                    <w:tr2bl w:val="nil"/>
                  </w:tcBorders>
                  <w:vAlign w:val="center"/>
                </w:tcPr>
                <w:p w14:paraId="19756983">
                  <w:pPr>
                    <w:adjustRightInd w:val="0"/>
                    <w:snapToGrid w:val="0"/>
                    <w:jc w:val="center"/>
                    <w:rPr>
                      <w:color w:val="auto"/>
                      <w:sz w:val="21"/>
                      <w:szCs w:val="21"/>
                    </w:rPr>
                  </w:pPr>
                  <w:r>
                    <w:rPr>
                      <w:rFonts w:hint="eastAsia"/>
                      <w:color w:val="auto"/>
                      <w:sz w:val="21"/>
                      <w:szCs w:val="21"/>
                    </w:rPr>
                    <w:t>粉煤灰</w:t>
                  </w:r>
                </w:p>
              </w:tc>
              <w:tc>
                <w:tcPr>
                  <w:tcW w:w="1030" w:type="pct"/>
                  <w:tcBorders>
                    <w:tl2br w:val="nil"/>
                    <w:tr2bl w:val="nil"/>
                  </w:tcBorders>
                  <w:vAlign w:val="center"/>
                </w:tcPr>
                <w:p w14:paraId="2E3F8A48">
                  <w:pPr>
                    <w:pStyle w:val="61"/>
                    <w:rPr>
                      <w:color w:val="auto"/>
                      <w:sz w:val="21"/>
                      <w:szCs w:val="21"/>
                    </w:rPr>
                  </w:pPr>
                  <w:r>
                    <w:rPr>
                      <w:rFonts w:hint="eastAsia"/>
                      <w:color w:val="auto"/>
                      <w:sz w:val="21"/>
                      <w:szCs w:val="21"/>
                    </w:rPr>
                    <w:t>3400</w:t>
                  </w:r>
                  <w:r>
                    <w:rPr>
                      <w:color w:val="auto"/>
                      <w:sz w:val="21"/>
                      <w:szCs w:val="21"/>
                    </w:rPr>
                    <w:t>t/a</w:t>
                  </w:r>
                </w:p>
              </w:tc>
              <w:tc>
                <w:tcPr>
                  <w:tcW w:w="1031" w:type="pct"/>
                  <w:tcBorders>
                    <w:tl2br w:val="nil"/>
                    <w:tr2bl w:val="nil"/>
                  </w:tcBorders>
                  <w:vAlign w:val="center"/>
                </w:tcPr>
                <w:p w14:paraId="2CE95C3D">
                  <w:pPr>
                    <w:pStyle w:val="61"/>
                    <w:rPr>
                      <w:color w:val="auto"/>
                      <w:sz w:val="21"/>
                      <w:szCs w:val="21"/>
                    </w:rPr>
                  </w:pPr>
                  <w:r>
                    <w:rPr>
                      <w:rFonts w:hint="eastAsia"/>
                      <w:color w:val="auto"/>
                      <w:sz w:val="21"/>
                      <w:szCs w:val="21"/>
                      <w:lang w:val="en-US" w:eastAsia="zh-CN"/>
                    </w:rPr>
                    <w:t>3</w:t>
                  </w:r>
                  <w:r>
                    <w:rPr>
                      <w:color w:val="auto"/>
                      <w:sz w:val="21"/>
                      <w:szCs w:val="21"/>
                    </w:rPr>
                    <w:t>0t</w:t>
                  </w:r>
                </w:p>
              </w:tc>
              <w:tc>
                <w:tcPr>
                  <w:tcW w:w="1639" w:type="dxa"/>
                  <w:tcBorders>
                    <w:tl2br w:val="nil"/>
                    <w:tr2bl w:val="nil"/>
                  </w:tcBorders>
                  <w:vAlign w:val="center"/>
                </w:tcPr>
                <w:p w14:paraId="41F55C99">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114</w:t>
                  </w:r>
                </w:p>
              </w:tc>
              <w:tc>
                <w:tcPr>
                  <w:tcW w:w="1639" w:type="dxa"/>
                  <w:tcBorders>
                    <w:tl2br w:val="nil"/>
                    <w:tr2bl w:val="nil"/>
                  </w:tcBorders>
                  <w:vAlign w:val="center"/>
                </w:tcPr>
                <w:p w14:paraId="080CA42F">
                  <w:pPr>
                    <w:widowControl/>
                    <w:jc w:val="center"/>
                    <w:textAlignment w:val="center"/>
                    <w:rPr>
                      <w:rFonts w:hint="eastAsia" w:eastAsia="宋体"/>
                      <w:color w:val="auto"/>
                      <w:sz w:val="21"/>
                      <w:szCs w:val="21"/>
                      <w:lang w:val="en-US" w:eastAsia="zh-CN"/>
                    </w:rPr>
                  </w:pPr>
                  <w:r>
                    <w:rPr>
                      <w:color w:val="auto"/>
                      <w:kern w:val="0"/>
                      <w:sz w:val="21"/>
                      <w:szCs w:val="21"/>
                      <w:lang w:bidi="ar"/>
                    </w:rPr>
                    <w:t>0.00</w:t>
                  </w:r>
                  <w:r>
                    <w:rPr>
                      <w:rFonts w:hint="eastAsia"/>
                      <w:color w:val="auto"/>
                      <w:kern w:val="0"/>
                      <w:sz w:val="21"/>
                      <w:szCs w:val="21"/>
                      <w:lang w:val="en-US" w:eastAsia="zh-CN" w:bidi="ar"/>
                    </w:rPr>
                    <w:t>6</w:t>
                  </w:r>
                </w:p>
              </w:tc>
            </w:tr>
            <w:tr w14:paraId="5E3CCA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89" w:type="dxa"/>
                  <w:tcBorders>
                    <w:tl2br w:val="nil"/>
                    <w:tr2bl w:val="nil"/>
                  </w:tcBorders>
                  <w:vAlign w:val="center"/>
                </w:tcPr>
                <w:p w14:paraId="516AD54D">
                  <w:pPr>
                    <w:adjustRightInd w:val="0"/>
                    <w:snapToGrid w:val="0"/>
                    <w:jc w:val="center"/>
                    <w:rPr>
                      <w:color w:val="auto"/>
                      <w:sz w:val="21"/>
                      <w:szCs w:val="21"/>
                    </w:rPr>
                  </w:pPr>
                  <w:r>
                    <w:rPr>
                      <w:color w:val="auto"/>
                      <w:sz w:val="21"/>
                      <w:szCs w:val="21"/>
                    </w:rPr>
                    <w:t>砂子</w:t>
                  </w:r>
                </w:p>
              </w:tc>
              <w:tc>
                <w:tcPr>
                  <w:tcW w:w="1030" w:type="pct"/>
                  <w:tcBorders>
                    <w:tl2br w:val="nil"/>
                    <w:tr2bl w:val="nil"/>
                  </w:tcBorders>
                  <w:vAlign w:val="center"/>
                </w:tcPr>
                <w:p w14:paraId="5A5A4CB4">
                  <w:pPr>
                    <w:pStyle w:val="61"/>
                    <w:rPr>
                      <w:color w:val="auto"/>
                      <w:sz w:val="21"/>
                      <w:szCs w:val="21"/>
                    </w:rPr>
                  </w:pPr>
                  <w:r>
                    <w:rPr>
                      <w:rFonts w:hint="eastAsia"/>
                      <w:color w:val="auto"/>
                      <w:sz w:val="21"/>
                      <w:szCs w:val="21"/>
                    </w:rPr>
                    <w:t>124400</w:t>
                  </w:r>
                  <w:r>
                    <w:rPr>
                      <w:color w:val="auto"/>
                      <w:sz w:val="21"/>
                      <w:szCs w:val="21"/>
                    </w:rPr>
                    <w:t>t/a</w:t>
                  </w:r>
                </w:p>
              </w:tc>
              <w:tc>
                <w:tcPr>
                  <w:tcW w:w="1031" w:type="pct"/>
                  <w:tcBorders>
                    <w:tl2br w:val="nil"/>
                    <w:tr2bl w:val="nil"/>
                  </w:tcBorders>
                  <w:vAlign w:val="center"/>
                </w:tcPr>
                <w:p w14:paraId="793E800B">
                  <w:pPr>
                    <w:pStyle w:val="61"/>
                    <w:rPr>
                      <w:color w:val="auto"/>
                      <w:sz w:val="21"/>
                      <w:szCs w:val="21"/>
                    </w:rPr>
                  </w:pPr>
                  <w:r>
                    <w:rPr>
                      <w:rFonts w:hint="eastAsia"/>
                      <w:color w:val="auto"/>
                      <w:sz w:val="21"/>
                      <w:szCs w:val="21"/>
                      <w:lang w:val="en-US" w:eastAsia="zh-CN"/>
                    </w:rPr>
                    <w:t>3</w:t>
                  </w:r>
                  <w:r>
                    <w:rPr>
                      <w:color w:val="auto"/>
                      <w:sz w:val="21"/>
                      <w:szCs w:val="21"/>
                    </w:rPr>
                    <w:t>0t</w:t>
                  </w:r>
                </w:p>
              </w:tc>
              <w:tc>
                <w:tcPr>
                  <w:tcW w:w="1639" w:type="dxa"/>
                  <w:tcBorders>
                    <w:tl2br w:val="nil"/>
                    <w:tr2bl w:val="nil"/>
                  </w:tcBorders>
                  <w:vAlign w:val="center"/>
                </w:tcPr>
                <w:p w14:paraId="5E2D59C8">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4147</w:t>
                  </w:r>
                </w:p>
              </w:tc>
              <w:tc>
                <w:tcPr>
                  <w:tcW w:w="1639" w:type="dxa"/>
                  <w:tcBorders>
                    <w:tl2br w:val="nil"/>
                    <w:tr2bl w:val="nil"/>
                  </w:tcBorders>
                  <w:vAlign w:val="center"/>
                </w:tcPr>
                <w:p w14:paraId="4754CFAE">
                  <w:pPr>
                    <w:widowControl/>
                    <w:jc w:val="center"/>
                    <w:textAlignment w:val="center"/>
                    <w:rPr>
                      <w:rFonts w:hint="default" w:eastAsia="宋体"/>
                      <w:color w:val="auto"/>
                      <w:sz w:val="21"/>
                      <w:szCs w:val="21"/>
                      <w:lang w:val="en-US" w:eastAsia="zh-CN"/>
                    </w:rPr>
                  </w:pPr>
                  <w:r>
                    <w:rPr>
                      <w:color w:val="auto"/>
                      <w:kern w:val="0"/>
                      <w:sz w:val="21"/>
                      <w:szCs w:val="21"/>
                      <w:lang w:bidi="ar"/>
                    </w:rPr>
                    <w:t>0.</w:t>
                  </w:r>
                  <w:r>
                    <w:rPr>
                      <w:rFonts w:hint="eastAsia"/>
                      <w:color w:val="auto"/>
                      <w:kern w:val="0"/>
                      <w:sz w:val="21"/>
                      <w:szCs w:val="21"/>
                      <w:lang w:val="en-US" w:eastAsia="zh-CN" w:bidi="ar"/>
                    </w:rPr>
                    <w:t>23</w:t>
                  </w:r>
                </w:p>
              </w:tc>
            </w:tr>
            <w:tr w14:paraId="518794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389" w:type="dxa"/>
                  <w:tcBorders>
                    <w:tl2br w:val="nil"/>
                    <w:tr2bl w:val="nil"/>
                  </w:tcBorders>
                  <w:vAlign w:val="center"/>
                </w:tcPr>
                <w:p w14:paraId="4252E18A">
                  <w:pPr>
                    <w:adjustRightInd w:val="0"/>
                    <w:snapToGrid w:val="0"/>
                    <w:jc w:val="center"/>
                    <w:rPr>
                      <w:color w:val="auto"/>
                      <w:sz w:val="21"/>
                      <w:szCs w:val="21"/>
                    </w:rPr>
                  </w:pPr>
                  <w:r>
                    <w:rPr>
                      <w:color w:val="auto"/>
                      <w:sz w:val="21"/>
                      <w:szCs w:val="21"/>
                    </w:rPr>
                    <w:t>碎石</w:t>
                  </w:r>
                </w:p>
              </w:tc>
              <w:tc>
                <w:tcPr>
                  <w:tcW w:w="1030" w:type="pct"/>
                  <w:tcBorders>
                    <w:tl2br w:val="nil"/>
                    <w:tr2bl w:val="nil"/>
                  </w:tcBorders>
                  <w:vAlign w:val="center"/>
                </w:tcPr>
                <w:p w14:paraId="1106DFF7">
                  <w:pPr>
                    <w:pStyle w:val="61"/>
                    <w:rPr>
                      <w:color w:val="auto"/>
                      <w:sz w:val="21"/>
                      <w:szCs w:val="21"/>
                    </w:rPr>
                  </w:pPr>
                  <w:r>
                    <w:rPr>
                      <w:rFonts w:hint="eastAsia"/>
                      <w:color w:val="auto"/>
                      <w:sz w:val="21"/>
                      <w:szCs w:val="21"/>
                    </w:rPr>
                    <w:t>232800</w:t>
                  </w:r>
                  <w:r>
                    <w:rPr>
                      <w:color w:val="auto"/>
                      <w:sz w:val="21"/>
                      <w:szCs w:val="21"/>
                    </w:rPr>
                    <w:t>t/a</w:t>
                  </w:r>
                </w:p>
              </w:tc>
              <w:tc>
                <w:tcPr>
                  <w:tcW w:w="1031" w:type="pct"/>
                  <w:tcBorders>
                    <w:tl2br w:val="nil"/>
                    <w:tr2bl w:val="nil"/>
                  </w:tcBorders>
                  <w:vAlign w:val="center"/>
                </w:tcPr>
                <w:p w14:paraId="733DEA22">
                  <w:pPr>
                    <w:pStyle w:val="61"/>
                    <w:rPr>
                      <w:color w:val="auto"/>
                      <w:sz w:val="21"/>
                      <w:szCs w:val="21"/>
                    </w:rPr>
                  </w:pPr>
                  <w:r>
                    <w:rPr>
                      <w:rFonts w:hint="eastAsia"/>
                      <w:color w:val="auto"/>
                      <w:sz w:val="21"/>
                      <w:szCs w:val="21"/>
                      <w:lang w:val="en-US" w:eastAsia="zh-CN"/>
                    </w:rPr>
                    <w:t>3</w:t>
                  </w:r>
                  <w:r>
                    <w:rPr>
                      <w:color w:val="auto"/>
                      <w:sz w:val="21"/>
                      <w:szCs w:val="21"/>
                    </w:rPr>
                    <w:t>0t</w:t>
                  </w:r>
                </w:p>
              </w:tc>
              <w:tc>
                <w:tcPr>
                  <w:tcW w:w="1639" w:type="dxa"/>
                  <w:tcBorders>
                    <w:tl2br w:val="nil"/>
                    <w:tr2bl w:val="nil"/>
                  </w:tcBorders>
                  <w:vAlign w:val="center"/>
                </w:tcPr>
                <w:p w14:paraId="7FD93912">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7760</w:t>
                  </w:r>
                </w:p>
              </w:tc>
              <w:tc>
                <w:tcPr>
                  <w:tcW w:w="1639" w:type="dxa"/>
                  <w:tcBorders>
                    <w:tl2br w:val="nil"/>
                    <w:tr2bl w:val="nil"/>
                  </w:tcBorders>
                  <w:vAlign w:val="center"/>
                </w:tcPr>
                <w:p w14:paraId="51E3A462">
                  <w:pPr>
                    <w:widowControl/>
                    <w:jc w:val="center"/>
                    <w:textAlignment w:val="center"/>
                    <w:rPr>
                      <w:rFonts w:hint="default" w:eastAsia="宋体"/>
                      <w:color w:val="auto"/>
                      <w:sz w:val="21"/>
                      <w:szCs w:val="21"/>
                      <w:lang w:val="en-US" w:eastAsia="zh-CN"/>
                    </w:rPr>
                  </w:pPr>
                  <w:r>
                    <w:rPr>
                      <w:color w:val="auto"/>
                      <w:kern w:val="0"/>
                      <w:sz w:val="21"/>
                      <w:szCs w:val="21"/>
                      <w:lang w:bidi="ar"/>
                    </w:rPr>
                    <w:t>0.</w:t>
                  </w:r>
                  <w:r>
                    <w:rPr>
                      <w:rFonts w:hint="eastAsia"/>
                      <w:color w:val="auto"/>
                      <w:kern w:val="0"/>
                      <w:sz w:val="21"/>
                      <w:szCs w:val="21"/>
                      <w:lang w:val="en-US" w:eastAsia="zh-CN" w:bidi="ar"/>
                    </w:rPr>
                    <w:t>43</w:t>
                  </w:r>
                </w:p>
              </w:tc>
            </w:tr>
            <w:tr w14:paraId="676ADE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89" w:type="dxa"/>
                  <w:tcBorders>
                    <w:tl2br w:val="nil"/>
                    <w:tr2bl w:val="nil"/>
                  </w:tcBorders>
                  <w:vAlign w:val="center"/>
                </w:tcPr>
                <w:p w14:paraId="69C225FB">
                  <w:pPr>
                    <w:adjustRightInd w:val="0"/>
                    <w:snapToGrid w:val="0"/>
                    <w:jc w:val="center"/>
                    <w:rPr>
                      <w:color w:val="auto"/>
                      <w:sz w:val="21"/>
                      <w:szCs w:val="21"/>
                    </w:rPr>
                  </w:pPr>
                  <w:r>
                    <w:rPr>
                      <w:color w:val="auto"/>
                      <w:sz w:val="21"/>
                      <w:szCs w:val="21"/>
                    </w:rPr>
                    <w:t>外加剂</w:t>
                  </w:r>
                </w:p>
              </w:tc>
              <w:tc>
                <w:tcPr>
                  <w:tcW w:w="1030" w:type="pct"/>
                  <w:tcBorders>
                    <w:tl2br w:val="nil"/>
                    <w:tr2bl w:val="nil"/>
                  </w:tcBorders>
                  <w:vAlign w:val="center"/>
                </w:tcPr>
                <w:p w14:paraId="639D8768">
                  <w:pPr>
                    <w:pStyle w:val="61"/>
                    <w:rPr>
                      <w:color w:val="auto"/>
                      <w:sz w:val="21"/>
                      <w:szCs w:val="21"/>
                    </w:rPr>
                  </w:pPr>
                  <w:r>
                    <w:rPr>
                      <w:rFonts w:hint="eastAsia"/>
                      <w:color w:val="auto"/>
                      <w:sz w:val="21"/>
                      <w:szCs w:val="21"/>
                    </w:rPr>
                    <w:t>14400</w:t>
                  </w:r>
                  <w:r>
                    <w:rPr>
                      <w:color w:val="auto"/>
                      <w:sz w:val="21"/>
                      <w:szCs w:val="21"/>
                    </w:rPr>
                    <w:t>t/a</w:t>
                  </w:r>
                </w:p>
              </w:tc>
              <w:tc>
                <w:tcPr>
                  <w:tcW w:w="1031" w:type="pct"/>
                  <w:tcBorders>
                    <w:tl2br w:val="nil"/>
                    <w:tr2bl w:val="nil"/>
                  </w:tcBorders>
                  <w:vAlign w:val="center"/>
                </w:tcPr>
                <w:p w14:paraId="6663FEF2">
                  <w:pPr>
                    <w:pStyle w:val="61"/>
                    <w:rPr>
                      <w:color w:val="auto"/>
                      <w:sz w:val="21"/>
                      <w:szCs w:val="21"/>
                    </w:rPr>
                  </w:pPr>
                  <w:r>
                    <w:rPr>
                      <w:rFonts w:hint="eastAsia"/>
                      <w:color w:val="auto"/>
                      <w:sz w:val="21"/>
                      <w:szCs w:val="21"/>
                      <w:lang w:val="en-US" w:eastAsia="zh-CN"/>
                    </w:rPr>
                    <w:t>3</w:t>
                  </w:r>
                  <w:r>
                    <w:rPr>
                      <w:rFonts w:hint="eastAsia"/>
                      <w:color w:val="auto"/>
                      <w:sz w:val="21"/>
                      <w:szCs w:val="21"/>
                    </w:rPr>
                    <w:t>0t</w:t>
                  </w:r>
                </w:p>
              </w:tc>
              <w:tc>
                <w:tcPr>
                  <w:tcW w:w="1639" w:type="dxa"/>
                  <w:tcBorders>
                    <w:tl2br w:val="nil"/>
                    <w:tr2bl w:val="nil"/>
                  </w:tcBorders>
                  <w:vAlign w:val="center"/>
                </w:tcPr>
                <w:p w14:paraId="19EDF267">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480</w:t>
                  </w:r>
                </w:p>
              </w:tc>
              <w:tc>
                <w:tcPr>
                  <w:tcW w:w="1639" w:type="dxa"/>
                  <w:tcBorders>
                    <w:tl2br w:val="nil"/>
                    <w:tr2bl w:val="nil"/>
                  </w:tcBorders>
                  <w:vAlign w:val="center"/>
                </w:tcPr>
                <w:p w14:paraId="42273A1B">
                  <w:pPr>
                    <w:widowControl/>
                    <w:jc w:val="center"/>
                    <w:textAlignment w:val="center"/>
                    <w:rPr>
                      <w:rFonts w:hint="eastAsia" w:eastAsia="宋体"/>
                      <w:color w:val="auto"/>
                      <w:sz w:val="21"/>
                      <w:szCs w:val="21"/>
                      <w:lang w:val="en-US" w:eastAsia="zh-CN"/>
                    </w:rPr>
                  </w:pPr>
                  <w:r>
                    <w:rPr>
                      <w:color w:val="auto"/>
                      <w:kern w:val="0"/>
                      <w:sz w:val="21"/>
                      <w:szCs w:val="21"/>
                      <w:lang w:bidi="ar"/>
                    </w:rPr>
                    <w:t>0.02</w:t>
                  </w:r>
                  <w:r>
                    <w:rPr>
                      <w:rFonts w:hint="eastAsia"/>
                      <w:color w:val="auto"/>
                      <w:kern w:val="0"/>
                      <w:sz w:val="21"/>
                      <w:szCs w:val="21"/>
                      <w:lang w:val="en-US" w:eastAsia="zh-CN" w:bidi="ar"/>
                    </w:rPr>
                    <w:t>7</w:t>
                  </w:r>
                </w:p>
              </w:tc>
            </w:tr>
            <w:tr w14:paraId="652023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89" w:type="dxa"/>
                  <w:tcBorders>
                    <w:tl2br w:val="nil"/>
                    <w:tr2bl w:val="nil"/>
                  </w:tcBorders>
                  <w:vAlign w:val="center"/>
                </w:tcPr>
                <w:p w14:paraId="338A31A1">
                  <w:pPr>
                    <w:adjustRightInd w:val="0"/>
                    <w:snapToGrid w:val="0"/>
                    <w:jc w:val="center"/>
                    <w:rPr>
                      <w:color w:val="auto"/>
                      <w:sz w:val="21"/>
                      <w:szCs w:val="21"/>
                    </w:rPr>
                  </w:pPr>
                  <w:r>
                    <w:rPr>
                      <w:rFonts w:hint="eastAsia"/>
                      <w:color w:val="auto"/>
                      <w:sz w:val="21"/>
                      <w:szCs w:val="21"/>
                    </w:rPr>
                    <w:t>合计</w:t>
                  </w:r>
                </w:p>
              </w:tc>
              <w:tc>
                <w:tcPr>
                  <w:tcW w:w="1030" w:type="pct"/>
                  <w:tcBorders>
                    <w:tl2br w:val="nil"/>
                    <w:tr2bl w:val="nil"/>
                  </w:tcBorders>
                  <w:vAlign w:val="center"/>
                </w:tcPr>
                <w:p w14:paraId="0F7D5ECD">
                  <w:pPr>
                    <w:pStyle w:val="61"/>
                    <w:rPr>
                      <w:color w:val="auto"/>
                      <w:sz w:val="21"/>
                      <w:szCs w:val="21"/>
                    </w:rPr>
                  </w:pPr>
                  <w:r>
                    <w:rPr>
                      <w:rFonts w:hint="eastAsia"/>
                      <w:color w:val="auto"/>
                      <w:sz w:val="21"/>
                      <w:szCs w:val="21"/>
                    </w:rPr>
                    <w:t>/</w:t>
                  </w:r>
                </w:p>
              </w:tc>
              <w:tc>
                <w:tcPr>
                  <w:tcW w:w="1031" w:type="pct"/>
                  <w:tcBorders>
                    <w:tl2br w:val="nil"/>
                    <w:tr2bl w:val="nil"/>
                  </w:tcBorders>
                  <w:vAlign w:val="center"/>
                </w:tcPr>
                <w:p w14:paraId="39E802BF">
                  <w:pPr>
                    <w:pStyle w:val="61"/>
                    <w:rPr>
                      <w:color w:val="auto"/>
                      <w:sz w:val="21"/>
                      <w:szCs w:val="21"/>
                    </w:rPr>
                  </w:pPr>
                  <w:r>
                    <w:rPr>
                      <w:rFonts w:hint="eastAsia"/>
                      <w:color w:val="auto"/>
                      <w:sz w:val="21"/>
                      <w:szCs w:val="21"/>
                    </w:rPr>
                    <w:t>/</w:t>
                  </w:r>
                </w:p>
              </w:tc>
              <w:tc>
                <w:tcPr>
                  <w:tcW w:w="1639" w:type="dxa"/>
                  <w:tcBorders>
                    <w:tl2br w:val="nil"/>
                    <w:tr2bl w:val="nil"/>
                  </w:tcBorders>
                  <w:vAlign w:val="center"/>
                </w:tcPr>
                <w:p w14:paraId="72A399A0">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24675</w:t>
                  </w:r>
                </w:p>
              </w:tc>
              <w:tc>
                <w:tcPr>
                  <w:tcW w:w="1639" w:type="dxa"/>
                  <w:tcBorders>
                    <w:tl2br w:val="nil"/>
                    <w:tr2bl w:val="nil"/>
                  </w:tcBorders>
                  <w:vAlign w:val="center"/>
                </w:tcPr>
                <w:p w14:paraId="3BBC1767">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1.373</w:t>
                  </w:r>
                </w:p>
              </w:tc>
            </w:tr>
          </w:tbl>
          <w:p w14:paraId="62384C2C">
            <w:pPr>
              <w:pStyle w:val="8"/>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根据上式计算出：本项目厂区内运输扬尘起尘量为</w:t>
            </w:r>
            <w:r>
              <w:rPr>
                <w:rFonts w:hint="eastAsia" w:cs="Times New Roman"/>
                <w:color w:val="auto"/>
                <w:kern w:val="0"/>
                <w:sz w:val="24"/>
                <w:szCs w:val="24"/>
                <w:lang w:val="en-US" w:eastAsia="zh-CN" w:bidi="ar-SA"/>
              </w:rPr>
              <w:t>1.373t</w:t>
            </w:r>
            <w:r>
              <w:rPr>
                <w:rFonts w:ascii="Times New Roman" w:hAnsi="Times New Roman" w:eastAsia="宋体" w:cs="Times New Roman"/>
                <w:color w:val="auto"/>
                <w:kern w:val="0"/>
                <w:sz w:val="24"/>
                <w:szCs w:val="24"/>
                <w:lang w:val="en-US" w:eastAsia="zh-CN" w:bidi="ar-SA"/>
              </w:rPr>
              <w:t>/a。为了最大限度减小原材料及成品运输对外环境带来的不利影响，评价要求采取以下措施：</w:t>
            </w:r>
          </w:p>
          <w:p w14:paraId="2321FB3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a</w:t>
            </w:r>
            <w:r>
              <w:rPr>
                <w:rFonts w:hint="eastAsia" w:ascii="Times New Roman" w:hAnsi="Times New Roman" w:eastAsia="宋体"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每天</w:t>
            </w:r>
            <w:r>
              <w:rPr>
                <w:rFonts w:ascii="Times New Roman" w:hAnsi="Times New Roman" w:eastAsia="宋体" w:cs="Times New Roman"/>
                <w:color w:val="auto"/>
                <w:kern w:val="0"/>
                <w:sz w:val="24"/>
                <w:szCs w:val="24"/>
                <w:lang w:val="en-US" w:eastAsia="zh-CN" w:bidi="ar-SA"/>
              </w:rPr>
              <w:t>对厂区地面</w:t>
            </w:r>
            <w:r>
              <w:rPr>
                <w:rFonts w:hint="eastAsia" w:ascii="Times New Roman" w:hAnsi="Times New Roman" w:eastAsia="宋体" w:cs="Times New Roman"/>
                <w:color w:val="auto"/>
                <w:kern w:val="0"/>
                <w:sz w:val="24"/>
                <w:szCs w:val="24"/>
                <w:lang w:val="en-US" w:eastAsia="zh-CN" w:bidi="ar-SA"/>
              </w:rPr>
              <w:t>及运输道路</w:t>
            </w:r>
            <w:r>
              <w:rPr>
                <w:rFonts w:ascii="Times New Roman" w:hAnsi="Times New Roman" w:eastAsia="宋体" w:cs="Times New Roman"/>
                <w:color w:val="auto"/>
                <w:kern w:val="0"/>
                <w:sz w:val="24"/>
                <w:szCs w:val="24"/>
                <w:lang w:val="en-US" w:eastAsia="zh-CN" w:bidi="ar-SA"/>
              </w:rPr>
              <w:t>进行洒水降尘、清扫</w:t>
            </w:r>
            <w:r>
              <w:rPr>
                <w:rFonts w:hint="eastAsia" w:ascii="Times New Roman" w:hAnsi="Times New Roman" w:cs="Times New Roman"/>
                <w:color w:val="auto"/>
                <w:kern w:val="0"/>
                <w:sz w:val="24"/>
                <w:szCs w:val="24"/>
                <w:lang w:val="en-US" w:eastAsia="zh-CN" w:bidi="ar-SA"/>
              </w:rPr>
              <w:t>，保持运输道路的湿度</w:t>
            </w:r>
            <w:r>
              <w:rPr>
                <w:rFonts w:ascii="Times New Roman" w:hAnsi="Times New Roman" w:eastAsia="宋体" w:cs="Times New Roman"/>
                <w:color w:val="auto"/>
                <w:kern w:val="0"/>
                <w:sz w:val="24"/>
                <w:szCs w:val="24"/>
                <w:lang w:val="en-US" w:eastAsia="zh-CN" w:bidi="ar-SA"/>
              </w:rPr>
              <w:t>；</w:t>
            </w:r>
          </w:p>
          <w:p w14:paraId="06F9F3C8">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b</w:t>
            </w:r>
            <w:r>
              <w:rPr>
                <w:rFonts w:hint="eastAsia" w:ascii="Times New Roman" w:hAnsi="Times New Roman" w:eastAsia="宋体"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严格管理进出场车辆的车速，车辆</w:t>
            </w:r>
            <w:r>
              <w:rPr>
                <w:rFonts w:ascii="Times New Roman" w:hAnsi="Times New Roman" w:eastAsia="宋体" w:cs="Times New Roman"/>
                <w:color w:val="auto"/>
                <w:kern w:val="0"/>
                <w:sz w:val="24"/>
                <w:szCs w:val="24"/>
                <w:lang w:val="en-US" w:eastAsia="zh-CN" w:bidi="ar-SA"/>
              </w:rPr>
              <w:t>进出要</w:t>
            </w:r>
            <w:r>
              <w:rPr>
                <w:rFonts w:hint="eastAsia" w:ascii="Times New Roman" w:hAnsi="Times New Roman" w:cs="Times New Roman"/>
                <w:color w:val="auto"/>
                <w:kern w:val="0"/>
                <w:sz w:val="24"/>
                <w:szCs w:val="24"/>
                <w:lang w:val="en-US" w:eastAsia="zh-CN" w:bidi="ar-SA"/>
              </w:rPr>
              <w:t>低</w:t>
            </w:r>
            <w:r>
              <w:rPr>
                <w:rFonts w:ascii="Times New Roman" w:hAnsi="Times New Roman" w:eastAsia="宋体" w:cs="Times New Roman"/>
                <w:color w:val="auto"/>
                <w:kern w:val="0"/>
                <w:sz w:val="24"/>
                <w:szCs w:val="24"/>
                <w:lang w:val="en-US" w:eastAsia="zh-CN" w:bidi="ar-SA"/>
              </w:rPr>
              <w:t>速慢行；</w:t>
            </w:r>
          </w:p>
          <w:p w14:paraId="72D77B0A">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c</w:t>
            </w:r>
            <w:r>
              <w:rPr>
                <w:rFonts w:hint="eastAsia"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砂石运输车辆</w:t>
            </w:r>
            <w:r>
              <w:rPr>
                <w:rFonts w:hint="eastAsia" w:ascii="Times New Roman" w:hAnsi="Times New Roman" w:cs="Times New Roman"/>
                <w:color w:val="auto"/>
                <w:kern w:val="0"/>
                <w:sz w:val="24"/>
                <w:szCs w:val="24"/>
                <w:lang w:val="en-US" w:eastAsia="zh-CN" w:bidi="ar-SA"/>
              </w:rPr>
              <w:t>进出必须</w:t>
            </w:r>
            <w:r>
              <w:rPr>
                <w:rFonts w:ascii="Times New Roman" w:hAnsi="Times New Roman" w:eastAsia="宋体" w:cs="Times New Roman"/>
                <w:color w:val="auto"/>
                <w:kern w:val="0"/>
                <w:sz w:val="24"/>
                <w:szCs w:val="24"/>
                <w:lang w:val="en-US" w:eastAsia="zh-CN" w:bidi="ar-SA"/>
              </w:rPr>
              <w:t>封闭遮盖，粉料采用密闭罐车运输，减小原料的散落。</w:t>
            </w:r>
          </w:p>
          <w:p w14:paraId="6F4EF4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经采取以上措施后可减小运输道路扬尘，扬尘量减少</w:t>
            </w:r>
            <w:r>
              <w:rPr>
                <w:rFonts w:hint="eastAsia" w:cs="Times New Roman"/>
                <w:color w:val="auto"/>
                <w:kern w:val="0"/>
                <w:sz w:val="24"/>
                <w:szCs w:val="24"/>
                <w:lang w:val="en-US" w:eastAsia="zh-CN" w:bidi="ar-SA"/>
              </w:rPr>
              <w:t>70</w:t>
            </w:r>
            <w:r>
              <w:rPr>
                <w:rFonts w:ascii="Times New Roman" w:hAnsi="Times New Roman" w:eastAsia="宋体" w:cs="Times New Roman"/>
                <w:color w:val="auto"/>
                <w:kern w:val="0"/>
                <w:sz w:val="24"/>
                <w:szCs w:val="24"/>
                <w:lang w:val="en-US" w:eastAsia="zh-CN" w:bidi="ar-SA"/>
              </w:rPr>
              <w:t>%左右，即道路扬尘排放量约为0.</w:t>
            </w:r>
            <w:r>
              <w:rPr>
                <w:rFonts w:hint="eastAsia" w:cs="Times New Roman"/>
                <w:color w:val="auto"/>
                <w:kern w:val="0"/>
                <w:sz w:val="24"/>
                <w:szCs w:val="24"/>
                <w:lang w:val="en-US" w:eastAsia="zh-CN" w:bidi="ar-SA"/>
              </w:rPr>
              <w:t>412</w:t>
            </w:r>
            <w:r>
              <w:rPr>
                <w:rFonts w:ascii="Times New Roman" w:hAnsi="Times New Roman" w:eastAsia="宋体" w:cs="Times New Roman"/>
                <w:color w:val="auto"/>
                <w:kern w:val="0"/>
                <w:sz w:val="24"/>
                <w:szCs w:val="24"/>
                <w:lang w:val="en-US" w:eastAsia="zh-CN" w:bidi="ar-SA"/>
              </w:rPr>
              <w:t>t/a。</w:t>
            </w:r>
          </w:p>
          <w:p w14:paraId="60DD41AF">
            <w:pPr>
              <w:spacing w:line="360" w:lineRule="auto"/>
              <w:rPr>
                <w:b/>
                <w:color w:val="auto"/>
                <w:sz w:val="24"/>
                <w:szCs w:val="22"/>
              </w:rPr>
            </w:pPr>
            <w:r>
              <w:rPr>
                <w:rFonts w:hint="eastAsia"/>
                <w:b/>
                <w:color w:val="auto"/>
                <w:sz w:val="24"/>
                <w:lang w:eastAsia="zh-CN"/>
              </w:rPr>
              <w:t>（</w:t>
            </w:r>
            <w:r>
              <w:rPr>
                <w:rFonts w:hint="eastAsia"/>
                <w:b/>
                <w:color w:val="auto"/>
                <w:sz w:val="24"/>
                <w:lang w:val="en-US" w:eastAsia="zh-CN"/>
              </w:rPr>
              <w:t>5</w:t>
            </w:r>
            <w:r>
              <w:rPr>
                <w:rFonts w:hint="eastAsia"/>
                <w:b/>
                <w:color w:val="auto"/>
                <w:sz w:val="24"/>
                <w:lang w:eastAsia="zh-CN"/>
              </w:rPr>
              <w:t>）</w:t>
            </w:r>
            <w:r>
              <w:rPr>
                <w:rFonts w:hint="eastAsia"/>
                <w:b/>
                <w:color w:val="auto"/>
                <w:sz w:val="24"/>
              </w:rPr>
              <w:t>廊道</w:t>
            </w:r>
            <w:r>
              <w:rPr>
                <w:rFonts w:hint="eastAsia"/>
                <w:b/>
                <w:color w:val="auto"/>
                <w:sz w:val="24"/>
                <w:szCs w:val="22"/>
              </w:rPr>
              <w:t>输送</w:t>
            </w:r>
            <w:r>
              <w:rPr>
                <w:b/>
                <w:color w:val="auto"/>
                <w:sz w:val="24"/>
                <w:szCs w:val="22"/>
              </w:rPr>
              <w:t>起尘量</w:t>
            </w:r>
          </w:p>
          <w:p w14:paraId="13F608BB">
            <w:pPr>
              <w:pStyle w:val="8"/>
              <w:widowControl w:val="0"/>
              <w:snapToGrid/>
              <w:spacing w:before="0" w:after="0" w:line="360" w:lineRule="auto"/>
              <w:ind w:right="0" w:firstLine="480" w:firstLineChars="200"/>
              <w:rPr>
                <w:rFonts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本项目</w:t>
            </w:r>
            <w:r>
              <w:rPr>
                <w:rFonts w:ascii="Times New Roman" w:hAnsi="Times New Roman" w:eastAsia="宋体" w:cs="Times New Roman"/>
                <w:color w:val="auto"/>
                <w:kern w:val="0"/>
                <w:sz w:val="24"/>
                <w:szCs w:val="24"/>
                <w:lang w:val="en-US" w:eastAsia="zh-CN" w:bidi="ar-SA"/>
              </w:rPr>
              <w:t>砂石料堆场为</w:t>
            </w:r>
            <w:r>
              <w:rPr>
                <w:rFonts w:hint="eastAsia" w:cs="Times New Roman"/>
                <w:color w:val="auto"/>
                <w:kern w:val="0"/>
                <w:sz w:val="24"/>
                <w:szCs w:val="24"/>
                <w:lang w:val="en-US" w:eastAsia="zh-CN" w:bidi="ar-SA"/>
              </w:rPr>
              <w:t>半封闭式</w:t>
            </w:r>
            <w:r>
              <w:rPr>
                <w:rFonts w:ascii="Times New Roman" w:hAnsi="Times New Roman" w:eastAsia="宋体" w:cs="Times New Roman"/>
                <w:color w:val="auto"/>
                <w:kern w:val="0"/>
                <w:sz w:val="24"/>
                <w:szCs w:val="24"/>
                <w:lang w:val="en-US" w:eastAsia="zh-CN" w:bidi="ar-SA"/>
              </w:rPr>
              <w:t>结构，生产过程中</w:t>
            </w:r>
            <w:r>
              <w:rPr>
                <w:rFonts w:hint="eastAsia" w:cs="Times New Roman"/>
                <w:color w:val="auto"/>
                <w:kern w:val="0"/>
                <w:sz w:val="24"/>
                <w:szCs w:val="24"/>
                <w:lang w:val="en-US" w:eastAsia="zh-CN" w:bidi="ar-SA"/>
              </w:rPr>
              <w:t>砂石</w:t>
            </w:r>
            <w:r>
              <w:rPr>
                <w:rFonts w:ascii="Times New Roman" w:hAnsi="Times New Roman" w:eastAsia="宋体" w:cs="Times New Roman"/>
                <w:color w:val="auto"/>
                <w:kern w:val="0"/>
                <w:sz w:val="24"/>
                <w:szCs w:val="24"/>
                <w:lang w:val="en-US" w:eastAsia="zh-CN" w:bidi="ar-SA"/>
              </w:rPr>
              <w:t>料通过密闭廊道运输至搅拌机</w:t>
            </w:r>
            <w:r>
              <w:rPr>
                <w:rFonts w:hint="eastAsia" w:ascii="Times New Roman" w:hAnsi="Times New Roman" w:eastAsia="宋体" w:cs="Times New Roman"/>
                <w:color w:val="auto"/>
                <w:kern w:val="0"/>
                <w:sz w:val="24"/>
                <w:szCs w:val="24"/>
                <w:lang w:val="en-US" w:eastAsia="zh-CN" w:bidi="ar-SA"/>
              </w:rPr>
              <w:t>，产生</w:t>
            </w:r>
            <w:r>
              <w:rPr>
                <w:rFonts w:hint="eastAsia" w:cs="Times New Roman"/>
                <w:color w:val="auto"/>
                <w:kern w:val="0"/>
                <w:sz w:val="24"/>
                <w:szCs w:val="24"/>
                <w:lang w:val="en-US" w:eastAsia="zh-CN" w:bidi="ar-SA"/>
              </w:rPr>
              <w:t>的</w:t>
            </w:r>
            <w:r>
              <w:rPr>
                <w:rFonts w:hint="eastAsia" w:ascii="Times New Roman" w:hAnsi="Times New Roman" w:eastAsia="宋体" w:cs="Times New Roman"/>
                <w:color w:val="auto"/>
                <w:kern w:val="0"/>
                <w:sz w:val="24"/>
                <w:szCs w:val="24"/>
                <w:lang w:val="en-US" w:eastAsia="zh-CN" w:bidi="ar-SA"/>
              </w:rPr>
              <w:t>粉尘自然沉降，廊道</w:t>
            </w:r>
            <w:r>
              <w:rPr>
                <w:rFonts w:ascii="Times New Roman" w:hAnsi="Times New Roman" w:eastAsia="宋体" w:cs="Times New Roman"/>
                <w:color w:val="auto"/>
                <w:kern w:val="0"/>
                <w:sz w:val="24"/>
                <w:szCs w:val="24"/>
                <w:lang w:val="en-US" w:eastAsia="zh-CN" w:bidi="ar-SA"/>
              </w:rPr>
              <w:t>输送过程产生的粉尘</w:t>
            </w:r>
            <w:r>
              <w:rPr>
                <w:rFonts w:hint="eastAsia" w:ascii="Times New Roman" w:hAnsi="Times New Roman" w:eastAsia="宋体" w:cs="Times New Roman"/>
                <w:color w:val="auto"/>
                <w:kern w:val="0"/>
                <w:sz w:val="24"/>
                <w:szCs w:val="24"/>
                <w:lang w:val="en-US" w:eastAsia="zh-CN" w:bidi="ar-SA"/>
              </w:rPr>
              <w:t>对环境影响程度</w:t>
            </w:r>
            <w:r>
              <w:rPr>
                <w:rFonts w:hint="eastAsia" w:cs="Times New Roman"/>
                <w:color w:val="auto"/>
                <w:kern w:val="0"/>
                <w:sz w:val="24"/>
                <w:szCs w:val="24"/>
                <w:lang w:val="en-US" w:eastAsia="zh-CN" w:bidi="ar-SA"/>
              </w:rPr>
              <w:t>较</w:t>
            </w:r>
            <w:r>
              <w:rPr>
                <w:rFonts w:hint="eastAsia" w:ascii="Times New Roman" w:hAnsi="Times New Roman" w:eastAsia="宋体" w:cs="Times New Roman"/>
                <w:color w:val="auto"/>
                <w:kern w:val="0"/>
                <w:sz w:val="24"/>
                <w:szCs w:val="24"/>
                <w:lang w:val="en-US" w:eastAsia="zh-CN" w:bidi="ar-SA"/>
              </w:rPr>
              <w:t>小</w:t>
            </w:r>
            <w:r>
              <w:rPr>
                <w:rFonts w:hint="eastAsia" w:cs="Times New Roman"/>
                <w:color w:val="auto"/>
                <w:kern w:val="0"/>
                <w:sz w:val="24"/>
                <w:szCs w:val="24"/>
                <w:lang w:val="en-US" w:eastAsia="zh-CN" w:bidi="ar-SA"/>
              </w:rPr>
              <w:t>，本次环评不进行计量分析</w:t>
            </w:r>
            <w:r>
              <w:rPr>
                <w:rFonts w:ascii="Times New Roman" w:hAnsi="Times New Roman" w:eastAsia="宋体" w:cs="Times New Roman"/>
                <w:color w:val="auto"/>
                <w:kern w:val="0"/>
                <w:sz w:val="24"/>
                <w:szCs w:val="24"/>
                <w:lang w:val="en-US" w:eastAsia="zh-CN" w:bidi="ar-SA"/>
              </w:rPr>
              <w:t>。</w:t>
            </w:r>
          </w:p>
          <w:p w14:paraId="71EC2283">
            <w:pPr>
              <w:widowControl/>
              <w:spacing w:line="360" w:lineRule="auto"/>
              <w:jc w:val="left"/>
              <w:rPr>
                <w:b/>
                <w:color w:val="auto"/>
                <w:sz w:val="24"/>
              </w:rPr>
            </w:pPr>
            <w:r>
              <w:rPr>
                <w:rFonts w:hint="eastAsia"/>
                <w:b/>
                <w:color w:val="auto"/>
                <w:sz w:val="24"/>
                <w:lang w:eastAsia="zh-CN"/>
              </w:rPr>
              <w:t>（</w:t>
            </w:r>
            <w:r>
              <w:rPr>
                <w:rFonts w:hint="eastAsia"/>
                <w:b/>
                <w:color w:val="auto"/>
                <w:sz w:val="24"/>
                <w:lang w:val="en-US" w:eastAsia="zh-CN"/>
              </w:rPr>
              <w:t>6</w:t>
            </w:r>
            <w:r>
              <w:rPr>
                <w:rFonts w:hint="eastAsia"/>
                <w:b/>
                <w:color w:val="auto"/>
                <w:sz w:val="24"/>
                <w:lang w:eastAsia="zh-CN"/>
              </w:rPr>
              <w:t>）</w:t>
            </w:r>
            <w:r>
              <w:rPr>
                <w:rFonts w:hint="eastAsia"/>
                <w:b/>
                <w:color w:val="auto"/>
                <w:sz w:val="24"/>
              </w:rPr>
              <w:t>食堂油烟</w:t>
            </w:r>
          </w:p>
          <w:p w14:paraId="6FB27903">
            <w:pPr>
              <w:numPr>
                <w:ilvl w:val="0"/>
                <w:numId w:val="0"/>
              </w:numPr>
              <w:adjustRightInd w:val="0"/>
              <w:snapToGrid w:val="0"/>
              <w:spacing w:line="360" w:lineRule="auto"/>
              <w:ind w:firstLine="480" w:firstLineChars="200"/>
              <w:rPr>
                <w:rFonts w:ascii="Times New Roman" w:hAnsi="Times New Roman" w:eastAsia="宋体" w:cs="Times New Roman"/>
                <w:color w:val="auto"/>
                <w:kern w:val="0"/>
                <w:sz w:val="24"/>
              </w:rPr>
            </w:pPr>
            <w:r>
              <w:rPr>
                <w:rFonts w:hint="default" w:ascii="Times New Roman" w:hAnsi="Times New Roman" w:cs="Times New Roman"/>
                <w:color w:val="000000"/>
                <w:kern w:val="0"/>
                <w:sz w:val="24"/>
              </w:rPr>
              <w:t>根据</w:t>
            </w:r>
            <w:r>
              <w:rPr>
                <w:rFonts w:hint="default" w:ascii="Times New Roman" w:hAnsi="Times New Roman" w:eastAsia="宋体" w:cs="Times New Roman"/>
                <w:sz w:val="24"/>
                <w:szCs w:val="24"/>
                <w:highlight w:val="none"/>
                <w:lang w:val="en-US" w:eastAsia="zh-CN"/>
              </w:rPr>
              <w:t>《中国居民膳食指南（2016年）》</w:t>
            </w:r>
            <w:r>
              <w:rPr>
                <w:rFonts w:hint="default" w:ascii="Times New Roman" w:hAnsi="Times New Roman" w:cs="Times New Roman"/>
                <w:color w:val="000000"/>
                <w:kern w:val="0"/>
                <w:sz w:val="24"/>
              </w:rPr>
              <w:t>，</w:t>
            </w:r>
            <w:r>
              <w:rPr>
                <w:rFonts w:hint="eastAsia" w:cs="Times New Roman"/>
                <w:color w:val="000000"/>
                <w:kern w:val="0"/>
                <w:sz w:val="24"/>
                <w:lang w:val="en-US" w:eastAsia="zh-CN"/>
              </w:rPr>
              <w:t>本项目</w:t>
            </w:r>
            <w:r>
              <w:rPr>
                <w:rFonts w:hint="default" w:ascii="Times New Roman" w:hAnsi="Times New Roman" w:cs="Times New Roman"/>
                <w:color w:val="000000"/>
                <w:kern w:val="0"/>
                <w:sz w:val="24"/>
              </w:rPr>
              <w:t>食堂食用油使用量按30g/人•d计，</w:t>
            </w:r>
            <w:r>
              <w:rPr>
                <w:rFonts w:ascii="Times New Roman" w:hAnsi="Times New Roman" w:eastAsia="宋体" w:cs="Times New Roman"/>
                <w:color w:val="auto"/>
                <w:kern w:val="0"/>
                <w:sz w:val="24"/>
              </w:rPr>
              <w:t>项目劳动定员</w:t>
            </w:r>
            <w:r>
              <w:rPr>
                <w:rFonts w:hint="eastAsia" w:cs="Times New Roman"/>
                <w:color w:val="auto"/>
                <w:kern w:val="0"/>
                <w:sz w:val="24"/>
                <w:lang w:val="en-US" w:eastAsia="zh-CN"/>
              </w:rPr>
              <w:t>45</w:t>
            </w:r>
            <w:r>
              <w:rPr>
                <w:rFonts w:ascii="Times New Roman" w:hAnsi="Times New Roman" w:eastAsia="宋体" w:cs="Times New Roman"/>
                <w:color w:val="auto"/>
                <w:kern w:val="0"/>
                <w:sz w:val="24"/>
              </w:rPr>
              <w:t>人，</w:t>
            </w:r>
            <w:r>
              <w:rPr>
                <w:rFonts w:hint="eastAsia" w:cs="Times New Roman"/>
                <w:color w:val="auto"/>
                <w:kern w:val="0"/>
                <w:sz w:val="24"/>
                <w:lang w:val="en-US" w:eastAsia="zh-CN"/>
              </w:rPr>
              <w:t>年</w:t>
            </w:r>
            <w:r>
              <w:rPr>
                <w:rFonts w:ascii="Times New Roman" w:hAnsi="Times New Roman" w:eastAsia="宋体" w:cs="Times New Roman"/>
                <w:color w:val="auto"/>
                <w:kern w:val="0"/>
                <w:sz w:val="24"/>
              </w:rPr>
              <w:t>生产</w:t>
            </w:r>
            <w:r>
              <w:rPr>
                <w:rFonts w:hint="eastAsia" w:cs="Times New Roman"/>
                <w:color w:val="auto"/>
                <w:kern w:val="0"/>
                <w:sz w:val="24"/>
                <w:lang w:val="en-US" w:eastAsia="zh-CN"/>
              </w:rPr>
              <w:t>时间</w:t>
            </w:r>
            <w:r>
              <w:rPr>
                <w:rFonts w:ascii="Times New Roman" w:hAnsi="Times New Roman" w:eastAsia="宋体" w:cs="Times New Roman"/>
                <w:color w:val="auto"/>
                <w:kern w:val="0"/>
                <w:sz w:val="24"/>
              </w:rPr>
              <w:t>为</w:t>
            </w:r>
            <w:r>
              <w:rPr>
                <w:rFonts w:hint="eastAsia" w:cs="Times New Roman"/>
                <w:color w:val="auto"/>
                <w:kern w:val="0"/>
                <w:sz w:val="24"/>
                <w:highlight w:val="none"/>
                <w:lang w:val="en-US" w:eastAsia="zh-CN"/>
              </w:rPr>
              <w:t>240</w:t>
            </w:r>
            <w:r>
              <w:rPr>
                <w:rFonts w:ascii="Times New Roman" w:hAnsi="Times New Roman" w:eastAsia="宋体" w:cs="Times New Roman"/>
                <w:color w:val="auto"/>
                <w:kern w:val="0"/>
                <w:sz w:val="24"/>
              </w:rPr>
              <w:t>d，则食用油消耗量为</w:t>
            </w:r>
            <w:r>
              <w:rPr>
                <w:rFonts w:hint="eastAsia" w:cs="Times New Roman"/>
                <w:color w:val="auto"/>
                <w:kern w:val="0"/>
                <w:sz w:val="24"/>
                <w:lang w:val="en-US" w:eastAsia="zh-CN"/>
              </w:rPr>
              <w:t>1.35</w:t>
            </w:r>
            <w:r>
              <w:rPr>
                <w:rFonts w:hint="eastAsia" w:ascii="Times New Roman" w:hAnsi="Times New Roman" w:eastAsia="宋体" w:cs="Times New Roman"/>
                <w:color w:val="auto"/>
                <w:kern w:val="0"/>
                <w:sz w:val="24"/>
              </w:rPr>
              <w:t>kg/d（</w:t>
            </w:r>
            <w:r>
              <w:rPr>
                <w:rFonts w:hint="eastAsia" w:cs="Times New Roman"/>
                <w:color w:val="auto"/>
                <w:kern w:val="0"/>
                <w:sz w:val="24"/>
                <w:lang w:val="en-US" w:eastAsia="zh-CN"/>
              </w:rPr>
              <w:t>0.324t</w:t>
            </w:r>
            <w:r>
              <w:rPr>
                <w:rFonts w:hint="eastAsia" w:ascii="Times New Roman" w:hAnsi="Times New Roman" w:eastAsia="宋体" w:cs="Times New Roman"/>
                <w:color w:val="auto"/>
                <w:kern w:val="0"/>
                <w:sz w:val="24"/>
              </w:rPr>
              <w:t>/a）</w:t>
            </w:r>
            <w:r>
              <w:rPr>
                <w:rFonts w:ascii="Times New Roman" w:hAnsi="Times New Roman" w:eastAsia="宋体" w:cs="Times New Roman"/>
                <w:color w:val="auto"/>
                <w:kern w:val="0"/>
                <w:sz w:val="24"/>
              </w:rPr>
              <w:t>。</w:t>
            </w:r>
            <w:r>
              <w:rPr>
                <w:rFonts w:hint="eastAsia" w:cs="Times New Roman"/>
                <w:color w:val="auto"/>
                <w:kern w:val="0"/>
                <w:sz w:val="24"/>
                <w:lang w:val="en-US" w:eastAsia="zh-CN"/>
              </w:rPr>
              <w:t>一般</w:t>
            </w:r>
            <w:r>
              <w:rPr>
                <w:rFonts w:ascii="Times New Roman" w:hAnsi="Times New Roman" w:eastAsia="宋体" w:cs="Times New Roman"/>
                <w:color w:val="auto"/>
                <w:kern w:val="0"/>
                <w:sz w:val="24"/>
              </w:rPr>
              <w:t>油</w:t>
            </w:r>
            <w:r>
              <w:rPr>
                <w:rFonts w:hint="eastAsia" w:cs="Times New Roman"/>
                <w:color w:val="auto"/>
                <w:kern w:val="0"/>
                <w:sz w:val="24"/>
                <w:lang w:val="en-US" w:eastAsia="zh-CN"/>
              </w:rPr>
              <w:t>烟</w:t>
            </w:r>
            <w:r>
              <w:rPr>
                <w:rFonts w:ascii="Times New Roman" w:hAnsi="Times New Roman" w:eastAsia="宋体" w:cs="Times New Roman"/>
                <w:color w:val="auto"/>
                <w:kern w:val="0"/>
                <w:sz w:val="24"/>
              </w:rPr>
              <w:t>的挥发量占总耗油量的2%</w:t>
            </w:r>
            <w:r>
              <w:rPr>
                <w:rFonts w:hint="eastAsia" w:cs="Times New Roman"/>
                <w:color w:val="auto"/>
                <w:kern w:val="0"/>
                <w:sz w:val="24"/>
                <w:lang w:val="en-US" w:eastAsia="zh-CN"/>
              </w:rPr>
              <w:t>-</w:t>
            </w:r>
            <w:r>
              <w:rPr>
                <w:rFonts w:ascii="Times New Roman" w:hAnsi="Times New Roman" w:eastAsia="宋体" w:cs="Times New Roman"/>
                <w:color w:val="auto"/>
                <w:kern w:val="0"/>
                <w:sz w:val="24"/>
              </w:rPr>
              <w:t>4%之间</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本项目</w:t>
            </w:r>
            <w:r>
              <w:rPr>
                <w:rFonts w:hint="eastAsia" w:cs="Times New Roman"/>
                <w:color w:val="auto"/>
                <w:kern w:val="0"/>
                <w:sz w:val="24"/>
                <w:lang w:val="en-US" w:eastAsia="zh-CN"/>
              </w:rPr>
              <w:t>油烟</w:t>
            </w:r>
            <w:r>
              <w:rPr>
                <w:rFonts w:ascii="Times New Roman" w:hAnsi="Times New Roman" w:eastAsia="宋体" w:cs="Times New Roman"/>
                <w:color w:val="auto"/>
                <w:kern w:val="0"/>
                <w:sz w:val="24"/>
              </w:rPr>
              <w:t>挥发量取</w:t>
            </w:r>
            <w:r>
              <w:rPr>
                <w:rFonts w:hint="eastAsia" w:cs="Times New Roman"/>
                <w:color w:val="auto"/>
                <w:kern w:val="0"/>
                <w:sz w:val="24"/>
                <w:lang w:val="en-US" w:eastAsia="zh-CN"/>
              </w:rPr>
              <w:t>3</w:t>
            </w:r>
            <w:r>
              <w:rPr>
                <w:rFonts w:ascii="Times New Roman" w:hAnsi="Times New Roman" w:eastAsia="宋体" w:cs="Times New Roman"/>
                <w:color w:val="auto"/>
                <w:kern w:val="0"/>
                <w:sz w:val="24"/>
              </w:rPr>
              <w:t>%，则油烟的产生量为</w:t>
            </w:r>
            <w:r>
              <w:rPr>
                <w:rFonts w:hint="eastAsia" w:ascii="Times New Roman" w:hAnsi="Times New Roman" w:eastAsia="宋体" w:cs="Times New Roman"/>
                <w:color w:val="auto"/>
                <w:kern w:val="0"/>
                <w:sz w:val="24"/>
              </w:rPr>
              <w:t>0.</w:t>
            </w:r>
            <w:r>
              <w:rPr>
                <w:rFonts w:hint="eastAsia" w:cs="Times New Roman"/>
                <w:color w:val="auto"/>
                <w:kern w:val="0"/>
                <w:sz w:val="24"/>
                <w:lang w:val="en-US" w:eastAsia="zh-CN"/>
              </w:rPr>
              <w:t>041</w:t>
            </w:r>
            <w:r>
              <w:rPr>
                <w:rFonts w:hint="eastAsia" w:ascii="Times New Roman" w:hAnsi="Times New Roman" w:eastAsia="宋体" w:cs="Times New Roman"/>
                <w:color w:val="auto"/>
                <w:kern w:val="0"/>
                <w:sz w:val="24"/>
              </w:rPr>
              <w:t>kg/d（</w:t>
            </w:r>
            <w:r>
              <w:rPr>
                <w:rFonts w:hint="eastAsia" w:cs="Times New Roman"/>
                <w:color w:val="auto"/>
                <w:kern w:val="0"/>
                <w:sz w:val="24"/>
                <w:lang w:val="en-US" w:eastAsia="zh-CN"/>
              </w:rPr>
              <w:t>0.01t</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a</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w:t>
            </w:r>
            <w:r>
              <w:rPr>
                <w:rFonts w:hint="eastAsia" w:cs="Times New Roman"/>
                <w:color w:val="auto"/>
                <w:kern w:val="0"/>
                <w:sz w:val="24"/>
                <w:lang w:val="en-US" w:eastAsia="zh-CN"/>
              </w:rPr>
              <w:t>项目</w:t>
            </w:r>
            <w:r>
              <w:rPr>
                <w:rFonts w:hint="eastAsia" w:cs="Times New Roman"/>
                <w:color w:val="000000"/>
                <w:kern w:val="0"/>
                <w:sz w:val="24"/>
                <w:lang w:val="en-US" w:eastAsia="zh-CN"/>
              </w:rPr>
              <w:t>食堂</w:t>
            </w:r>
            <w:r>
              <w:rPr>
                <w:rFonts w:hint="default" w:ascii="Times New Roman" w:hAnsi="Times New Roman" w:cs="Times New Roman"/>
                <w:color w:val="000000"/>
                <w:kern w:val="0"/>
                <w:sz w:val="24"/>
              </w:rPr>
              <w:t>油烟采用油烟净化器进行处理，处理效率</w:t>
            </w:r>
            <w:r>
              <w:rPr>
                <w:rFonts w:hint="eastAsia" w:cs="Times New Roman"/>
                <w:color w:val="000000"/>
                <w:kern w:val="0"/>
                <w:sz w:val="24"/>
                <w:lang w:val="en-US" w:eastAsia="zh-CN"/>
              </w:rPr>
              <w:t>为85</w:t>
            </w:r>
            <w:r>
              <w:rPr>
                <w:rFonts w:hint="default" w:ascii="Times New Roman" w:hAnsi="Times New Roman" w:cs="Times New Roman"/>
                <w:color w:val="000000"/>
                <w:kern w:val="0"/>
                <w:sz w:val="24"/>
              </w:rPr>
              <w:t>%，油烟机风量为</w:t>
            </w:r>
            <w:r>
              <w:rPr>
                <w:rFonts w:hint="eastAsia" w:cs="Times New Roman"/>
                <w:color w:val="000000"/>
                <w:kern w:val="0"/>
                <w:sz w:val="24"/>
                <w:lang w:val="en-US" w:eastAsia="zh-CN"/>
              </w:rPr>
              <w:t>2</w:t>
            </w:r>
            <w:r>
              <w:rPr>
                <w:rFonts w:hint="default" w:ascii="Times New Roman" w:hAnsi="Times New Roman" w:cs="Times New Roman"/>
                <w:color w:val="000000"/>
                <w:kern w:val="0"/>
                <w:sz w:val="24"/>
              </w:rPr>
              <w:t>000m</w:t>
            </w:r>
            <w:r>
              <w:rPr>
                <w:rFonts w:hint="default" w:ascii="Times New Roman" w:hAnsi="Times New Roman" w:cs="Times New Roman"/>
                <w:color w:val="000000"/>
                <w:kern w:val="0"/>
                <w:sz w:val="24"/>
                <w:vertAlign w:val="superscript"/>
              </w:rPr>
              <w:t>3</w:t>
            </w:r>
            <w:r>
              <w:rPr>
                <w:rFonts w:hint="default" w:ascii="Times New Roman" w:hAnsi="Times New Roman" w:cs="Times New Roman"/>
                <w:color w:val="000000"/>
                <w:kern w:val="0"/>
                <w:sz w:val="24"/>
              </w:rPr>
              <w:t>/h</w:t>
            </w:r>
            <w:r>
              <w:rPr>
                <w:rFonts w:hint="eastAsia" w:cs="Times New Roman"/>
                <w:color w:val="000000"/>
                <w:kern w:val="0"/>
                <w:sz w:val="24"/>
                <w:lang w:eastAsia="zh-CN"/>
              </w:rPr>
              <w:t>，</w:t>
            </w:r>
            <w:r>
              <w:rPr>
                <w:rFonts w:hint="default" w:ascii="Times New Roman" w:hAnsi="Times New Roman" w:cs="Times New Roman"/>
                <w:color w:val="000000"/>
                <w:kern w:val="0"/>
                <w:sz w:val="24"/>
              </w:rPr>
              <w:t>食堂炉灶</w:t>
            </w:r>
            <w:r>
              <w:rPr>
                <w:rFonts w:hint="eastAsia" w:cs="Times New Roman"/>
                <w:color w:val="000000"/>
                <w:kern w:val="0"/>
                <w:sz w:val="24"/>
                <w:lang w:val="en-US" w:eastAsia="zh-CN"/>
              </w:rPr>
              <w:t>按</w:t>
            </w:r>
            <w:r>
              <w:rPr>
                <w:rFonts w:ascii="Times New Roman" w:hAnsi="Times New Roman" w:eastAsia="宋体" w:cs="Times New Roman"/>
                <w:color w:val="auto"/>
                <w:kern w:val="0"/>
                <w:sz w:val="24"/>
              </w:rPr>
              <w:t>5</w:t>
            </w:r>
            <w:r>
              <w:rPr>
                <w:rFonts w:hint="eastAsia" w:cs="Times New Roman"/>
                <w:color w:val="auto"/>
                <w:kern w:val="0"/>
                <w:sz w:val="24"/>
                <w:lang w:val="en-US" w:eastAsia="zh-CN"/>
              </w:rPr>
              <w:t>h/d</w:t>
            </w:r>
            <w:r>
              <w:rPr>
                <w:rFonts w:ascii="Times New Roman" w:hAnsi="Times New Roman" w:eastAsia="宋体" w:cs="Times New Roman"/>
                <w:color w:val="auto"/>
                <w:kern w:val="0"/>
                <w:sz w:val="24"/>
              </w:rPr>
              <w:t>计，</w:t>
            </w:r>
            <w:r>
              <w:rPr>
                <w:rFonts w:hint="eastAsia" w:cs="Times New Roman"/>
                <w:color w:val="auto"/>
                <w:kern w:val="0"/>
                <w:sz w:val="24"/>
                <w:lang w:val="en-US" w:eastAsia="zh-CN"/>
              </w:rPr>
              <w:t>油烟净化器年工作时间为1200h，</w:t>
            </w:r>
            <w:r>
              <w:rPr>
                <w:rFonts w:ascii="Times New Roman" w:hAnsi="Times New Roman" w:eastAsia="宋体" w:cs="Times New Roman"/>
                <w:color w:val="auto"/>
                <w:kern w:val="0"/>
                <w:sz w:val="24"/>
              </w:rPr>
              <w:t>则</w:t>
            </w:r>
            <w:r>
              <w:rPr>
                <w:rFonts w:hint="eastAsia" w:cs="Times New Roman"/>
                <w:color w:val="auto"/>
                <w:kern w:val="0"/>
                <w:sz w:val="24"/>
                <w:lang w:val="en-US" w:eastAsia="zh-CN"/>
              </w:rPr>
              <w:t>食堂油烟的排放量为0.002t/a，排放速率为0.002kg/h，排放浓度1</w:t>
            </w:r>
            <w:r>
              <w:rPr>
                <w:rFonts w:ascii="Times New Roman" w:hAnsi="Times New Roman" w:eastAsia="宋体" w:cs="Times New Roman"/>
                <w:color w:val="auto"/>
                <w:kern w:val="0"/>
                <w:sz w:val="24"/>
              </w:rPr>
              <w:t>mg/m</w:t>
            </w:r>
            <w:r>
              <w:rPr>
                <w:rFonts w:ascii="Times New Roman" w:hAnsi="Times New Roman" w:eastAsia="宋体" w:cs="Times New Roman"/>
                <w:color w:val="auto"/>
                <w:kern w:val="0"/>
                <w:sz w:val="24"/>
                <w:vertAlign w:val="superscript"/>
              </w:rPr>
              <w:t>3</w:t>
            </w:r>
            <w:r>
              <w:rPr>
                <w:rFonts w:hint="eastAsia" w:cs="Times New Roman"/>
                <w:color w:val="auto"/>
                <w:kern w:val="0"/>
                <w:sz w:val="24"/>
                <w:lang w:val="en-US" w:eastAsia="zh-CN"/>
              </w:rPr>
              <w:t>，</w:t>
            </w:r>
            <w:r>
              <w:rPr>
                <w:rFonts w:hint="default" w:ascii="Times New Roman" w:hAnsi="Times New Roman" w:cs="Times New Roman"/>
                <w:color w:val="000000"/>
                <w:kern w:val="0"/>
                <w:sz w:val="24"/>
              </w:rPr>
              <w:t>处理后的</w:t>
            </w:r>
            <w:r>
              <w:rPr>
                <w:rFonts w:hint="eastAsia" w:cs="Times New Roman"/>
                <w:color w:val="000000"/>
                <w:kern w:val="0"/>
                <w:sz w:val="24"/>
                <w:lang w:val="en-US" w:eastAsia="zh-CN"/>
              </w:rPr>
              <w:t>食堂</w:t>
            </w:r>
            <w:r>
              <w:rPr>
                <w:rFonts w:hint="default" w:ascii="Times New Roman" w:hAnsi="Times New Roman" w:cs="Times New Roman"/>
                <w:color w:val="000000"/>
                <w:kern w:val="0"/>
                <w:sz w:val="24"/>
              </w:rPr>
              <w:t>油烟经专用排烟管道排放</w:t>
            </w:r>
            <w:r>
              <w:rPr>
                <w:color w:val="000000"/>
                <w:kern w:val="0"/>
                <w:sz w:val="24"/>
              </w:rPr>
              <w:t>。</w:t>
            </w:r>
          </w:p>
          <w:p w14:paraId="7BB2911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本项目废气产排具体情况见表4-3。</w:t>
            </w:r>
          </w:p>
          <w:p w14:paraId="398439EE">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表4-3    本项目废气产排情况一览表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68"/>
              <w:gridCol w:w="506"/>
              <w:gridCol w:w="475"/>
              <w:gridCol w:w="697"/>
              <w:gridCol w:w="800"/>
              <w:gridCol w:w="1255"/>
              <w:gridCol w:w="607"/>
              <w:gridCol w:w="742"/>
              <w:gridCol w:w="921"/>
              <w:gridCol w:w="889"/>
              <w:gridCol w:w="959"/>
            </w:tblGrid>
            <w:tr w14:paraId="05EC549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392" w:type="pct"/>
                  <w:vMerge w:val="restart"/>
                  <w:vAlign w:val="center"/>
                </w:tcPr>
                <w:p w14:paraId="1139A154">
                  <w:pPr>
                    <w:pStyle w:val="50"/>
                    <w:spacing w:before="24" w:after="24" w:line="240" w:lineRule="auto"/>
                    <w:jc w:val="center"/>
                    <w:rPr>
                      <w:rFonts w:ascii="Times New Roman"/>
                      <w:b/>
                      <w:bCs/>
                      <w:color w:val="auto"/>
                      <w:sz w:val="21"/>
                      <w:szCs w:val="21"/>
                    </w:rPr>
                  </w:pPr>
                  <w:r>
                    <w:rPr>
                      <w:rFonts w:hint="eastAsia" w:ascii="Times New Roman"/>
                      <w:b/>
                      <w:bCs/>
                      <w:color w:val="auto"/>
                      <w:sz w:val="21"/>
                      <w:szCs w:val="21"/>
                    </w:rPr>
                    <w:t>产排污环节</w:t>
                  </w:r>
                </w:p>
              </w:tc>
              <w:tc>
                <w:tcPr>
                  <w:tcW w:w="297" w:type="pct"/>
                  <w:vMerge w:val="restart"/>
                  <w:vAlign w:val="center"/>
                </w:tcPr>
                <w:p w14:paraId="7A4E6E19">
                  <w:pPr>
                    <w:pStyle w:val="50"/>
                    <w:spacing w:before="24" w:after="24" w:line="240" w:lineRule="auto"/>
                    <w:jc w:val="center"/>
                    <w:rPr>
                      <w:rFonts w:ascii="Times New Roman"/>
                      <w:b/>
                      <w:bCs/>
                      <w:color w:val="auto"/>
                      <w:sz w:val="21"/>
                      <w:szCs w:val="21"/>
                    </w:rPr>
                  </w:pPr>
                  <w:r>
                    <w:rPr>
                      <w:rFonts w:hint="eastAsia" w:ascii="Times New Roman"/>
                      <w:b/>
                      <w:bCs/>
                      <w:color w:val="auto"/>
                      <w:sz w:val="21"/>
                      <w:szCs w:val="21"/>
                    </w:rPr>
                    <w:t>排放形式</w:t>
                  </w:r>
                </w:p>
              </w:tc>
              <w:tc>
                <w:tcPr>
                  <w:tcW w:w="279" w:type="pct"/>
                  <w:vMerge w:val="restart"/>
                  <w:vAlign w:val="center"/>
                </w:tcPr>
                <w:p w14:paraId="45B84A8C">
                  <w:pPr>
                    <w:pStyle w:val="50"/>
                    <w:spacing w:before="24" w:after="24" w:line="240" w:lineRule="auto"/>
                    <w:jc w:val="center"/>
                    <w:rPr>
                      <w:rFonts w:ascii="Times New Roman"/>
                      <w:b/>
                      <w:bCs/>
                      <w:color w:val="auto"/>
                      <w:sz w:val="21"/>
                      <w:szCs w:val="21"/>
                    </w:rPr>
                  </w:pPr>
                  <w:r>
                    <w:rPr>
                      <w:rFonts w:ascii="Times New Roman"/>
                      <w:b/>
                      <w:bCs/>
                      <w:color w:val="auto"/>
                      <w:sz w:val="21"/>
                      <w:szCs w:val="21"/>
                    </w:rPr>
                    <w:t>污染物</w:t>
                  </w:r>
                </w:p>
              </w:tc>
              <w:tc>
                <w:tcPr>
                  <w:tcW w:w="409" w:type="pct"/>
                  <w:vMerge w:val="restart"/>
                  <w:vAlign w:val="center"/>
                </w:tcPr>
                <w:p w14:paraId="1816072B">
                  <w:pPr>
                    <w:pStyle w:val="50"/>
                    <w:spacing w:before="24" w:after="24" w:line="240" w:lineRule="auto"/>
                    <w:jc w:val="center"/>
                    <w:rPr>
                      <w:rFonts w:ascii="Times New Roman"/>
                      <w:b/>
                      <w:bCs/>
                      <w:color w:val="auto"/>
                      <w:sz w:val="21"/>
                      <w:szCs w:val="21"/>
                    </w:rPr>
                  </w:pPr>
                  <w:r>
                    <w:rPr>
                      <w:rFonts w:ascii="Times New Roman"/>
                      <w:b/>
                      <w:bCs/>
                      <w:color w:val="auto"/>
                      <w:sz w:val="21"/>
                      <w:szCs w:val="21"/>
                    </w:rPr>
                    <w:t>产生量</w:t>
                  </w:r>
                </w:p>
                <w:p w14:paraId="24E2DD94">
                  <w:pPr>
                    <w:jc w:val="center"/>
                    <w:rPr>
                      <w:b/>
                      <w:bCs/>
                      <w:color w:val="auto"/>
                      <w:sz w:val="21"/>
                      <w:szCs w:val="21"/>
                    </w:rPr>
                  </w:pPr>
                  <w:r>
                    <w:rPr>
                      <w:b/>
                      <w:bCs/>
                      <w:color w:val="auto"/>
                      <w:sz w:val="21"/>
                      <w:szCs w:val="21"/>
                    </w:rPr>
                    <w:t>t/a</w:t>
                  </w:r>
                </w:p>
              </w:tc>
              <w:tc>
                <w:tcPr>
                  <w:tcW w:w="469" w:type="pct"/>
                  <w:vMerge w:val="restart"/>
                  <w:vAlign w:val="center"/>
                </w:tcPr>
                <w:p w14:paraId="1C68AD47">
                  <w:pPr>
                    <w:jc w:val="center"/>
                    <w:rPr>
                      <w:b/>
                      <w:bCs/>
                      <w:color w:val="auto"/>
                      <w:sz w:val="21"/>
                      <w:szCs w:val="21"/>
                    </w:rPr>
                  </w:pPr>
                  <w:r>
                    <w:rPr>
                      <w:b/>
                      <w:bCs/>
                      <w:color w:val="auto"/>
                      <w:sz w:val="21"/>
                      <w:szCs w:val="21"/>
                    </w:rPr>
                    <w:t>产生速率kg/h</w:t>
                  </w:r>
                </w:p>
              </w:tc>
              <w:tc>
                <w:tcPr>
                  <w:tcW w:w="1091" w:type="pct"/>
                  <w:gridSpan w:val="2"/>
                  <w:tcBorders>
                    <w:bottom w:val="single" w:color="auto" w:sz="12" w:space="0"/>
                  </w:tcBorders>
                  <w:vAlign w:val="center"/>
                </w:tcPr>
                <w:p w14:paraId="438BAA2D">
                  <w:pPr>
                    <w:pStyle w:val="50"/>
                    <w:spacing w:before="24" w:after="24" w:line="240" w:lineRule="auto"/>
                    <w:jc w:val="center"/>
                    <w:rPr>
                      <w:rFonts w:hint="default" w:ascii="Times New Roman" w:eastAsia="宋体"/>
                      <w:b/>
                      <w:bCs/>
                      <w:color w:val="auto"/>
                      <w:sz w:val="21"/>
                      <w:szCs w:val="21"/>
                      <w:lang w:val="en-US" w:eastAsia="zh-CN"/>
                    </w:rPr>
                  </w:pPr>
                  <w:r>
                    <w:rPr>
                      <w:rFonts w:hint="eastAsia" w:ascii="Times New Roman"/>
                      <w:b/>
                      <w:bCs/>
                      <w:color w:val="auto"/>
                      <w:sz w:val="21"/>
                      <w:szCs w:val="21"/>
                      <w:lang w:val="en-US" w:eastAsia="zh-CN"/>
                    </w:rPr>
                    <w:t>污染防治设施</w:t>
                  </w:r>
                </w:p>
              </w:tc>
              <w:tc>
                <w:tcPr>
                  <w:tcW w:w="435" w:type="pct"/>
                  <w:vMerge w:val="restart"/>
                  <w:vAlign w:val="center"/>
                </w:tcPr>
                <w:p w14:paraId="5A439CBE">
                  <w:pPr>
                    <w:pStyle w:val="50"/>
                    <w:spacing w:before="24" w:after="24" w:line="240" w:lineRule="auto"/>
                    <w:jc w:val="center"/>
                    <w:rPr>
                      <w:rFonts w:ascii="Times New Roman"/>
                      <w:b/>
                      <w:bCs/>
                      <w:color w:val="auto"/>
                      <w:sz w:val="21"/>
                      <w:szCs w:val="21"/>
                    </w:rPr>
                  </w:pPr>
                  <w:r>
                    <w:rPr>
                      <w:rFonts w:ascii="Times New Roman"/>
                      <w:b/>
                      <w:bCs/>
                      <w:color w:val="auto"/>
                      <w:sz w:val="21"/>
                      <w:szCs w:val="21"/>
                    </w:rPr>
                    <w:t>排放量t/a</w:t>
                  </w:r>
                </w:p>
              </w:tc>
              <w:tc>
                <w:tcPr>
                  <w:tcW w:w="540" w:type="pct"/>
                  <w:vMerge w:val="restart"/>
                  <w:vAlign w:val="center"/>
                </w:tcPr>
                <w:p w14:paraId="745E597E">
                  <w:pPr>
                    <w:pStyle w:val="50"/>
                    <w:spacing w:before="24" w:after="24" w:line="240" w:lineRule="auto"/>
                    <w:jc w:val="center"/>
                    <w:rPr>
                      <w:rFonts w:ascii="Times New Roman"/>
                      <w:b/>
                      <w:bCs/>
                      <w:color w:val="auto"/>
                      <w:sz w:val="21"/>
                      <w:szCs w:val="21"/>
                    </w:rPr>
                  </w:pPr>
                  <w:r>
                    <w:rPr>
                      <w:rFonts w:ascii="Times New Roman"/>
                      <w:b/>
                      <w:bCs/>
                      <w:color w:val="auto"/>
                      <w:sz w:val="21"/>
                      <w:szCs w:val="21"/>
                    </w:rPr>
                    <w:t>排放速率kg/h</w:t>
                  </w:r>
                </w:p>
              </w:tc>
              <w:tc>
                <w:tcPr>
                  <w:tcW w:w="521" w:type="pct"/>
                  <w:vMerge w:val="restart"/>
                  <w:vAlign w:val="center"/>
                </w:tcPr>
                <w:p w14:paraId="592913BD">
                  <w:pPr>
                    <w:pStyle w:val="50"/>
                    <w:spacing w:before="24" w:after="24" w:line="240" w:lineRule="auto"/>
                    <w:jc w:val="center"/>
                    <w:rPr>
                      <w:rFonts w:ascii="Times New Roman"/>
                      <w:b/>
                      <w:bCs/>
                      <w:color w:val="auto"/>
                      <w:sz w:val="21"/>
                      <w:szCs w:val="21"/>
                    </w:rPr>
                  </w:pPr>
                  <w:r>
                    <w:rPr>
                      <w:rFonts w:ascii="Times New Roman"/>
                      <w:b/>
                      <w:bCs/>
                      <w:color w:val="auto"/>
                      <w:sz w:val="21"/>
                      <w:szCs w:val="21"/>
                    </w:rPr>
                    <w:t>排放浓度mg/m</w:t>
                  </w:r>
                  <w:r>
                    <w:rPr>
                      <w:rFonts w:ascii="Times New Roman"/>
                      <w:b/>
                      <w:bCs/>
                      <w:color w:val="auto"/>
                      <w:sz w:val="21"/>
                      <w:szCs w:val="21"/>
                      <w:vertAlign w:val="superscript"/>
                    </w:rPr>
                    <w:t>3</w:t>
                  </w:r>
                </w:p>
              </w:tc>
              <w:tc>
                <w:tcPr>
                  <w:tcW w:w="562" w:type="pct"/>
                  <w:vMerge w:val="restart"/>
                  <w:vAlign w:val="center"/>
                </w:tcPr>
                <w:p w14:paraId="0A365A52">
                  <w:pPr>
                    <w:pStyle w:val="50"/>
                    <w:spacing w:before="24" w:after="24" w:line="240" w:lineRule="auto"/>
                    <w:jc w:val="center"/>
                    <w:rPr>
                      <w:rFonts w:hint="default" w:ascii="Times New Roman" w:eastAsia="宋体"/>
                      <w:b/>
                      <w:bCs/>
                      <w:color w:val="auto"/>
                      <w:sz w:val="21"/>
                      <w:szCs w:val="21"/>
                      <w:lang w:val="en-US" w:eastAsia="zh-CN"/>
                    </w:rPr>
                  </w:pPr>
                  <w:r>
                    <w:rPr>
                      <w:rFonts w:hint="eastAsia" w:ascii="Times New Roman"/>
                      <w:b/>
                      <w:bCs/>
                      <w:color w:val="auto"/>
                      <w:sz w:val="21"/>
                      <w:szCs w:val="21"/>
                      <w:lang w:val="en-US" w:eastAsia="zh-CN"/>
                    </w:rPr>
                    <w:t>标准限值mg/m³</w:t>
                  </w:r>
                </w:p>
              </w:tc>
            </w:tr>
            <w:tr w14:paraId="23F458F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392" w:type="pct"/>
                  <w:vMerge w:val="continue"/>
                  <w:tcBorders>
                    <w:bottom w:val="single" w:color="auto" w:sz="12" w:space="0"/>
                  </w:tcBorders>
                  <w:vAlign w:val="center"/>
                </w:tcPr>
                <w:p w14:paraId="4F4DD989">
                  <w:pPr>
                    <w:pStyle w:val="50"/>
                    <w:spacing w:before="24" w:after="24" w:line="240" w:lineRule="auto"/>
                    <w:jc w:val="center"/>
                    <w:rPr>
                      <w:color w:val="auto"/>
                    </w:rPr>
                  </w:pPr>
                </w:p>
              </w:tc>
              <w:tc>
                <w:tcPr>
                  <w:tcW w:w="297" w:type="pct"/>
                  <w:vMerge w:val="continue"/>
                  <w:tcBorders>
                    <w:bottom w:val="single" w:color="auto" w:sz="12" w:space="0"/>
                  </w:tcBorders>
                  <w:vAlign w:val="center"/>
                </w:tcPr>
                <w:p w14:paraId="20217B47">
                  <w:pPr>
                    <w:pStyle w:val="50"/>
                    <w:spacing w:before="24" w:after="24" w:line="240" w:lineRule="auto"/>
                    <w:jc w:val="center"/>
                    <w:rPr>
                      <w:color w:val="auto"/>
                    </w:rPr>
                  </w:pPr>
                </w:p>
              </w:tc>
              <w:tc>
                <w:tcPr>
                  <w:tcW w:w="279" w:type="pct"/>
                  <w:vMerge w:val="continue"/>
                  <w:tcBorders>
                    <w:bottom w:val="single" w:color="auto" w:sz="12" w:space="0"/>
                  </w:tcBorders>
                  <w:vAlign w:val="center"/>
                </w:tcPr>
                <w:p w14:paraId="47D73B37">
                  <w:pPr>
                    <w:pStyle w:val="50"/>
                    <w:spacing w:before="24" w:after="24" w:line="240" w:lineRule="auto"/>
                    <w:jc w:val="center"/>
                    <w:rPr>
                      <w:color w:val="auto"/>
                    </w:rPr>
                  </w:pPr>
                </w:p>
              </w:tc>
              <w:tc>
                <w:tcPr>
                  <w:tcW w:w="409" w:type="pct"/>
                  <w:vMerge w:val="continue"/>
                  <w:tcBorders>
                    <w:bottom w:val="single" w:color="auto" w:sz="12" w:space="0"/>
                  </w:tcBorders>
                  <w:vAlign w:val="center"/>
                </w:tcPr>
                <w:p w14:paraId="0DAA420C">
                  <w:pPr>
                    <w:pStyle w:val="50"/>
                    <w:spacing w:before="24" w:after="24" w:line="240" w:lineRule="auto"/>
                    <w:jc w:val="center"/>
                    <w:rPr>
                      <w:color w:val="auto"/>
                    </w:rPr>
                  </w:pPr>
                </w:p>
              </w:tc>
              <w:tc>
                <w:tcPr>
                  <w:tcW w:w="469" w:type="pct"/>
                  <w:vMerge w:val="continue"/>
                  <w:tcBorders>
                    <w:bottom w:val="single" w:color="auto" w:sz="12" w:space="0"/>
                  </w:tcBorders>
                  <w:vAlign w:val="center"/>
                </w:tcPr>
                <w:p w14:paraId="70B721F2">
                  <w:pPr>
                    <w:pStyle w:val="50"/>
                    <w:spacing w:before="24" w:after="24" w:line="240" w:lineRule="auto"/>
                    <w:jc w:val="center"/>
                    <w:rPr>
                      <w:color w:val="auto"/>
                    </w:rPr>
                  </w:pPr>
                </w:p>
              </w:tc>
              <w:tc>
                <w:tcPr>
                  <w:tcW w:w="735" w:type="pct"/>
                  <w:tcBorders>
                    <w:bottom w:val="single" w:color="auto" w:sz="12" w:space="0"/>
                  </w:tcBorders>
                  <w:vAlign w:val="center"/>
                </w:tcPr>
                <w:p w14:paraId="4AE5E682">
                  <w:pPr>
                    <w:pStyle w:val="50"/>
                    <w:spacing w:before="24" w:after="24" w:line="240" w:lineRule="auto"/>
                    <w:jc w:val="center"/>
                    <w:rPr>
                      <w:rFonts w:hint="default" w:ascii="Times New Roman"/>
                      <w:b/>
                      <w:bCs/>
                      <w:color w:val="auto"/>
                      <w:sz w:val="21"/>
                      <w:szCs w:val="21"/>
                      <w:lang w:val="en-US" w:eastAsia="zh-CN"/>
                    </w:rPr>
                  </w:pPr>
                  <w:r>
                    <w:rPr>
                      <w:rFonts w:hint="eastAsia" w:ascii="Times New Roman"/>
                      <w:b/>
                      <w:bCs/>
                      <w:color w:val="auto"/>
                      <w:sz w:val="21"/>
                      <w:szCs w:val="21"/>
                      <w:lang w:val="en-US" w:eastAsia="zh-CN"/>
                    </w:rPr>
                    <w:t>名称及工艺</w:t>
                  </w:r>
                </w:p>
              </w:tc>
              <w:tc>
                <w:tcPr>
                  <w:tcW w:w="356" w:type="pct"/>
                  <w:tcBorders>
                    <w:bottom w:val="single" w:color="auto" w:sz="12" w:space="0"/>
                  </w:tcBorders>
                  <w:vAlign w:val="center"/>
                </w:tcPr>
                <w:p w14:paraId="7ABF6A8F">
                  <w:pPr>
                    <w:pStyle w:val="50"/>
                    <w:spacing w:before="24" w:after="24" w:line="240" w:lineRule="auto"/>
                    <w:jc w:val="center"/>
                    <w:rPr>
                      <w:rFonts w:hint="default" w:ascii="Times New Roman"/>
                      <w:b/>
                      <w:bCs/>
                      <w:color w:val="auto"/>
                      <w:sz w:val="21"/>
                      <w:szCs w:val="21"/>
                      <w:lang w:val="en-US" w:eastAsia="zh-CN"/>
                    </w:rPr>
                  </w:pPr>
                  <w:r>
                    <w:rPr>
                      <w:rFonts w:hint="eastAsia" w:ascii="Times New Roman"/>
                      <w:b/>
                      <w:bCs/>
                      <w:color w:val="auto"/>
                      <w:sz w:val="21"/>
                      <w:szCs w:val="21"/>
                      <w:lang w:val="en-US" w:eastAsia="zh-CN"/>
                    </w:rPr>
                    <w:t>是否为可行技术</w:t>
                  </w:r>
                </w:p>
              </w:tc>
              <w:tc>
                <w:tcPr>
                  <w:tcW w:w="435" w:type="pct"/>
                  <w:vMerge w:val="continue"/>
                  <w:tcBorders>
                    <w:bottom w:val="single" w:color="auto" w:sz="12" w:space="0"/>
                  </w:tcBorders>
                  <w:vAlign w:val="center"/>
                </w:tcPr>
                <w:p w14:paraId="72321291">
                  <w:pPr>
                    <w:pStyle w:val="50"/>
                    <w:spacing w:before="24" w:after="24" w:line="240" w:lineRule="auto"/>
                    <w:jc w:val="center"/>
                    <w:rPr>
                      <w:rFonts w:hint="eastAsia" w:ascii="Times New Roman"/>
                      <w:b/>
                      <w:bCs/>
                      <w:color w:val="auto"/>
                      <w:sz w:val="21"/>
                      <w:szCs w:val="21"/>
                      <w:lang w:val="en-US" w:eastAsia="zh-CN"/>
                    </w:rPr>
                  </w:pPr>
                </w:p>
              </w:tc>
              <w:tc>
                <w:tcPr>
                  <w:tcW w:w="540" w:type="pct"/>
                  <w:vMerge w:val="continue"/>
                  <w:tcBorders>
                    <w:bottom w:val="single" w:color="auto" w:sz="12" w:space="0"/>
                  </w:tcBorders>
                  <w:vAlign w:val="center"/>
                </w:tcPr>
                <w:p w14:paraId="3534704C">
                  <w:pPr>
                    <w:pStyle w:val="50"/>
                    <w:spacing w:before="24" w:after="24" w:line="240" w:lineRule="auto"/>
                    <w:jc w:val="center"/>
                    <w:rPr>
                      <w:rFonts w:hint="eastAsia" w:ascii="Times New Roman"/>
                      <w:b/>
                      <w:bCs/>
                      <w:color w:val="auto"/>
                      <w:sz w:val="21"/>
                      <w:szCs w:val="21"/>
                      <w:lang w:val="en-US" w:eastAsia="zh-CN"/>
                    </w:rPr>
                  </w:pPr>
                </w:p>
              </w:tc>
              <w:tc>
                <w:tcPr>
                  <w:tcW w:w="521" w:type="pct"/>
                  <w:vMerge w:val="continue"/>
                  <w:tcBorders>
                    <w:bottom w:val="single" w:color="auto" w:sz="12" w:space="0"/>
                  </w:tcBorders>
                  <w:vAlign w:val="center"/>
                </w:tcPr>
                <w:p w14:paraId="5E004ED1">
                  <w:pPr>
                    <w:pStyle w:val="50"/>
                    <w:spacing w:before="24" w:after="24" w:line="240" w:lineRule="auto"/>
                    <w:jc w:val="center"/>
                    <w:rPr>
                      <w:rFonts w:hint="eastAsia" w:ascii="Times New Roman"/>
                      <w:b/>
                      <w:bCs/>
                      <w:color w:val="auto"/>
                      <w:sz w:val="21"/>
                      <w:szCs w:val="21"/>
                      <w:lang w:val="en-US" w:eastAsia="zh-CN"/>
                    </w:rPr>
                  </w:pPr>
                </w:p>
              </w:tc>
              <w:tc>
                <w:tcPr>
                  <w:tcW w:w="562" w:type="pct"/>
                  <w:vMerge w:val="continue"/>
                  <w:tcBorders>
                    <w:bottom w:val="single" w:color="auto" w:sz="12" w:space="0"/>
                  </w:tcBorders>
                  <w:vAlign w:val="center"/>
                </w:tcPr>
                <w:p w14:paraId="20EF3C12">
                  <w:pPr>
                    <w:pStyle w:val="50"/>
                    <w:spacing w:before="24" w:after="24" w:line="240" w:lineRule="auto"/>
                    <w:jc w:val="center"/>
                    <w:rPr>
                      <w:rFonts w:hint="eastAsia" w:ascii="Times New Roman"/>
                      <w:b/>
                      <w:bCs/>
                      <w:color w:val="auto"/>
                      <w:sz w:val="21"/>
                      <w:szCs w:val="21"/>
                      <w:lang w:val="en-US" w:eastAsia="zh-CN"/>
                    </w:rPr>
                  </w:pPr>
                </w:p>
              </w:tc>
            </w:tr>
            <w:tr w14:paraId="43F55FF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392" w:type="pct"/>
                  <w:tcBorders>
                    <w:top w:val="single" w:color="auto" w:sz="12" w:space="0"/>
                    <w:tl2br w:val="nil"/>
                    <w:tr2bl w:val="nil"/>
                  </w:tcBorders>
                  <w:vAlign w:val="center"/>
                </w:tcPr>
                <w:p w14:paraId="0BE889A3">
                  <w:pPr>
                    <w:pStyle w:val="50"/>
                    <w:spacing w:before="24" w:after="24" w:line="240" w:lineRule="auto"/>
                    <w:jc w:val="center"/>
                    <w:rPr>
                      <w:rFonts w:ascii="Times New Roman"/>
                      <w:color w:val="auto"/>
                      <w:sz w:val="21"/>
                      <w:szCs w:val="21"/>
                    </w:rPr>
                  </w:pPr>
                  <w:r>
                    <w:rPr>
                      <w:rFonts w:hint="eastAsia" w:ascii="Times New Roman"/>
                      <w:color w:val="auto"/>
                      <w:sz w:val="21"/>
                      <w:szCs w:val="21"/>
                    </w:rPr>
                    <w:t>筒仓粉尘</w:t>
                  </w:r>
                </w:p>
              </w:tc>
              <w:tc>
                <w:tcPr>
                  <w:tcW w:w="297" w:type="pct"/>
                  <w:vMerge w:val="restart"/>
                  <w:tcBorders>
                    <w:top w:val="single" w:color="auto" w:sz="12" w:space="0"/>
                    <w:tl2br w:val="nil"/>
                    <w:tr2bl w:val="nil"/>
                  </w:tcBorders>
                  <w:vAlign w:val="center"/>
                </w:tcPr>
                <w:p w14:paraId="54B009DF">
                  <w:pPr>
                    <w:pStyle w:val="50"/>
                    <w:spacing w:before="24" w:after="24" w:line="240" w:lineRule="auto"/>
                    <w:jc w:val="center"/>
                    <w:rPr>
                      <w:rFonts w:ascii="Times New Roman"/>
                      <w:color w:val="auto"/>
                      <w:sz w:val="21"/>
                      <w:szCs w:val="21"/>
                    </w:rPr>
                  </w:pPr>
                  <w:r>
                    <w:rPr>
                      <w:rFonts w:hint="eastAsia" w:ascii="Times New Roman"/>
                      <w:color w:val="auto"/>
                      <w:sz w:val="21"/>
                      <w:szCs w:val="21"/>
                    </w:rPr>
                    <w:t>无组织</w:t>
                  </w:r>
                </w:p>
              </w:tc>
              <w:tc>
                <w:tcPr>
                  <w:tcW w:w="279" w:type="pct"/>
                  <w:tcBorders>
                    <w:top w:val="single" w:color="auto" w:sz="12" w:space="0"/>
                    <w:tl2br w:val="nil"/>
                    <w:tr2bl w:val="nil"/>
                  </w:tcBorders>
                  <w:vAlign w:val="center"/>
                </w:tcPr>
                <w:p w14:paraId="225C7A82">
                  <w:pPr>
                    <w:pStyle w:val="50"/>
                    <w:spacing w:before="24" w:after="24" w:line="240" w:lineRule="auto"/>
                    <w:jc w:val="center"/>
                    <w:rPr>
                      <w:rFonts w:ascii="Times New Roman"/>
                      <w:color w:val="auto"/>
                      <w:sz w:val="21"/>
                      <w:szCs w:val="21"/>
                    </w:rPr>
                  </w:pPr>
                  <w:r>
                    <w:rPr>
                      <w:rFonts w:hint="eastAsia" w:ascii="Times New Roman"/>
                      <w:color w:val="auto"/>
                      <w:sz w:val="21"/>
                      <w:szCs w:val="21"/>
                    </w:rPr>
                    <w:t>颗粒物</w:t>
                  </w:r>
                </w:p>
              </w:tc>
              <w:tc>
                <w:tcPr>
                  <w:tcW w:w="409" w:type="pct"/>
                  <w:tcBorders>
                    <w:top w:val="single" w:color="auto" w:sz="12" w:space="0"/>
                    <w:tl2br w:val="nil"/>
                    <w:tr2bl w:val="nil"/>
                  </w:tcBorders>
                  <w:vAlign w:val="center"/>
                </w:tcPr>
                <w:p w14:paraId="434B9AC1">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57.6</w:t>
                  </w:r>
                </w:p>
              </w:tc>
              <w:tc>
                <w:tcPr>
                  <w:tcW w:w="469" w:type="pct"/>
                  <w:tcBorders>
                    <w:top w:val="single" w:color="auto" w:sz="12" w:space="0"/>
                    <w:tl2br w:val="nil"/>
                    <w:tr2bl w:val="nil"/>
                  </w:tcBorders>
                  <w:vAlign w:val="center"/>
                </w:tcPr>
                <w:p w14:paraId="6E8DE659">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30</w:t>
                  </w:r>
                </w:p>
              </w:tc>
              <w:tc>
                <w:tcPr>
                  <w:tcW w:w="735" w:type="pct"/>
                  <w:tcBorders>
                    <w:top w:val="single" w:color="auto" w:sz="12" w:space="0"/>
                    <w:tl2br w:val="nil"/>
                    <w:tr2bl w:val="nil"/>
                  </w:tcBorders>
                  <w:vAlign w:val="center"/>
                </w:tcPr>
                <w:p w14:paraId="434B8A2D">
                  <w:pPr>
                    <w:pStyle w:val="50"/>
                    <w:spacing w:before="24" w:after="24" w:line="240" w:lineRule="auto"/>
                    <w:jc w:val="center"/>
                    <w:rPr>
                      <w:rFonts w:hint="default" w:ascii="Times New Roman" w:eastAsia="宋体"/>
                      <w:color w:val="auto"/>
                      <w:sz w:val="21"/>
                      <w:szCs w:val="21"/>
                      <w:lang w:val="en-US" w:eastAsia="zh-CN"/>
                    </w:rPr>
                  </w:pPr>
                  <w:r>
                    <w:rPr>
                      <w:rFonts w:ascii="Times New Roman"/>
                      <w:color w:val="auto"/>
                      <w:sz w:val="21"/>
                      <w:szCs w:val="21"/>
                    </w:rPr>
                    <w:t>脉冲布袋除尘器</w:t>
                  </w:r>
                </w:p>
              </w:tc>
              <w:tc>
                <w:tcPr>
                  <w:tcW w:w="356" w:type="pct"/>
                  <w:tcBorders>
                    <w:top w:val="single" w:color="auto" w:sz="12" w:space="0"/>
                    <w:tl2br w:val="nil"/>
                    <w:tr2bl w:val="nil"/>
                  </w:tcBorders>
                  <w:vAlign w:val="center"/>
                </w:tcPr>
                <w:p w14:paraId="770120E5">
                  <w:pPr>
                    <w:pStyle w:val="50"/>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435" w:type="pct"/>
                  <w:tcBorders>
                    <w:top w:val="single" w:color="auto" w:sz="12" w:space="0"/>
                    <w:tl2br w:val="nil"/>
                    <w:tr2bl w:val="nil"/>
                  </w:tcBorders>
                  <w:vAlign w:val="center"/>
                </w:tcPr>
                <w:p w14:paraId="0BE73B4A">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0.173</w:t>
                  </w:r>
                </w:p>
              </w:tc>
              <w:tc>
                <w:tcPr>
                  <w:tcW w:w="540" w:type="pct"/>
                  <w:tcBorders>
                    <w:top w:val="single" w:color="auto" w:sz="12" w:space="0"/>
                    <w:tl2br w:val="nil"/>
                    <w:tr2bl w:val="nil"/>
                  </w:tcBorders>
                  <w:vAlign w:val="center"/>
                </w:tcPr>
                <w:p w14:paraId="709F3C8E">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0.09</w:t>
                  </w:r>
                </w:p>
              </w:tc>
              <w:tc>
                <w:tcPr>
                  <w:tcW w:w="521" w:type="pct"/>
                  <w:tcBorders>
                    <w:top w:val="single" w:color="auto" w:sz="12" w:space="0"/>
                    <w:tl2br w:val="nil"/>
                    <w:tr2bl w:val="nil"/>
                  </w:tcBorders>
                  <w:vAlign w:val="center"/>
                </w:tcPr>
                <w:p w14:paraId="60C1F85F">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w:t>
                  </w:r>
                </w:p>
              </w:tc>
              <w:tc>
                <w:tcPr>
                  <w:tcW w:w="562" w:type="pct"/>
                  <w:tcBorders>
                    <w:top w:val="single" w:color="auto" w:sz="12" w:space="0"/>
                    <w:tl2br w:val="nil"/>
                    <w:tr2bl w:val="nil"/>
                  </w:tcBorders>
                  <w:vAlign w:val="center"/>
                </w:tcPr>
                <w:p w14:paraId="42892E79">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0.5</w:t>
                  </w:r>
                </w:p>
              </w:tc>
            </w:tr>
            <w:tr w14:paraId="6497842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2" w:type="pct"/>
                  <w:tcBorders>
                    <w:tl2br w:val="nil"/>
                    <w:tr2bl w:val="nil"/>
                  </w:tcBorders>
                  <w:vAlign w:val="center"/>
                </w:tcPr>
                <w:p w14:paraId="2294A102">
                  <w:pPr>
                    <w:pStyle w:val="50"/>
                    <w:spacing w:before="24" w:after="24" w:line="240" w:lineRule="auto"/>
                    <w:jc w:val="center"/>
                    <w:rPr>
                      <w:rFonts w:ascii="Times New Roman"/>
                      <w:color w:val="auto"/>
                      <w:sz w:val="21"/>
                      <w:szCs w:val="21"/>
                    </w:rPr>
                  </w:pPr>
                  <w:r>
                    <w:rPr>
                      <w:rFonts w:hint="eastAsia" w:ascii="Times New Roman"/>
                      <w:color w:val="auto"/>
                      <w:sz w:val="21"/>
                      <w:szCs w:val="21"/>
                    </w:rPr>
                    <w:t>料</w:t>
                  </w:r>
                  <w:r>
                    <w:rPr>
                      <w:rFonts w:hint="eastAsia" w:ascii="Times New Roman"/>
                      <w:color w:val="auto"/>
                      <w:sz w:val="21"/>
                      <w:szCs w:val="21"/>
                      <w:lang w:val="en-US" w:eastAsia="zh-CN"/>
                    </w:rPr>
                    <w:t>场</w:t>
                  </w:r>
                  <w:r>
                    <w:rPr>
                      <w:rFonts w:hint="eastAsia" w:ascii="Times New Roman"/>
                      <w:color w:val="auto"/>
                      <w:sz w:val="21"/>
                      <w:szCs w:val="21"/>
                    </w:rPr>
                    <w:t>扬尘及装卸扬尘</w:t>
                  </w:r>
                </w:p>
              </w:tc>
              <w:tc>
                <w:tcPr>
                  <w:tcW w:w="297" w:type="pct"/>
                  <w:vMerge w:val="continue"/>
                  <w:tcBorders>
                    <w:tl2br w:val="nil"/>
                    <w:tr2bl w:val="nil"/>
                  </w:tcBorders>
                  <w:vAlign w:val="center"/>
                </w:tcPr>
                <w:p w14:paraId="0D8A04F2">
                  <w:pPr>
                    <w:pStyle w:val="50"/>
                    <w:spacing w:before="24" w:after="24" w:line="240" w:lineRule="auto"/>
                    <w:jc w:val="center"/>
                    <w:rPr>
                      <w:rFonts w:ascii="Times New Roman"/>
                      <w:color w:val="auto"/>
                      <w:sz w:val="21"/>
                      <w:szCs w:val="21"/>
                    </w:rPr>
                  </w:pPr>
                </w:p>
              </w:tc>
              <w:tc>
                <w:tcPr>
                  <w:tcW w:w="279" w:type="pct"/>
                  <w:tcBorders>
                    <w:tl2br w:val="nil"/>
                    <w:tr2bl w:val="nil"/>
                  </w:tcBorders>
                  <w:vAlign w:val="center"/>
                </w:tcPr>
                <w:p w14:paraId="334E0BD4">
                  <w:pPr>
                    <w:pStyle w:val="50"/>
                    <w:spacing w:before="24" w:after="24" w:line="240" w:lineRule="auto"/>
                    <w:jc w:val="center"/>
                    <w:rPr>
                      <w:rFonts w:ascii="Times New Roman"/>
                      <w:color w:val="auto"/>
                      <w:sz w:val="21"/>
                      <w:szCs w:val="21"/>
                    </w:rPr>
                  </w:pPr>
                  <w:r>
                    <w:rPr>
                      <w:rFonts w:hint="eastAsia" w:ascii="Times New Roman"/>
                      <w:color w:val="auto"/>
                      <w:sz w:val="21"/>
                      <w:szCs w:val="21"/>
                    </w:rPr>
                    <w:t>颗粒物</w:t>
                  </w:r>
                </w:p>
              </w:tc>
              <w:tc>
                <w:tcPr>
                  <w:tcW w:w="409" w:type="pct"/>
                  <w:tcBorders>
                    <w:tl2br w:val="nil"/>
                    <w:tr2bl w:val="nil"/>
                  </w:tcBorders>
                  <w:vAlign w:val="center"/>
                </w:tcPr>
                <w:p w14:paraId="0C1DD6E9">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46.44</w:t>
                  </w:r>
                </w:p>
              </w:tc>
              <w:tc>
                <w:tcPr>
                  <w:tcW w:w="469" w:type="pct"/>
                  <w:tcBorders>
                    <w:tl2br w:val="nil"/>
                    <w:tr2bl w:val="nil"/>
                  </w:tcBorders>
                  <w:vAlign w:val="center"/>
                </w:tcPr>
                <w:p w14:paraId="118A81DF">
                  <w:pPr>
                    <w:jc w:val="center"/>
                    <w:rPr>
                      <w:rFonts w:hint="default" w:eastAsia="宋体"/>
                      <w:color w:val="auto"/>
                      <w:sz w:val="21"/>
                      <w:szCs w:val="21"/>
                      <w:lang w:val="en-US" w:eastAsia="zh-CN"/>
                    </w:rPr>
                  </w:pPr>
                  <w:r>
                    <w:rPr>
                      <w:rFonts w:hint="eastAsia"/>
                      <w:color w:val="auto"/>
                      <w:sz w:val="21"/>
                      <w:szCs w:val="21"/>
                      <w:lang w:val="en-US" w:eastAsia="zh-CN"/>
                    </w:rPr>
                    <w:t>24.19</w:t>
                  </w:r>
                </w:p>
              </w:tc>
              <w:tc>
                <w:tcPr>
                  <w:tcW w:w="735" w:type="pct"/>
                  <w:tcBorders>
                    <w:tl2br w:val="nil"/>
                    <w:tr2bl w:val="nil"/>
                  </w:tcBorders>
                  <w:vAlign w:val="center"/>
                </w:tcPr>
                <w:p w14:paraId="29BDED00">
                  <w:pPr>
                    <w:pStyle w:val="50"/>
                    <w:spacing w:before="24" w:after="24" w:line="240" w:lineRule="auto"/>
                    <w:jc w:val="center"/>
                    <w:rPr>
                      <w:rFonts w:ascii="Times New Roman"/>
                      <w:color w:val="auto"/>
                      <w:sz w:val="21"/>
                      <w:szCs w:val="21"/>
                    </w:rPr>
                  </w:pPr>
                  <w:r>
                    <w:rPr>
                      <w:rFonts w:hint="eastAsia" w:ascii="Times New Roman"/>
                      <w:color w:val="auto"/>
                      <w:sz w:val="21"/>
                      <w:szCs w:val="21"/>
                      <w:lang w:val="en-US" w:eastAsia="zh-CN"/>
                    </w:rPr>
                    <w:t>料场</w:t>
                  </w:r>
                  <w:r>
                    <w:rPr>
                      <w:rFonts w:hint="eastAsia"/>
                      <w:color w:val="auto"/>
                      <w:szCs w:val="21"/>
                      <w:lang w:val="en-US" w:eastAsia="zh-CN"/>
                    </w:rPr>
                    <w:t>为半封闭式</w:t>
                  </w:r>
                  <w:r>
                    <w:rPr>
                      <w:rFonts w:hint="eastAsia" w:ascii="Times New Roman"/>
                      <w:color w:val="auto"/>
                      <w:sz w:val="21"/>
                      <w:szCs w:val="21"/>
                      <w:lang w:val="en-US" w:eastAsia="zh-CN"/>
                    </w:rPr>
                    <w:t>+篷布</w:t>
                  </w:r>
                  <w:r>
                    <w:rPr>
                      <w:rFonts w:hint="eastAsia" w:ascii="Times New Roman"/>
                      <w:color w:val="auto"/>
                      <w:sz w:val="21"/>
                      <w:szCs w:val="21"/>
                    </w:rPr>
                    <w:t>覆盖洒水降尘</w:t>
                  </w:r>
                </w:p>
              </w:tc>
              <w:tc>
                <w:tcPr>
                  <w:tcW w:w="356" w:type="pct"/>
                  <w:tcBorders>
                    <w:tl2br w:val="nil"/>
                    <w:tr2bl w:val="nil"/>
                  </w:tcBorders>
                  <w:vAlign w:val="center"/>
                </w:tcPr>
                <w:p w14:paraId="68DE4100">
                  <w:pPr>
                    <w:pStyle w:val="50"/>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435" w:type="pct"/>
                  <w:tcBorders>
                    <w:tl2br w:val="nil"/>
                    <w:tr2bl w:val="nil"/>
                  </w:tcBorders>
                  <w:vAlign w:val="center"/>
                </w:tcPr>
                <w:p w14:paraId="14C23092">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1.86</w:t>
                  </w:r>
                </w:p>
              </w:tc>
              <w:tc>
                <w:tcPr>
                  <w:tcW w:w="540" w:type="pct"/>
                  <w:tcBorders>
                    <w:tl2br w:val="nil"/>
                    <w:tr2bl w:val="nil"/>
                  </w:tcBorders>
                  <w:vAlign w:val="center"/>
                </w:tcPr>
                <w:p w14:paraId="4AC0DA56">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0.97</w:t>
                  </w:r>
                </w:p>
              </w:tc>
              <w:tc>
                <w:tcPr>
                  <w:tcW w:w="521" w:type="pct"/>
                  <w:tcBorders>
                    <w:tl2br w:val="nil"/>
                    <w:tr2bl w:val="nil"/>
                  </w:tcBorders>
                  <w:vAlign w:val="center"/>
                </w:tcPr>
                <w:p w14:paraId="31E27DFB">
                  <w:pPr>
                    <w:pStyle w:val="50"/>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w:t>
                  </w:r>
                </w:p>
              </w:tc>
              <w:tc>
                <w:tcPr>
                  <w:tcW w:w="562" w:type="pct"/>
                  <w:tcBorders>
                    <w:tl2br w:val="nil"/>
                    <w:tr2bl w:val="nil"/>
                  </w:tcBorders>
                  <w:vAlign w:val="center"/>
                </w:tcPr>
                <w:p w14:paraId="6E0CEF3C">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0.5</w:t>
                  </w:r>
                </w:p>
              </w:tc>
            </w:tr>
            <w:tr w14:paraId="4251D74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2" w:type="pct"/>
                  <w:tcBorders>
                    <w:tl2br w:val="nil"/>
                    <w:tr2bl w:val="nil"/>
                  </w:tcBorders>
                  <w:vAlign w:val="center"/>
                </w:tcPr>
                <w:p w14:paraId="17B39EAE">
                  <w:pPr>
                    <w:pStyle w:val="50"/>
                    <w:spacing w:before="24" w:after="24" w:line="240" w:lineRule="auto"/>
                    <w:jc w:val="center"/>
                    <w:rPr>
                      <w:rFonts w:ascii="Times New Roman"/>
                      <w:color w:val="auto"/>
                      <w:sz w:val="21"/>
                      <w:szCs w:val="21"/>
                    </w:rPr>
                  </w:pPr>
                  <w:r>
                    <w:rPr>
                      <w:rFonts w:ascii="Times New Roman"/>
                      <w:color w:val="auto"/>
                      <w:sz w:val="21"/>
                      <w:szCs w:val="21"/>
                    </w:rPr>
                    <w:t>运输车辆道路扬尘</w:t>
                  </w:r>
                </w:p>
              </w:tc>
              <w:tc>
                <w:tcPr>
                  <w:tcW w:w="297" w:type="pct"/>
                  <w:vMerge w:val="continue"/>
                  <w:tcBorders>
                    <w:tl2br w:val="nil"/>
                    <w:tr2bl w:val="nil"/>
                  </w:tcBorders>
                  <w:vAlign w:val="center"/>
                </w:tcPr>
                <w:p w14:paraId="4954E31B">
                  <w:pPr>
                    <w:pStyle w:val="50"/>
                    <w:spacing w:before="24" w:after="24" w:line="240" w:lineRule="auto"/>
                    <w:jc w:val="center"/>
                    <w:rPr>
                      <w:rFonts w:ascii="Times New Roman"/>
                      <w:color w:val="auto"/>
                      <w:sz w:val="21"/>
                      <w:szCs w:val="21"/>
                    </w:rPr>
                  </w:pPr>
                </w:p>
              </w:tc>
              <w:tc>
                <w:tcPr>
                  <w:tcW w:w="279" w:type="pct"/>
                  <w:tcBorders>
                    <w:tl2br w:val="nil"/>
                    <w:tr2bl w:val="nil"/>
                  </w:tcBorders>
                  <w:vAlign w:val="center"/>
                </w:tcPr>
                <w:p w14:paraId="1759B1A4">
                  <w:pPr>
                    <w:pStyle w:val="50"/>
                    <w:spacing w:before="24" w:after="24" w:line="240" w:lineRule="auto"/>
                    <w:jc w:val="center"/>
                    <w:rPr>
                      <w:rFonts w:ascii="Times New Roman"/>
                      <w:color w:val="auto"/>
                      <w:sz w:val="21"/>
                      <w:szCs w:val="21"/>
                    </w:rPr>
                  </w:pPr>
                  <w:r>
                    <w:rPr>
                      <w:rFonts w:hint="eastAsia" w:ascii="Times New Roman"/>
                      <w:color w:val="auto"/>
                      <w:sz w:val="21"/>
                      <w:szCs w:val="21"/>
                    </w:rPr>
                    <w:t>颗粒物</w:t>
                  </w:r>
                </w:p>
              </w:tc>
              <w:tc>
                <w:tcPr>
                  <w:tcW w:w="409" w:type="pct"/>
                  <w:tcBorders>
                    <w:tl2br w:val="nil"/>
                    <w:tr2bl w:val="nil"/>
                  </w:tcBorders>
                  <w:vAlign w:val="center"/>
                </w:tcPr>
                <w:p w14:paraId="0FEA9A50">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rPr>
                    <w:t>1.</w:t>
                  </w:r>
                  <w:r>
                    <w:rPr>
                      <w:rFonts w:hint="eastAsia" w:ascii="Times New Roman"/>
                      <w:color w:val="auto"/>
                      <w:sz w:val="21"/>
                      <w:szCs w:val="21"/>
                      <w:lang w:val="en-US" w:eastAsia="zh-CN"/>
                    </w:rPr>
                    <w:t>373</w:t>
                  </w:r>
                </w:p>
              </w:tc>
              <w:tc>
                <w:tcPr>
                  <w:tcW w:w="469" w:type="pct"/>
                  <w:tcBorders>
                    <w:tl2br w:val="nil"/>
                    <w:tr2bl w:val="nil"/>
                  </w:tcBorders>
                  <w:vAlign w:val="center"/>
                </w:tcPr>
                <w:p w14:paraId="60C08B68">
                  <w:pPr>
                    <w:jc w:val="center"/>
                    <w:rPr>
                      <w:rFonts w:hint="default" w:eastAsia="宋体"/>
                      <w:color w:val="auto"/>
                      <w:sz w:val="21"/>
                      <w:szCs w:val="21"/>
                      <w:lang w:val="en-US" w:eastAsia="zh-CN"/>
                    </w:rPr>
                  </w:pPr>
                  <w:r>
                    <w:rPr>
                      <w:rFonts w:hint="eastAsia"/>
                      <w:color w:val="auto"/>
                      <w:sz w:val="21"/>
                      <w:szCs w:val="21"/>
                      <w:lang w:val="en-US" w:eastAsia="zh-CN"/>
                    </w:rPr>
                    <w:t>0.72</w:t>
                  </w:r>
                </w:p>
              </w:tc>
              <w:tc>
                <w:tcPr>
                  <w:tcW w:w="735" w:type="pct"/>
                  <w:tcBorders>
                    <w:tl2br w:val="nil"/>
                    <w:tr2bl w:val="nil"/>
                  </w:tcBorders>
                  <w:vAlign w:val="center"/>
                </w:tcPr>
                <w:p w14:paraId="6823825F">
                  <w:pPr>
                    <w:pStyle w:val="50"/>
                    <w:spacing w:before="24" w:after="24" w:line="240" w:lineRule="auto"/>
                    <w:jc w:val="center"/>
                    <w:rPr>
                      <w:rFonts w:ascii="Times New Roman"/>
                      <w:color w:val="auto"/>
                      <w:sz w:val="21"/>
                      <w:szCs w:val="21"/>
                    </w:rPr>
                  </w:pPr>
                  <w:r>
                    <w:rPr>
                      <w:rFonts w:hint="eastAsia" w:ascii="Times New Roman"/>
                      <w:color w:val="auto"/>
                      <w:sz w:val="21"/>
                      <w:szCs w:val="21"/>
                    </w:rPr>
                    <w:t>封闭运输+车辆、道路清洗+洒水降尘</w:t>
                  </w:r>
                </w:p>
              </w:tc>
              <w:tc>
                <w:tcPr>
                  <w:tcW w:w="356" w:type="pct"/>
                  <w:tcBorders>
                    <w:tl2br w:val="nil"/>
                    <w:tr2bl w:val="nil"/>
                  </w:tcBorders>
                  <w:vAlign w:val="center"/>
                </w:tcPr>
                <w:p w14:paraId="5C8C2F4A">
                  <w:pPr>
                    <w:pStyle w:val="50"/>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435" w:type="pct"/>
                  <w:tcBorders>
                    <w:tl2br w:val="nil"/>
                    <w:tr2bl w:val="nil"/>
                  </w:tcBorders>
                  <w:vAlign w:val="center"/>
                </w:tcPr>
                <w:p w14:paraId="732389F0">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0.412</w:t>
                  </w:r>
                </w:p>
              </w:tc>
              <w:tc>
                <w:tcPr>
                  <w:tcW w:w="540" w:type="pct"/>
                  <w:tcBorders>
                    <w:tl2br w:val="nil"/>
                    <w:tr2bl w:val="nil"/>
                  </w:tcBorders>
                  <w:vAlign w:val="center"/>
                </w:tcPr>
                <w:p w14:paraId="202CD864">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0.21</w:t>
                  </w:r>
                </w:p>
              </w:tc>
              <w:tc>
                <w:tcPr>
                  <w:tcW w:w="521" w:type="pct"/>
                  <w:tcBorders>
                    <w:tl2br w:val="nil"/>
                    <w:tr2bl w:val="nil"/>
                  </w:tcBorders>
                  <w:vAlign w:val="center"/>
                </w:tcPr>
                <w:p w14:paraId="0362E659">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w:t>
                  </w:r>
                </w:p>
              </w:tc>
              <w:tc>
                <w:tcPr>
                  <w:tcW w:w="562" w:type="pct"/>
                  <w:tcBorders>
                    <w:tl2br w:val="nil"/>
                    <w:tr2bl w:val="nil"/>
                  </w:tcBorders>
                  <w:vAlign w:val="center"/>
                </w:tcPr>
                <w:p w14:paraId="6AAB970B">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0.5</w:t>
                  </w:r>
                </w:p>
              </w:tc>
            </w:tr>
            <w:tr w14:paraId="31A2F01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2" w:type="pct"/>
                  <w:tcBorders>
                    <w:tl2br w:val="nil"/>
                    <w:tr2bl w:val="nil"/>
                  </w:tcBorders>
                  <w:vAlign w:val="center"/>
                </w:tcPr>
                <w:p w14:paraId="5408656E">
                  <w:pPr>
                    <w:pStyle w:val="50"/>
                    <w:spacing w:before="24" w:after="24" w:line="240" w:lineRule="auto"/>
                    <w:jc w:val="center"/>
                    <w:rPr>
                      <w:rFonts w:ascii="Times New Roman"/>
                      <w:color w:val="auto"/>
                      <w:sz w:val="21"/>
                      <w:szCs w:val="21"/>
                    </w:rPr>
                  </w:pPr>
                  <w:r>
                    <w:rPr>
                      <w:rFonts w:hint="eastAsia" w:ascii="Times New Roman"/>
                      <w:color w:val="auto"/>
                      <w:sz w:val="21"/>
                      <w:szCs w:val="21"/>
                    </w:rPr>
                    <w:t>食堂油烟</w:t>
                  </w:r>
                </w:p>
              </w:tc>
              <w:tc>
                <w:tcPr>
                  <w:tcW w:w="297" w:type="pct"/>
                  <w:vMerge w:val="restart"/>
                  <w:tcBorders>
                    <w:tl2br w:val="nil"/>
                    <w:tr2bl w:val="nil"/>
                  </w:tcBorders>
                  <w:vAlign w:val="center"/>
                </w:tcPr>
                <w:p w14:paraId="1F3703D2">
                  <w:pPr>
                    <w:pStyle w:val="50"/>
                    <w:spacing w:before="24" w:after="24" w:line="240" w:lineRule="auto"/>
                    <w:jc w:val="center"/>
                    <w:rPr>
                      <w:rFonts w:ascii="Times New Roman"/>
                      <w:color w:val="auto"/>
                      <w:sz w:val="21"/>
                      <w:szCs w:val="21"/>
                    </w:rPr>
                  </w:pPr>
                  <w:r>
                    <w:rPr>
                      <w:rFonts w:hint="eastAsia" w:ascii="Times New Roman"/>
                      <w:color w:val="auto"/>
                      <w:sz w:val="21"/>
                      <w:szCs w:val="21"/>
                    </w:rPr>
                    <w:t>有组织</w:t>
                  </w:r>
                </w:p>
              </w:tc>
              <w:tc>
                <w:tcPr>
                  <w:tcW w:w="279" w:type="pct"/>
                  <w:tcBorders>
                    <w:tl2br w:val="nil"/>
                    <w:tr2bl w:val="nil"/>
                  </w:tcBorders>
                  <w:vAlign w:val="center"/>
                </w:tcPr>
                <w:p w14:paraId="16D3B1B2">
                  <w:pPr>
                    <w:pStyle w:val="50"/>
                    <w:spacing w:before="24" w:after="24" w:line="240" w:lineRule="auto"/>
                    <w:jc w:val="center"/>
                    <w:rPr>
                      <w:rFonts w:ascii="Times New Roman"/>
                      <w:color w:val="auto"/>
                      <w:sz w:val="21"/>
                      <w:szCs w:val="21"/>
                    </w:rPr>
                  </w:pPr>
                  <w:r>
                    <w:rPr>
                      <w:rFonts w:hint="eastAsia" w:ascii="Times New Roman"/>
                      <w:color w:val="auto"/>
                      <w:sz w:val="21"/>
                      <w:szCs w:val="21"/>
                    </w:rPr>
                    <w:t>油烟</w:t>
                  </w:r>
                </w:p>
              </w:tc>
              <w:tc>
                <w:tcPr>
                  <w:tcW w:w="409" w:type="pct"/>
                  <w:tcBorders>
                    <w:tl2br w:val="nil"/>
                    <w:tr2bl w:val="nil"/>
                  </w:tcBorders>
                  <w:vAlign w:val="center"/>
                </w:tcPr>
                <w:p w14:paraId="21C12874">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0.324</w:t>
                  </w:r>
                </w:p>
              </w:tc>
              <w:tc>
                <w:tcPr>
                  <w:tcW w:w="469" w:type="pct"/>
                  <w:tcBorders>
                    <w:tl2br w:val="nil"/>
                    <w:tr2bl w:val="nil"/>
                  </w:tcBorders>
                  <w:vAlign w:val="center"/>
                </w:tcPr>
                <w:p w14:paraId="1CB71132">
                  <w:pPr>
                    <w:jc w:val="center"/>
                    <w:rPr>
                      <w:rFonts w:hint="default" w:eastAsia="宋体"/>
                      <w:color w:val="auto"/>
                      <w:sz w:val="21"/>
                      <w:szCs w:val="21"/>
                      <w:lang w:val="en-US" w:eastAsia="zh-CN"/>
                    </w:rPr>
                  </w:pPr>
                  <w:r>
                    <w:rPr>
                      <w:rFonts w:hint="eastAsia"/>
                      <w:color w:val="auto"/>
                      <w:sz w:val="21"/>
                      <w:szCs w:val="21"/>
                      <w:lang w:val="en-US" w:eastAsia="zh-CN"/>
                    </w:rPr>
                    <w:t>0.27</w:t>
                  </w:r>
                </w:p>
              </w:tc>
              <w:tc>
                <w:tcPr>
                  <w:tcW w:w="735" w:type="pct"/>
                  <w:tcBorders>
                    <w:tl2br w:val="nil"/>
                    <w:tr2bl w:val="nil"/>
                  </w:tcBorders>
                  <w:vAlign w:val="center"/>
                </w:tcPr>
                <w:p w14:paraId="075B5C3F">
                  <w:pPr>
                    <w:pStyle w:val="50"/>
                    <w:spacing w:before="24" w:after="24" w:line="240" w:lineRule="auto"/>
                    <w:jc w:val="center"/>
                    <w:rPr>
                      <w:rFonts w:ascii="Times New Roman"/>
                      <w:color w:val="auto"/>
                      <w:sz w:val="21"/>
                      <w:szCs w:val="21"/>
                    </w:rPr>
                  </w:pPr>
                  <w:r>
                    <w:rPr>
                      <w:rFonts w:hint="eastAsia" w:ascii="Times New Roman"/>
                      <w:color w:val="auto"/>
                      <w:sz w:val="21"/>
                      <w:szCs w:val="21"/>
                    </w:rPr>
                    <w:t>油烟净化器+专用烟道</w:t>
                  </w:r>
                </w:p>
              </w:tc>
              <w:tc>
                <w:tcPr>
                  <w:tcW w:w="356" w:type="pct"/>
                  <w:tcBorders>
                    <w:tl2br w:val="nil"/>
                    <w:tr2bl w:val="nil"/>
                  </w:tcBorders>
                  <w:vAlign w:val="center"/>
                </w:tcPr>
                <w:p w14:paraId="3ED8E1B5">
                  <w:pPr>
                    <w:pStyle w:val="50"/>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435" w:type="pct"/>
                  <w:tcBorders>
                    <w:tl2br w:val="nil"/>
                    <w:tr2bl w:val="nil"/>
                  </w:tcBorders>
                  <w:vAlign w:val="center"/>
                </w:tcPr>
                <w:p w14:paraId="2CA3D29E">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0.002</w:t>
                  </w:r>
                </w:p>
              </w:tc>
              <w:tc>
                <w:tcPr>
                  <w:tcW w:w="540" w:type="pct"/>
                  <w:tcBorders>
                    <w:tl2br w:val="nil"/>
                    <w:tr2bl w:val="nil"/>
                  </w:tcBorders>
                  <w:vAlign w:val="center"/>
                </w:tcPr>
                <w:p w14:paraId="070EB09E">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0.002</w:t>
                  </w:r>
                </w:p>
              </w:tc>
              <w:tc>
                <w:tcPr>
                  <w:tcW w:w="521" w:type="pct"/>
                  <w:tcBorders>
                    <w:tl2br w:val="nil"/>
                    <w:tr2bl w:val="nil"/>
                  </w:tcBorders>
                  <w:vAlign w:val="center"/>
                </w:tcPr>
                <w:p w14:paraId="3F0A3861">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1</w:t>
                  </w:r>
                </w:p>
              </w:tc>
              <w:tc>
                <w:tcPr>
                  <w:tcW w:w="562" w:type="pct"/>
                  <w:tcBorders>
                    <w:tl2br w:val="nil"/>
                    <w:tr2bl w:val="nil"/>
                  </w:tcBorders>
                  <w:vAlign w:val="center"/>
                </w:tcPr>
                <w:p w14:paraId="4A212770">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2.0</w:t>
                  </w:r>
                </w:p>
              </w:tc>
            </w:tr>
            <w:tr w14:paraId="272EFEC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2" w:type="pct"/>
                  <w:tcBorders>
                    <w:tl2br w:val="nil"/>
                    <w:tr2bl w:val="nil"/>
                  </w:tcBorders>
                  <w:vAlign w:val="center"/>
                </w:tcPr>
                <w:p w14:paraId="443F5A99">
                  <w:pPr>
                    <w:pStyle w:val="50"/>
                    <w:spacing w:before="24" w:after="24" w:line="240" w:lineRule="auto"/>
                    <w:jc w:val="center"/>
                    <w:rPr>
                      <w:rFonts w:ascii="Times New Roman"/>
                      <w:color w:val="auto"/>
                      <w:sz w:val="21"/>
                      <w:szCs w:val="21"/>
                    </w:rPr>
                  </w:pPr>
                  <w:r>
                    <w:rPr>
                      <w:rFonts w:hint="eastAsia" w:ascii="Times New Roman"/>
                      <w:color w:val="auto"/>
                      <w:sz w:val="21"/>
                      <w:szCs w:val="21"/>
                    </w:rPr>
                    <w:t>搅拌粉尘</w:t>
                  </w:r>
                </w:p>
              </w:tc>
              <w:tc>
                <w:tcPr>
                  <w:tcW w:w="297" w:type="pct"/>
                  <w:vMerge w:val="continue"/>
                  <w:tcBorders>
                    <w:tl2br w:val="nil"/>
                    <w:tr2bl w:val="nil"/>
                  </w:tcBorders>
                  <w:vAlign w:val="center"/>
                </w:tcPr>
                <w:p w14:paraId="78EC3D51">
                  <w:pPr>
                    <w:pStyle w:val="50"/>
                    <w:spacing w:before="24" w:after="24" w:line="240" w:lineRule="auto"/>
                    <w:jc w:val="center"/>
                    <w:rPr>
                      <w:rFonts w:ascii="Times New Roman"/>
                      <w:color w:val="auto"/>
                      <w:sz w:val="21"/>
                      <w:szCs w:val="21"/>
                    </w:rPr>
                  </w:pPr>
                </w:p>
              </w:tc>
              <w:tc>
                <w:tcPr>
                  <w:tcW w:w="279" w:type="pct"/>
                  <w:tcBorders>
                    <w:tl2br w:val="nil"/>
                    <w:tr2bl w:val="nil"/>
                  </w:tcBorders>
                  <w:vAlign w:val="center"/>
                </w:tcPr>
                <w:p w14:paraId="5A2CA86E">
                  <w:pPr>
                    <w:pStyle w:val="50"/>
                    <w:spacing w:before="24" w:after="24" w:line="240" w:lineRule="auto"/>
                    <w:jc w:val="center"/>
                    <w:rPr>
                      <w:rFonts w:ascii="Times New Roman"/>
                      <w:color w:val="auto"/>
                      <w:sz w:val="21"/>
                      <w:szCs w:val="21"/>
                    </w:rPr>
                  </w:pPr>
                  <w:r>
                    <w:rPr>
                      <w:rFonts w:hint="eastAsia" w:ascii="Times New Roman"/>
                      <w:color w:val="auto"/>
                      <w:sz w:val="21"/>
                      <w:szCs w:val="21"/>
                    </w:rPr>
                    <w:t>颗粒物</w:t>
                  </w:r>
                </w:p>
              </w:tc>
              <w:tc>
                <w:tcPr>
                  <w:tcW w:w="409" w:type="pct"/>
                  <w:tcBorders>
                    <w:tl2br w:val="nil"/>
                    <w:tr2bl w:val="nil"/>
                  </w:tcBorders>
                  <w:vAlign w:val="center"/>
                </w:tcPr>
                <w:p w14:paraId="2A87E413">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62.4</w:t>
                  </w:r>
                </w:p>
              </w:tc>
              <w:tc>
                <w:tcPr>
                  <w:tcW w:w="469" w:type="pct"/>
                  <w:tcBorders>
                    <w:tl2br w:val="nil"/>
                    <w:tr2bl w:val="nil"/>
                  </w:tcBorders>
                  <w:vAlign w:val="center"/>
                </w:tcPr>
                <w:p w14:paraId="6BE0936A">
                  <w:pPr>
                    <w:jc w:val="center"/>
                    <w:rPr>
                      <w:rFonts w:hint="default" w:eastAsia="宋体"/>
                      <w:color w:val="auto"/>
                      <w:sz w:val="21"/>
                      <w:szCs w:val="21"/>
                      <w:lang w:val="en-US" w:eastAsia="zh-CN"/>
                    </w:rPr>
                  </w:pPr>
                  <w:r>
                    <w:rPr>
                      <w:rFonts w:hint="eastAsia"/>
                      <w:color w:val="auto"/>
                      <w:sz w:val="21"/>
                      <w:szCs w:val="21"/>
                      <w:lang w:val="en-US" w:eastAsia="zh-CN"/>
                    </w:rPr>
                    <w:t>32.5</w:t>
                  </w:r>
                </w:p>
              </w:tc>
              <w:tc>
                <w:tcPr>
                  <w:tcW w:w="735" w:type="pct"/>
                  <w:tcBorders>
                    <w:tl2br w:val="nil"/>
                    <w:tr2bl w:val="nil"/>
                  </w:tcBorders>
                  <w:vAlign w:val="center"/>
                </w:tcPr>
                <w:p w14:paraId="50D4E3A3">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rPr>
                    <w:t>脉冲布袋除尘器</w:t>
                  </w:r>
                  <w:r>
                    <w:rPr>
                      <w:rFonts w:hint="eastAsia" w:ascii="Times New Roman"/>
                      <w:color w:val="auto"/>
                      <w:sz w:val="21"/>
                      <w:szCs w:val="21"/>
                      <w:lang w:val="en-US" w:eastAsia="zh-CN"/>
                    </w:rPr>
                    <w:t>+15m高排气筒（DA001）</w:t>
                  </w:r>
                </w:p>
              </w:tc>
              <w:tc>
                <w:tcPr>
                  <w:tcW w:w="356" w:type="pct"/>
                  <w:tcBorders>
                    <w:tl2br w:val="nil"/>
                    <w:tr2bl w:val="nil"/>
                  </w:tcBorders>
                  <w:vAlign w:val="center"/>
                </w:tcPr>
                <w:p w14:paraId="21D79B51">
                  <w:pPr>
                    <w:pStyle w:val="50"/>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435" w:type="pct"/>
                  <w:tcBorders>
                    <w:tl2br w:val="nil"/>
                    <w:tr2bl w:val="nil"/>
                  </w:tcBorders>
                  <w:vAlign w:val="center"/>
                </w:tcPr>
                <w:p w14:paraId="3AC18522">
                  <w:pPr>
                    <w:pStyle w:val="50"/>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eastAsia="zh-CN"/>
                    </w:rPr>
                    <w:t>0.18</w:t>
                  </w:r>
                  <w:r>
                    <w:rPr>
                      <w:rFonts w:hint="eastAsia" w:ascii="Times New Roman"/>
                      <w:color w:val="auto"/>
                      <w:sz w:val="21"/>
                      <w:szCs w:val="21"/>
                      <w:lang w:val="en-US" w:eastAsia="zh-CN"/>
                    </w:rPr>
                    <w:t>5</w:t>
                  </w:r>
                </w:p>
              </w:tc>
              <w:tc>
                <w:tcPr>
                  <w:tcW w:w="540" w:type="pct"/>
                  <w:tcBorders>
                    <w:tl2br w:val="nil"/>
                    <w:tr2bl w:val="nil"/>
                  </w:tcBorders>
                  <w:vAlign w:val="center"/>
                </w:tcPr>
                <w:p w14:paraId="634BD8AC">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0.096</w:t>
                  </w:r>
                </w:p>
              </w:tc>
              <w:tc>
                <w:tcPr>
                  <w:tcW w:w="521" w:type="pct"/>
                  <w:tcBorders>
                    <w:tl2br w:val="nil"/>
                    <w:tr2bl w:val="nil"/>
                  </w:tcBorders>
                  <w:vAlign w:val="center"/>
                </w:tcPr>
                <w:p w14:paraId="1D42D40D">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9.6</w:t>
                  </w:r>
                </w:p>
              </w:tc>
              <w:tc>
                <w:tcPr>
                  <w:tcW w:w="562" w:type="pct"/>
                  <w:tcBorders>
                    <w:tl2br w:val="nil"/>
                    <w:tr2bl w:val="nil"/>
                  </w:tcBorders>
                  <w:vAlign w:val="center"/>
                </w:tcPr>
                <w:p w14:paraId="36E51AA1">
                  <w:pPr>
                    <w:pStyle w:val="5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20</w:t>
                  </w:r>
                </w:p>
              </w:tc>
            </w:tr>
          </w:tbl>
          <w:p w14:paraId="080EEB4C">
            <w:pPr>
              <w:widowControl/>
              <w:spacing w:line="360" w:lineRule="auto"/>
              <w:jc w:val="left"/>
              <w:rPr>
                <w:rFonts w:hint="default"/>
                <w:b/>
                <w:bCs/>
                <w:color w:val="auto"/>
                <w:sz w:val="24"/>
                <w:lang w:val="en-US" w:eastAsia="zh-CN"/>
              </w:rPr>
            </w:pPr>
            <w:r>
              <w:rPr>
                <w:rFonts w:hint="eastAsia"/>
                <w:b/>
                <w:bCs/>
                <w:color w:val="auto"/>
                <w:sz w:val="24"/>
                <w:lang w:val="en-US" w:eastAsia="zh-CN"/>
              </w:rPr>
              <w:t>1.2 非正常工况分析</w:t>
            </w:r>
          </w:p>
          <w:p w14:paraId="45614B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sz w:val="24"/>
                <w:lang w:eastAsia="zh-CN"/>
              </w:rPr>
            </w:pPr>
            <w:r>
              <w:rPr>
                <w:rFonts w:hint="eastAsia"/>
                <w:color w:val="auto"/>
                <w:lang w:val="en-US" w:eastAsia="zh-CN"/>
              </w:rPr>
              <w:t>根据《</w:t>
            </w:r>
            <w:r>
              <w:rPr>
                <w:rFonts w:hint="eastAsia"/>
                <w:color w:val="auto"/>
                <w:sz w:val="24"/>
                <w:szCs w:val="32"/>
                <w:lang w:val="en-US" w:eastAsia="zh-CN"/>
              </w:rPr>
              <w:t>环境影响评价技术导则 大气环境》（HJ2.2-2018），非正常排放包括设备检修、污染物排放控制措施达不到应有效率和工艺设备运转异常等。</w:t>
            </w:r>
            <w:r>
              <w:rPr>
                <w:rFonts w:hint="eastAsia"/>
                <w:color w:val="auto"/>
                <w:sz w:val="24"/>
                <w:szCs w:val="24"/>
                <w:lang w:val="en-US" w:eastAsia="zh-CN"/>
              </w:rPr>
              <w:t>本项目非正常工况主要为</w:t>
            </w:r>
            <w:r>
              <w:rPr>
                <w:rFonts w:hint="eastAsia"/>
                <w:color w:val="auto"/>
                <w:sz w:val="24"/>
                <w:szCs w:val="32"/>
                <w:lang w:val="en-US" w:eastAsia="zh-CN"/>
              </w:rPr>
              <w:t>袋式除尘装置破损</w:t>
            </w:r>
            <w:r>
              <w:rPr>
                <w:rFonts w:hint="default" w:ascii="Times New Roman" w:hAnsi="Times New Roman" w:cs="Times New Roman"/>
                <w:sz w:val="24"/>
              </w:rPr>
              <w:t>导致</w:t>
            </w:r>
            <w:r>
              <w:rPr>
                <w:rFonts w:hint="default" w:ascii="Times New Roman" w:hAnsi="Times New Roman" w:cs="Times New Roman"/>
                <w:sz w:val="24"/>
                <w:lang w:val="en-US" w:eastAsia="zh-CN"/>
              </w:rPr>
              <w:t>颗粒物</w:t>
            </w:r>
            <w:r>
              <w:rPr>
                <w:rFonts w:hint="default" w:ascii="Times New Roman" w:hAnsi="Times New Roman" w:cs="Times New Roman"/>
                <w:sz w:val="24"/>
              </w:rPr>
              <w:t>排放量增加</w:t>
            </w:r>
            <w:r>
              <w:rPr>
                <w:rFonts w:hint="eastAsia" w:cs="Times New Roman"/>
                <w:sz w:val="24"/>
                <w:lang w:eastAsia="zh-CN"/>
              </w:rPr>
              <w:t>，</w:t>
            </w:r>
            <w:r>
              <w:rPr>
                <w:rFonts w:hint="eastAsia" w:ascii="宋体" w:hAnsi="宋体" w:cs="宋体"/>
                <w:caps w:val="0"/>
                <w:color w:val="auto"/>
                <w:sz w:val="24"/>
                <w:szCs w:val="24"/>
                <w:lang w:val="en-US" w:eastAsia="zh-CN"/>
              </w:rPr>
              <w:t>脉冲布袋除尘故障时的除尘效率为0。</w:t>
            </w:r>
          </w:p>
          <w:p w14:paraId="7E5243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本项目非正常工况下污染物的排放持续时间为1h，除尘设备故障时，粉尘的产生量即为排放量，因此，搅拌粉尘的排放量为32.5kg，筒仓粉尘的排放量为30kg。具体见下表4-4。</w:t>
            </w:r>
          </w:p>
          <w:p w14:paraId="2B1BA6DF">
            <w:pPr>
              <w:bidi w:val="0"/>
              <w:spacing w:line="240" w:lineRule="auto"/>
              <w:jc w:val="center"/>
              <w:rPr>
                <w:rFonts w:hint="default"/>
                <w:color w:val="auto"/>
                <w:lang w:val="en-US" w:eastAsia="zh-CN"/>
              </w:rPr>
            </w:pPr>
            <w:r>
              <w:rPr>
                <w:rFonts w:hint="eastAsia"/>
                <w:b/>
                <w:bCs/>
                <w:color w:val="auto"/>
                <w:sz w:val="21"/>
                <w:szCs w:val="21"/>
                <w:lang w:val="en-US" w:eastAsia="zh-CN"/>
              </w:rPr>
              <w:t xml:space="preserve">表4-4    </w:t>
            </w:r>
            <w:r>
              <w:rPr>
                <w:rFonts w:hint="default" w:ascii="Times New Roman" w:hAnsi="Times New Roman" w:eastAsia="宋体" w:cs="Times New Roman"/>
                <w:b/>
                <w:bCs/>
                <w:color w:val="auto"/>
                <w:kern w:val="2"/>
                <w:sz w:val="21"/>
                <w:szCs w:val="21"/>
                <w:lang w:val="en-US" w:eastAsia="zh-CN" w:bidi="ar-SA"/>
              </w:rPr>
              <w:t>非正常工况</w:t>
            </w:r>
            <w:r>
              <w:rPr>
                <w:rFonts w:hint="eastAsia" w:ascii="Times New Roman" w:cs="Times New Roman"/>
                <w:b/>
                <w:bCs/>
                <w:color w:val="auto"/>
                <w:kern w:val="2"/>
                <w:sz w:val="21"/>
                <w:szCs w:val="21"/>
                <w:lang w:val="en-US" w:eastAsia="zh-CN" w:bidi="ar-SA"/>
              </w:rPr>
              <w:t>废气</w:t>
            </w:r>
            <w:r>
              <w:rPr>
                <w:rFonts w:hint="default" w:ascii="Times New Roman" w:hAnsi="Times New Roman" w:eastAsia="宋体" w:cs="Times New Roman"/>
                <w:b/>
                <w:bCs/>
                <w:color w:val="auto"/>
                <w:kern w:val="2"/>
                <w:sz w:val="21"/>
                <w:szCs w:val="21"/>
                <w:lang w:val="en-US" w:eastAsia="zh-CN" w:bidi="ar-SA"/>
              </w:rPr>
              <w:t>污染物产生及排放情况</w:t>
            </w:r>
          </w:p>
          <w:tbl>
            <w:tblPr>
              <w:tblStyle w:val="27"/>
              <w:tblpPr w:leftFromText="180" w:rightFromText="180" w:vertAnchor="text" w:horzAnchor="page" w:tblpXSpec="center" w:tblpY="253"/>
              <w:tblOverlap w:val="never"/>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77"/>
              <w:gridCol w:w="1061"/>
              <w:gridCol w:w="903"/>
              <w:gridCol w:w="1167"/>
              <w:gridCol w:w="809"/>
              <w:gridCol w:w="1533"/>
              <w:gridCol w:w="1666"/>
            </w:tblGrid>
            <w:tr w14:paraId="4BDF484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08" w:type="pct"/>
                  <w:tcBorders>
                    <w:tl2br w:val="nil"/>
                    <w:tr2bl w:val="nil"/>
                  </w:tcBorders>
                  <w:noWrap w:val="0"/>
                  <w:vAlign w:val="center"/>
                </w:tcPr>
                <w:p w14:paraId="2C7361C5">
                  <w:pPr>
                    <w:bidi w:val="0"/>
                    <w:spacing w:line="240" w:lineRule="auto"/>
                    <w:jc w:val="center"/>
                    <w:rPr>
                      <w:rFonts w:hint="default"/>
                    </w:rPr>
                  </w:pPr>
                  <w:r>
                    <w:rPr>
                      <w:rFonts w:hint="default"/>
                    </w:rPr>
                    <w:t>排放源</w:t>
                  </w:r>
                </w:p>
              </w:tc>
              <w:tc>
                <w:tcPr>
                  <w:tcW w:w="623" w:type="pct"/>
                  <w:tcBorders>
                    <w:tl2br w:val="nil"/>
                    <w:tr2bl w:val="nil"/>
                  </w:tcBorders>
                  <w:noWrap w:val="0"/>
                  <w:vAlign w:val="center"/>
                </w:tcPr>
                <w:p w14:paraId="6E8D7056">
                  <w:pPr>
                    <w:bidi w:val="0"/>
                    <w:spacing w:line="240" w:lineRule="auto"/>
                    <w:jc w:val="center"/>
                    <w:rPr>
                      <w:rFonts w:hint="default"/>
                    </w:rPr>
                  </w:pPr>
                  <w:r>
                    <w:rPr>
                      <w:rFonts w:hint="default"/>
                    </w:rPr>
                    <w:t>污染物</w:t>
                  </w:r>
                </w:p>
              </w:tc>
              <w:tc>
                <w:tcPr>
                  <w:tcW w:w="530" w:type="pct"/>
                  <w:tcBorders>
                    <w:tl2br w:val="nil"/>
                    <w:tr2bl w:val="nil"/>
                  </w:tcBorders>
                  <w:noWrap w:val="0"/>
                  <w:vAlign w:val="center"/>
                </w:tcPr>
                <w:p w14:paraId="3FB5CF85">
                  <w:pPr>
                    <w:bidi w:val="0"/>
                    <w:spacing w:line="240" w:lineRule="auto"/>
                    <w:jc w:val="center"/>
                    <w:rPr>
                      <w:rFonts w:hint="default"/>
                    </w:rPr>
                  </w:pPr>
                  <w:r>
                    <w:rPr>
                      <w:rFonts w:hint="default"/>
                    </w:rPr>
                    <w:t>排放量kg</w:t>
                  </w:r>
                </w:p>
              </w:tc>
              <w:tc>
                <w:tcPr>
                  <w:tcW w:w="685" w:type="pct"/>
                  <w:tcBorders>
                    <w:tl2br w:val="nil"/>
                    <w:tr2bl w:val="nil"/>
                  </w:tcBorders>
                  <w:noWrap w:val="0"/>
                  <w:vAlign w:val="center"/>
                </w:tcPr>
                <w:p w14:paraId="5D8BAC8D">
                  <w:pPr>
                    <w:bidi w:val="0"/>
                    <w:spacing w:line="240" w:lineRule="auto"/>
                    <w:jc w:val="center"/>
                    <w:rPr>
                      <w:rFonts w:hint="default"/>
                    </w:rPr>
                  </w:pPr>
                  <w:r>
                    <w:rPr>
                      <w:rFonts w:hint="default"/>
                    </w:rPr>
                    <w:t>排放浓度mg/m³</w:t>
                  </w:r>
                </w:p>
              </w:tc>
              <w:tc>
                <w:tcPr>
                  <w:tcW w:w="475" w:type="pct"/>
                  <w:tcBorders>
                    <w:tl2br w:val="nil"/>
                    <w:tr2bl w:val="nil"/>
                  </w:tcBorders>
                  <w:noWrap w:val="0"/>
                  <w:vAlign w:val="center"/>
                </w:tcPr>
                <w:p w14:paraId="14C3B941">
                  <w:pPr>
                    <w:bidi w:val="0"/>
                    <w:spacing w:line="240" w:lineRule="auto"/>
                    <w:jc w:val="center"/>
                    <w:rPr>
                      <w:rFonts w:hint="default"/>
                    </w:rPr>
                  </w:pPr>
                  <w:r>
                    <w:rPr>
                      <w:rFonts w:hint="default"/>
                    </w:rPr>
                    <w:t>持续</w:t>
                  </w:r>
                </w:p>
                <w:p w14:paraId="2DF6C0C1">
                  <w:pPr>
                    <w:bidi w:val="0"/>
                    <w:spacing w:line="240" w:lineRule="auto"/>
                    <w:jc w:val="center"/>
                    <w:rPr>
                      <w:rFonts w:hint="default"/>
                    </w:rPr>
                  </w:pPr>
                  <w:r>
                    <w:rPr>
                      <w:rFonts w:hint="default"/>
                    </w:rPr>
                    <w:t>时间</w:t>
                  </w:r>
                </w:p>
              </w:tc>
              <w:tc>
                <w:tcPr>
                  <w:tcW w:w="900" w:type="pct"/>
                  <w:tcBorders>
                    <w:tl2br w:val="nil"/>
                    <w:tr2bl w:val="nil"/>
                  </w:tcBorders>
                  <w:noWrap w:val="0"/>
                  <w:vAlign w:val="center"/>
                </w:tcPr>
                <w:p w14:paraId="77948DDD">
                  <w:pPr>
                    <w:bidi w:val="0"/>
                    <w:spacing w:line="240" w:lineRule="auto"/>
                    <w:jc w:val="center"/>
                    <w:rPr>
                      <w:rFonts w:hint="default"/>
                    </w:rPr>
                  </w:pPr>
                  <w:r>
                    <w:rPr>
                      <w:rFonts w:hint="default"/>
                    </w:rPr>
                    <w:t>非正常工况</w:t>
                  </w:r>
                </w:p>
              </w:tc>
              <w:tc>
                <w:tcPr>
                  <w:tcW w:w="977" w:type="pct"/>
                  <w:tcBorders>
                    <w:tl2br w:val="nil"/>
                    <w:tr2bl w:val="nil"/>
                  </w:tcBorders>
                  <w:noWrap w:val="0"/>
                  <w:vAlign w:val="center"/>
                </w:tcPr>
                <w:p w14:paraId="5C34CEF4">
                  <w:pPr>
                    <w:bidi w:val="0"/>
                    <w:spacing w:line="240" w:lineRule="auto"/>
                    <w:jc w:val="center"/>
                    <w:rPr>
                      <w:rFonts w:hint="default"/>
                    </w:rPr>
                  </w:pPr>
                  <w:r>
                    <w:rPr>
                      <w:rFonts w:hint="default"/>
                    </w:rPr>
                    <w:t>应对措施</w:t>
                  </w:r>
                </w:p>
              </w:tc>
            </w:tr>
            <w:tr w14:paraId="5F2B4BF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808" w:type="pct"/>
                  <w:tcBorders>
                    <w:tl2br w:val="nil"/>
                    <w:tr2bl w:val="nil"/>
                  </w:tcBorders>
                  <w:noWrap w:val="0"/>
                  <w:vAlign w:val="center"/>
                </w:tcPr>
                <w:p w14:paraId="28CA1720">
                  <w:pPr>
                    <w:bidi w:val="0"/>
                    <w:spacing w:line="240" w:lineRule="auto"/>
                    <w:jc w:val="center"/>
                    <w:rPr>
                      <w:rFonts w:hint="default"/>
                      <w:lang w:val="en-US" w:eastAsia="zh-CN"/>
                    </w:rPr>
                  </w:pPr>
                  <w:r>
                    <w:rPr>
                      <w:rFonts w:hint="eastAsia"/>
                      <w:lang w:val="en-US" w:eastAsia="zh-CN"/>
                    </w:rPr>
                    <w:t>搅拌废气排放口DA001</w:t>
                  </w:r>
                </w:p>
              </w:tc>
              <w:tc>
                <w:tcPr>
                  <w:tcW w:w="623" w:type="pct"/>
                  <w:tcBorders>
                    <w:tl2br w:val="nil"/>
                    <w:tr2bl w:val="nil"/>
                  </w:tcBorders>
                  <w:noWrap w:val="0"/>
                  <w:vAlign w:val="center"/>
                </w:tcPr>
                <w:p w14:paraId="76B69393">
                  <w:pPr>
                    <w:bidi w:val="0"/>
                    <w:spacing w:line="240" w:lineRule="auto"/>
                    <w:jc w:val="center"/>
                    <w:rPr>
                      <w:rFonts w:hint="default"/>
                      <w:lang w:val="en-US" w:eastAsia="zh-CN"/>
                    </w:rPr>
                  </w:pPr>
                  <w:r>
                    <w:rPr>
                      <w:rFonts w:hint="default"/>
                    </w:rPr>
                    <w:t>颗粒物</w:t>
                  </w:r>
                </w:p>
              </w:tc>
              <w:tc>
                <w:tcPr>
                  <w:tcW w:w="530" w:type="pct"/>
                  <w:tcBorders>
                    <w:tl2br w:val="nil"/>
                    <w:tr2bl w:val="nil"/>
                  </w:tcBorders>
                  <w:noWrap w:val="0"/>
                  <w:vAlign w:val="center"/>
                </w:tcPr>
                <w:p w14:paraId="54FFFDB0">
                  <w:pPr>
                    <w:bidi w:val="0"/>
                    <w:spacing w:line="240" w:lineRule="auto"/>
                    <w:jc w:val="center"/>
                    <w:rPr>
                      <w:rFonts w:hint="default"/>
                      <w:lang w:val="en-US" w:eastAsia="zh-CN"/>
                    </w:rPr>
                  </w:pPr>
                  <w:r>
                    <w:rPr>
                      <w:rFonts w:hint="eastAsia"/>
                      <w:lang w:val="en-US" w:eastAsia="zh-CN"/>
                    </w:rPr>
                    <w:t>16.25</w:t>
                  </w:r>
                </w:p>
              </w:tc>
              <w:tc>
                <w:tcPr>
                  <w:tcW w:w="685" w:type="pct"/>
                  <w:tcBorders>
                    <w:tl2br w:val="nil"/>
                    <w:tr2bl w:val="nil"/>
                  </w:tcBorders>
                  <w:noWrap w:val="0"/>
                  <w:vAlign w:val="center"/>
                </w:tcPr>
                <w:p w14:paraId="3D0D2450">
                  <w:pPr>
                    <w:bidi w:val="0"/>
                    <w:spacing w:line="240" w:lineRule="auto"/>
                    <w:jc w:val="center"/>
                    <w:rPr>
                      <w:rFonts w:hint="default"/>
                      <w:lang w:val="en-US" w:eastAsia="zh-CN"/>
                    </w:rPr>
                  </w:pPr>
                  <w:r>
                    <w:rPr>
                      <w:rFonts w:hint="eastAsia"/>
                      <w:lang w:val="en-US" w:eastAsia="zh-CN"/>
                    </w:rPr>
                    <w:t>1625</w:t>
                  </w:r>
                </w:p>
              </w:tc>
              <w:tc>
                <w:tcPr>
                  <w:tcW w:w="475" w:type="pct"/>
                  <w:tcBorders>
                    <w:tl2br w:val="nil"/>
                    <w:tr2bl w:val="nil"/>
                  </w:tcBorders>
                  <w:noWrap w:val="0"/>
                  <w:vAlign w:val="center"/>
                </w:tcPr>
                <w:p w14:paraId="328B1EA5">
                  <w:pPr>
                    <w:bidi w:val="0"/>
                    <w:spacing w:line="240" w:lineRule="auto"/>
                    <w:jc w:val="center"/>
                    <w:rPr>
                      <w:rFonts w:hint="default"/>
                      <w:lang w:val="en-US" w:eastAsia="zh-CN"/>
                    </w:rPr>
                  </w:pPr>
                  <w:r>
                    <w:rPr>
                      <w:rFonts w:hint="default"/>
                    </w:rPr>
                    <w:t>1h</w:t>
                  </w:r>
                </w:p>
              </w:tc>
              <w:tc>
                <w:tcPr>
                  <w:tcW w:w="900" w:type="pct"/>
                  <w:tcBorders>
                    <w:tl2br w:val="nil"/>
                    <w:tr2bl w:val="nil"/>
                  </w:tcBorders>
                  <w:noWrap w:val="0"/>
                  <w:vAlign w:val="center"/>
                </w:tcPr>
                <w:p w14:paraId="34313F9A">
                  <w:pPr>
                    <w:bidi w:val="0"/>
                    <w:spacing w:line="240" w:lineRule="auto"/>
                    <w:jc w:val="center"/>
                    <w:rPr>
                      <w:rFonts w:hint="default"/>
                      <w:lang w:val="en-US" w:eastAsia="zh-CN"/>
                    </w:rPr>
                  </w:pPr>
                  <w:r>
                    <w:rPr>
                      <w:rFonts w:hint="default"/>
                    </w:rPr>
                    <w:t>布袋除尘</w:t>
                  </w:r>
                  <w:r>
                    <w:rPr>
                      <w:rFonts w:hint="eastAsia"/>
                      <w:lang w:val="en-US" w:eastAsia="zh-CN"/>
                    </w:rPr>
                    <w:t>设备</w:t>
                  </w:r>
                  <w:r>
                    <w:rPr>
                      <w:rFonts w:hint="default"/>
                    </w:rPr>
                    <w:t>故障</w:t>
                  </w:r>
                </w:p>
              </w:tc>
              <w:tc>
                <w:tcPr>
                  <w:tcW w:w="977" w:type="pct"/>
                  <w:vMerge w:val="restart"/>
                  <w:tcBorders>
                    <w:tl2br w:val="nil"/>
                    <w:tr2bl w:val="nil"/>
                  </w:tcBorders>
                  <w:noWrap w:val="0"/>
                  <w:vAlign w:val="center"/>
                </w:tcPr>
                <w:p w14:paraId="230EDB81">
                  <w:pPr>
                    <w:bidi w:val="0"/>
                    <w:spacing w:line="240" w:lineRule="auto"/>
                    <w:jc w:val="center"/>
                    <w:rPr>
                      <w:rFonts w:hint="default"/>
                    </w:rPr>
                  </w:pPr>
                  <w:r>
                    <w:rPr>
                      <w:rFonts w:hint="default"/>
                    </w:rPr>
                    <w:t>停机，紧急检修</w:t>
                  </w:r>
                  <w:r>
                    <w:rPr>
                      <w:rFonts w:hint="eastAsia"/>
                      <w:lang w:eastAsia="zh-CN"/>
                    </w:rPr>
                    <w:t>、</w:t>
                  </w:r>
                  <w:r>
                    <w:rPr>
                      <w:rFonts w:hint="default"/>
                    </w:rPr>
                    <w:t>更换布袋</w:t>
                  </w:r>
                </w:p>
              </w:tc>
            </w:tr>
            <w:tr w14:paraId="5971926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808" w:type="pct"/>
                  <w:tcBorders>
                    <w:tl2br w:val="nil"/>
                    <w:tr2bl w:val="nil"/>
                  </w:tcBorders>
                  <w:noWrap w:val="0"/>
                  <w:vAlign w:val="center"/>
                </w:tcPr>
                <w:p w14:paraId="350C9022">
                  <w:pPr>
                    <w:bidi w:val="0"/>
                    <w:spacing w:line="240" w:lineRule="auto"/>
                    <w:jc w:val="center"/>
                    <w:rPr>
                      <w:rFonts w:hint="default"/>
                      <w:lang w:val="en-US" w:eastAsia="zh-CN"/>
                    </w:rPr>
                  </w:pPr>
                  <w:r>
                    <w:rPr>
                      <w:rFonts w:hint="eastAsia"/>
                      <w:lang w:val="en-US" w:eastAsia="zh-CN"/>
                    </w:rPr>
                    <w:t>筒仓口</w:t>
                  </w:r>
                </w:p>
              </w:tc>
              <w:tc>
                <w:tcPr>
                  <w:tcW w:w="623" w:type="pct"/>
                  <w:tcBorders>
                    <w:tl2br w:val="nil"/>
                    <w:tr2bl w:val="nil"/>
                  </w:tcBorders>
                  <w:noWrap w:val="0"/>
                  <w:vAlign w:val="center"/>
                </w:tcPr>
                <w:p w14:paraId="3849B7E2">
                  <w:pPr>
                    <w:bidi w:val="0"/>
                    <w:spacing w:line="240" w:lineRule="auto"/>
                    <w:jc w:val="center"/>
                    <w:rPr>
                      <w:rFonts w:hint="default"/>
                      <w:lang w:val="en-US" w:eastAsia="zh-CN"/>
                    </w:rPr>
                  </w:pPr>
                  <w:r>
                    <w:rPr>
                      <w:rFonts w:hint="default"/>
                    </w:rPr>
                    <w:t>颗粒物</w:t>
                  </w:r>
                </w:p>
              </w:tc>
              <w:tc>
                <w:tcPr>
                  <w:tcW w:w="530" w:type="pct"/>
                  <w:tcBorders>
                    <w:tl2br w:val="nil"/>
                    <w:tr2bl w:val="nil"/>
                  </w:tcBorders>
                  <w:noWrap w:val="0"/>
                  <w:vAlign w:val="center"/>
                </w:tcPr>
                <w:p w14:paraId="219D2963">
                  <w:pPr>
                    <w:bidi w:val="0"/>
                    <w:spacing w:line="240" w:lineRule="auto"/>
                    <w:jc w:val="center"/>
                    <w:rPr>
                      <w:rFonts w:hint="default"/>
                      <w:lang w:val="en-US" w:eastAsia="zh-CN"/>
                    </w:rPr>
                  </w:pPr>
                  <w:r>
                    <w:rPr>
                      <w:rFonts w:hint="eastAsia"/>
                      <w:lang w:val="en-US" w:eastAsia="zh-CN"/>
                    </w:rPr>
                    <w:t>30</w:t>
                  </w:r>
                </w:p>
              </w:tc>
              <w:tc>
                <w:tcPr>
                  <w:tcW w:w="685" w:type="pct"/>
                  <w:tcBorders>
                    <w:tl2br w:val="nil"/>
                    <w:tr2bl w:val="nil"/>
                  </w:tcBorders>
                  <w:noWrap w:val="0"/>
                  <w:vAlign w:val="center"/>
                </w:tcPr>
                <w:p w14:paraId="0010E633">
                  <w:pPr>
                    <w:bidi w:val="0"/>
                    <w:spacing w:line="240" w:lineRule="auto"/>
                    <w:jc w:val="center"/>
                    <w:rPr>
                      <w:rFonts w:hint="default"/>
                      <w:lang w:val="en-US" w:eastAsia="zh-CN"/>
                    </w:rPr>
                  </w:pPr>
                  <w:r>
                    <w:rPr>
                      <w:rFonts w:hint="eastAsia"/>
                      <w:lang w:val="en-US" w:eastAsia="zh-CN"/>
                    </w:rPr>
                    <w:t>/</w:t>
                  </w:r>
                </w:p>
              </w:tc>
              <w:tc>
                <w:tcPr>
                  <w:tcW w:w="475" w:type="pct"/>
                  <w:tcBorders>
                    <w:tl2br w:val="nil"/>
                    <w:tr2bl w:val="nil"/>
                  </w:tcBorders>
                  <w:noWrap w:val="0"/>
                  <w:vAlign w:val="center"/>
                </w:tcPr>
                <w:p w14:paraId="5C244885">
                  <w:pPr>
                    <w:bidi w:val="0"/>
                    <w:spacing w:line="240" w:lineRule="auto"/>
                    <w:jc w:val="center"/>
                    <w:rPr>
                      <w:rFonts w:hint="default"/>
                      <w:lang w:val="en-US" w:eastAsia="zh-CN"/>
                    </w:rPr>
                  </w:pPr>
                  <w:r>
                    <w:rPr>
                      <w:rFonts w:hint="eastAsia"/>
                      <w:lang w:val="en-US" w:eastAsia="zh-CN"/>
                    </w:rPr>
                    <w:t>1h</w:t>
                  </w:r>
                </w:p>
              </w:tc>
              <w:tc>
                <w:tcPr>
                  <w:tcW w:w="900" w:type="pct"/>
                  <w:tcBorders>
                    <w:tl2br w:val="nil"/>
                    <w:tr2bl w:val="nil"/>
                  </w:tcBorders>
                  <w:noWrap w:val="0"/>
                  <w:vAlign w:val="center"/>
                </w:tcPr>
                <w:p w14:paraId="49B99198">
                  <w:pPr>
                    <w:bidi w:val="0"/>
                    <w:spacing w:line="240" w:lineRule="auto"/>
                    <w:jc w:val="center"/>
                    <w:rPr>
                      <w:rFonts w:hint="eastAsia"/>
                      <w:lang w:val="en-US" w:eastAsia="zh-CN"/>
                    </w:rPr>
                  </w:pPr>
                  <w:r>
                    <w:rPr>
                      <w:rFonts w:hint="eastAsia"/>
                      <w:lang w:val="en-US" w:eastAsia="zh-CN"/>
                    </w:rPr>
                    <w:t>脉冲</w:t>
                  </w:r>
                  <w:r>
                    <w:rPr>
                      <w:rFonts w:hint="default"/>
                    </w:rPr>
                    <w:t>布袋除尘</w:t>
                  </w:r>
                  <w:r>
                    <w:rPr>
                      <w:rFonts w:hint="eastAsia"/>
                      <w:lang w:val="en-US" w:eastAsia="zh-CN"/>
                    </w:rPr>
                    <w:t>设备</w:t>
                  </w:r>
                  <w:r>
                    <w:rPr>
                      <w:rFonts w:hint="default"/>
                    </w:rPr>
                    <w:t>故障</w:t>
                  </w:r>
                </w:p>
              </w:tc>
              <w:tc>
                <w:tcPr>
                  <w:tcW w:w="977" w:type="pct"/>
                  <w:vMerge w:val="continue"/>
                  <w:tcBorders>
                    <w:tl2br w:val="nil"/>
                    <w:tr2bl w:val="nil"/>
                  </w:tcBorders>
                  <w:noWrap w:val="0"/>
                  <w:vAlign w:val="center"/>
                </w:tcPr>
                <w:p w14:paraId="1F50E1E3">
                  <w:pPr>
                    <w:bidi w:val="0"/>
                    <w:spacing w:line="240" w:lineRule="auto"/>
                    <w:rPr>
                      <w:rFonts w:hint="default"/>
                    </w:rPr>
                  </w:pPr>
                </w:p>
              </w:tc>
            </w:tr>
          </w:tbl>
          <w:p w14:paraId="026D6C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由表4-4可知，非正常工况下颗粒物排放浓度超标，对环境的影响和危害较大，因此需设置污染治理措施以减少非正常工况下污染物对环境的影响程度，除采用先进成熟的工艺技术和设备外，</w:t>
            </w:r>
            <w:r>
              <w:rPr>
                <w:rFonts w:cs="Times New Roman"/>
                <w:color w:val="auto"/>
                <w:sz w:val="24"/>
                <w:szCs w:val="32"/>
                <w:highlight w:val="none"/>
              </w:rPr>
              <w:t>企业必须加强废气处理设施的管理，定期检修，确保废气处理设施正常运行，</w:t>
            </w:r>
            <w:r>
              <w:rPr>
                <w:rFonts w:hint="eastAsia"/>
                <w:color w:val="auto"/>
                <w:sz w:val="24"/>
                <w:szCs w:val="24"/>
                <w:lang w:val="en-US" w:eastAsia="zh-CN"/>
              </w:rPr>
              <w:t>生产中还应加强管理，严格控制规程，提高工人素质，精心操作，防患于未然，将非正常排放控制到最小。一旦发生非正常生产排放，</w:t>
            </w:r>
            <w:r>
              <w:rPr>
                <w:rFonts w:cs="Times New Roman"/>
                <w:color w:val="auto"/>
                <w:sz w:val="24"/>
                <w:szCs w:val="32"/>
                <w:highlight w:val="none"/>
              </w:rPr>
              <w:t>产生废气的工序也必须相应停止生产</w:t>
            </w:r>
            <w:r>
              <w:rPr>
                <w:rFonts w:hint="eastAsia" w:cs="Times New Roman"/>
                <w:color w:val="auto"/>
                <w:sz w:val="24"/>
                <w:szCs w:val="32"/>
                <w:highlight w:val="none"/>
                <w:lang w:eastAsia="zh-CN"/>
              </w:rPr>
              <w:t>，</w:t>
            </w:r>
            <w:r>
              <w:rPr>
                <w:rFonts w:hint="eastAsia"/>
                <w:color w:val="auto"/>
                <w:sz w:val="24"/>
                <w:szCs w:val="24"/>
                <w:lang w:val="en-US" w:eastAsia="zh-CN"/>
              </w:rPr>
              <w:t>并采取相应措施进行污染物集中处理，确保事故状态后，污染物对环境的影响程度降到最低。</w:t>
            </w:r>
          </w:p>
          <w:p w14:paraId="551E5DF2">
            <w:pPr>
              <w:spacing w:line="360" w:lineRule="auto"/>
              <w:rPr>
                <w:b/>
                <w:bCs/>
                <w:sz w:val="24"/>
                <w:szCs w:val="40"/>
              </w:rPr>
            </w:pPr>
            <w:r>
              <w:rPr>
                <w:rFonts w:hint="eastAsia"/>
                <w:b/>
                <w:bCs/>
                <w:sz w:val="24"/>
                <w:szCs w:val="32"/>
              </w:rPr>
              <w:t>1.</w:t>
            </w:r>
            <w:r>
              <w:rPr>
                <w:rFonts w:hint="eastAsia"/>
                <w:b/>
                <w:bCs/>
                <w:sz w:val="24"/>
                <w:szCs w:val="32"/>
                <w:lang w:val="en-US" w:eastAsia="zh-CN"/>
              </w:rPr>
              <w:t>3</w:t>
            </w:r>
            <w:r>
              <w:rPr>
                <w:rFonts w:hint="eastAsia"/>
                <w:b/>
                <w:bCs/>
                <w:sz w:val="24"/>
                <w:szCs w:val="40"/>
              </w:rPr>
              <w:t>废气</w:t>
            </w:r>
            <w:r>
              <w:rPr>
                <w:b/>
                <w:bCs/>
                <w:sz w:val="24"/>
                <w:szCs w:val="40"/>
              </w:rPr>
              <w:t>治理措施的可行性分析</w:t>
            </w:r>
          </w:p>
          <w:p w14:paraId="1C1754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本项目产生的大气污染物主要为颗粒物</w:t>
            </w:r>
            <w:r>
              <w:rPr>
                <w:rFonts w:hint="eastAsia" w:cs="Times New Roman"/>
                <w:color w:val="auto"/>
                <w:sz w:val="24"/>
                <w:szCs w:val="24"/>
                <w:lang w:val="en-US" w:eastAsia="zh-CN"/>
              </w:rPr>
              <w:t>。</w:t>
            </w:r>
          </w:p>
          <w:p w14:paraId="765D0B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根据《工业料堆场扬尘整治规范》（DB65/T4061-2017），项目所在地常年风速2-4m/s，砂石料的粒度在0.5-13mm，砂石料场面积为3000m</w:t>
            </w:r>
            <w:r>
              <w:rPr>
                <w:rFonts w:hint="eastAsia" w:cs="Times New Roman"/>
                <w:color w:val="auto"/>
                <w:sz w:val="24"/>
                <w:szCs w:val="24"/>
                <w:vertAlign w:val="superscript"/>
                <w:lang w:val="en-US" w:eastAsia="zh-CN"/>
              </w:rPr>
              <w:t>2</w:t>
            </w:r>
            <w:r>
              <w:rPr>
                <w:rFonts w:hint="eastAsia" w:cs="Times New Roman"/>
                <w:color w:val="auto"/>
                <w:sz w:val="24"/>
                <w:szCs w:val="24"/>
                <w:vertAlign w:val="baseline"/>
                <w:lang w:val="en-US" w:eastAsia="zh-CN"/>
              </w:rPr>
              <w:t>，</w:t>
            </w:r>
            <w:r>
              <w:rPr>
                <w:rFonts w:hint="eastAsia" w:cs="Times New Roman"/>
                <w:color w:val="auto"/>
                <w:sz w:val="24"/>
                <w:szCs w:val="24"/>
                <w:lang w:val="en-US" w:eastAsia="zh-CN"/>
              </w:rPr>
              <w:t>因此，</w:t>
            </w:r>
            <w:r>
              <w:rPr>
                <w:rFonts w:hint="eastAsia" w:ascii="Times New Roman" w:hAnsi="Times New Roman" w:eastAsia="宋体" w:cs="Times New Roman"/>
                <w:color w:val="auto"/>
                <w:sz w:val="24"/>
                <w:szCs w:val="24"/>
                <w:lang w:val="en-US" w:eastAsia="zh-CN"/>
              </w:rPr>
              <w:t>项目砂石料料场采取</w:t>
            </w:r>
            <w:r>
              <w:rPr>
                <w:rFonts w:hint="eastAsia" w:cs="Times New Roman"/>
                <w:color w:val="auto"/>
                <w:sz w:val="24"/>
                <w:szCs w:val="24"/>
                <w:lang w:val="en-US" w:eastAsia="zh-CN"/>
              </w:rPr>
              <w:t>半封闭式，砂石料料场主体为钢结构，封闭的三面及顶部采取彩钢板等材料，确保堆场内的砂石料不会受到外部环境的影响。砂石料料场仅料场出料口不封闭，料场进、出料口设置在当地常年风向的下风向，同时料场采取</w:t>
            </w:r>
            <w:r>
              <w:rPr>
                <w:rFonts w:hint="eastAsia" w:ascii="Times New Roman" w:hAnsi="Times New Roman" w:eastAsia="宋体" w:cs="Times New Roman"/>
                <w:color w:val="auto"/>
                <w:sz w:val="24"/>
                <w:szCs w:val="24"/>
                <w:lang w:val="en-US" w:eastAsia="zh-CN"/>
              </w:rPr>
              <w:t>覆盖</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洒水降尘抑尘措施</w:t>
            </w:r>
            <w:r>
              <w:rPr>
                <w:rFonts w:hint="eastAsia" w:cs="Times New Roman"/>
                <w:color w:val="auto"/>
                <w:sz w:val="24"/>
                <w:szCs w:val="24"/>
                <w:lang w:val="en-US" w:eastAsia="zh-CN"/>
              </w:rPr>
              <w:t>，可有效降低砂石料料场的扬尘量。</w:t>
            </w:r>
          </w:p>
          <w:p w14:paraId="4AAE5C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物料装卸及厂区道路运输及时清扫，洒水降尘</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物料输送采取封闭廊道；搅拌设备位于密闭搅拌楼中，搅拌机拌料时需加水搅拌，由于物料含水率较高，搅拌过程基本不产生粉尘，但砂石、粉料落入搅拌机内会产生少量的粉尘，经搅拌设备自带的脉冲布袋除尘器处理后，由1根15m高排气筒排放，水泥、粉煤灰等粉料分别由专用罐车运输进厂，通过罐车自带的管道以负压吸入料斗，再以压缩空气（正压）通过管道吸入散装粉料仓，整个输送过程在密闭的管道中完成，在散装水泥及粉煤灰落入圆筒仓内时，其筒仓内的空气将从离地呼吸孔口排出并带出部分粉尘，每个筒仓配套安装脉冲布袋除尘器，筒仓粉尘经脉冲布袋除尘器处理后以无组织形式排放。</w:t>
            </w:r>
          </w:p>
          <w:p w14:paraId="1565E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w:t>
            </w:r>
            <w:r>
              <w:rPr>
                <w:rFonts w:hint="default" w:ascii="Times New Roman" w:hAnsi="Times New Roman" w:eastAsia="宋体" w:cs="Times New Roman"/>
                <w:color w:val="auto"/>
                <w:sz w:val="24"/>
                <w:szCs w:val="24"/>
                <w:lang w:val="en-US" w:eastAsia="zh-CN"/>
              </w:rPr>
              <w:t xml:space="preserve">排污许可证申请与核发技术规范 </w:t>
            </w:r>
            <w:r>
              <w:rPr>
                <w:rFonts w:hint="eastAsia"/>
                <w:color w:val="auto"/>
                <w:sz w:val="24"/>
                <w:highlight w:val="none"/>
                <w:lang w:val="en-US" w:eastAsia="zh-CN"/>
              </w:rPr>
              <w:t>水泥工业</w:t>
            </w:r>
            <w:r>
              <w:rPr>
                <w:rFonts w:hint="eastAsia"/>
                <w:color w:val="auto"/>
                <w:sz w:val="24"/>
                <w:highlight w:val="none"/>
                <w:lang w:eastAsia="zh-CN"/>
              </w:rPr>
              <w:t>》（HJ847-2017）</w:t>
            </w:r>
            <w:r>
              <w:rPr>
                <w:rFonts w:hint="eastAsia" w:ascii="Times New Roman" w:hAnsi="Times New Roman" w:eastAsia="宋体" w:cs="Times New Roman"/>
                <w:color w:val="auto"/>
                <w:sz w:val="24"/>
                <w:szCs w:val="24"/>
                <w:lang w:val="en-US" w:eastAsia="zh-CN"/>
              </w:rPr>
              <w:t>中的废气污染治理措施，袋式除尘器属于可行技术，故本项目的颗粒物处理措施可行。</w:t>
            </w:r>
          </w:p>
          <w:p w14:paraId="442E572B">
            <w:pPr>
              <w:pStyle w:val="26"/>
              <w:ind w:left="0" w:leftChars="0" w:firstLine="0" w:firstLineChars="0"/>
              <w:rPr>
                <w:rFonts w:hint="eastAsia"/>
                <w:b/>
                <w:bCs/>
                <w:color w:val="auto"/>
                <w:sz w:val="24"/>
                <w:szCs w:val="24"/>
                <w:lang w:val="en-US" w:eastAsia="zh-CN"/>
              </w:rPr>
            </w:pPr>
            <w:r>
              <w:rPr>
                <w:rFonts w:hint="eastAsia"/>
                <w:b/>
                <w:bCs/>
                <w:color w:val="auto"/>
                <w:sz w:val="24"/>
                <w:szCs w:val="24"/>
                <w:lang w:val="en-US" w:eastAsia="zh-CN"/>
              </w:rPr>
              <w:t>1.4 排放口设置情况</w:t>
            </w:r>
          </w:p>
          <w:p w14:paraId="49BFB2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color w:val="auto"/>
                <w:sz w:val="24"/>
                <w:szCs w:val="24"/>
              </w:rPr>
              <w:t>本项目共设置1个有组织废气排放口，本项目有组织废气排放口基本情况见表4-</w:t>
            </w:r>
            <w:r>
              <w:rPr>
                <w:rFonts w:hint="eastAsia"/>
                <w:color w:val="auto"/>
                <w:sz w:val="24"/>
                <w:szCs w:val="24"/>
                <w:lang w:val="en-US" w:eastAsia="zh-CN"/>
              </w:rPr>
              <w:t>5</w:t>
            </w:r>
            <w:r>
              <w:rPr>
                <w:color w:val="auto"/>
                <w:sz w:val="24"/>
                <w:szCs w:val="24"/>
              </w:rPr>
              <w:t>。</w:t>
            </w:r>
          </w:p>
          <w:p w14:paraId="6579FE6A">
            <w:pPr>
              <w:pStyle w:val="70"/>
              <w:spacing w:line="240" w:lineRule="auto"/>
              <w:ind w:firstLine="405"/>
              <w:rPr>
                <w:color w:val="auto"/>
                <w:szCs w:val="21"/>
              </w:rPr>
            </w:pPr>
            <w:r>
              <w:rPr>
                <w:rFonts w:hint="eastAsia"/>
                <w:b/>
                <w:bCs/>
                <w:color w:val="auto"/>
                <w:szCs w:val="21"/>
              </w:rPr>
              <w:t>表4-</w:t>
            </w:r>
            <w:r>
              <w:rPr>
                <w:rFonts w:hint="eastAsia"/>
                <w:b/>
                <w:bCs/>
                <w:color w:val="auto"/>
                <w:szCs w:val="21"/>
                <w:lang w:val="en-US" w:eastAsia="zh-CN"/>
              </w:rPr>
              <w:t>5</w:t>
            </w:r>
            <w:r>
              <w:rPr>
                <w:rFonts w:hint="eastAsia"/>
                <w:b/>
                <w:bCs/>
                <w:color w:val="auto"/>
                <w:szCs w:val="21"/>
              </w:rPr>
              <w:t xml:space="preserve">    废气排放口设置一览表</w:t>
            </w:r>
          </w:p>
          <w:tbl>
            <w:tblPr>
              <w:tblStyle w:val="2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160"/>
              <w:gridCol w:w="1077"/>
              <w:gridCol w:w="735"/>
              <w:gridCol w:w="692"/>
              <w:gridCol w:w="796"/>
              <w:gridCol w:w="737"/>
              <w:gridCol w:w="641"/>
              <w:gridCol w:w="382"/>
              <w:gridCol w:w="399"/>
              <w:gridCol w:w="859"/>
            </w:tblGrid>
            <w:tr w14:paraId="141457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vMerge w:val="restart"/>
                  <w:vAlign w:val="center"/>
                </w:tcPr>
                <w:p w14:paraId="6181C876">
                  <w:pPr>
                    <w:pStyle w:val="60"/>
                    <w:rPr>
                      <w:b/>
                      <w:bCs w:val="0"/>
                      <w:color w:val="auto"/>
                      <w:spacing w:val="-10"/>
                      <w:sz w:val="21"/>
                      <w:szCs w:val="21"/>
                    </w:rPr>
                  </w:pPr>
                  <w:r>
                    <w:rPr>
                      <w:b/>
                      <w:bCs w:val="0"/>
                      <w:color w:val="auto"/>
                      <w:spacing w:val="-10"/>
                      <w:sz w:val="21"/>
                      <w:szCs w:val="21"/>
                    </w:rPr>
                    <w:t>排放口名称及编号</w:t>
                  </w:r>
                </w:p>
              </w:tc>
              <w:tc>
                <w:tcPr>
                  <w:tcW w:w="2237" w:type="dxa"/>
                  <w:gridSpan w:val="2"/>
                  <w:vAlign w:val="center"/>
                </w:tcPr>
                <w:p w14:paraId="68D3832B">
                  <w:pPr>
                    <w:pStyle w:val="60"/>
                    <w:rPr>
                      <w:b/>
                      <w:bCs w:val="0"/>
                      <w:color w:val="auto"/>
                      <w:spacing w:val="-10"/>
                      <w:sz w:val="21"/>
                      <w:szCs w:val="21"/>
                    </w:rPr>
                  </w:pPr>
                  <w:r>
                    <w:rPr>
                      <w:b/>
                      <w:bCs w:val="0"/>
                      <w:color w:val="auto"/>
                      <w:spacing w:val="-10"/>
                      <w:sz w:val="21"/>
                      <w:szCs w:val="21"/>
                    </w:rPr>
                    <w:t>排气筒底部中心坐标</w:t>
                  </w:r>
                </w:p>
              </w:tc>
              <w:tc>
                <w:tcPr>
                  <w:tcW w:w="2960" w:type="dxa"/>
                  <w:gridSpan w:val="4"/>
                  <w:vAlign w:val="center"/>
                </w:tcPr>
                <w:p w14:paraId="7BA34AFF">
                  <w:pPr>
                    <w:pStyle w:val="60"/>
                    <w:rPr>
                      <w:b/>
                      <w:bCs w:val="0"/>
                      <w:color w:val="auto"/>
                      <w:spacing w:val="-10"/>
                      <w:sz w:val="21"/>
                      <w:szCs w:val="21"/>
                    </w:rPr>
                  </w:pPr>
                  <w:r>
                    <w:rPr>
                      <w:b/>
                      <w:bCs w:val="0"/>
                      <w:color w:val="auto"/>
                      <w:spacing w:val="-10"/>
                      <w:sz w:val="21"/>
                      <w:szCs w:val="21"/>
                    </w:rPr>
                    <w:t>排气筒参数</w:t>
                  </w:r>
                </w:p>
              </w:tc>
              <w:tc>
                <w:tcPr>
                  <w:tcW w:w="1023" w:type="dxa"/>
                  <w:gridSpan w:val="2"/>
                  <w:vAlign w:val="center"/>
                </w:tcPr>
                <w:p w14:paraId="2C098FC8">
                  <w:pPr>
                    <w:pStyle w:val="60"/>
                    <w:rPr>
                      <w:b/>
                      <w:bCs w:val="0"/>
                      <w:color w:val="auto"/>
                      <w:spacing w:val="-10"/>
                      <w:sz w:val="21"/>
                      <w:szCs w:val="21"/>
                    </w:rPr>
                  </w:pPr>
                  <w:r>
                    <w:rPr>
                      <w:b/>
                      <w:bCs w:val="0"/>
                      <w:color w:val="auto"/>
                      <w:spacing w:val="-10"/>
                      <w:sz w:val="21"/>
                      <w:szCs w:val="21"/>
                    </w:rPr>
                    <w:t>运行参数</w:t>
                  </w:r>
                </w:p>
              </w:tc>
              <w:tc>
                <w:tcPr>
                  <w:tcW w:w="1258" w:type="dxa"/>
                  <w:gridSpan w:val="2"/>
                  <w:vAlign w:val="center"/>
                </w:tcPr>
                <w:p w14:paraId="0FFB850A">
                  <w:pPr>
                    <w:pStyle w:val="60"/>
                    <w:rPr>
                      <w:b/>
                      <w:bCs w:val="0"/>
                      <w:color w:val="auto"/>
                      <w:spacing w:val="-10"/>
                      <w:sz w:val="21"/>
                      <w:szCs w:val="21"/>
                    </w:rPr>
                  </w:pPr>
                  <w:r>
                    <w:rPr>
                      <w:b/>
                      <w:bCs w:val="0"/>
                      <w:color w:val="auto"/>
                      <w:spacing w:val="-10"/>
                      <w:sz w:val="21"/>
                      <w:szCs w:val="21"/>
                    </w:rPr>
                    <w:t>运行参数</w:t>
                  </w:r>
                </w:p>
              </w:tc>
            </w:tr>
            <w:tr w14:paraId="662FA6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vMerge w:val="continue"/>
                  <w:tcBorders>
                    <w:bottom w:val="single" w:color="auto" w:sz="12" w:space="0"/>
                  </w:tcBorders>
                  <w:vAlign w:val="center"/>
                </w:tcPr>
                <w:p w14:paraId="2D6D3C7F">
                  <w:pPr>
                    <w:pStyle w:val="60"/>
                    <w:rPr>
                      <w:b/>
                      <w:bCs w:val="0"/>
                      <w:color w:val="auto"/>
                      <w:spacing w:val="-10"/>
                      <w:sz w:val="21"/>
                      <w:szCs w:val="21"/>
                    </w:rPr>
                  </w:pPr>
                </w:p>
              </w:tc>
              <w:tc>
                <w:tcPr>
                  <w:tcW w:w="1160" w:type="dxa"/>
                  <w:tcBorders>
                    <w:bottom w:val="single" w:color="auto" w:sz="12" w:space="0"/>
                  </w:tcBorders>
                  <w:vAlign w:val="center"/>
                </w:tcPr>
                <w:p w14:paraId="52BB29A2">
                  <w:pPr>
                    <w:pStyle w:val="60"/>
                    <w:rPr>
                      <w:b/>
                      <w:bCs w:val="0"/>
                      <w:color w:val="auto"/>
                      <w:spacing w:val="-10"/>
                      <w:sz w:val="21"/>
                      <w:szCs w:val="21"/>
                    </w:rPr>
                  </w:pPr>
                  <w:r>
                    <w:rPr>
                      <w:b/>
                      <w:bCs w:val="0"/>
                      <w:color w:val="auto"/>
                      <w:spacing w:val="-10"/>
                      <w:sz w:val="21"/>
                      <w:szCs w:val="21"/>
                    </w:rPr>
                    <w:t>经度</w:t>
                  </w:r>
                </w:p>
              </w:tc>
              <w:tc>
                <w:tcPr>
                  <w:tcW w:w="1077" w:type="dxa"/>
                  <w:tcBorders>
                    <w:bottom w:val="single" w:color="auto" w:sz="12" w:space="0"/>
                  </w:tcBorders>
                  <w:vAlign w:val="center"/>
                </w:tcPr>
                <w:p w14:paraId="641DECCD">
                  <w:pPr>
                    <w:pStyle w:val="60"/>
                    <w:rPr>
                      <w:b/>
                      <w:bCs w:val="0"/>
                      <w:color w:val="auto"/>
                      <w:spacing w:val="-10"/>
                      <w:sz w:val="21"/>
                      <w:szCs w:val="21"/>
                    </w:rPr>
                  </w:pPr>
                  <w:r>
                    <w:rPr>
                      <w:b/>
                      <w:bCs w:val="0"/>
                      <w:color w:val="auto"/>
                      <w:spacing w:val="-10"/>
                      <w:sz w:val="21"/>
                      <w:szCs w:val="21"/>
                    </w:rPr>
                    <w:t>纬度</w:t>
                  </w:r>
                </w:p>
              </w:tc>
              <w:tc>
                <w:tcPr>
                  <w:tcW w:w="735" w:type="dxa"/>
                  <w:tcBorders>
                    <w:bottom w:val="single" w:color="auto" w:sz="12" w:space="0"/>
                  </w:tcBorders>
                  <w:vAlign w:val="center"/>
                </w:tcPr>
                <w:p w14:paraId="032B0EEE">
                  <w:pPr>
                    <w:pStyle w:val="60"/>
                    <w:rPr>
                      <w:rFonts w:hint="eastAsia" w:eastAsia="宋体"/>
                      <w:b/>
                      <w:bCs w:val="0"/>
                      <w:color w:val="auto"/>
                      <w:spacing w:val="-10"/>
                      <w:sz w:val="21"/>
                      <w:szCs w:val="21"/>
                      <w:lang w:eastAsia="zh-CN"/>
                    </w:rPr>
                  </w:pPr>
                  <w:r>
                    <w:rPr>
                      <w:b/>
                      <w:bCs w:val="0"/>
                      <w:color w:val="auto"/>
                      <w:sz w:val="21"/>
                      <w:szCs w:val="21"/>
                    </w:rPr>
                    <w:t>排气筒高度</w:t>
                  </w:r>
                  <w:r>
                    <w:rPr>
                      <w:rFonts w:hint="eastAsia"/>
                      <w:b/>
                      <w:bCs w:val="0"/>
                      <w:color w:val="auto"/>
                      <w:sz w:val="21"/>
                      <w:szCs w:val="21"/>
                      <w:lang w:eastAsia="zh-CN"/>
                    </w:rPr>
                    <w:t>（</w:t>
                  </w:r>
                  <w:r>
                    <w:rPr>
                      <w:b/>
                      <w:bCs w:val="0"/>
                      <w:color w:val="auto"/>
                      <w:sz w:val="21"/>
                      <w:szCs w:val="21"/>
                    </w:rPr>
                    <w:t>m</w:t>
                  </w:r>
                  <w:r>
                    <w:rPr>
                      <w:rFonts w:hint="eastAsia"/>
                      <w:b/>
                      <w:bCs w:val="0"/>
                      <w:color w:val="auto"/>
                      <w:sz w:val="21"/>
                      <w:szCs w:val="21"/>
                      <w:lang w:eastAsia="zh-CN"/>
                    </w:rPr>
                    <w:t>）</w:t>
                  </w:r>
                </w:p>
              </w:tc>
              <w:tc>
                <w:tcPr>
                  <w:tcW w:w="692" w:type="dxa"/>
                  <w:tcBorders>
                    <w:bottom w:val="single" w:color="auto" w:sz="12" w:space="0"/>
                  </w:tcBorders>
                  <w:vAlign w:val="center"/>
                </w:tcPr>
                <w:p w14:paraId="5FA3151A">
                  <w:pPr>
                    <w:pStyle w:val="60"/>
                    <w:rPr>
                      <w:rFonts w:hint="eastAsia" w:eastAsia="宋体"/>
                      <w:b/>
                      <w:bCs w:val="0"/>
                      <w:color w:val="auto"/>
                      <w:spacing w:val="-10"/>
                      <w:sz w:val="21"/>
                      <w:szCs w:val="21"/>
                      <w:lang w:eastAsia="zh-CN"/>
                    </w:rPr>
                  </w:pPr>
                  <w:r>
                    <w:rPr>
                      <w:b/>
                      <w:bCs w:val="0"/>
                      <w:color w:val="auto"/>
                      <w:spacing w:val="-10"/>
                      <w:sz w:val="21"/>
                      <w:szCs w:val="21"/>
                    </w:rPr>
                    <w:t>排气筒出口</w:t>
                  </w:r>
                  <w:r>
                    <w:rPr>
                      <w:rFonts w:hint="eastAsia"/>
                      <w:b/>
                      <w:bCs w:val="0"/>
                      <w:color w:val="auto"/>
                      <w:spacing w:val="-10"/>
                      <w:sz w:val="21"/>
                      <w:szCs w:val="21"/>
                      <w:lang w:eastAsia="zh-CN"/>
                    </w:rPr>
                    <w:t>内径（</w:t>
                  </w:r>
                  <w:r>
                    <w:rPr>
                      <w:b/>
                      <w:bCs w:val="0"/>
                      <w:color w:val="auto"/>
                      <w:spacing w:val="-10"/>
                      <w:sz w:val="21"/>
                      <w:szCs w:val="21"/>
                    </w:rPr>
                    <w:t>m</w:t>
                  </w:r>
                  <w:r>
                    <w:rPr>
                      <w:rFonts w:hint="eastAsia"/>
                      <w:b/>
                      <w:bCs w:val="0"/>
                      <w:color w:val="auto"/>
                      <w:spacing w:val="-10"/>
                      <w:sz w:val="21"/>
                      <w:szCs w:val="21"/>
                      <w:lang w:eastAsia="zh-CN"/>
                    </w:rPr>
                    <w:t>）</w:t>
                  </w:r>
                </w:p>
              </w:tc>
              <w:tc>
                <w:tcPr>
                  <w:tcW w:w="796" w:type="dxa"/>
                  <w:tcBorders>
                    <w:bottom w:val="single" w:color="auto" w:sz="12" w:space="0"/>
                  </w:tcBorders>
                  <w:vAlign w:val="center"/>
                </w:tcPr>
                <w:p w14:paraId="018800AB">
                  <w:pPr>
                    <w:pStyle w:val="60"/>
                    <w:rPr>
                      <w:rFonts w:hint="eastAsia" w:eastAsia="宋体"/>
                      <w:b/>
                      <w:bCs w:val="0"/>
                      <w:color w:val="auto"/>
                      <w:spacing w:val="-10"/>
                      <w:sz w:val="21"/>
                      <w:szCs w:val="21"/>
                      <w:lang w:eastAsia="zh-CN"/>
                    </w:rPr>
                  </w:pPr>
                  <w:r>
                    <w:rPr>
                      <w:b/>
                      <w:bCs w:val="0"/>
                      <w:color w:val="auto"/>
                      <w:spacing w:val="-10"/>
                      <w:sz w:val="21"/>
                      <w:szCs w:val="21"/>
                    </w:rPr>
                    <w:t>烟气流速</w:t>
                  </w:r>
                  <w:r>
                    <w:rPr>
                      <w:rFonts w:hint="eastAsia"/>
                      <w:b/>
                      <w:bCs w:val="0"/>
                      <w:color w:val="auto"/>
                      <w:spacing w:val="-10"/>
                      <w:sz w:val="21"/>
                      <w:szCs w:val="21"/>
                      <w:lang w:eastAsia="zh-CN"/>
                    </w:rPr>
                    <w:t>（</w:t>
                  </w:r>
                  <w:r>
                    <w:rPr>
                      <w:b/>
                      <w:bCs w:val="0"/>
                      <w:color w:val="auto"/>
                      <w:spacing w:val="-10"/>
                      <w:sz w:val="21"/>
                      <w:szCs w:val="21"/>
                    </w:rPr>
                    <w:t>m/s</w:t>
                  </w:r>
                  <w:r>
                    <w:rPr>
                      <w:rFonts w:hint="eastAsia"/>
                      <w:b/>
                      <w:bCs w:val="0"/>
                      <w:color w:val="auto"/>
                      <w:spacing w:val="-10"/>
                      <w:sz w:val="21"/>
                      <w:szCs w:val="21"/>
                      <w:lang w:eastAsia="zh-CN"/>
                    </w:rPr>
                    <w:t>）</w:t>
                  </w:r>
                </w:p>
              </w:tc>
              <w:tc>
                <w:tcPr>
                  <w:tcW w:w="737" w:type="dxa"/>
                  <w:tcBorders>
                    <w:bottom w:val="single" w:color="auto" w:sz="12" w:space="0"/>
                  </w:tcBorders>
                  <w:vAlign w:val="center"/>
                </w:tcPr>
                <w:p w14:paraId="259B984B">
                  <w:pPr>
                    <w:pStyle w:val="60"/>
                    <w:rPr>
                      <w:rFonts w:hint="eastAsia" w:eastAsia="宋体"/>
                      <w:b/>
                      <w:bCs w:val="0"/>
                      <w:color w:val="auto"/>
                      <w:spacing w:val="-10"/>
                      <w:sz w:val="21"/>
                      <w:szCs w:val="21"/>
                      <w:lang w:eastAsia="zh-CN"/>
                    </w:rPr>
                  </w:pPr>
                  <w:r>
                    <w:rPr>
                      <w:b/>
                      <w:bCs w:val="0"/>
                      <w:color w:val="auto"/>
                      <w:spacing w:val="-10"/>
                      <w:sz w:val="21"/>
                      <w:szCs w:val="21"/>
                    </w:rPr>
                    <w:t>烟气温度</w:t>
                  </w:r>
                  <w:r>
                    <w:rPr>
                      <w:rFonts w:hint="eastAsia"/>
                      <w:b/>
                      <w:bCs w:val="0"/>
                      <w:color w:val="auto"/>
                      <w:spacing w:val="-10"/>
                      <w:sz w:val="21"/>
                      <w:szCs w:val="21"/>
                      <w:lang w:eastAsia="zh-CN"/>
                    </w:rPr>
                    <w:t>（</w:t>
                  </w:r>
                  <w:r>
                    <w:rPr>
                      <w:b/>
                      <w:bCs w:val="0"/>
                      <w:color w:val="auto"/>
                      <w:spacing w:val="-10"/>
                      <w:sz w:val="21"/>
                      <w:szCs w:val="21"/>
                    </w:rPr>
                    <w:t>℃</w:t>
                  </w:r>
                  <w:r>
                    <w:rPr>
                      <w:rFonts w:hint="eastAsia"/>
                      <w:b/>
                      <w:bCs w:val="0"/>
                      <w:color w:val="auto"/>
                      <w:spacing w:val="-10"/>
                      <w:sz w:val="21"/>
                      <w:szCs w:val="21"/>
                      <w:lang w:eastAsia="zh-CN"/>
                    </w:rPr>
                    <w:t>）</w:t>
                  </w:r>
                </w:p>
              </w:tc>
              <w:tc>
                <w:tcPr>
                  <w:tcW w:w="641" w:type="dxa"/>
                  <w:tcBorders>
                    <w:bottom w:val="single" w:color="auto" w:sz="12" w:space="0"/>
                  </w:tcBorders>
                  <w:vAlign w:val="center"/>
                </w:tcPr>
                <w:p w14:paraId="03E2EDF0">
                  <w:pPr>
                    <w:pStyle w:val="60"/>
                    <w:rPr>
                      <w:rFonts w:hint="eastAsia" w:eastAsia="宋体"/>
                      <w:b/>
                      <w:bCs w:val="0"/>
                      <w:color w:val="auto"/>
                      <w:spacing w:val="-10"/>
                      <w:sz w:val="21"/>
                      <w:szCs w:val="21"/>
                      <w:lang w:eastAsia="zh-CN"/>
                    </w:rPr>
                  </w:pPr>
                  <w:r>
                    <w:rPr>
                      <w:b/>
                      <w:bCs w:val="0"/>
                      <w:color w:val="auto"/>
                      <w:spacing w:val="-10"/>
                      <w:sz w:val="21"/>
                      <w:szCs w:val="21"/>
                    </w:rPr>
                    <w:t>年排放小时数</w:t>
                  </w:r>
                  <w:r>
                    <w:rPr>
                      <w:rFonts w:hint="eastAsia"/>
                      <w:b/>
                      <w:bCs w:val="0"/>
                      <w:color w:val="auto"/>
                      <w:spacing w:val="-10"/>
                      <w:sz w:val="21"/>
                      <w:szCs w:val="21"/>
                      <w:lang w:eastAsia="zh-CN"/>
                    </w:rPr>
                    <w:t>（</w:t>
                  </w:r>
                  <w:r>
                    <w:rPr>
                      <w:b/>
                      <w:bCs w:val="0"/>
                      <w:color w:val="auto"/>
                      <w:spacing w:val="-10"/>
                      <w:sz w:val="21"/>
                      <w:szCs w:val="21"/>
                    </w:rPr>
                    <w:t>h</w:t>
                  </w:r>
                  <w:r>
                    <w:rPr>
                      <w:rFonts w:hint="eastAsia"/>
                      <w:b/>
                      <w:bCs w:val="0"/>
                      <w:color w:val="auto"/>
                      <w:spacing w:val="-10"/>
                      <w:sz w:val="21"/>
                      <w:szCs w:val="21"/>
                      <w:lang w:eastAsia="zh-CN"/>
                    </w:rPr>
                    <w:t>）</w:t>
                  </w:r>
                </w:p>
              </w:tc>
              <w:tc>
                <w:tcPr>
                  <w:tcW w:w="382" w:type="dxa"/>
                  <w:tcBorders>
                    <w:bottom w:val="single" w:color="auto" w:sz="12" w:space="0"/>
                  </w:tcBorders>
                  <w:vAlign w:val="center"/>
                </w:tcPr>
                <w:p w14:paraId="4B0E0647">
                  <w:pPr>
                    <w:pStyle w:val="60"/>
                    <w:rPr>
                      <w:b/>
                      <w:bCs w:val="0"/>
                      <w:color w:val="auto"/>
                      <w:spacing w:val="-10"/>
                      <w:sz w:val="21"/>
                      <w:szCs w:val="21"/>
                    </w:rPr>
                  </w:pPr>
                  <w:r>
                    <w:rPr>
                      <w:b/>
                      <w:bCs w:val="0"/>
                      <w:color w:val="auto"/>
                      <w:spacing w:val="-10"/>
                      <w:sz w:val="21"/>
                      <w:szCs w:val="21"/>
                    </w:rPr>
                    <w:t>排放工况</w:t>
                  </w:r>
                </w:p>
              </w:tc>
              <w:tc>
                <w:tcPr>
                  <w:tcW w:w="399" w:type="dxa"/>
                  <w:tcBorders>
                    <w:bottom w:val="single" w:color="auto" w:sz="12" w:space="0"/>
                  </w:tcBorders>
                  <w:vAlign w:val="center"/>
                </w:tcPr>
                <w:p w14:paraId="3B1B6AD9">
                  <w:pPr>
                    <w:pStyle w:val="60"/>
                    <w:rPr>
                      <w:b/>
                      <w:bCs w:val="0"/>
                      <w:color w:val="auto"/>
                      <w:spacing w:val="-10"/>
                      <w:sz w:val="21"/>
                      <w:szCs w:val="21"/>
                    </w:rPr>
                  </w:pPr>
                  <w:r>
                    <w:rPr>
                      <w:b/>
                      <w:bCs w:val="0"/>
                      <w:color w:val="auto"/>
                      <w:spacing w:val="-10"/>
                      <w:sz w:val="21"/>
                      <w:szCs w:val="21"/>
                    </w:rPr>
                    <w:t>污染源名称</w:t>
                  </w:r>
                </w:p>
              </w:tc>
              <w:tc>
                <w:tcPr>
                  <w:tcW w:w="859" w:type="dxa"/>
                  <w:tcBorders>
                    <w:bottom w:val="single" w:color="auto" w:sz="12" w:space="0"/>
                  </w:tcBorders>
                  <w:vAlign w:val="center"/>
                </w:tcPr>
                <w:p w14:paraId="6FF72FE2">
                  <w:pPr>
                    <w:pStyle w:val="60"/>
                    <w:rPr>
                      <w:rFonts w:hint="eastAsia" w:eastAsia="宋体"/>
                      <w:b/>
                      <w:bCs w:val="0"/>
                      <w:color w:val="auto"/>
                      <w:spacing w:val="-10"/>
                      <w:sz w:val="21"/>
                      <w:szCs w:val="21"/>
                      <w:lang w:eastAsia="zh-CN"/>
                    </w:rPr>
                  </w:pPr>
                  <w:r>
                    <w:rPr>
                      <w:b/>
                      <w:bCs w:val="0"/>
                      <w:color w:val="auto"/>
                      <w:spacing w:val="-10"/>
                      <w:sz w:val="21"/>
                      <w:szCs w:val="21"/>
                    </w:rPr>
                    <w:t>污染物排放速率</w:t>
                  </w:r>
                  <w:r>
                    <w:rPr>
                      <w:rFonts w:hint="eastAsia"/>
                      <w:b/>
                      <w:bCs w:val="0"/>
                      <w:color w:val="auto"/>
                      <w:spacing w:val="-10"/>
                      <w:sz w:val="21"/>
                      <w:szCs w:val="21"/>
                      <w:lang w:eastAsia="zh-CN"/>
                    </w:rPr>
                    <w:t>（</w:t>
                  </w:r>
                  <w:r>
                    <w:rPr>
                      <w:b/>
                      <w:bCs w:val="0"/>
                      <w:color w:val="auto"/>
                      <w:spacing w:val="-10"/>
                      <w:sz w:val="21"/>
                      <w:szCs w:val="21"/>
                    </w:rPr>
                    <w:t>kg/h</w:t>
                  </w:r>
                  <w:r>
                    <w:rPr>
                      <w:rFonts w:hint="eastAsia"/>
                      <w:b/>
                      <w:bCs w:val="0"/>
                      <w:color w:val="auto"/>
                      <w:spacing w:val="-10"/>
                      <w:sz w:val="21"/>
                      <w:szCs w:val="21"/>
                      <w:lang w:eastAsia="zh-CN"/>
                    </w:rPr>
                    <w:t>）</w:t>
                  </w:r>
                </w:p>
              </w:tc>
            </w:tr>
            <w:tr w14:paraId="7E4B8F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tcBorders>
                    <w:top w:val="single" w:color="auto" w:sz="12" w:space="0"/>
                    <w:tl2br w:val="nil"/>
                    <w:tr2bl w:val="nil"/>
                  </w:tcBorders>
                  <w:vAlign w:val="center"/>
                </w:tcPr>
                <w:p w14:paraId="043745A9">
                  <w:pPr>
                    <w:pStyle w:val="60"/>
                    <w:rPr>
                      <w:rFonts w:hint="eastAsia" w:eastAsia="宋体"/>
                      <w:color w:val="auto"/>
                      <w:spacing w:val="-10"/>
                      <w:sz w:val="21"/>
                      <w:szCs w:val="21"/>
                      <w:lang w:eastAsia="zh-CN"/>
                    </w:rPr>
                  </w:pPr>
                  <w:r>
                    <w:rPr>
                      <w:rFonts w:hint="eastAsia"/>
                      <w:color w:val="auto"/>
                      <w:spacing w:val="-10"/>
                      <w:sz w:val="21"/>
                      <w:szCs w:val="21"/>
                      <w:lang w:val="en-US" w:eastAsia="zh-CN"/>
                    </w:rPr>
                    <w:t>搅拌废气排放口（</w:t>
                  </w:r>
                  <w:r>
                    <w:rPr>
                      <w:rFonts w:hint="eastAsia"/>
                      <w:color w:val="auto"/>
                      <w:spacing w:val="-10"/>
                      <w:sz w:val="21"/>
                      <w:szCs w:val="21"/>
                    </w:rPr>
                    <w:t>D</w:t>
                  </w:r>
                  <w:r>
                    <w:rPr>
                      <w:color w:val="auto"/>
                      <w:spacing w:val="-10"/>
                      <w:sz w:val="21"/>
                      <w:szCs w:val="21"/>
                    </w:rPr>
                    <w:t>A001</w:t>
                  </w:r>
                  <w:r>
                    <w:rPr>
                      <w:rFonts w:hint="eastAsia"/>
                      <w:color w:val="auto"/>
                      <w:spacing w:val="-10"/>
                      <w:sz w:val="21"/>
                      <w:szCs w:val="21"/>
                      <w:lang w:eastAsia="zh-CN"/>
                    </w:rPr>
                    <w:t>）</w:t>
                  </w:r>
                </w:p>
              </w:tc>
              <w:tc>
                <w:tcPr>
                  <w:tcW w:w="1160" w:type="dxa"/>
                  <w:tcBorders>
                    <w:top w:val="single" w:color="auto" w:sz="12" w:space="0"/>
                    <w:tl2br w:val="nil"/>
                    <w:tr2bl w:val="nil"/>
                  </w:tcBorders>
                  <w:vAlign w:val="center"/>
                </w:tcPr>
                <w:p w14:paraId="2D5A4699">
                  <w:pPr>
                    <w:pStyle w:val="60"/>
                    <w:rPr>
                      <w:color w:val="auto"/>
                      <w:spacing w:val="-10"/>
                      <w:sz w:val="21"/>
                      <w:szCs w:val="21"/>
                    </w:rPr>
                  </w:pPr>
                  <w:r>
                    <w:rPr>
                      <w:rFonts w:hint="default" w:ascii="Times New Roman" w:hAnsi="Times New Roman" w:cs="Times New Roman"/>
                      <w:color w:val="auto"/>
                      <w:spacing w:val="-10"/>
                      <w:sz w:val="21"/>
                      <w:szCs w:val="21"/>
                    </w:rPr>
                    <w:t>90°22′38.237″</w:t>
                  </w:r>
                </w:p>
              </w:tc>
              <w:tc>
                <w:tcPr>
                  <w:tcW w:w="1077" w:type="dxa"/>
                  <w:tcBorders>
                    <w:top w:val="single" w:color="auto" w:sz="12" w:space="0"/>
                    <w:tl2br w:val="nil"/>
                    <w:tr2bl w:val="nil"/>
                  </w:tcBorders>
                  <w:vAlign w:val="center"/>
                </w:tcPr>
                <w:p w14:paraId="379A59AA">
                  <w:pPr>
                    <w:pStyle w:val="60"/>
                    <w:rPr>
                      <w:color w:val="auto"/>
                      <w:spacing w:val="-10"/>
                      <w:sz w:val="21"/>
                      <w:szCs w:val="21"/>
                    </w:rPr>
                  </w:pPr>
                  <w:r>
                    <w:rPr>
                      <w:rFonts w:hint="default" w:ascii="Times New Roman" w:hAnsi="Times New Roman" w:cs="Times New Roman"/>
                      <w:color w:val="auto"/>
                      <w:spacing w:val="-10"/>
                      <w:sz w:val="21"/>
                      <w:szCs w:val="21"/>
                    </w:rPr>
                    <w:t>44°00′13.76″</w:t>
                  </w:r>
                </w:p>
              </w:tc>
              <w:tc>
                <w:tcPr>
                  <w:tcW w:w="735" w:type="dxa"/>
                  <w:tcBorders>
                    <w:top w:val="single" w:color="auto" w:sz="12" w:space="0"/>
                    <w:tl2br w:val="nil"/>
                    <w:tr2bl w:val="nil"/>
                  </w:tcBorders>
                  <w:vAlign w:val="center"/>
                </w:tcPr>
                <w:p w14:paraId="48F1FFCD">
                  <w:pPr>
                    <w:pStyle w:val="60"/>
                    <w:rPr>
                      <w:rFonts w:hint="default" w:eastAsia="宋体"/>
                      <w:color w:val="auto"/>
                      <w:spacing w:val="-10"/>
                      <w:sz w:val="21"/>
                      <w:szCs w:val="21"/>
                      <w:lang w:val="en-US" w:eastAsia="zh-CN"/>
                    </w:rPr>
                  </w:pPr>
                  <w:r>
                    <w:rPr>
                      <w:rFonts w:hint="eastAsia"/>
                      <w:color w:val="auto"/>
                      <w:spacing w:val="-10"/>
                      <w:sz w:val="21"/>
                      <w:szCs w:val="21"/>
                      <w:lang w:val="en-US" w:eastAsia="zh-CN"/>
                    </w:rPr>
                    <w:t>15</w:t>
                  </w:r>
                </w:p>
              </w:tc>
              <w:tc>
                <w:tcPr>
                  <w:tcW w:w="692" w:type="dxa"/>
                  <w:tcBorders>
                    <w:top w:val="single" w:color="auto" w:sz="12" w:space="0"/>
                    <w:tl2br w:val="nil"/>
                    <w:tr2bl w:val="nil"/>
                  </w:tcBorders>
                  <w:vAlign w:val="center"/>
                </w:tcPr>
                <w:p w14:paraId="3E352896">
                  <w:pPr>
                    <w:pStyle w:val="60"/>
                    <w:rPr>
                      <w:rFonts w:hint="eastAsia" w:eastAsia="宋体"/>
                      <w:color w:val="auto"/>
                      <w:spacing w:val="-10"/>
                      <w:sz w:val="21"/>
                      <w:szCs w:val="21"/>
                      <w:lang w:eastAsia="zh-CN"/>
                    </w:rPr>
                  </w:pPr>
                  <w:r>
                    <w:rPr>
                      <w:color w:val="auto"/>
                      <w:spacing w:val="-10"/>
                      <w:sz w:val="21"/>
                      <w:szCs w:val="21"/>
                    </w:rPr>
                    <w:t>0.</w:t>
                  </w:r>
                  <w:r>
                    <w:rPr>
                      <w:rFonts w:hint="eastAsia"/>
                      <w:color w:val="auto"/>
                      <w:spacing w:val="-10"/>
                      <w:sz w:val="21"/>
                      <w:szCs w:val="21"/>
                      <w:lang w:val="en-US" w:eastAsia="zh-CN"/>
                    </w:rPr>
                    <w:t>3</w:t>
                  </w:r>
                </w:p>
              </w:tc>
              <w:tc>
                <w:tcPr>
                  <w:tcW w:w="796" w:type="dxa"/>
                  <w:tcBorders>
                    <w:top w:val="single" w:color="auto" w:sz="12" w:space="0"/>
                    <w:tl2br w:val="nil"/>
                    <w:tr2bl w:val="nil"/>
                  </w:tcBorders>
                  <w:vAlign w:val="center"/>
                </w:tcPr>
                <w:p w14:paraId="297461A7">
                  <w:pPr>
                    <w:pStyle w:val="60"/>
                    <w:rPr>
                      <w:rFonts w:hint="default" w:eastAsia="宋体"/>
                      <w:color w:val="auto"/>
                      <w:spacing w:val="-10"/>
                      <w:sz w:val="21"/>
                      <w:szCs w:val="21"/>
                      <w:lang w:val="en-US" w:eastAsia="zh-CN"/>
                    </w:rPr>
                  </w:pPr>
                  <w:r>
                    <w:rPr>
                      <w:rFonts w:hint="eastAsia"/>
                      <w:color w:val="auto"/>
                      <w:spacing w:val="-10"/>
                      <w:sz w:val="21"/>
                      <w:szCs w:val="21"/>
                      <w:lang w:val="en-US" w:eastAsia="zh-CN"/>
                    </w:rPr>
                    <w:t>17.4</w:t>
                  </w:r>
                </w:p>
              </w:tc>
              <w:tc>
                <w:tcPr>
                  <w:tcW w:w="737" w:type="dxa"/>
                  <w:tcBorders>
                    <w:top w:val="single" w:color="auto" w:sz="12" w:space="0"/>
                    <w:tl2br w:val="nil"/>
                    <w:tr2bl w:val="nil"/>
                  </w:tcBorders>
                  <w:vAlign w:val="center"/>
                </w:tcPr>
                <w:p w14:paraId="6DB65040">
                  <w:pPr>
                    <w:pStyle w:val="60"/>
                    <w:rPr>
                      <w:rFonts w:hint="default" w:eastAsia="宋体"/>
                      <w:color w:val="auto"/>
                      <w:spacing w:val="-10"/>
                      <w:sz w:val="21"/>
                      <w:szCs w:val="21"/>
                      <w:lang w:val="en-US" w:eastAsia="zh-CN"/>
                    </w:rPr>
                  </w:pPr>
                  <w:r>
                    <w:rPr>
                      <w:rFonts w:hint="eastAsia"/>
                      <w:color w:val="auto"/>
                      <w:spacing w:val="-10"/>
                      <w:sz w:val="21"/>
                      <w:szCs w:val="21"/>
                      <w:lang w:val="en-US" w:eastAsia="zh-CN"/>
                    </w:rPr>
                    <w:t>25</w:t>
                  </w:r>
                </w:p>
              </w:tc>
              <w:tc>
                <w:tcPr>
                  <w:tcW w:w="641" w:type="dxa"/>
                  <w:tcBorders>
                    <w:top w:val="single" w:color="auto" w:sz="12" w:space="0"/>
                    <w:tl2br w:val="nil"/>
                    <w:tr2bl w:val="nil"/>
                  </w:tcBorders>
                  <w:vAlign w:val="center"/>
                </w:tcPr>
                <w:p w14:paraId="283DB617">
                  <w:pPr>
                    <w:pStyle w:val="60"/>
                    <w:rPr>
                      <w:rFonts w:hint="default" w:eastAsia="宋体"/>
                      <w:color w:val="auto"/>
                      <w:spacing w:val="-10"/>
                      <w:sz w:val="21"/>
                      <w:szCs w:val="21"/>
                      <w:lang w:val="en-US" w:eastAsia="zh-CN"/>
                    </w:rPr>
                  </w:pPr>
                  <w:r>
                    <w:rPr>
                      <w:rFonts w:hint="eastAsia"/>
                      <w:color w:val="auto"/>
                      <w:spacing w:val="-10"/>
                      <w:sz w:val="21"/>
                      <w:szCs w:val="21"/>
                      <w:lang w:val="en-US" w:eastAsia="zh-CN"/>
                    </w:rPr>
                    <w:t>1920</w:t>
                  </w:r>
                </w:p>
              </w:tc>
              <w:tc>
                <w:tcPr>
                  <w:tcW w:w="382" w:type="dxa"/>
                  <w:tcBorders>
                    <w:top w:val="single" w:color="auto" w:sz="12" w:space="0"/>
                    <w:tl2br w:val="nil"/>
                    <w:tr2bl w:val="nil"/>
                  </w:tcBorders>
                  <w:vAlign w:val="center"/>
                </w:tcPr>
                <w:p w14:paraId="6884EDAD">
                  <w:pPr>
                    <w:pStyle w:val="60"/>
                    <w:rPr>
                      <w:color w:val="auto"/>
                      <w:spacing w:val="-10"/>
                      <w:sz w:val="21"/>
                      <w:szCs w:val="21"/>
                    </w:rPr>
                  </w:pPr>
                  <w:r>
                    <w:rPr>
                      <w:color w:val="auto"/>
                      <w:spacing w:val="-10"/>
                      <w:sz w:val="21"/>
                      <w:szCs w:val="21"/>
                    </w:rPr>
                    <w:t>正常</w:t>
                  </w:r>
                </w:p>
              </w:tc>
              <w:tc>
                <w:tcPr>
                  <w:tcW w:w="399" w:type="dxa"/>
                  <w:tcBorders>
                    <w:top w:val="single" w:color="auto" w:sz="12" w:space="0"/>
                    <w:tl2br w:val="nil"/>
                    <w:tr2bl w:val="nil"/>
                  </w:tcBorders>
                  <w:vAlign w:val="center"/>
                </w:tcPr>
                <w:p w14:paraId="025F8718">
                  <w:pPr>
                    <w:pStyle w:val="60"/>
                    <w:rPr>
                      <w:color w:val="auto"/>
                      <w:spacing w:val="-10"/>
                      <w:sz w:val="21"/>
                      <w:szCs w:val="21"/>
                    </w:rPr>
                  </w:pPr>
                  <w:r>
                    <w:rPr>
                      <w:color w:val="auto"/>
                      <w:sz w:val="21"/>
                      <w:szCs w:val="21"/>
                    </w:rPr>
                    <w:t>颗粒物</w:t>
                  </w:r>
                </w:p>
              </w:tc>
              <w:tc>
                <w:tcPr>
                  <w:tcW w:w="859" w:type="dxa"/>
                  <w:tcBorders>
                    <w:top w:val="single" w:color="auto" w:sz="12" w:space="0"/>
                    <w:tl2br w:val="nil"/>
                    <w:tr2bl w:val="nil"/>
                  </w:tcBorders>
                  <w:vAlign w:val="center"/>
                </w:tcPr>
                <w:p w14:paraId="7D8A0B49">
                  <w:pPr>
                    <w:pStyle w:val="60"/>
                    <w:rPr>
                      <w:rFonts w:hint="default" w:eastAsia="宋体"/>
                      <w:color w:val="auto"/>
                      <w:spacing w:val="-10"/>
                      <w:sz w:val="21"/>
                      <w:szCs w:val="21"/>
                      <w:lang w:val="en-US" w:eastAsia="zh-CN"/>
                    </w:rPr>
                  </w:pPr>
                  <w:r>
                    <w:rPr>
                      <w:rFonts w:hint="eastAsia"/>
                      <w:color w:val="auto"/>
                      <w:spacing w:val="-10"/>
                      <w:sz w:val="21"/>
                      <w:szCs w:val="21"/>
                      <w:lang w:val="en-US" w:eastAsia="zh-CN"/>
                    </w:rPr>
                    <w:t>0.096</w:t>
                  </w:r>
                </w:p>
              </w:tc>
            </w:tr>
          </w:tbl>
          <w:p w14:paraId="678F7090">
            <w:pPr>
              <w:keepNext w:val="0"/>
              <w:keepLines w:val="0"/>
              <w:pageBreakBefore w:val="0"/>
              <w:widowControl/>
              <w:kinsoku/>
              <w:wordWrap/>
              <w:overflowPunct/>
              <w:topLinePunct w:val="0"/>
              <w:autoSpaceDE/>
              <w:autoSpaceDN/>
              <w:bidi w:val="0"/>
              <w:adjustRightInd/>
              <w:snapToGrid/>
              <w:spacing w:line="360" w:lineRule="auto"/>
              <w:jc w:val="left"/>
              <w:textAlignment w:val="auto"/>
              <w:rPr>
                <w:b/>
                <w:bCs/>
                <w:color w:val="auto"/>
                <w:sz w:val="24"/>
              </w:rPr>
            </w:pPr>
            <w:r>
              <w:rPr>
                <w:rFonts w:hint="eastAsia"/>
                <w:b/>
                <w:bCs/>
                <w:color w:val="auto"/>
                <w:sz w:val="24"/>
              </w:rPr>
              <w:t>1.</w:t>
            </w:r>
            <w:r>
              <w:rPr>
                <w:rFonts w:hint="eastAsia"/>
                <w:b/>
                <w:bCs/>
                <w:color w:val="auto"/>
                <w:sz w:val="24"/>
                <w:lang w:val="en-US" w:eastAsia="zh-CN"/>
              </w:rPr>
              <w:t xml:space="preserve">5 </w:t>
            </w:r>
            <w:r>
              <w:rPr>
                <w:rFonts w:hint="eastAsia"/>
                <w:b/>
                <w:bCs/>
                <w:color w:val="auto"/>
                <w:sz w:val="24"/>
              </w:rPr>
              <w:t>废气监测计划</w:t>
            </w:r>
          </w:p>
          <w:p w14:paraId="7A2F614B">
            <w:pPr>
              <w:pStyle w:val="8"/>
              <w:spacing w:before="0" w:after="0" w:line="360" w:lineRule="auto"/>
              <w:ind w:right="0"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 xml:space="preserve">根据《排污单位自行监测技术指南 </w:t>
            </w:r>
            <w:r>
              <w:rPr>
                <w:rFonts w:hint="eastAsia"/>
                <w:color w:val="auto"/>
                <w:sz w:val="24"/>
                <w:highlight w:val="none"/>
                <w:lang w:val="en-US" w:eastAsia="zh-CN"/>
              </w:rPr>
              <w:t>水泥工业</w:t>
            </w:r>
            <w:r>
              <w:rPr>
                <w:rFonts w:hint="eastAsia"/>
                <w:color w:val="auto"/>
                <w:sz w:val="24"/>
                <w:highlight w:val="none"/>
                <w:lang w:eastAsia="zh-CN"/>
              </w:rPr>
              <w:t>》（HJ84</w:t>
            </w:r>
            <w:r>
              <w:rPr>
                <w:rFonts w:hint="eastAsia"/>
                <w:color w:val="auto"/>
                <w:sz w:val="24"/>
                <w:highlight w:val="none"/>
                <w:lang w:val="en-US" w:eastAsia="zh-CN"/>
              </w:rPr>
              <w:t>8</w:t>
            </w:r>
            <w:r>
              <w:rPr>
                <w:rFonts w:hint="eastAsia"/>
                <w:color w:val="auto"/>
                <w:sz w:val="24"/>
                <w:highlight w:val="none"/>
                <w:lang w:eastAsia="zh-CN"/>
              </w:rPr>
              <w:t>-2017）</w:t>
            </w:r>
            <w:r>
              <w:rPr>
                <w:rFonts w:ascii="Times New Roman" w:hAnsi="Times New Roman" w:eastAsia="宋体" w:cs="Times New Roman"/>
                <w:color w:val="auto"/>
                <w:kern w:val="0"/>
                <w:sz w:val="24"/>
                <w:szCs w:val="24"/>
                <w:lang w:val="en-US" w:eastAsia="zh-CN" w:bidi="ar-SA"/>
              </w:rPr>
              <w:t>，本项目废气监测内容</w:t>
            </w:r>
            <w:r>
              <w:rPr>
                <w:rFonts w:hint="eastAsia" w:ascii="Times New Roman" w:hAnsi="Times New Roman" w:eastAsia="宋体" w:cs="Times New Roman"/>
                <w:color w:val="auto"/>
                <w:kern w:val="0"/>
                <w:sz w:val="24"/>
                <w:szCs w:val="24"/>
                <w:lang w:val="en-US" w:eastAsia="zh-CN" w:bidi="ar-SA"/>
              </w:rPr>
              <w:t>见</w:t>
            </w:r>
            <w:r>
              <w:rPr>
                <w:rFonts w:ascii="Times New Roman" w:hAnsi="Times New Roman" w:eastAsia="宋体" w:cs="Times New Roman"/>
                <w:color w:val="auto"/>
                <w:kern w:val="0"/>
                <w:sz w:val="24"/>
                <w:szCs w:val="24"/>
                <w:lang w:val="en-US" w:eastAsia="zh-CN" w:bidi="ar-SA"/>
              </w:rPr>
              <w:t>表</w:t>
            </w:r>
            <w:r>
              <w:rPr>
                <w:rFonts w:hint="eastAsia" w:ascii="Times New Roman" w:hAnsi="Times New Roman" w:eastAsia="宋体" w:cs="Times New Roman"/>
                <w:color w:val="auto"/>
                <w:kern w:val="0"/>
                <w:sz w:val="24"/>
                <w:szCs w:val="24"/>
                <w:lang w:val="en-US" w:eastAsia="zh-CN" w:bidi="ar-SA"/>
              </w:rPr>
              <w:t>4-</w:t>
            </w:r>
            <w:r>
              <w:rPr>
                <w:rFonts w:hint="eastAsia" w:cs="Times New Roman"/>
                <w:color w:val="auto"/>
                <w:kern w:val="0"/>
                <w:sz w:val="24"/>
                <w:szCs w:val="24"/>
                <w:lang w:val="en-US" w:eastAsia="zh-CN" w:bidi="ar-SA"/>
              </w:rPr>
              <w:t>6</w:t>
            </w:r>
            <w:r>
              <w:rPr>
                <w:rFonts w:ascii="Times New Roman" w:hAnsi="Times New Roman" w:eastAsia="宋体" w:cs="Times New Roman"/>
                <w:color w:val="auto"/>
                <w:kern w:val="0"/>
                <w:sz w:val="24"/>
                <w:szCs w:val="24"/>
                <w:lang w:val="en-US" w:eastAsia="zh-CN" w:bidi="ar-SA"/>
              </w:rPr>
              <w:t>。</w:t>
            </w:r>
          </w:p>
          <w:p w14:paraId="1924B5A6">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w:t>
            </w:r>
            <w:r>
              <w:rPr>
                <w:rFonts w:hint="eastAsia" w:cs="Times New Roman"/>
                <w:color w:val="auto"/>
                <w:lang w:val="en-US" w:eastAsia="zh-CN"/>
              </w:rPr>
              <w:t>6</w:t>
            </w:r>
            <w:r>
              <w:rPr>
                <w:rFonts w:hint="eastAsia" w:ascii="Times New Roman" w:hAnsi="Times New Roman" w:eastAsia="宋体" w:cs="Times New Roman"/>
                <w:color w:val="auto"/>
              </w:rPr>
              <w:t xml:space="preserve">    废气监测计划</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1818"/>
              <w:gridCol w:w="1522"/>
              <w:gridCol w:w="1827"/>
              <w:gridCol w:w="1522"/>
            </w:tblGrid>
            <w:tr w14:paraId="471ED2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72" w:type="pct"/>
                  <w:tcBorders>
                    <w:bottom w:val="single" w:color="auto" w:sz="12" w:space="0"/>
                  </w:tcBorders>
                  <w:vAlign w:val="center"/>
                </w:tcPr>
                <w:p w14:paraId="135C4467">
                  <w:pPr>
                    <w:overflowPunct w:val="0"/>
                    <w:adjustRightInd w:val="0"/>
                    <w:snapToGrid w:val="0"/>
                    <w:jc w:val="center"/>
                    <w:rPr>
                      <w:b/>
                      <w:color w:val="auto"/>
                      <w:sz w:val="21"/>
                      <w:szCs w:val="21"/>
                    </w:rPr>
                  </w:pPr>
                  <w:r>
                    <w:rPr>
                      <w:b/>
                      <w:color w:val="auto"/>
                      <w:sz w:val="21"/>
                      <w:szCs w:val="21"/>
                    </w:rPr>
                    <w:t>污染源类别</w:t>
                  </w:r>
                </w:p>
              </w:tc>
              <w:tc>
                <w:tcPr>
                  <w:tcW w:w="1067" w:type="pct"/>
                  <w:tcBorders>
                    <w:bottom w:val="single" w:color="auto" w:sz="12" w:space="0"/>
                  </w:tcBorders>
                  <w:vAlign w:val="center"/>
                </w:tcPr>
                <w:p w14:paraId="04267AF6">
                  <w:pPr>
                    <w:overflowPunct w:val="0"/>
                    <w:adjustRightInd w:val="0"/>
                    <w:snapToGrid w:val="0"/>
                    <w:jc w:val="center"/>
                    <w:rPr>
                      <w:b/>
                      <w:color w:val="auto"/>
                      <w:sz w:val="21"/>
                      <w:szCs w:val="21"/>
                    </w:rPr>
                  </w:pPr>
                  <w:r>
                    <w:rPr>
                      <w:b/>
                      <w:color w:val="auto"/>
                      <w:sz w:val="21"/>
                      <w:szCs w:val="21"/>
                    </w:rPr>
                    <w:t>监测位置</w:t>
                  </w:r>
                </w:p>
              </w:tc>
              <w:tc>
                <w:tcPr>
                  <w:tcW w:w="893" w:type="pct"/>
                  <w:tcBorders>
                    <w:bottom w:val="single" w:color="auto" w:sz="12" w:space="0"/>
                  </w:tcBorders>
                  <w:vAlign w:val="center"/>
                </w:tcPr>
                <w:p w14:paraId="66B20F28">
                  <w:pPr>
                    <w:overflowPunct w:val="0"/>
                    <w:adjustRightInd w:val="0"/>
                    <w:snapToGrid w:val="0"/>
                    <w:jc w:val="center"/>
                    <w:rPr>
                      <w:b/>
                      <w:color w:val="auto"/>
                      <w:sz w:val="21"/>
                      <w:szCs w:val="21"/>
                    </w:rPr>
                  </w:pPr>
                  <w:r>
                    <w:rPr>
                      <w:b/>
                      <w:color w:val="auto"/>
                      <w:sz w:val="21"/>
                      <w:szCs w:val="21"/>
                    </w:rPr>
                    <w:t>监测项目</w:t>
                  </w:r>
                </w:p>
              </w:tc>
              <w:tc>
                <w:tcPr>
                  <w:tcW w:w="1072" w:type="pct"/>
                  <w:tcBorders>
                    <w:bottom w:val="single" w:color="auto" w:sz="12" w:space="0"/>
                  </w:tcBorders>
                  <w:vAlign w:val="center"/>
                </w:tcPr>
                <w:p w14:paraId="33D73D32">
                  <w:pPr>
                    <w:overflowPunct w:val="0"/>
                    <w:adjustRightInd w:val="0"/>
                    <w:snapToGrid w:val="0"/>
                    <w:jc w:val="center"/>
                    <w:rPr>
                      <w:b/>
                      <w:color w:val="auto"/>
                      <w:sz w:val="21"/>
                      <w:szCs w:val="21"/>
                      <w:highlight w:val="none"/>
                    </w:rPr>
                  </w:pPr>
                  <w:r>
                    <w:rPr>
                      <w:b/>
                      <w:color w:val="auto"/>
                      <w:sz w:val="21"/>
                      <w:szCs w:val="21"/>
                      <w:highlight w:val="none"/>
                    </w:rPr>
                    <w:t>监测频率</w:t>
                  </w:r>
                </w:p>
              </w:tc>
              <w:tc>
                <w:tcPr>
                  <w:tcW w:w="893" w:type="pct"/>
                  <w:tcBorders>
                    <w:bottom w:val="single" w:color="auto" w:sz="12" w:space="0"/>
                  </w:tcBorders>
                  <w:vAlign w:val="center"/>
                </w:tcPr>
                <w:p w14:paraId="18CF1B82">
                  <w:pPr>
                    <w:overflowPunct w:val="0"/>
                    <w:adjustRightInd w:val="0"/>
                    <w:snapToGrid w:val="0"/>
                    <w:jc w:val="center"/>
                    <w:rPr>
                      <w:b/>
                      <w:color w:val="auto"/>
                      <w:sz w:val="21"/>
                      <w:szCs w:val="21"/>
                    </w:rPr>
                  </w:pPr>
                  <w:r>
                    <w:rPr>
                      <w:b/>
                      <w:color w:val="auto"/>
                      <w:sz w:val="21"/>
                      <w:szCs w:val="21"/>
                    </w:rPr>
                    <w:t>标准限值</w:t>
                  </w:r>
                </w:p>
              </w:tc>
            </w:tr>
            <w:tr w14:paraId="72BEC3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72" w:type="pct"/>
                  <w:vAlign w:val="center"/>
                </w:tcPr>
                <w:p w14:paraId="68962D7F">
                  <w:pPr>
                    <w:overflowPunct w:val="0"/>
                    <w:adjustRightInd w:val="0"/>
                    <w:snapToGrid w:val="0"/>
                    <w:jc w:val="center"/>
                    <w:rPr>
                      <w:bCs/>
                      <w:color w:val="auto"/>
                      <w:sz w:val="21"/>
                      <w:szCs w:val="21"/>
                    </w:rPr>
                  </w:pPr>
                  <w:r>
                    <w:rPr>
                      <w:bCs/>
                      <w:color w:val="auto"/>
                      <w:sz w:val="21"/>
                      <w:szCs w:val="21"/>
                    </w:rPr>
                    <w:t>无组织</w:t>
                  </w:r>
                </w:p>
              </w:tc>
              <w:tc>
                <w:tcPr>
                  <w:tcW w:w="1067" w:type="pct"/>
                  <w:vAlign w:val="center"/>
                </w:tcPr>
                <w:p w14:paraId="5CA4A198">
                  <w:pPr>
                    <w:overflowPunct w:val="0"/>
                    <w:adjustRightInd w:val="0"/>
                    <w:snapToGrid w:val="0"/>
                    <w:jc w:val="center"/>
                    <w:rPr>
                      <w:bCs/>
                      <w:color w:val="auto"/>
                      <w:sz w:val="21"/>
                      <w:szCs w:val="21"/>
                    </w:rPr>
                  </w:pPr>
                  <w:r>
                    <w:rPr>
                      <w:bCs/>
                      <w:color w:val="auto"/>
                      <w:sz w:val="21"/>
                      <w:szCs w:val="21"/>
                    </w:rPr>
                    <w:t>厂界</w:t>
                  </w:r>
                </w:p>
              </w:tc>
              <w:tc>
                <w:tcPr>
                  <w:tcW w:w="893" w:type="pct"/>
                  <w:vAlign w:val="center"/>
                </w:tcPr>
                <w:p w14:paraId="233D96FB">
                  <w:pPr>
                    <w:overflowPunct w:val="0"/>
                    <w:adjustRightInd w:val="0"/>
                    <w:snapToGrid w:val="0"/>
                    <w:jc w:val="center"/>
                    <w:rPr>
                      <w:bCs/>
                      <w:color w:val="auto"/>
                      <w:sz w:val="21"/>
                      <w:szCs w:val="21"/>
                    </w:rPr>
                  </w:pPr>
                  <w:r>
                    <w:rPr>
                      <w:bCs/>
                      <w:color w:val="auto"/>
                      <w:sz w:val="21"/>
                      <w:szCs w:val="21"/>
                    </w:rPr>
                    <w:t>颗粒物</w:t>
                  </w:r>
                </w:p>
              </w:tc>
              <w:tc>
                <w:tcPr>
                  <w:tcW w:w="1072" w:type="pct"/>
                  <w:vAlign w:val="center"/>
                </w:tcPr>
                <w:p w14:paraId="64FBD128">
                  <w:pPr>
                    <w:overflowPunct w:val="0"/>
                    <w:adjustRightInd w:val="0"/>
                    <w:snapToGrid w:val="0"/>
                    <w:jc w:val="center"/>
                    <w:rPr>
                      <w:rFonts w:hint="eastAsia" w:eastAsia="宋体"/>
                      <w:bCs/>
                      <w:color w:val="auto"/>
                      <w:sz w:val="21"/>
                      <w:szCs w:val="21"/>
                      <w:highlight w:val="none"/>
                      <w:lang w:eastAsia="zh-CN"/>
                    </w:rPr>
                  </w:pPr>
                  <w:r>
                    <w:rPr>
                      <w:bCs/>
                      <w:color w:val="auto"/>
                      <w:sz w:val="21"/>
                      <w:szCs w:val="21"/>
                      <w:highlight w:val="none"/>
                    </w:rPr>
                    <w:t>1次/</w:t>
                  </w:r>
                  <w:r>
                    <w:rPr>
                      <w:rFonts w:hint="eastAsia"/>
                      <w:bCs/>
                      <w:color w:val="auto"/>
                      <w:sz w:val="21"/>
                      <w:szCs w:val="21"/>
                      <w:highlight w:val="none"/>
                      <w:lang w:val="en-US" w:eastAsia="zh-CN"/>
                    </w:rPr>
                    <w:t>季度</w:t>
                  </w:r>
                </w:p>
              </w:tc>
              <w:tc>
                <w:tcPr>
                  <w:tcW w:w="893" w:type="pct"/>
                  <w:vAlign w:val="center"/>
                </w:tcPr>
                <w:p w14:paraId="7038B32B">
                  <w:pPr>
                    <w:overflowPunct w:val="0"/>
                    <w:adjustRightInd w:val="0"/>
                    <w:snapToGrid w:val="0"/>
                    <w:jc w:val="center"/>
                    <w:rPr>
                      <w:bCs/>
                      <w:color w:val="auto"/>
                      <w:sz w:val="21"/>
                      <w:szCs w:val="21"/>
                    </w:rPr>
                  </w:pPr>
                  <w:r>
                    <w:rPr>
                      <w:rFonts w:hint="eastAsia"/>
                      <w:bCs/>
                      <w:color w:val="auto"/>
                      <w:sz w:val="21"/>
                      <w:szCs w:val="21"/>
                      <w:lang w:val="en-US" w:eastAsia="zh-CN"/>
                    </w:rPr>
                    <w:t>0.5</w:t>
                  </w:r>
                  <w:r>
                    <w:rPr>
                      <w:bCs/>
                      <w:color w:val="auto"/>
                      <w:sz w:val="21"/>
                      <w:szCs w:val="21"/>
                    </w:rPr>
                    <w:t>mg/m</w:t>
                  </w:r>
                  <w:r>
                    <w:rPr>
                      <w:bCs/>
                      <w:color w:val="auto"/>
                      <w:sz w:val="21"/>
                      <w:szCs w:val="21"/>
                      <w:vertAlign w:val="superscript"/>
                    </w:rPr>
                    <w:t>3</w:t>
                  </w:r>
                </w:p>
              </w:tc>
            </w:tr>
            <w:tr w14:paraId="7470F6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72" w:type="pct"/>
                  <w:vAlign w:val="center"/>
                </w:tcPr>
                <w:p w14:paraId="1764207A">
                  <w:pPr>
                    <w:overflowPunct w:val="0"/>
                    <w:adjustRightInd w:val="0"/>
                    <w:snapToGrid w:val="0"/>
                    <w:jc w:val="center"/>
                    <w:rPr>
                      <w:rFonts w:hint="eastAsia" w:eastAsia="宋体"/>
                      <w:bCs/>
                      <w:color w:val="auto"/>
                      <w:sz w:val="21"/>
                      <w:szCs w:val="21"/>
                      <w:lang w:val="en-US" w:eastAsia="zh-CN"/>
                    </w:rPr>
                  </w:pPr>
                  <w:r>
                    <w:rPr>
                      <w:rFonts w:hint="eastAsia"/>
                      <w:bCs/>
                      <w:color w:val="auto"/>
                      <w:sz w:val="21"/>
                      <w:szCs w:val="21"/>
                      <w:lang w:val="en-US" w:eastAsia="zh-CN"/>
                    </w:rPr>
                    <w:t>有组织</w:t>
                  </w:r>
                </w:p>
              </w:tc>
              <w:tc>
                <w:tcPr>
                  <w:tcW w:w="1067" w:type="pct"/>
                  <w:vAlign w:val="center"/>
                </w:tcPr>
                <w:p w14:paraId="25724D9B">
                  <w:pPr>
                    <w:overflowPunct w:val="0"/>
                    <w:adjustRightInd w:val="0"/>
                    <w:snapToGrid w:val="0"/>
                    <w:jc w:val="center"/>
                    <w:rPr>
                      <w:rFonts w:hint="default" w:eastAsia="宋体"/>
                      <w:bCs/>
                      <w:color w:val="auto"/>
                      <w:sz w:val="21"/>
                      <w:szCs w:val="21"/>
                      <w:lang w:val="en-US" w:eastAsia="zh-CN"/>
                    </w:rPr>
                  </w:pPr>
                  <w:r>
                    <w:rPr>
                      <w:rFonts w:hint="eastAsia"/>
                      <w:bCs/>
                      <w:color w:val="auto"/>
                      <w:sz w:val="21"/>
                      <w:szCs w:val="21"/>
                      <w:lang w:val="en-US" w:eastAsia="zh-CN"/>
                    </w:rPr>
                    <w:t>DA001</w:t>
                  </w:r>
                </w:p>
              </w:tc>
              <w:tc>
                <w:tcPr>
                  <w:tcW w:w="893" w:type="pct"/>
                  <w:vAlign w:val="center"/>
                </w:tcPr>
                <w:p w14:paraId="71D2751D">
                  <w:pPr>
                    <w:overflowPunct w:val="0"/>
                    <w:adjustRightInd w:val="0"/>
                    <w:snapToGrid w:val="0"/>
                    <w:jc w:val="center"/>
                    <w:rPr>
                      <w:rFonts w:hint="eastAsia" w:eastAsia="宋体"/>
                      <w:bCs/>
                      <w:color w:val="auto"/>
                      <w:sz w:val="21"/>
                      <w:szCs w:val="21"/>
                      <w:lang w:val="en-US" w:eastAsia="zh-CN"/>
                    </w:rPr>
                  </w:pPr>
                  <w:r>
                    <w:rPr>
                      <w:rFonts w:hint="eastAsia"/>
                      <w:bCs/>
                      <w:color w:val="auto"/>
                      <w:sz w:val="21"/>
                      <w:szCs w:val="21"/>
                      <w:lang w:val="en-US" w:eastAsia="zh-CN"/>
                    </w:rPr>
                    <w:t>颗粒物</w:t>
                  </w:r>
                </w:p>
              </w:tc>
              <w:tc>
                <w:tcPr>
                  <w:tcW w:w="1072" w:type="pct"/>
                  <w:vAlign w:val="center"/>
                </w:tcPr>
                <w:p w14:paraId="5E4782B4">
                  <w:pPr>
                    <w:overflowPunct w:val="0"/>
                    <w:adjustRightInd w:val="0"/>
                    <w:snapToGrid w:val="0"/>
                    <w:jc w:val="center"/>
                    <w:rPr>
                      <w:bCs/>
                      <w:color w:val="auto"/>
                      <w:sz w:val="21"/>
                      <w:szCs w:val="21"/>
                      <w:highlight w:val="none"/>
                    </w:rPr>
                  </w:pPr>
                  <w:r>
                    <w:rPr>
                      <w:bCs/>
                      <w:color w:val="auto"/>
                      <w:sz w:val="21"/>
                      <w:szCs w:val="21"/>
                      <w:highlight w:val="none"/>
                    </w:rPr>
                    <w:t>1次/每</w:t>
                  </w:r>
                  <w:r>
                    <w:rPr>
                      <w:rFonts w:hint="eastAsia"/>
                      <w:bCs/>
                      <w:color w:val="auto"/>
                      <w:sz w:val="21"/>
                      <w:szCs w:val="21"/>
                      <w:highlight w:val="none"/>
                      <w:lang w:val="en-US" w:eastAsia="zh-CN"/>
                    </w:rPr>
                    <w:t>两</w:t>
                  </w:r>
                  <w:r>
                    <w:rPr>
                      <w:bCs/>
                      <w:color w:val="auto"/>
                      <w:sz w:val="21"/>
                      <w:szCs w:val="21"/>
                      <w:highlight w:val="none"/>
                    </w:rPr>
                    <w:t>年</w:t>
                  </w:r>
                </w:p>
              </w:tc>
              <w:tc>
                <w:tcPr>
                  <w:tcW w:w="893" w:type="pct"/>
                  <w:vAlign w:val="center"/>
                </w:tcPr>
                <w:p w14:paraId="5DF46AC9">
                  <w:pPr>
                    <w:overflowPunct w:val="0"/>
                    <w:adjustRightInd w:val="0"/>
                    <w:snapToGrid w:val="0"/>
                    <w:jc w:val="center"/>
                    <w:rPr>
                      <w:rFonts w:hint="eastAsia"/>
                      <w:bCs/>
                      <w:color w:val="auto"/>
                      <w:sz w:val="21"/>
                      <w:szCs w:val="21"/>
                      <w:lang w:val="en-US" w:eastAsia="zh-CN"/>
                    </w:rPr>
                  </w:pPr>
                  <w:r>
                    <w:rPr>
                      <w:rFonts w:hint="eastAsia"/>
                      <w:bCs/>
                      <w:color w:val="auto"/>
                      <w:sz w:val="21"/>
                      <w:szCs w:val="21"/>
                      <w:lang w:val="en-US" w:eastAsia="zh-CN"/>
                    </w:rPr>
                    <w:t>20</w:t>
                  </w:r>
                  <w:r>
                    <w:rPr>
                      <w:bCs/>
                      <w:color w:val="auto"/>
                      <w:sz w:val="21"/>
                      <w:szCs w:val="21"/>
                    </w:rPr>
                    <w:t>mg/m</w:t>
                  </w:r>
                  <w:r>
                    <w:rPr>
                      <w:bCs/>
                      <w:color w:val="auto"/>
                      <w:sz w:val="21"/>
                      <w:szCs w:val="21"/>
                      <w:vertAlign w:val="superscript"/>
                    </w:rPr>
                    <w:t>3</w:t>
                  </w:r>
                </w:p>
              </w:tc>
            </w:tr>
          </w:tbl>
          <w:p w14:paraId="76D5FE6C">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kern w:val="2"/>
                <w:sz w:val="24"/>
                <w:szCs w:val="24"/>
                <w:lang w:val="en-US" w:eastAsia="zh-CN" w:bidi="ar-SA"/>
              </w:rPr>
              <w:t>2.</w:t>
            </w:r>
            <w:r>
              <w:rPr>
                <w:rFonts w:hint="eastAsia" w:ascii="Times New Roman" w:hAnsi="Times New Roman" w:eastAsia="宋体" w:cs="Times New Roman"/>
                <w:b/>
                <w:bCs/>
                <w:color w:val="auto"/>
                <w:sz w:val="24"/>
              </w:rPr>
              <w:t>废水</w:t>
            </w:r>
          </w:p>
          <w:p w14:paraId="6D780076">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本项目废水污染主要来源于生产废水和职工日常生活所产生的生活污水。</w:t>
            </w:r>
          </w:p>
          <w:p w14:paraId="4919F5C1">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2.1</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生产废水</w:t>
            </w:r>
          </w:p>
          <w:p w14:paraId="5260C0D4">
            <w:pPr>
              <w:spacing w:line="360" w:lineRule="auto"/>
              <w:ind w:firstLine="480" w:firstLineChars="200"/>
              <w:rPr>
                <w:rFonts w:hint="eastAsia" w:cs="Times New Roman"/>
                <w:color w:val="auto"/>
                <w:kern w:val="0"/>
                <w:sz w:val="24"/>
                <w:lang w:val="en-US" w:eastAsia="zh-CN"/>
              </w:rPr>
            </w:pPr>
            <w:r>
              <w:rPr>
                <w:rFonts w:ascii="Times New Roman" w:hAnsi="Times New Roman" w:eastAsia="宋体" w:cs="Times New Roman"/>
                <w:color w:val="auto"/>
                <w:kern w:val="0"/>
                <w:sz w:val="24"/>
              </w:rPr>
              <w:t>本项目</w:t>
            </w:r>
            <w:r>
              <w:rPr>
                <w:rFonts w:hint="eastAsia" w:cs="Times New Roman"/>
                <w:color w:val="auto"/>
                <w:kern w:val="0"/>
                <w:sz w:val="24"/>
                <w:lang w:val="en-US" w:eastAsia="zh-CN"/>
              </w:rPr>
              <w:t>产品用水全部进入产品，无损耗，</w:t>
            </w:r>
            <w:r>
              <w:rPr>
                <w:rFonts w:ascii="Times New Roman" w:hAnsi="Times New Roman" w:eastAsia="宋体" w:cs="Times New Roman"/>
                <w:color w:val="auto"/>
                <w:kern w:val="0"/>
                <w:sz w:val="24"/>
              </w:rPr>
              <w:t>产生的生产废水</w:t>
            </w:r>
            <w:r>
              <w:rPr>
                <w:rFonts w:hint="eastAsia" w:cs="Times New Roman"/>
                <w:color w:val="auto"/>
                <w:kern w:val="0"/>
                <w:sz w:val="24"/>
                <w:lang w:val="en-US" w:eastAsia="zh-CN"/>
              </w:rPr>
              <w:t>主要为搅拌罐清洗废水、车辆清洗废水、地面冲洗废水、料场降尘废水，其中搅拌罐清洗废水、车辆清洗废水</w:t>
            </w:r>
            <w:r>
              <w:rPr>
                <w:rFonts w:ascii="Times New Roman" w:hAnsi="Times New Roman" w:eastAsia="宋体" w:cs="Times New Roman"/>
                <w:color w:val="auto"/>
                <w:kern w:val="0"/>
                <w:sz w:val="24"/>
              </w:rPr>
              <w:t>循环利用，不外排</w:t>
            </w:r>
            <w:r>
              <w:rPr>
                <w:rFonts w:hint="eastAsia" w:cs="Times New Roman"/>
                <w:color w:val="auto"/>
                <w:kern w:val="0"/>
                <w:sz w:val="24"/>
                <w:lang w:eastAsia="zh-CN"/>
              </w:rPr>
              <w:t>，</w:t>
            </w:r>
            <w:r>
              <w:rPr>
                <w:rFonts w:hint="eastAsia" w:cs="Times New Roman"/>
                <w:color w:val="auto"/>
                <w:kern w:val="0"/>
                <w:sz w:val="24"/>
                <w:lang w:val="en-US" w:eastAsia="zh-CN"/>
              </w:rPr>
              <w:t>地面冲洗废水、料场降尘废水全部蒸腾。</w:t>
            </w:r>
          </w:p>
          <w:p w14:paraId="512120B0">
            <w:pPr>
              <w:spacing w:line="360" w:lineRule="auto"/>
              <w:ind w:firstLine="480" w:firstLineChars="200"/>
              <w:rPr>
                <w:color w:val="auto"/>
                <w:sz w:val="24"/>
              </w:rPr>
            </w:pPr>
            <w:r>
              <w:rPr>
                <w:rFonts w:hint="eastAsia" w:cs="Times New Roman"/>
                <w:color w:val="auto"/>
                <w:kern w:val="0"/>
                <w:sz w:val="24"/>
                <w:lang w:val="en-US" w:eastAsia="zh-CN"/>
              </w:rPr>
              <w:t>厂区搅拌罐清洗废水、车辆清洗废水总量为6720</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cs="Times New Roman"/>
                <w:color w:val="auto"/>
                <w:kern w:val="0"/>
                <w:sz w:val="24"/>
                <w:lang w:val="en-US" w:eastAsia="zh-CN"/>
              </w:rPr>
              <w:t>28</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废水排入三级沉淀池</w:t>
            </w:r>
            <w:r>
              <w:rPr>
                <w:rFonts w:hint="eastAsia" w:cs="Times New Roman"/>
                <w:color w:val="auto"/>
                <w:kern w:val="0"/>
                <w:sz w:val="24"/>
                <w:lang w:val="en-US" w:eastAsia="zh-CN"/>
              </w:rPr>
              <w:t>沉淀</w:t>
            </w:r>
            <w:r>
              <w:rPr>
                <w:rFonts w:hint="eastAsia" w:ascii="Times New Roman" w:hAnsi="Times New Roman" w:eastAsia="宋体" w:cs="Times New Roman"/>
                <w:color w:val="auto"/>
                <w:kern w:val="0"/>
                <w:sz w:val="24"/>
              </w:rPr>
              <w:t>处理，上清液全部回用</w:t>
            </w:r>
            <w:r>
              <w:rPr>
                <w:rFonts w:hint="eastAsia" w:cs="Times New Roman"/>
                <w:color w:val="auto"/>
                <w:kern w:val="0"/>
                <w:sz w:val="24"/>
                <w:lang w:val="en-US" w:eastAsia="zh-CN"/>
              </w:rPr>
              <w:t>于搅拌罐及车辆清洗，</w:t>
            </w:r>
            <w:r>
              <w:rPr>
                <w:rFonts w:hint="eastAsia" w:ascii="Times New Roman" w:hAnsi="Times New Roman" w:eastAsia="宋体" w:cs="Times New Roman"/>
                <w:color w:val="auto"/>
                <w:kern w:val="0"/>
                <w:sz w:val="24"/>
              </w:rPr>
              <w:t>不外排，废料沉降在</w:t>
            </w:r>
            <w:r>
              <w:rPr>
                <w:rFonts w:hint="eastAsia" w:cs="Times New Roman"/>
                <w:color w:val="auto"/>
                <w:kern w:val="0"/>
                <w:sz w:val="24"/>
                <w:lang w:val="en-US" w:eastAsia="zh-CN"/>
              </w:rPr>
              <w:t>三级</w:t>
            </w:r>
            <w:r>
              <w:rPr>
                <w:rFonts w:hint="eastAsia" w:ascii="Times New Roman" w:hAnsi="Times New Roman" w:eastAsia="宋体" w:cs="Times New Roman"/>
                <w:color w:val="auto"/>
                <w:kern w:val="0"/>
                <w:sz w:val="24"/>
              </w:rPr>
              <w:t>沉淀池池底，池底废料定期清理，</w:t>
            </w:r>
            <w:r>
              <w:rPr>
                <w:rFonts w:hint="eastAsia" w:cs="Times New Roman"/>
                <w:color w:val="auto"/>
                <w:kern w:val="0"/>
                <w:sz w:val="24"/>
                <w:lang w:val="en-US" w:eastAsia="zh-CN"/>
              </w:rPr>
              <w:t>回用于生产</w:t>
            </w:r>
            <w:r>
              <w:rPr>
                <w:rFonts w:hint="eastAsia" w:ascii="Times New Roman" w:hAnsi="Times New Roman" w:eastAsia="宋体" w:cs="Times New Roman"/>
                <w:color w:val="auto"/>
                <w:kern w:val="0"/>
                <w:sz w:val="24"/>
              </w:rPr>
              <w:t>。</w:t>
            </w:r>
          </w:p>
          <w:p w14:paraId="6FAAAE7F">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2.2</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生活污水</w:t>
            </w:r>
          </w:p>
          <w:p w14:paraId="09838ED6">
            <w:pPr>
              <w:adjustRightInd w:val="0"/>
              <w:snapToGrid w:val="0"/>
              <w:spacing w:line="360" w:lineRule="auto"/>
              <w:ind w:firstLine="480" w:firstLineChars="200"/>
              <w:rPr>
                <w:color w:val="auto"/>
                <w:sz w:val="24"/>
              </w:rPr>
            </w:pPr>
            <w:r>
              <w:rPr>
                <w:rFonts w:hint="eastAsia" w:ascii="Times New Roman" w:hAnsi="Times New Roman" w:eastAsia="宋体" w:cs="Times New Roman"/>
                <w:color w:val="auto"/>
                <w:kern w:val="0"/>
                <w:sz w:val="24"/>
              </w:rPr>
              <w:t>根据工程分析，项目生活污水排水总量为</w:t>
            </w:r>
            <w:r>
              <w:rPr>
                <w:rFonts w:hint="eastAsia" w:cs="Times New Roman"/>
                <w:color w:val="auto"/>
                <w:kern w:val="0"/>
                <w:sz w:val="24"/>
                <w:lang w:val="en-US" w:eastAsia="zh-CN"/>
              </w:rPr>
              <w:t>518.4</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w:t>
            </w:r>
            <w:r>
              <w:rPr>
                <w:rFonts w:hint="eastAsia" w:cs="Times New Roman"/>
                <w:color w:val="auto"/>
                <w:kern w:val="0"/>
                <w:sz w:val="24"/>
                <w:lang w:val="en-US" w:eastAsia="zh-CN"/>
              </w:rPr>
              <w:t>2.16</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/d），</w:t>
            </w:r>
            <w:r>
              <w:rPr>
                <w:rFonts w:hint="eastAsia" w:cs="Times New Roman"/>
                <w:color w:val="auto"/>
                <w:kern w:val="0"/>
                <w:sz w:val="24"/>
                <w:lang w:val="en-US" w:eastAsia="zh-CN"/>
              </w:rPr>
              <w:t>生活污水排放执行</w:t>
            </w: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农村生活污水处理排放标准（发布稿）</w:t>
            </w:r>
            <w:r>
              <w:rPr>
                <w:rFonts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DB65/4275-2019</w:t>
            </w:r>
            <w:r>
              <w:rPr>
                <w:rFonts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表2中C级排放浓度限值，</w:t>
            </w:r>
            <w:r>
              <w:rPr>
                <w:rFonts w:hint="eastAsia" w:ascii="Times New Roman" w:hAnsi="Times New Roman" w:eastAsia="宋体" w:cs="Times New Roman"/>
                <w:color w:val="auto"/>
                <w:kern w:val="0"/>
                <w:sz w:val="24"/>
              </w:rPr>
              <w:t>生活污水经一体化污水处理系统处理达标后用于</w:t>
            </w:r>
            <w:r>
              <w:rPr>
                <w:rFonts w:hint="eastAsia" w:cs="Times New Roman"/>
                <w:color w:val="auto"/>
                <w:kern w:val="0"/>
                <w:sz w:val="24"/>
                <w:lang w:val="en-US" w:eastAsia="zh-CN"/>
              </w:rPr>
              <w:t>厂区绿化</w:t>
            </w:r>
            <w:r>
              <w:rPr>
                <w:rFonts w:hint="eastAsia" w:ascii="Times New Roman" w:hAnsi="Times New Roman" w:eastAsia="宋体" w:cs="Times New Roman"/>
                <w:color w:val="auto"/>
                <w:kern w:val="0"/>
                <w:sz w:val="24"/>
              </w:rPr>
              <w:t>。本项目废水产排情况见表4-</w:t>
            </w:r>
            <w:r>
              <w:rPr>
                <w:rFonts w:hint="eastAsia" w:cs="Times New Roman"/>
                <w:color w:val="auto"/>
                <w:kern w:val="0"/>
                <w:sz w:val="24"/>
                <w:lang w:val="en-US" w:eastAsia="zh-CN"/>
              </w:rPr>
              <w:t>7</w:t>
            </w:r>
            <w:r>
              <w:rPr>
                <w:rFonts w:hint="eastAsia" w:ascii="Times New Roman" w:hAnsi="Times New Roman" w:eastAsia="宋体" w:cs="Times New Roman"/>
                <w:color w:val="auto"/>
                <w:kern w:val="0"/>
                <w:sz w:val="24"/>
              </w:rPr>
              <w:t>。</w:t>
            </w:r>
          </w:p>
          <w:p w14:paraId="0BF651A4">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w:t>
            </w:r>
            <w:r>
              <w:rPr>
                <w:rFonts w:hint="eastAsia" w:cs="Times New Roman"/>
                <w:color w:val="auto"/>
                <w:lang w:val="en-US" w:eastAsia="zh-CN"/>
              </w:rPr>
              <w:t>7</w:t>
            </w:r>
            <w:r>
              <w:rPr>
                <w:rFonts w:hint="default" w:ascii="Times New Roman" w:hAnsi="Times New Roman" w:eastAsia="宋体" w:cs="Times New Roman"/>
                <w:color w:val="auto"/>
              </w:rPr>
              <w:t xml:space="preserve">   本项目废水产排情况表</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915"/>
              <w:gridCol w:w="948"/>
              <w:gridCol w:w="743"/>
              <w:gridCol w:w="1153"/>
              <w:gridCol w:w="769"/>
              <w:gridCol w:w="962"/>
              <w:gridCol w:w="977"/>
              <w:gridCol w:w="1383"/>
            </w:tblGrid>
            <w:tr w14:paraId="37B69F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91" w:type="pct"/>
                  <w:vMerge w:val="restart"/>
                  <w:tcBorders>
                    <w:bottom w:val="single" w:color="auto" w:sz="12" w:space="0"/>
                  </w:tcBorders>
                  <w:vAlign w:val="center"/>
                </w:tcPr>
                <w:p w14:paraId="4A520211">
                  <w:pPr>
                    <w:pStyle w:val="8"/>
                    <w:spacing w:before="0" w:after="0" w:line="240" w:lineRule="auto"/>
                    <w:ind w:right="0"/>
                    <w:jc w:val="center"/>
                    <w:rPr>
                      <w:b/>
                      <w:bCs/>
                      <w:color w:val="auto"/>
                      <w:sz w:val="21"/>
                      <w:szCs w:val="21"/>
                    </w:rPr>
                  </w:pPr>
                  <w:r>
                    <w:rPr>
                      <w:rFonts w:hint="eastAsia"/>
                      <w:b/>
                      <w:bCs/>
                      <w:color w:val="auto"/>
                      <w:sz w:val="21"/>
                      <w:szCs w:val="21"/>
                    </w:rPr>
                    <w:t>污染源</w:t>
                  </w:r>
                </w:p>
              </w:tc>
              <w:tc>
                <w:tcPr>
                  <w:tcW w:w="537" w:type="pct"/>
                  <w:vMerge w:val="restart"/>
                  <w:tcBorders>
                    <w:bottom w:val="single" w:color="auto" w:sz="12" w:space="0"/>
                  </w:tcBorders>
                  <w:vAlign w:val="center"/>
                </w:tcPr>
                <w:p w14:paraId="176CABD8">
                  <w:pPr>
                    <w:pStyle w:val="8"/>
                    <w:spacing w:before="0" w:after="0" w:line="240" w:lineRule="auto"/>
                    <w:ind w:right="0"/>
                    <w:jc w:val="center"/>
                    <w:rPr>
                      <w:b/>
                      <w:bCs/>
                      <w:color w:val="auto"/>
                      <w:sz w:val="21"/>
                      <w:szCs w:val="21"/>
                    </w:rPr>
                  </w:pPr>
                  <w:r>
                    <w:rPr>
                      <w:rFonts w:hint="eastAsia"/>
                      <w:b/>
                      <w:bCs/>
                      <w:color w:val="auto"/>
                      <w:sz w:val="21"/>
                      <w:szCs w:val="21"/>
                    </w:rPr>
                    <w:t>污染物</w:t>
                  </w:r>
                </w:p>
              </w:tc>
              <w:tc>
                <w:tcPr>
                  <w:tcW w:w="992" w:type="pct"/>
                  <w:gridSpan w:val="2"/>
                  <w:tcBorders>
                    <w:bottom w:val="single" w:color="auto" w:sz="12" w:space="0"/>
                  </w:tcBorders>
                  <w:vAlign w:val="center"/>
                </w:tcPr>
                <w:p w14:paraId="13D2B90E">
                  <w:pPr>
                    <w:pStyle w:val="8"/>
                    <w:spacing w:before="0" w:after="0" w:line="240" w:lineRule="auto"/>
                    <w:ind w:right="0"/>
                    <w:jc w:val="center"/>
                    <w:rPr>
                      <w:b/>
                      <w:bCs/>
                      <w:color w:val="auto"/>
                      <w:sz w:val="21"/>
                      <w:szCs w:val="21"/>
                    </w:rPr>
                  </w:pPr>
                  <w:r>
                    <w:rPr>
                      <w:rFonts w:hint="eastAsia"/>
                      <w:b/>
                      <w:bCs/>
                      <w:color w:val="auto"/>
                      <w:sz w:val="21"/>
                      <w:szCs w:val="21"/>
                    </w:rPr>
                    <w:t>产生情况</w:t>
                  </w:r>
                </w:p>
              </w:tc>
              <w:tc>
                <w:tcPr>
                  <w:tcW w:w="676" w:type="pct"/>
                  <w:vMerge w:val="restart"/>
                  <w:tcBorders>
                    <w:bottom w:val="single" w:color="auto" w:sz="12" w:space="0"/>
                  </w:tcBorders>
                  <w:vAlign w:val="center"/>
                </w:tcPr>
                <w:p w14:paraId="0D154E14">
                  <w:pPr>
                    <w:pStyle w:val="8"/>
                    <w:spacing w:before="0" w:after="0" w:line="240" w:lineRule="auto"/>
                    <w:ind w:right="0"/>
                    <w:jc w:val="center"/>
                    <w:rPr>
                      <w:b/>
                      <w:bCs/>
                      <w:color w:val="auto"/>
                      <w:sz w:val="21"/>
                      <w:szCs w:val="21"/>
                    </w:rPr>
                  </w:pPr>
                  <w:r>
                    <w:rPr>
                      <w:rFonts w:hint="eastAsia"/>
                      <w:b/>
                      <w:bCs/>
                      <w:color w:val="auto"/>
                      <w:sz w:val="21"/>
                      <w:szCs w:val="21"/>
                    </w:rPr>
                    <w:t>治理措施</w:t>
                  </w:r>
                </w:p>
              </w:tc>
              <w:tc>
                <w:tcPr>
                  <w:tcW w:w="451" w:type="pct"/>
                  <w:vMerge w:val="restart"/>
                  <w:tcBorders>
                    <w:bottom w:val="single" w:color="auto" w:sz="12" w:space="0"/>
                  </w:tcBorders>
                  <w:vAlign w:val="center"/>
                </w:tcPr>
                <w:p w14:paraId="59E6DC4E">
                  <w:pPr>
                    <w:pStyle w:val="8"/>
                    <w:spacing w:before="0" w:after="0" w:line="240" w:lineRule="auto"/>
                    <w:ind w:right="0"/>
                    <w:jc w:val="center"/>
                    <w:rPr>
                      <w:b/>
                      <w:bCs/>
                      <w:color w:val="auto"/>
                      <w:sz w:val="21"/>
                      <w:szCs w:val="21"/>
                    </w:rPr>
                  </w:pPr>
                  <w:r>
                    <w:rPr>
                      <w:rFonts w:hint="eastAsia"/>
                      <w:b/>
                      <w:bCs/>
                      <w:color w:val="auto"/>
                      <w:sz w:val="21"/>
                      <w:szCs w:val="21"/>
                    </w:rPr>
                    <w:t>处理效率</w:t>
                  </w:r>
                </w:p>
              </w:tc>
              <w:tc>
                <w:tcPr>
                  <w:tcW w:w="1137" w:type="pct"/>
                  <w:gridSpan w:val="2"/>
                  <w:tcBorders>
                    <w:bottom w:val="single" w:color="auto" w:sz="12" w:space="0"/>
                  </w:tcBorders>
                  <w:vAlign w:val="center"/>
                </w:tcPr>
                <w:p w14:paraId="70B35D95">
                  <w:pPr>
                    <w:pStyle w:val="8"/>
                    <w:spacing w:before="0" w:after="0" w:line="240" w:lineRule="auto"/>
                    <w:ind w:right="0"/>
                    <w:jc w:val="center"/>
                    <w:rPr>
                      <w:b/>
                      <w:bCs/>
                      <w:color w:val="auto"/>
                      <w:sz w:val="21"/>
                      <w:szCs w:val="21"/>
                    </w:rPr>
                  </w:pPr>
                  <w:r>
                    <w:rPr>
                      <w:rFonts w:hint="eastAsia"/>
                      <w:b/>
                      <w:bCs/>
                      <w:color w:val="auto"/>
                      <w:sz w:val="21"/>
                      <w:szCs w:val="21"/>
                    </w:rPr>
                    <w:t>排放情况</w:t>
                  </w:r>
                </w:p>
              </w:tc>
              <w:tc>
                <w:tcPr>
                  <w:tcW w:w="811" w:type="pct"/>
                  <w:vMerge w:val="restart"/>
                  <w:tcBorders>
                    <w:bottom w:val="single" w:color="auto" w:sz="12" w:space="0"/>
                  </w:tcBorders>
                  <w:vAlign w:val="center"/>
                </w:tcPr>
                <w:p w14:paraId="54F7C327">
                  <w:pPr>
                    <w:pStyle w:val="8"/>
                    <w:spacing w:before="0" w:after="0" w:line="240" w:lineRule="auto"/>
                    <w:ind w:right="0"/>
                    <w:jc w:val="center"/>
                    <w:rPr>
                      <w:b/>
                      <w:bCs/>
                      <w:color w:val="auto"/>
                      <w:sz w:val="21"/>
                      <w:szCs w:val="21"/>
                    </w:rPr>
                  </w:pPr>
                  <w:r>
                    <w:rPr>
                      <w:rFonts w:hint="eastAsia"/>
                      <w:b/>
                      <w:bCs/>
                      <w:color w:val="auto"/>
                      <w:sz w:val="21"/>
                      <w:szCs w:val="21"/>
                    </w:rPr>
                    <w:t>排放标准mg/L</w:t>
                  </w:r>
                </w:p>
              </w:tc>
            </w:tr>
            <w:tr w14:paraId="13FB79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91" w:type="pct"/>
                  <w:vMerge w:val="continue"/>
                  <w:tcBorders>
                    <w:top w:val="single" w:color="auto" w:sz="12" w:space="0"/>
                    <w:tl2br w:val="nil"/>
                    <w:tr2bl w:val="nil"/>
                  </w:tcBorders>
                  <w:vAlign w:val="center"/>
                </w:tcPr>
                <w:p w14:paraId="2EFE51CB">
                  <w:pPr>
                    <w:pStyle w:val="8"/>
                    <w:spacing w:before="0" w:after="0" w:line="240" w:lineRule="auto"/>
                    <w:ind w:right="0"/>
                    <w:jc w:val="center"/>
                    <w:rPr>
                      <w:color w:val="auto"/>
                      <w:sz w:val="21"/>
                      <w:szCs w:val="21"/>
                    </w:rPr>
                  </w:pPr>
                </w:p>
              </w:tc>
              <w:tc>
                <w:tcPr>
                  <w:tcW w:w="537" w:type="pct"/>
                  <w:vMerge w:val="continue"/>
                  <w:tcBorders>
                    <w:top w:val="single" w:color="auto" w:sz="12" w:space="0"/>
                    <w:tl2br w:val="nil"/>
                    <w:tr2bl w:val="nil"/>
                  </w:tcBorders>
                  <w:vAlign w:val="center"/>
                </w:tcPr>
                <w:p w14:paraId="6B69FE22">
                  <w:pPr>
                    <w:pStyle w:val="8"/>
                    <w:spacing w:before="0" w:after="0" w:line="240" w:lineRule="auto"/>
                    <w:ind w:right="0"/>
                    <w:jc w:val="center"/>
                    <w:rPr>
                      <w:color w:val="auto"/>
                      <w:sz w:val="21"/>
                      <w:szCs w:val="21"/>
                    </w:rPr>
                  </w:pPr>
                </w:p>
              </w:tc>
              <w:tc>
                <w:tcPr>
                  <w:tcW w:w="556" w:type="pct"/>
                  <w:tcBorders>
                    <w:top w:val="single" w:color="auto" w:sz="12" w:space="0"/>
                    <w:tl2br w:val="nil"/>
                    <w:tr2bl w:val="nil"/>
                  </w:tcBorders>
                  <w:vAlign w:val="center"/>
                </w:tcPr>
                <w:p w14:paraId="4BBF969A">
                  <w:pPr>
                    <w:pStyle w:val="8"/>
                    <w:spacing w:before="0" w:after="0" w:line="240" w:lineRule="auto"/>
                    <w:ind w:right="0"/>
                    <w:jc w:val="center"/>
                    <w:rPr>
                      <w:b/>
                      <w:bCs/>
                      <w:color w:val="auto"/>
                      <w:sz w:val="21"/>
                      <w:szCs w:val="21"/>
                    </w:rPr>
                  </w:pPr>
                  <w:r>
                    <w:rPr>
                      <w:rFonts w:hint="eastAsia"/>
                      <w:b/>
                      <w:bCs/>
                      <w:color w:val="auto"/>
                      <w:sz w:val="21"/>
                      <w:szCs w:val="21"/>
                    </w:rPr>
                    <w:t>产生量t/a</w:t>
                  </w:r>
                </w:p>
              </w:tc>
              <w:tc>
                <w:tcPr>
                  <w:tcW w:w="436" w:type="pct"/>
                  <w:tcBorders>
                    <w:top w:val="single" w:color="auto" w:sz="12" w:space="0"/>
                    <w:tl2br w:val="nil"/>
                    <w:tr2bl w:val="nil"/>
                  </w:tcBorders>
                  <w:vAlign w:val="center"/>
                </w:tcPr>
                <w:p w14:paraId="4D869CE0">
                  <w:pPr>
                    <w:pStyle w:val="8"/>
                    <w:spacing w:before="0" w:after="0" w:line="240" w:lineRule="auto"/>
                    <w:ind w:right="0"/>
                    <w:jc w:val="center"/>
                    <w:rPr>
                      <w:b/>
                      <w:bCs/>
                      <w:color w:val="auto"/>
                      <w:sz w:val="21"/>
                      <w:szCs w:val="21"/>
                    </w:rPr>
                  </w:pPr>
                  <w:r>
                    <w:rPr>
                      <w:rFonts w:hint="eastAsia"/>
                      <w:b/>
                      <w:bCs/>
                      <w:color w:val="auto"/>
                      <w:sz w:val="21"/>
                      <w:szCs w:val="21"/>
                    </w:rPr>
                    <w:t>产生浓度mg/L</w:t>
                  </w:r>
                </w:p>
              </w:tc>
              <w:tc>
                <w:tcPr>
                  <w:tcW w:w="676" w:type="pct"/>
                  <w:vMerge w:val="continue"/>
                  <w:tcBorders>
                    <w:top w:val="single" w:color="auto" w:sz="12" w:space="0"/>
                    <w:tl2br w:val="nil"/>
                    <w:tr2bl w:val="nil"/>
                  </w:tcBorders>
                  <w:vAlign w:val="center"/>
                </w:tcPr>
                <w:p w14:paraId="282EBFA8">
                  <w:pPr>
                    <w:pStyle w:val="8"/>
                    <w:spacing w:before="0" w:after="0" w:line="240" w:lineRule="auto"/>
                    <w:ind w:right="0"/>
                    <w:jc w:val="center"/>
                    <w:rPr>
                      <w:color w:val="auto"/>
                      <w:sz w:val="21"/>
                      <w:szCs w:val="21"/>
                    </w:rPr>
                  </w:pPr>
                </w:p>
              </w:tc>
              <w:tc>
                <w:tcPr>
                  <w:tcW w:w="451" w:type="pct"/>
                  <w:vMerge w:val="continue"/>
                  <w:tcBorders>
                    <w:top w:val="single" w:color="auto" w:sz="12" w:space="0"/>
                    <w:tl2br w:val="nil"/>
                    <w:tr2bl w:val="nil"/>
                  </w:tcBorders>
                  <w:vAlign w:val="center"/>
                </w:tcPr>
                <w:p w14:paraId="52798D3B">
                  <w:pPr>
                    <w:pStyle w:val="8"/>
                    <w:spacing w:before="0" w:after="0" w:line="240" w:lineRule="auto"/>
                    <w:ind w:right="0"/>
                    <w:jc w:val="center"/>
                    <w:rPr>
                      <w:color w:val="auto"/>
                      <w:sz w:val="21"/>
                      <w:szCs w:val="21"/>
                    </w:rPr>
                  </w:pPr>
                </w:p>
              </w:tc>
              <w:tc>
                <w:tcPr>
                  <w:tcW w:w="564" w:type="pct"/>
                  <w:tcBorders>
                    <w:top w:val="single" w:color="auto" w:sz="12" w:space="0"/>
                    <w:tl2br w:val="nil"/>
                    <w:tr2bl w:val="nil"/>
                  </w:tcBorders>
                  <w:vAlign w:val="center"/>
                </w:tcPr>
                <w:p w14:paraId="43996E2D">
                  <w:pPr>
                    <w:pStyle w:val="8"/>
                    <w:spacing w:before="0" w:after="0" w:line="240" w:lineRule="auto"/>
                    <w:ind w:right="0"/>
                    <w:jc w:val="center"/>
                    <w:rPr>
                      <w:b/>
                      <w:bCs/>
                      <w:color w:val="auto"/>
                      <w:sz w:val="21"/>
                      <w:szCs w:val="21"/>
                    </w:rPr>
                  </w:pPr>
                  <w:r>
                    <w:rPr>
                      <w:rFonts w:hint="eastAsia"/>
                      <w:b/>
                      <w:bCs/>
                      <w:color w:val="auto"/>
                      <w:sz w:val="21"/>
                      <w:szCs w:val="21"/>
                    </w:rPr>
                    <w:t>排放量t/a</w:t>
                  </w:r>
                </w:p>
              </w:tc>
              <w:tc>
                <w:tcPr>
                  <w:tcW w:w="573" w:type="pct"/>
                  <w:tcBorders>
                    <w:top w:val="single" w:color="auto" w:sz="12" w:space="0"/>
                    <w:tl2br w:val="nil"/>
                    <w:tr2bl w:val="nil"/>
                  </w:tcBorders>
                  <w:vAlign w:val="center"/>
                </w:tcPr>
                <w:p w14:paraId="28CCF822">
                  <w:pPr>
                    <w:pStyle w:val="8"/>
                    <w:spacing w:before="0" w:after="0" w:line="240" w:lineRule="auto"/>
                    <w:ind w:right="0"/>
                    <w:jc w:val="center"/>
                    <w:rPr>
                      <w:b/>
                      <w:bCs/>
                      <w:color w:val="auto"/>
                      <w:sz w:val="21"/>
                      <w:szCs w:val="21"/>
                    </w:rPr>
                  </w:pPr>
                  <w:r>
                    <w:rPr>
                      <w:rFonts w:hint="eastAsia"/>
                      <w:b/>
                      <w:bCs/>
                      <w:color w:val="auto"/>
                      <w:sz w:val="21"/>
                      <w:szCs w:val="21"/>
                    </w:rPr>
                    <w:t>排放浓度mg/L</w:t>
                  </w:r>
                </w:p>
              </w:tc>
              <w:tc>
                <w:tcPr>
                  <w:tcW w:w="811" w:type="pct"/>
                  <w:vMerge w:val="continue"/>
                  <w:tcBorders>
                    <w:top w:val="single" w:color="auto" w:sz="12" w:space="0"/>
                    <w:tl2br w:val="nil"/>
                    <w:tr2bl w:val="nil"/>
                  </w:tcBorders>
                  <w:vAlign w:val="center"/>
                </w:tcPr>
                <w:p w14:paraId="6442DC6F">
                  <w:pPr>
                    <w:pStyle w:val="8"/>
                    <w:spacing w:before="0" w:after="0" w:line="240" w:lineRule="auto"/>
                    <w:ind w:right="0"/>
                    <w:jc w:val="center"/>
                    <w:rPr>
                      <w:color w:val="auto"/>
                      <w:sz w:val="21"/>
                      <w:szCs w:val="21"/>
                    </w:rPr>
                  </w:pPr>
                </w:p>
              </w:tc>
            </w:tr>
            <w:tr w14:paraId="58C1CD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91" w:type="pct"/>
                  <w:vMerge w:val="restart"/>
                  <w:tcBorders>
                    <w:tl2br w:val="nil"/>
                    <w:tr2bl w:val="nil"/>
                  </w:tcBorders>
                  <w:vAlign w:val="center"/>
                </w:tcPr>
                <w:p w14:paraId="0F90655C">
                  <w:pPr>
                    <w:pStyle w:val="8"/>
                    <w:spacing w:before="0" w:after="0" w:line="240" w:lineRule="auto"/>
                    <w:ind w:right="0"/>
                    <w:jc w:val="center"/>
                    <w:rPr>
                      <w:rFonts w:hint="eastAsia" w:eastAsia="宋体"/>
                      <w:color w:val="auto"/>
                      <w:sz w:val="21"/>
                      <w:szCs w:val="21"/>
                      <w:lang w:val="en-US" w:eastAsia="zh-CN"/>
                    </w:rPr>
                  </w:pPr>
                  <w:r>
                    <w:rPr>
                      <w:rFonts w:hint="eastAsia"/>
                      <w:color w:val="auto"/>
                      <w:sz w:val="21"/>
                      <w:szCs w:val="21"/>
                      <w:lang w:val="en-US" w:eastAsia="zh-CN"/>
                    </w:rPr>
                    <w:t>生活污水</w:t>
                  </w:r>
                </w:p>
              </w:tc>
              <w:tc>
                <w:tcPr>
                  <w:tcW w:w="537" w:type="pct"/>
                  <w:tcBorders>
                    <w:tl2br w:val="nil"/>
                    <w:tr2bl w:val="nil"/>
                  </w:tcBorders>
                  <w:vAlign w:val="center"/>
                </w:tcPr>
                <w:p w14:paraId="32074FAC">
                  <w:pPr>
                    <w:pStyle w:val="8"/>
                    <w:spacing w:before="0" w:after="0" w:line="240" w:lineRule="auto"/>
                    <w:ind w:right="0"/>
                    <w:jc w:val="center"/>
                    <w:rPr>
                      <w:color w:val="auto"/>
                      <w:sz w:val="21"/>
                      <w:szCs w:val="21"/>
                    </w:rPr>
                  </w:pPr>
                  <w:r>
                    <w:rPr>
                      <w:rFonts w:hint="eastAsia"/>
                      <w:color w:val="auto"/>
                      <w:sz w:val="21"/>
                      <w:szCs w:val="21"/>
                      <w:lang w:val="en-US" w:eastAsia="zh-CN"/>
                    </w:rPr>
                    <w:t>C</w:t>
                  </w:r>
                  <w:r>
                    <w:rPr>
                      <w:color w:val="auto"/>
                      <w:sz w:val="21"/>
                      <w:szCs w:val="21"/>
                    </w:rPr>
                    <w:t>OD</w:t>
                  </w:r>
                </w:p>
              </w:tc>
              <w:tc>
                <w:tcPr>
                  <w:tcW w:w="556" w:type="pct"/>
                  <w:tcBorders>
                    <w:tl2br w:val="nil"/>
                    <w:tr2bl w:val="nil"/>
                  </w:tcBorders>
                  <w:vAlign w:val="center"/>
                </w:tcPr>
                <w:p w14:paraId="3D2EA212">
                  <w:pPr>
                    <w:pStyle w:val="8"/>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0.16</w:t>
                  </w:r>
                </w:p>
              </w:tc>
              <w:tc>
                <w:tcPr>
                  <w:tcW w:w="436" w:type="pct"/>
                  <w:tcBorders>
                    <w:tl2br w:val="nil"/>
                    <w:tr2bl w:val="nil"/>
                  </w:tcBorders>
                  <w:vAlign w:val="center"/>
                </w:tcPr>
                <w:p w14:paraId="6554C62A">
                  <w:pPr>
                    <w:pStyle w:val="8"/>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300</w:t>
                  </w:r>
                </w:p>
              </w:tc>
              <w:tc>
                <w:tcPr>
                  <w:tcW w:w="676" w:type="pct"/>
                  <w:vMerge w:val="restart"/>
                  <w:tcBorders>
                    <w:tl2br w:val="nil"/>
                    <w:tr2bl w:val="nil"/>
                  </w:tcBorders>
                  <w:vAlign w:val="center"/>
                </w:tcPr>
                <w:p w14:paraId="11B40160">
                  <w:pPr>
                    <w:pStyle w:val="8"/>
                    <w:spacing w:before="0" w:after="0" w:line="240" w:lineRule="auto"/>
                    <w:ind w:right="0"/>
                    <w:jc w:val="center"/>
                    <w:rPr>
                      <w:color w:val="auto"/>
                      <w:sz w:val="21"/>
                      <w:szCs w:val="21"/>
                    </w:rPr>
                  </w:pPr>
                  <w:r>
                    <w:rPr>
                      <w:rFonts w:hint="eastAsia"/>
                      <w:color w:val="auto"/>
                      <w:sz w:val="21"/>
                      <w:szCs w:val="21"/>
                    </w:rPr>
                    <w:t>地埋式一体化污水处理系统</w:t>
                  </w:r>
                </w:p>
              </w:tc>
              <w:tc>
                <w:tcPr>
                  <w:tcW w:w="451" w:type="pct"/>
                  <w:vMerge w:val="restart"/>
                  <w:tcBorders>
                    <w:tl2br w:val="nil"/>
                    <w:tr2bl w:val="nil"/>
                  </w:tcBorders>
                  <w:vAlign w:val="center"/>
                </w:tcPr>
                <w:p w14:paraId="62FC83E2">
                  <w:pPr>
                    <w:pStyle w:val="8"/>
                    <w:spacing w:before="0" w:after="0" w:line="240" w:lineRule="auto"/>
                    <w:ind w:right="0"/>
                    <w:jc w:val="center"/>
                    <w:rPr>
                      <w:color w:val="auto"/>
                      <w:sz w:val="21"/>
                      <w:szCs w:val="21"/>
                    </w:rPr>
                  </w:pPr>
                  <w:r>
                    <w:rPr>
                      <w:rFonts w:hint="eastAsia"/>
                      <w:color w:val="auto"/>
                      <w:sz w:val="21"/>
                      <w:szCs w:val="21"/>
                      <w:lang w:val="en-US" w:eastAsia="zh-CN"/>
                    </w:rPr>
                    <w:t>7</w:t>
                  </w:r>
                  <w:r>
                    <w:rPr>
                      <w:rFonts w:hint="eastAsia"/>
                      <w:color w:val="auto"/>
                      <w:sz w:val="21"/>
                      <w:szCs w:val="21"/>
                    </w:rPr>
                    <w:t>0</w:t>
                  </w:r>
                </w:p>
              </w:tc>
              <w:tc>
                <w:tcPr>
                  <w:tcW w:w="564" w:type="pct"/>
                  <w:tcBorders>
                    <w:tl2br w:val="nil"/>
                    <w:tr2bl w:val="nil"/>
                  </w:tcBorders>
                  <w:vAlign w:val="center"/>
                </w:tcPr>
                <w:p w14:paraId="7408BDF8">
                  <w:pPr>
                    <w:pStyle w:val="8"/>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0.048</w:t>
                  </w:r>
                </w:p>
              </w:tc>
              <w:tc>
                <w:tcPr>
                  <w:tcW w:w="573" w:type="pct"/>
                  <w:tcBorders>
                    <w:tl2br w:val="nil"/>
                    <w:tr2bl w:val="nil"/>
                  </w:tcBorders>
                  <w:vAlign w:val="center"/>
                </w:tcPr>
                <w:p w14:paraId="61A8A615">
                  <w:pPr>
                    <w:pStyle w:val="8"/>
                    <w:spacing w:before="0" w:after="0" w:line="240" w:lineRule="auto"/>
                    <w:ind w:right="0"/>
                    <w:jc w:val="center"/>
                    <w:rPr>
                      <w:color w:val="auto"/>
                      <w:sz w:val="21"/>
                      <w:szCs w:val="21"/>
                    </w:rPr>
                  </w:pPr>
                  <w:r>
                    <w:rPr>
                      <w:rFonts w:hint="eastAsia"/>
                      <w:color w:val="auto"/>
                      <w:sz w:val="21"/>
                      <w:szCs w:val="21"/>
                      <w:lang w:val="en-US" w:eastAsia="zh-CN"/>
                    </w:rPr>
                    <w:t>9</w:t>
                  </w:r>
                  <w:r>
                    <w:rPr>
                      <w:rFonts w:hint="eastAsia"/>
                      <w:color w:val="auto"/>
                      <w:sz w:val="21"/>
                      <w:szCs w:val="21"/>
                    </w:rPr>
                    <w:t>0</w:t>
                  </w:r>
                </w:p>
              </w:tc>
              <w:tc>
                <w:tcPr>
                  <w:tcW w:w="811" w:type="pct"/>
                  <w:tcBorders>
                    <w:tl2br w:val="nil"/>
                    <w:tr2bl w:val="nil"/>
                  </w:tcBorders>
                  <w:vAlign w:val="center"/>
                </w:tcPr>
                <w:p w14:paraId="35324635">
                  <w:pPr>
                    <w:pStyle w:val="8"/>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200</w:t>
                  </w:r>
                </w:p>
              </w:tc>
            </w:tr>
            <w:tr w14:paraId="3FB647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91" w:type="pct"/>
                  <w:vMerge w:val="continue"/>
                  <w:tcBorders>
                    <w:tl2br w:val="nil"/>
                    <w:tr2bl w:val="nil"/>
                  </w:tcBorders>
                  <w:vAlign w:val="center"/>
                </w:tcPr>
                <w:p w14:paraId="140CB2F1">
                  <w:pPr>
                    <w:pStyle w:val="8"/>
                    <w:spacing w:before="0" w:after="0" w:line="240" w:lineRule="auto"/>
                    <w:ind w:right="0"/>
                    <w:jc w:val="center"/>
                    <w:rPr>
                      <w:rFonts w:hint="eastAsia"/>
                      <w:color w:val="auto"/>
                      <w:sz w:val="21"/>
                      <w:szCs w:val="21"/>
                      <w:lang w:val="en-US" w:eastAsia="zh-CN"/>
                    </w:rPr>
                  </w:pPr>
                </w:p>
              </w:tc>
              <w:tc>
                <w:tcPr>
                  <w:tcW w:w="537" w:type="pct"/>
                  <w:tcBorders>
                    <w:tl2br w:val="nil"/>
                    <w:tr2bl w:val="nil"/>
                  </w:tcBorders>
                  <w:vAlign w:val="center"/>
                </w:tcPr>
                <w:p w14:paraId="5D4B268C">
                  <w:pPr>
                    <w:pStyle w:val="8"/>
                    <w:spacing w:before="0" w:after="0" w:line="240" w:lineRule="auto"/>
                    <w:ind w:right="0"/>
                    <w:jc w:val="center"/>
                    <w:rPr>
                      <w:rFonts w:hint="default"/>
                      <w:color w:val="auto"/>
                      <w:sz w:val="21"/>
                      <w:szCs w:val="21"/>
                      <w:lang w:val="en-US" w:eastAsia="zh-CN"/>
                    </w:rPr>
                  </w:pPr>
                  <w:r>
                    <w:rPr>
                      <w:rFonts w:hint="eastAsia"/>
                      <w:color w:val="auto"/>
                      <w:sz w:val="21"/>
                      <w:szCs w:val="21"/>
                      <w:lang w:val="en-US" w:eastAsia="zh-CN"/>
                    </w:rPr>
                    <w:t>BOD</w:t>
                  </w:r>
                </w:p>
              </w:tc>
              <w:tc>
                <w:tcPr>
                  <w:tcW w:w="556" w:type="pct"/>
                  <w:tcBorders>
                    <w:tl2br w:val="nil"/>
                    <w:tr2bl w:val="nil"/>
                  </w:tcBorders>
                  <w:vAlign w:val="center"/>
                </w:tcPr>
                <w:p w14:paraId="50487940">
                  <w:pPr>
                    <w:pStyle w:val="8"/>
                    <w:spacing w:before="0" w:after="0" w:line="240" w:lineRule="auto"/>
                    <w:ind w:right="0"/>
                    <w:jc w:val="center"/>
                    <w:rPr>
                      <w:rFonts w:hint="default"/>
                      <w:color w:val="auto"/>
                      <w:sz w:val="21"/>
                      <w:szCs w:val="21"/>
                      <w:lang w:val="en-US" w:eastAsia="zh-CN"/>
                    </w:rPr>
                  </w:pPr>
                  <w:r>
                    <w:rPr>
                      <w:rFonts w:hint="eastAsia"/>
                      <w:color w:val="auto"/>
                      <w:sz w:val="21"/>
                      <w:szCs w:val="21"/>
                      <w:lang w:val="en-US" w:eastAsia="zh-CN"/>
                    </w:rPr>
                    <w:t>0.1</w:t>
                  </w:r>
                </w:p>
              </w:tc>
              <w:tc>
                <w:tcPr>
                  <w:tcW w:w="436" w:type="pct"/>
                  <w:tcBorders>
                    <w:tl2br w:val="nil"/>
                    <w:tr2bl w:val="nil"/>
                  </w:tcBorders>
                  <w:vAlign w:val="center"/>
                </w:tcPr>
                <w:p w14:paraId="01288B41">
                  <w:pPr>
                    <w:pStyle w:val="8"/>
                    <w:spacing w:before="0" w:after="0" w:line="240" w:lineRule="auto"/>
                    <w:ind w:right="0"/>
                    <w:jc w:val="center"/>
                    <w:rPr>
                      <w:rFonts w:hint="default"/>
                      <w:color w:val="auto"/>
                      <w:sz w:val="21"/>
                      <w:szCs w:val="21"/>
                      <w:lang w:val="en-US" w:eastAsia="zh-CN"/>
                    </w:rPr>
                  </w:pPr>
                  <w:r>
                    <w:rPr>
                      <w:rFonts w:hint="eastAsia"/>
                      <w:color w:val="auto"/>
                      <w:sz w:val="21"/>
                      <w:szCs w:val="21"/>
                      <w:lang w:val="en-US" w:eastAsia="zh-CN"/>
                    </w:rPr>
                    <w:t>200</w:t>
                  </w:r>
                </w:p>
              </w:tc>
              <w:tc>
                <w:tcPr>
                  <w:tcW w:w="676" w:type="pct"/>
                  <w:vMerge w:val="continue"/>
                  <w:tcBorders>
                    <w:tl2br w:val="nil"/>
                    <w:tr2bl w:val="nil"/>
                  </w:tcBorders>
                  <w:vAlign w:val="center"/>
                </w:tcPr>
                <w:p w14:paraId="3A682C88">
                  <w:pPr>
                    <w:pStyle w:val="8"/>
                    <w:spacing w:before="0" w:after="0" w:line="240" w:lineRule="auto"/>
                    <w:ind w:right="0"/>
                    <w:jc w:val="center"/>
                    <w:rPr>
                      <w:rFonts w:hint="eastAsia"/>
                      <w:color w:val="auto"/>
                      <w:sz w:val="21"/>
                      <w:szCs w:val="21"/>
                    </w:rPr>
                  </w:pPr>
                </w:p>
              </w:tc>
              <w:tc>
                <w:tcPr>
                  <w:tcW w:w="451" w:type="pct"/>
                  <w:vMerge w:val="continue"/>
                  <w:tcBorders>
                    <w:tl2br w:val="nil"/>
                    <w:tr2bl w:val="nil"/>
                  </w:tcBorders>
                  <w:vAlign w:val="center"/>
                </w:tcPr>
                <w:p w14:paraId="05B4E91C">
                  <w:pPr>
                    <w:pStyle w:val="8"/>
                    <w:spacing w:before="0" w:after="0" w:line="240" w:lineRule="auto"/>
                    <w:ind w:right="0"/>
                    <w:jc w:val="center"/>
                    <w:rPr>
                      <w:rFonts w:hint="eastAsia"/>
                      <w:color w:val="auto"/>
                      <w:sz w:val="21"/>
                      <w:szCs w:val="21"/>
                      <w:lang w:val="en-US" w:eastAsia="zh-CN"/>
                    </w:rPr>
                  </w:pPr>
                </w:p>
              </w:tc>
              <w:tc>
                <w:tcPr>
                  <w:tcW w:w="564" w:type="pct"/>
                  <w:tcBorders>
                    <w:tl2br w:val="nil"/>
                    <w:tr2bl w:val="nil"/>
                  </w:tcBorders>
                  <w:vAlign w:val="center"/>
                </w:tcPr>
                <w:p w14:paraId="24CEB32E">
                  <w:pPr>
                    <w:pStyle w:val="8"/>
                    <w:spacing w:before="0" w:after="0" w:line="240" w:lineRule="auto"/>
                    <w:ind w:right="0"/>
                    <w:jc w:val="center"/>
                    <w:rPr>
                      <w:rFonts w:hint="default"/>
                      <w:color w:val="auto"/>
                      <w:sz w:val="21"/>
                      <w:szCs w:val="21"/>
                      <w:lang w:val="en-US" w:eastAsia="zh-CN"/>
                    </w:rPr>
                  </w:pPr>
                  <w:r>
                    <w:rPr>
                      <w:rFonts w:hint="eastAsia"/>
                      <w:color w:val="auto"/>
                      <w:sz w:val="21"/>
                      <w:szCs w:val="21"/>
                      <w:lang w:val="en-US" w:eastAsia="zh-CN"/>
                    </w:rPr>
                    <w:t>0.03</w:t>
                  </w:r>
                </w:p>
              </w:tc>
              <w:tc>
                <w:tcPr>
                  <w:tcW w:w="573" w:type="pct"/>
                  <w:tcBorders>
                    <w:tl2br w:val="nil"/>
                    <w:tr2bl w:val="nil"/>
                  </w:tcBorders>
                  <w:vAlign w:val="center"/>
                </w:tcPr>
                <w:p w14:paraId="3FA86A5E">
                  <w:pPr>
                    <w:pStyle w:val="8"/>
                    <w:spacing w:before="0" w:after="0" w:line="240" w:lineRule="auto"/>
                    <w:ind w:right="0"/>
                    <w:jc w:val="center"/>
                    <w:rPr>
                      <w:rFonts w:hint="default"/>
                      <w:color w:val="auto"/>
                      <w:sz w:val="21"/>
                      <w:szCs w:val="21"/>
                      <w:lang w:val="en-US" w:eastAsia="zh-CN"/>
                    </w:rPr>
                  </w:pPr>
                  <w:r>
                    <w:rPr>
                      <w:rFonts w:hint="eastAsia"/>
                      <w:color w:val="auto"/>
                      <w:sz w:val="21"/>
                      <w:szCs w:val="21"/>
                      <w:lang w:val="en-US" w:eastAsia="zh-CN"/>
                    </w:rPr>
                    <w:t>60</w:t>
                  </w:r>
                </w:p>
              </w:tc>
              <w:tc>
                <w:tcPr>
                  <w:tcW w:w="811" w:type="pct"/>
                  <w:tcBorders>
                    <w:tl2br w:val="nil"/>
                    <w:tr2bl w:val="nil"/>
                  </w:tcBorders>
                  <w:vAlign w:val="center"/>
                </w:tcPr>
                <w:p w14:paraId="224B67D2">
                  <w:pPr>
                    <w:pStyle w:val="8"/>
                    <w:spacing w:before="0" w:after="0" w:line="240" w:lineRule="auto"/>
                    <w:ind w:right="0"/>
                    <w:jc w:val="center"/>
                    <w:rPr>
                      <w:rFonts w:hint="default"/>
                      <w:color w:val="auto"/>
                      <w:sz w:val="21"/>
                      <w:szCs w:val="21"/>
                      <w:lang w:val="en-US" w:eastAsia="zh-CN"/>
                    </w:rPr>
                  </w:pPr>
                  <w:r>
                    <w:rPr>
                      <w:rFonts w:hint="eastAsia"/>
                      <w:color w:val="auto"/>
                      <w:sz w:val="21"/>
                      <w:szCs w:val="21"/>
                      <w:lang w:val="en-US" w:eastAsia="zh-CN"/>
                    </w:rPr>
                    <w:t>/</w:t>
                  </w:r>
                </w:p>
              </w:tc>
            </w:tr>
            <w:tr w14:paraId="428D55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91" w:type="pct"/>
                  <w:vMerge w:val="continue"/>
                  <w:tcBorders>
                    <w:tl2br w:val="nil"/>
                    <w:tr2bl w:val="nil"/>
                  </w:tcBorders>
                  <w:vAlign w:val="center"/>
                </w:tcPr>
                <w:p w14:paraId="20D84BA5">
                  <w:pPr>
                    <w:pStyle w:val="8"/>
                    <w:spacing w:before="0" w:after="0" w:line="240" w:lineRule="auto"/>
                    <w:ind w:right="0"/>
                    <w:jc w:val="center"/>
                    <w:rPr>
                      <w:color w:val="auto"/>
                      <w:sz w:val="21"/>
                      <w:szCs w:val="21"/>
                    </w:rPr>
                  </w:pPr>
                </w:p>
              </w:tc>
              <w:tc>
                <w:tcPr>
                  <w:tcW w:w="537" w:type="pct"/>
                  <w:tcBorders>
                    <w:tl2br w:val="nil"/>
                    <w:tr2bl w:val="nil"/>
                  </w:tcBorders>
                  <w:vAlign w:val="center"/>
                </w:tcPr>
                <w:p w14:paraId="464AE9DF">
                  <w:pPr>
                    <w:pStyle w:val="8"/>
                    <w:spacing w:before="0" w:after="0" w:line="240" w:lineRule="auto"/>
                    <w:ind w:right="0"/>
                    <w:jc w:val="center"/>
                    <w:rPr>
                      <w:color w:val="auto"/>
                      <w:sz w:val="21"/>
                      <w:szCs w:val="21"/>
                    </w:rPr>
                  </w:pPr>
                  <w:r>
                    <w:rPr>
                      <w:color w:val="auto"/>
                      <w:sz w:val="21"/>
                      <w:szCs w:val="21"/>
                    </w:rPr>
                    <w:t>NH</w:t>
                  </w:r>
                  <w:r>
                    <w:rPr>
                      <w:color w:val="auto"/>
                      <w:sz w:val="21"/>
                      <w:szCs w:val="21"/>
                      <w:vertAlign w:val="subscript"/>
                    </w:rPr>
                    <w:t>3</w:t>
                  </w:r>
                  <w:r>
                    <w:rPr>
                      <w:color w:val="auto"/>
                      <w:sz w:val="21"/>
                      <w:szCs w:val="21"/>
                    </w:rPr>
                    <w:t>-N</w:t>
                  </w:r>
                </w:p>
              </w:tc>
              <w:tc>
                <w:tcPr>
                  <w:tcW w:w="556" w:type="pct"/>
                  <w:tcBorders>
                    <w:tl2br w:val="nil"/>
                    <w:tr2bl w:val="nil"/>
                  </w:tcBorders>
                  <w:vAlign w:val="center"/>
                </w:tcPr>
                <w:p w14:paraId="4451EA41">
                  <w:pPr>
                    <w:pStyle w:val="8"/>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0.02</w:t>
                  </w:r>
                </w:p>
              </w:tc>
              <w:tc>
                <w:tcPr>
                  <w:tcW w:w="436" w:type="pct"/>
                  <w:tcBorders>
                    <w:tl2br w:val="nil"/>
                    <w:tr2bl w:val="nil"/>
                  </w:tcBorders>
                  <w:vAlign w:val="center"/>
                </w:tcPr>
                <w:p w14:paraId="2B97F8B9">
                  <w:pPr>
                    <w:pStyle w:val="8"/>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45</w:t>
                  </w:r>
                </w:p>
              </w:tc>
              <w:tc>
                <w:tcPr>
                  <w:tcW w:w="676" w:type="pct"/>
                  <w:vMerge w:val="continue"/>
                  <w:tcBorders>
                    <w:tl2br w:val="nil"/>
                    <w:tr2bl w:val="nil"/>
                  </w:tcBorders>
                  <w:vAlign w:val="center"/>
                </w:tcPr>
                <w:p w14:paraId="7EC82F4F">
                  <w:pPr>
                    <w:pStyle w:val="8"/>
                    <w:spacing w:before="0" w:after="0" w:line="240" w:lineRule="auto"/>
                    <w:ind w:right="0"/>
                    <w:jc w:val="center"/>
                    <w:rPr>
                      <w:color w:val="auto"/>
                      <w:sz w:val="21"/>
                      <w:szCs w:val="21"/>
                    </w:rPr>
                  </w:pPr>
                </w:p>
              </w:tc>
              <w:tc>
                <w:tcPr>
                  <w:tcW w:w="451" w:type="pct"/>
                  <w:vMerge w:val="continue"/>
                  <w:tcBorders>
                    <w:tl2br w:val="nil"/>
                    <w:tr2bl w:val="nil"/>
                  </w:tcBorders>
                  <w:vAlign w:val="center"/>
                </w:tcPr>
                <w:p w14:paraId="53DAC172">
                  <w:pPr>
                    <w:pStyle w:val="8"/>
                    <w:spacing w:before="0" w:after="0" w:line="240" w:lineRule="auto"/>
                    <w:ind w:right="0"/>
                    <w:jc w:val="center"/>
                    <w:rPr>
                      <w:color w:val="auto"/>
                      <w:sz w:val="21"/>
                      <w:szCs w:val="21"/>
                    </w:rPr>
                  </w:pPr>
                </w:p>
              </w:tc>
              <w:tc>
                <w:tcPr>
                  <w:tcW w:w="564" w:type="pct"/>
                  <w:tcBorders>
                    <w:tl2br w:val="nil"/>
                    <w:tr2bl w:val="nil"/>
                  </w:tcBorders>
                  <w:vAlign w:val="center"/>
                </w:tcPr>
                <w:p w14:paraId="04A27540">
                  <w:pPr>
                    <w:pStyle w:val="8"/>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0.006</w:t>
                  </w:r>
                </w:p>
              </w:tc>
              <w:tc>
                <w:tcPr>
                  <w:tcW w:w="573" w:type="pct"/>
                  <w:tcBorders>
                    <w:tl2br w:val="nil"/>
                    <w:tr2bl w:val="nil"/>
                  </w:tcBorders>
                  <w:vAlign w:val="center"/>
                </w:tcPr>
                <w:p w14:paraId="5A8D0B48">
                  <w:pPr>
                    <w:pStyle w:val="8"/>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13.5</w:t>
                  </w:r>
                </w:p>
              </w:tc>
              <w:tc>
                <w:tcPr>
                  <w:tcW w:w="811" w:type="pct"/>
                  <w:tcBorders>
                    <w:tl2br w:val="nil"/>
                    <w:tr2bl w:val="nil"/>
                  </w:tcBorders>
                  <w:vAlign w:val="center"/>
                </w:tcPr>
                <w:p w14:paraId="464F3201">
                  <w:pPr>
                    <w:pStyle w:val="8"/>
                    <w:spacing w:before="0" w:after="0" w:line="240" w:lineRule="auto"/>
                    <w:ind w:right="0"/>
                    <w:jc w:val="center"/>
                    <w:rPr>
                      <w:rFonts w:hint="eastAsia" w:eastAsia="宋体"/>
                      <w:color w:val="auto"/>
                      <w:sz w:val="21"/>
                      <w:szCs w:val="21"/>
                      <w:lang w:eastAsia="zh-CN"/>
                    </w:rPr>
                  </w:pPr>
                  <w:r>
                    <w:rPr>
                      <w:rFonts w:hint="eastAsia"/>
                      <w:color w:val="auto"/>
                      <w:sz w:val="21"/>
                      <w:szCs w:val="21"/>
                      <w:lang w:val="en-US" w:eastAsia="zh-CN"/>
                    </w:rPr>
                    <w:t>/</w:t>
                  </w:r>
                </w:p>
              </w:tc>
            </w:tr>
            <w:tr w14:paraId="54A1B3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91" w:type="pct"/>
                  <w:vMerge w:val="continue"/>
                  <w:tcBorders>
                    <w:tl2br w:val="nil"/>
                    <w:tr2bl w:val="nil"/>
                  </w:tcBorders>
                  <w:vAlign w:val="center"/>
                </w:tcPr>
                <w:p w14:paraId="5B60AD11">
                  <w:pPr>
                    <w:pStyle w:val="8"/>
                    <w:spacing w:before="0" w:after="0" w:line="240" w:lineRule="auto"/>
                    <w:ind w:right="0"/>
                    <w:jc w:val="center"/>
                    <w:rPr>
                      <w:color w:val="auto"/>
                      <w:sz w:val="21"/>
                      <w:szCs w:val="21"/>
                    </w:rPr>
                  </w:pPr>
                </w:p>
              </w:tc>
              <w:tc>
                <w:tcPr>
                  <w:tcW w:w="537" w:type="pct"/>
                  <w:tcBorders>
                    <w:tl2br w:val="nil"/>
                    <w:tr2bl w:val="nil"/>
                  </w:tcBorders>
                  <w:vAlign w:val="center"/>
                </w:tcPr>
                <w:p w14:paraId="11D4EF23">
                  <w:pPr>
                    <w:pStyle w:val="8"/>
                    <w:spacing w:before="0" w:after="0" w:line="240" w:lineRule="auto"/>
                    <w:ind w:right="0"/>
                    <w:jc w:val="center"/>
                    <w:rPr>
                      <w:color w:val="auto"/>
                      <w:sz w:val="21"/>
                      <w:szCs w:val="21"/>
                    </w:rPr>
                  </w:pPr>
                  <w:r>
                    <w:rPr>
                      <w:color w:val="auto"/>
                      <w:sz w:val="21"/>
                      <w:szCs w:val="21"/>
                    </w:rPr>
                    <w:t>SS</w:t>
                  </w:r>
                </w:p>
              </w:tc>
              <w:tc>
                <w:tcPr>
                  <w:tcW w:w="556" w:type="pct"/>
                  <w:tcBorders>
                    <w:tl2br w:val="nil"/>
                    <w:tr2bl w:val="nil"/>
                  </w:tcBorders>
                  <w:vAlign w:val="center"/>
                </w:tcPr>
                <w:p w14:paraId="567D00A5">
                  <w:pPr>
                    <w:pStyle w:val="8"/>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0.1</w:t>
                  </w:r>
                </w:p>
              </w:tc>
              <w:tc>
                <w:tcPr>
                  <w:tcW w:w="436" w:type="pct"/>
                  <w:tcBorders>
                    <w:tl2br w:val="nil"/>
                    <w:tr2bl w:val="nil"/>
                  </w:tcBorders>
                  <w:vAlign w:val="center"/>
                </w:tcPr>
                <w:p w14:paraId="35811378">
                  <w:pPr>
                    <w:pStyle w:val="8"/>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200</w:t>
                  </w:r>
                </w:p>
              </w:tc>
              <w:tc>
                <w:tcPr>
                  <w:tcW w:w="676" w:type="pct"/>
                  <w:vMerge w:val="continue"/>
                  <w:tcBorders>
                    <w:tl2br w:val="nil"/>
                    <w:tr2bl w:val="nil"/>
                  </w:tcBorders>
                  <w:vAlign w:val="center"/>
                </w:tcPr>
                <w:p w14:paraId="153A02B4">
                  <w:pPr>
                    <w:pStyle w:val="8"/>
                    <w:spacing w:before="0" w:after="0" w:line="240" w:lineRule="auto"/>
                    <w:ind w:right="0"/>
                    <w:jc w:val="center"/>
                    <w:rPr>
                      <w:color w:val="auto"/>
                      <w:sz w:val="21"/>
                      <w:szCs w:val="21"/>
                    </w:rPr>
                  </w:pPr>
                </w:p>
              </w:tc>
              <w:tc>
                <w:tcPr>
                  <w:tcW w:w="451" w:type="pct"/>
                  <w:vMerge w:val="continue"/>
                  <w:tcBorders>
                    <w:tl2br w:val="nil"/>
                    <w:tr2bl w:val="nil"/>
                  </w:tcBorders>
                  <w:vAlign w:val="center"/>
                </w:tcPr>
                <w:p w14:paraId="2DADA5DE">
                  <w:pPr>
                    <w:pStyle w:val="8"/>
                    <w:spacing w:before="0" w:after="0" w:line="240" w:lineRule="auto"/>
                    <w:ind w:right="0"/>
                    <w:jc w:val="center"/>
                    <w:rPr>
                      <w:color w:val="auto"/>
                      <w:sz w:val="21"/>
                      <w:szCs w:val="21"/>
                    </w:rPr>
                  </w:pPr>
                </w:p>
              </w:tc>
              <w:tc>
                <w:tcPr>
                  <w:tcW w:w="564" w:type="pct"/>
                  <w:tcBorders>
                    <w:tl2br w:val="nil"/>
                    <w:tr2bl w:val="nil"/>
                  </w:tcBorders>
                  <w:vAlign w:val="center"/>
                </w:tcPr>
                <w:p w14:paraId="4E190558">
                  <w:pPr>
                    <w:pStyle w:val="8"/>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0.03</w:t>
                  </w:r>
                </w:p>
              </w:tc>
              <w:tc>
                <w:tcPr>
                  <w:tcW w:w="573" w:type="pct"/>
                  <w:tcBorders>
                    <w:tl2br w:val="nil"/>
                    <w:tr2bl w:val="nil"/>
                  </w:tcBorders>
                  <w:vAlign w:val="center"/>
                </w:tcPr>
                <w:p w14:paraId="23947581">
                  <w:pPr>
                    <w:pStyle w:val="8"/>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60</w:t>
                  </w:r>
                </w:p>
              </w:tc>
              <w:tc>
                <w:tcPr>
                  <w:tcW w:w="811" w:type="pct"/>
                  <w:tcBorders>
                    <w:tl2br w:val="nil"/>
                    <w:tr2bl w:val="nil"/>
                  </w:tcBorders>
                  <w:vAlign w:val="center"/>
                </w:tcPr>
                <w:p w14:paraId="4E873336">
                  <w:pPr>
                    <w:pStyle w:val="8"/>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100</w:t>
                  </w:r>
                </w:p>
              </w:tc>
            </w:tr>
          </w:tbl>
          <w:p w14:paraId="0D9DCAF1">
            <w:pPr>
              <w:spacing w:line="360" w:lineRule="auto"/>
              <w:ind w:firstLine="0" w:firstLineChars="0"/>
            </w:pPr>
            <w:r>
              <w:rPr>
                <w:b/>
                <w:bCs/>
                <w:color w:val="auto"/>
                <w:sz w:val="24"/>
                <w:szCs w:val="32"/>
                <w:highlight w:val="none"/>
              </w:rPr>
              <w:t>2.</w:t>
            </w:r>
            <w:r>
              <w:rPr>
                <w:rFonts w:hint="eastAsia"/>
                <w:b/>
                <w:bCs/>
                <w:color w:val="auto"/>
                <w:sz w:val="24"/>
                <w:szCs w:val="32"/>
                <w:highlight w:val="none"/>
                <w:lang w:val="en-US" w:eastAsia="zh-CN"/>
              </w:rPr>
              <w:t>3</w:t>
            </w:r>
            <w:r>
              <w:rPr>
                <w:b/>
                <w:bCs/>
                <w:color w:val="auto"/>
                <w:sz w:val="24"/>
                <w:szCs w:val="32"/>
                <w:highlight w:val="none"/>
              </w:rPr>
              <w:t xml:space="preserve"> 排放口设置情况</w:t>
            </w:r>
          </w:p>
          <w:p w14:paraId="1DB6E6F0">
            <w:pPr>
              <w:spacing w:line="360" w:lineRule="auto"/>
              <w:ind w:firstLine="480" w:firstLineChars="200"/>
              <w:rPr>
                <w:color w:val="auto"/>
                <w:sz w:val="24"/>
                <w:szCs w:val="32"/>
                <w:highlight w:val="none"/>
              </w:rPr>
            </w:pPr>
            <w:r>
              <w:rPr>
                <w:color w:val="auto"/>
                <w:sz w:val="24"/>
                <w:szCs w:val="32"/>
                <w:highlight w:val="none"/>
              </w:rPr>
              <w:t>本项目</w:t>
            </w:r>
            <w:r>
              <w:rPr>
                <w:rFonts w:hint="eastAsia"/>
                <w:color w:val="auto"/>
                <w:sz w:val="24"/>
                <w:szCs w:val="32"/>
                <w:highlight w:val="none"/>
                <w:lang w:val="en-US" w:eastAsia="zh-CN"/>
              </w:rPr>
              <w:t>生产废水循环使用不外排，</w:t>
            </w:r>
            <w:r>
              <w:rPr>
                <w:color w:val="auto"/>
                <w:sz w:val="24"/>
                <w:szCs w:val="32"/>
                <w:highlight w:val="none"/>
              </w:rPr>
              <w:t>生活污水</w:t>
            </w:r>
            <w:r>
              <w:rPr>
                <w:rFonts w:hint="eastAsia"/>
                <w:color w:val="auto"/>
                <w:sz w:val="24"/>
                <w:szCs w:val="32"/>
                <w:highlight w:val="none"/>
                <w:lang w:val="en-US" w:eastAsia="zh-CN"/>
              </w:rPr>
              <w:t>经地埋式一体化污水处理设施处理后用于厂区绿化。</w:t>
            </w:r>
            <w:r>
              <w:rPr>
                <w:color w:val="auto"/>
                <w:sz w:val="24"/>
                <w:szCs w:val="32"/>
                <w:highlight w:val="none"/>
              </w:rPr>
              <w:t>本项目废水污染治理设施情况见下表</w:t>
            </w:r>
            <w:r>
              <w:rPr>
                <w:rFonts w:hint="eastAsia"/>
                <w:color w:val="auto"/>
                <w:sz w:val="24"/>
                <w:szCs w:val="32"/>
                <w:highlight w:val="none"/>
                <w:lang w:val="en-US" w:eastAsia="zh-CN"/>
              </w:rPr>
              <w:t>4-8</w:t>
            </w:r>
            <w:r>
              <w:rPr>
                <w:color w:val="auto"/>
                <w:sz w:val="24"/>
                <w:szCs w:val="32"/>
                <w:highlight w:val="none"/>
              </w:rPr>
              <w:t>。</w:t>
            </w:r>
          </w:p>
          <w:p w14:paraId="0A985A22">
            <w:pPr>
              <w:spacing w:line="240" w:lineRule="auto"/>
              <w:jc w:val="center"/>
              <w:rPr>
                <w:b/>
                <w:bCs/>
                <w:color w:val="auto"/>
                <w:sz w:val="22"/>
                <w:szCs w:val="28"/>
                <w:highlight w:val="none"/>
              </w:rPr>
            </w:pPr>
            <w:r>
              <w:rPr>
                <w:b/>
                <w:bCs/>
                <w:color w:val="auto"/>
                <w:sz w:val="21"/>
                <w:szCs w:val="24"/>
                <w:highlight w:val="none"/>
              </w:rPr>
              <w:t>表</w:t>
            </w:r>
            <w:r>
              <w:rPr>
                <w:rFonts w:hint="eastAsia"/>
                <w:b/>
                <w:bCs/>
                <w:color w:val="auto"/>
                <w:sz w:val="21"/>
                <w:szCs w:val="24"/>
                <w:highlight w:val="none"/>
                <w:lang w:val="en-US" w:eastAsia="zh-CN"/>
              </w:rPr>
              <w:t>4-8</w:t>
            </w:r>
            <w:r>
              <w:rPr>
                <w:b/>
                <w:bCs/>
                <w:color w:val="auto"/>
                <w:sz w:val="21"/>
                <w:szCs w:val="24"/>
                <w:highlight w:val="none"/>
              </w:rPr>
              <w:t xml:space="preserve">  废水类别、污染物及污染治理设施信息表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425"/>
              <w:gridCol w:w="821"/>
              <w:gridCol w:w="425"/>
              <w:gridCol w:w="425"/>
              <w:gridCol w:w="770"/>
              <w:gridCol w:w="1426"/>
              <w:gridCol w:w="1426"/>
              <w:gridCol w:w="425"/>
              <w:gridCol w:w="425"/>
              <w:gridCol w:w="636"/>
              <w:gridCol w:w="426"/>
            </w:tblGrid>
            <w:tr w14:paraId="1148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9" w:type="dxa"/>
                  <w:vMerge w:val="restart"/>
                  <w:vAlign w:val="center"/>
                </w:tcPr>
                <w:p w14:paraId="4068BBC6">
                  <w:pPr>
                    <w:bidi w:val="0"/>
                    <w:spacing w:line="240" w:lineRule="auto"/>
                    <w:rPr>
                      <w:sz w:val="21"/>
                      <w:szCs w:val="21"/>
                    </w:rPr>
                  </w:pPr>
                  <w:r>
                    <w:rPr>
                      <w:sz w:val="21"/>
                      <w:szCs w:val="21"/>
                    </w:rPr>
                    <w:t>编号</w:t>
                  </w:r>
                  <w:r>
                    <w:rPr>
                      <w:rFonts w:hint="eastAsia"/>
                      <w:sz w:val="21"/>
                      <w:szCs w:val="21"/>
                      <w:lang w:val="en-US" w:eastAsia="zh-CN"/>
                    </w:rPr>
                    <w:t>及名称</w:t>
                  </w:r>
                </w:p>
              </w:tc>
              <w:tc>
                <w:tcPr>
                  <w:tcW w:w="425" w:type="dxa"/>
                  <w:vMerge w:val="restart"/>
                  <w:vAlign w:val="center"/>
                </w:tcPr>
                <w:p w14:paraId="22C33510">
                  <w:pPr>
                    <w:bidi w:val="0"/>
                    <w:spacing w:line="240" w:lineRule="auto"/>
                    <w:rPr>
                      <w:sz w:val="21"/>
                      <w:szCs w:val="21"/>
                    </w:rPr>
                  </w:pPr>
                  <w:r>
                    <w:rPr>
                      <w:sz w:val="21"/>
                      <w:szCs w:val="21"/>
                    </w:rPr>
                    <w:t>类别</w:t>
                  </w:r>
                </w:p>
              </w:tc>
              <w:tc>
                <w:tcPr>
                  <w:tcW w:w="821" w:type="dxa"/>
                  <w:vMerge w:val="restart"/>
                  <w:vAlign w:val="center"/>
                </w:tcPr>
                <w:p w14:paraId="1E227DE6">
                  <w:pPr>
                    <w:bidi w:val="0"/>
                    <w:spacing w:line="240" w:lineRule="auto"/>
                    <w:rPr>
                      <w:sz w:val="21"/>
                      <w:szCs w:val="21"/>
                    </w:rPr>
                  </w:pPr>
                  <w:r>
                    <w:rPr>
                      <w:sz w:val="21"/>
                      <w:szCs w:val="21"/>
                    </w:rPr>
                    <w:t>污染物</w:t>
                  </w:r>
                </w:p>
              </w:tc>
              <w:tc>
                <w:tcPr>
                  <w:tcW w:w="1620" w:type="dxa"/>
                  <w:gridSpan w:val="3"/>
                  <w:vAlign w:val="center"/>
                </w:tcPr>
                <w:p w14:paraId="6022F8A7">
                  <w:pPr>
                    <w:bidi w:val="0"/>
                    <w:spacing w:line="240" w:lineRule="auto"/>
                    <w:jc w:val="center"/>
                    <w:rPr>
                      <w:sz w:val="21"/>
                      <w:szCs w:val="21"/>
                    </w:rPr>
                  </w:pPr>
                  <w:r>
                    <w:rPr>
                      <w:sz w:val="21"/>
                      <w:szCs w:val="21"/>
                    </w:rPr>
                    <w:t>污染防治措施</w:t>
                  </w:r>
                </w:p>
              </w:tc>
              <w:tc>
                <w:tcPr>
                  <w:tcW w:w="2852" w:type="dxa"/>
                  <w:gridSpan w:val="2"/>
                  <w:vAlign w:val="center"/>
                </w:tcPr>
                <w:p w14:paraId="766CEECF">
                  <w:pPr>
                    <w:bidi w:val="0"/>
                    <w:spacing w:line="240" w:lineRule="auto"/>
                    <w:jc w:val="center"/>
                    <w:rPr>
                      <w:sz w:val="21"/>
                      <w:szCs w:val="21"/>
                    </w:rPr>
                  </w:pPr>
                  <w:r>
                    <w:rPr>
                      <w:sz w:val="21"/>
                      <w:szCs w:val="21"/>
                    </w:rPr>
                    <w:t>排放口</w:t>
                  </w:r>
                </w:p>
              </w:tc>
              <w:tc>
                <w:tcPr>
                  <w:tcW w:w="425" w:type="dxa"/>
                  <w:vMerge w:val="restart"/>
                  <w:vAlign w:val="center"/>
                </w:tcPr>
                <w:p w14:paraId="504C5AD1">
                  <w:pPr>
                    <w:bidi w:val="0"/>
                    <w:spacing w:line="240" w:lineRule="auto"/>
                    <w:rPr>
                      <w:sz w:val="21"/>
                      <w:szCs w:val="21"/>
                    </w:rPr>
                  </w:pPr>
                  <w:r>
                    <w:rPr>
                      <w:sz w:val="21"/>
                      <w:szCs w:val="21"/>
                    </w:rPr>
                    <w:t>排放去向</w:t>
                  </w:r>
                </w:p>
              </w:tc>
              <w:tc>
                <w:tcPr>
                  <w:tcW w:w="425" w:type="dxa"/>
                  <w:vMerge w:val="restart"/>
                  <w:vAlign w:val="center"/>
                </w:tcPr>
                <w:p w14:paraId="4BB1A562">
                  <w:pPr>
                    <w:bidi w:val="0"/>
                    <w:spacing w:line="240" w:lineRule="auto"/>
                    <w:rPr>
                      <w:sz w:val="21"/>
                      <w:szCs w:val="21"/>
                    </w:rPr>
                  </w:pPr>
                  <w:r>
                    <w:rPr>
                      <w:sz w:val="21"/>
                      <w:szCs w:val="21"/>
                    </w:rPr>
                    <w:t>排放方式</w:t>
                  </w:r>
                </w:p>
              </w:tc>
              <w:tc>
                <w:tcPr>
                  <w:tcW w:w="636" w:type="dxa"/>
                  <w:vMerge w:val="restart"/>
                  <w:vAlign w:val="center"/>
                </w:tcPr>
                <w:p w14:paraId="6A980546">
                  <w:pPr>
                    <w:bidi w:val="0"/>
                    <w:spacing w:line="240" w:lineRule="auto"/>
                    <w:rPr>
                      <w:sz w:val="21"/>
                      <w:szCs w:val="21"/>
                    </w:rPr>
                  </w:pPr>
                  <w:r>
                    <w:rPr>
                      <w:sz w:val="21"/>
                      <w:szCs w:val="21"/>
                    </w:rPr>
                    <w:t>排放规律</w:t>
                  </w:r>
                </w:p>
              </w:tc>
              <w:tc>
                <w:tcPr>
                  <w:tcW w:w="426" w:type="dxa"/>
                  <w:vMerge w:val="restart"/>
                  <w:vAlign w:val="center"/>
                </w:tcPr>
                <w:p w14:paraId="536CD0C4">
                  <w:pPr>
                    <w:bidi w:val="0"/>
                    <w:spacing w:line="240" w:lineRule="auto"/>
                    <w:rPr>
                      <w:sz w:val="21"/>
                      <w:szCs w:val="21"/>
                    </w:rPr>
                  </w:pPr>
                  <w:r>
                    <w:rPr>
                      <w:sz w:val="21"/>
                      <w:szCs w:val="21"/>
                    </w:rPr>
                    <w:t>排放口类型</w:t>
                  </w:r>
                </w:p>
              </w:tc>
            </w:tr>
            <w:tr w14:paraId="6BFB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9" w:type="dxa"/>
                  <w:vMerge w:val="continue"/>
                  <w:vAlign w:val="center"/>
                </w:tcPr>
                <w:p w14:paraId="10ACE24E">
                  <w:pPr>
                    <w:bidi w:val="0"/>
                    <w:spacing w:line="240" w:lineRule="auto"/>
                    <w:rPr>
                      <w:sz w:val="21"/>
                      <w:szCs w:val="21"/>
                    </w:rPr>
                  </w:pPr>
                </w:p>
              </w:tc>
              <w:tc>
                <w:tcPr>
                  <w:tcW w:w="425" w:type="dxa"/>
                  <w:vMerge w:val="continue"/>
                  <w:vAlign w:val="center"/>
                </w:tcPr>
                <w:p w14:paraId="2E54DA56">
                  <w:pPr>
                    <w:bidi w:val="0"/>
                    <w:spacing w:line="240" w:lineRule="auto"/>
                    <w:rPr>
                      <w:sz w:val="21"/>
                      <w:szCs w:val="21"/>
                    </w:rPr>
                  </w:pPr>
                </w:p>
              </w:tc>
              <w:tc>
                <w:tcPr>
                  <w:tcW w:w="821" w:type="dxa"/>
                  <w:vMerge w:val="continue"/>
                  <w:vAlign w:val="center"/>
                </w:tcPr>
                <w:p w14:paraId="11973FF3">
                  <w:pPr>
                    <w:bidi w:val="0"/>
                    <w:spacing w:line="240" w:lineRule="auto"/>
                    <w:rPr>
                      <w:sz w:val="21"/>
                      <w:szCs w:val="21"/>
                    </w:rPr>
                  </w:pPr>
                </w:p>
              </w:tc>
              <w:tc>
                <w:tcPr>
                  <w:tcW w:w="425" w:type="dxa"/>
                  <w:vAlign w:val="center"/>
                </w:tcPr>
                <w:p w14:paraId="61F85357">
                  <w:pPr>
                    <w:bidi w:val="0"/>
                    <w:spacing w:line="240" w:lineRule="auto"/>
                    <w:rPr>
                      <w:sz w:val="21"/>
                      <w:szCs w:val="21"/>
                    </w:rPr>
                  </w:pPr>
                  <w:r>
                    <w:rPr>
                      <w:sz w:val="21"/>
                      <w:szCs w:val="21"/>
                    </w:rPr>
                    <w:t>工艺</w:t>
                  </w:r>
                </w:p>
              </w:tc>
              <w:tc>
                <w:tcPr>
                  <w:tcW w:w="425" w:type="dxa"/>
                  <w:vAlign w:val="center"/>
                </w:tcPr>
                <w:p w14:paraId="5DE2BF24">
                  <w:pPr>
                    <w:bidi w:val="0"/>
                    <w:spacing w:line="240" w:lineRule="auto"/>
                    <w:rPr>
                      <w:sz w:val="21"/>
                      <w:szCs w:val="21"/>
                    </w:rPr>
                  </w:pPr>
                  <w:r>
                    <w:rPr>
                      <w:sz w:val="21"/>
                      <w:szCs w:val="21"/>
                    </w:rPr>
                    <w:t>是否为可行技术</w:t>
                  </w:r>
                </w:p>
              </w:tc>
              <w:tc>
                <w:tcPr>
                  <w:tcW w:w="770" w:type="dxa"/>
                  <w:vAlign w:val="center"/>
                </w:tcPr>
                <w:p w14:paraId="73DC6D69">
                  <w:pPr>
                    <w:bidi w:val="0"/>
                    <w:spacing w:line="240" w:lineRule="auto"/>
                    <w:rPr>
                      <w:sz w:val="21"/>
                      <w:szCs w:val="21"/>
                    </w:rPr>
                  </w:pPr>
                  <w:r>
                    <w:rPr>
                      <w:sz w:val="21"/>
                      <w:szCs w:val="21"/>
                    </w:rPr>
                    <w:t>处理能力</w:t>
                  </w:r>
                </w:p>
              </w:tc>
              <w:tc>
                <w:tcPr>
                  <w:tcW w:w="1426" w:type="dxa"/>
                  <w:vAlign w:val="center"/>
                </w:tcPr>
                <w:p w14:paraId="6B200A9A">
                  <w:pPr>
                    <w:bidi w:val="0"/>
                    <w:spacing w:line="240" w:lineRule="auto"/>
                    <w:jc w:val="center"/>
                    <w:rPr>
                      <w:sz w:val="21"/>
                      <w:szCs w:val="21"/>
                    </w:rPr>
                  </w:pPr>
                  <w:r>
                    <w:rPr>
                      <w:sz w:val="21"/>
                      <w:szCs w:val="21"/>
                    </w:rPr>
                    <w:t>经度</w:t>
                  </w:r>
                </w:p>
              </w:tc>
              <w:tc>
                <w:tcPr>
                  <w:tcW w:w="1426" w:type="dxa"/>
                  <w:vAlign w:val="center"/>
                </w:tcPr>
                <w:p w14:paraId="468F3941">
                  <w:pPr>
                    <w:bidi w:val="0"/>
                    <w:spacing w:line="240" w:lineRule="auto"/>
                    <w:jc w:val="center"/>
                    <w:rPr>
                      <w:sz w:val="21"/>
                      <w:szCs w:val="21"/>
                    </w:rPr>
                  </w:pPr>
                  <w:r>
                    <w:rPr>
                      <w:sz w:val="21"/>
                      <w:szCs w:val="21"/>
                    </w:rPr>
                    <w:t>纬度</w:t>
                  </w:r>
                </w:p>
              </w:tc>
              <w:tc>
                <w:tcPr>
                  <w:tcW w:w="425" w:type="dxa"/>
                  <w:vMerge w:val="continue"/>
                  <w:tcBorders>
                    <w:tl2br w:val="nil"/>
                    <w:tr2bl w:val="nil"/>
                  </w:tcBorders>
                  <w:vAlign w:val="center"/>
                </w:tcPr>
                <w:p w14:paraId="2C34162F">
                  <w:pPr>
                    <w:bidi w:val="0"/>
                    <w:spacing w:line="240" w:lineRule="auto"/>
                    <w:rPr>
                      <w:sz w:val="21"/>
                      <w:szCs w:val="21"/>
                    </w:rPr>
                  </w:pPr>
                </w:p>
              </w:tc>
              <w:tc>
                <w:tcPr>
                  <w:tcW w:w="425" w:type="dxa"/>
                  <w:vMerge w:val="continue"/>
                  <w:tcBorders>
                    <w:tl2br w:val="nil"/>
                    <w:tr2bl w:val="nil"/>
                  </w:tcBorders>
                  <w:vAlign w:val="center"/>
                </w:tcPr>
                <w:p w14:paraId="61CCBBBA">
                  <w:pPr>
                    <w:bidi w:val="0"/>
                    <w:spacing w:line="240" w:lineRule="auto"/>
                    <w:rPr>
                      <w:sz w:val="21"/>
                      <w:szCs w:val="21"/>
                    </w:rPr>
                  </w:pPr>
                </w:p>
              </w:tc>
              <w:tc>
                <w:tcPr>
                  <w:tcW w:w="636" w:type="dxa"/>
                  <w:vMerge w:val="continue"/>
                  <w:tcBorders>
                    <w:tl2br w:val="nil"/>
                    <w:tr2bl w:val="nil"/>
                  </w:tcBorders>
                  <w:vAlign w:val="center"/>
                </w:tcPr>
                <w:p w14:paraId="06926A0F">
                  <w:pPr>
                    <w:bidi w:val="0"/>
                    <w:spacing w:line="240" w:lineRule="auto"/>
                    <w:rPr>
                      <w:sz w:val="21"/>
                      <w:szCs w:val="21"/>
                    </w:rPr>
                  </w:pPr>
                </w:p>
              </w:tc>
              <w:tc>
                <w:tcPr>
                  <w:tcW w:w="426" w:type="dxa"/>
                  <w:vMerge w:val="continue"/>
                  <w:tcBorders>
                    <w:tl2br w:val="nil"/>
                    <w:tr2bl w:val="nil"/>
                  </w:tcBorders>
                  <w:vAlign w:val="center"/>
                </w:tcPr>
                <w:p w14:paraId="6575E7D2">
                  <w:pPr>
                    <w:bidi w:val="0"/>
                    <w:spacing w:line="240" w:lineRule="auto"/>
                    <w:rPr>
                      <w:sz w:val="21"/>
                      <w:szCs w:val="21"/>
                    </w:rPr>
                  </w:pPr>
                </w:p>
              </w:tc>
            </w:tr>
            <w:tr w14:paraId="032E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9" w:type="dxa"/>
                  <w:tcBorders>
                    <w:tl2br w:val="nil"/>
                    <w:tr2bl w:val="nil"/>
                  </w:tcBorders>
                  <w:vAlign w:val="center"/>
                </w:tcPr>
                <w:p w14:paraId="555815CD">
                  <w:pPr>
                    <w:bidi w:val="0"/>
                    <w:spacing w:line="240" w:lineRule="auto"/>
                    <w:jc w:val="center"/>
                    <w:rPr>
                      <w:sz w:val="21"/>
                      <w:szCs w:val="21"/>
                    </w:rPr>
                  </w:pPr>
                  <w:r>
                    <w:rPr>
                      <w:sz w:val="21"/>
                      <w:szCs w:val="21"/>
                    </w:rPr>
                    <w:t>DW001</w:t>
                  </w:r>
                  <w:r>
                    <w:rPr>
                      <w:rFonts w:hint="eastAsia"/>
                      <w:sz w:val="21"/>
                      <w:szCs w:val="21"/>
                      <w:lang w:val="en-US" w:eastAsia="zh-CN"/>
                    </w:rPr>
                    <w:t>总</w:t>
                  </w:r>
                  <w:r>
                    <w:rPr>
                      <w:sz w:val="21"/>
                      <w:szCs w:val="21"/>
                    </w:rPr>
                    <w:t>排放口</w:t>
                  </w:r>
                </w:p>
              </w:tc>
              <w:tc>
                <w:tcPr>
                  <w:tcW w:w="425" w:type="dxa"/>
                  <w:tcBorders>
                    <w:tl2br w:val="nil"/>
                    <w:tr2bl w:val="nil"/>
                  </w:tcBorders>
                  <w:vAlign w:val="center"/>
                </w:tcPr>
                <w:p w14:paraId="01151C0A">
                  <w:pPr>
                    <w:bidi w:val="0"/>
                    <w:spacing w:line="240" w:lineRule="auto"/>
                    <w:jc w:val="center"/>
                    <w:rPr>
                      <w:rFonts w:hint="default"/>
                      <w:sz w:val="21"/>
                      <w:szCs w:val="21"/>
                      <w:lang w:val="en-US" w:eastAsia="zh-CN"/>
                    </w:rPr>
                  </w:pPr>
                  <w:r>
                    <w:rPr>
                      <w:sz w:val="21"/>
                      <w:szCs w:val="21"/>
                    </w:rPr>
                    <w:t>生活污水</w:t>
                  </w:r>
                </w:p>
              </w:tc>
              <w:tc>
                <w:tcPr>
                  <w:tcW w:w="821" w:type="dxa"/>
                  <w:tcBorders>
                    <w:tl2br w:val="nil"/>
                    <w:tr2bl w:val="nil"/>
                  </w:tcBorders>
                  <w:vAlign w:val="center"/>
                </w:tcPr>
                <w:p w14:paraId="44786A35">
                  <w:pPr>
                    <w:bidi w:val="0"/>
                    <w:spacing w:line="240" w:lineRule="auto"/>
                    <w:jc w:val="center"/>
                    <w:rPr>
                      <w:rFonts w:hint="eastAsia"/>
                      <w:sz w:val="21"/>
                      <w:szCs w:val="21"/>
                      <w:lang w:eastAsia="zh-CN"/>
                    </w:rPr>
                  </w:pPr>
                  <w:r>
                    <w:rPr>
                      <w:rFonts w:hint="eastAsia"/>
                      <w:sz w:val="21"/>
                      <w:szCs w:val="21"/>
                      <w:lang w:eastAsia="zh-CN"/>
                    </w:rPr>
                    <w:t>CODcr</w:t>
                  </w:r>
                </w:p>
                <w:p w14:paraId="18F0854B">
                  <w:pPr>
                    <w:bidi w:val="0"/>
                    <w:spacing w:line="240" w:lineRule="auto"/>
                    <w:jc w:val="center"/>
                    <w:rPr>
                      <w:sz w:val="21"/>
                      <w:szCs w:val="21"/>
                    </w:rPr>
                  </w:pPr>
                  <w:r>
                    <w:rPr>
                      <w:sz w:val="21"/>
                      <w:szCs w:val="21"/>
                    </w:rPr>
                    <w:t>BOD</w:t>
                  </w:r>
                  <w:r>
                    <w:rPr>
                      <w:sz w:val="21"/>
                      <w:szCs w:val="21"/>
                      <w:vertAlign w:val="subscript"/>
                    </w:rPr>
                    <w:t>5</w:t>
                  </w:r>
                </w:p>
                <w:p w14:paraId="212ACE7B">
                  <w:pPr>
                    <w:bidi w:val="0"/>
                    <w:spacing w:line="240" w:lineRule="auto"/>
                    <w:jc w:val="center"/>
                    <w:rPr>
                      <w:sz w:val="21"/>
                      <w:szCs w:val="21"/>
                    </w:rPr>
                  </w:pPr>
                  <w:r>
                    <w:rPr>
                      <w:sz w:val="21"/>
                      <w:szCs w:val="21"/>
                    </w:rPr>
                    <w:t>SS</w:t>
                  </w:r>
                </w:p>
                <w:p w14:paraId="3AE1F7BE">
                  <w:pPr>
                    <w:bidi w:val="0"/>
                    <w:spacing w:line="240" w:lineRule="auto"/>
                    <w:jc w:val="center"/>
                    <w:rPr>
                      <w:rFonts w:hint="eastAsia"/>
                      <w:sz w:val="21"/>
                      <w:szCs w:val="21"/>
                      <w:lang w:val="en-US" w:eastAsia="zh-CN"/>
                    </w:rPr>
                  </w:pPr>
                  <w:r>
                    <w:rPr>
                      <w:sz w:val="21"/>
                      <w:szCs w:val="21"/>
                    </w:rPr>
                    <w:t>氨氮</w:t>
                  </w:r>
                </w:p>
              </w:tc>
              <w:tc>
                <w:tcPr>
                  <w:tcW w:w="425" w:type="dxa"/>
                  <w:tcBorders>
                    <w:tl2br w:val="nil"/>
                    <w:tr2bl w:val="nil"/>
                  </w:tcBorders>
                  <w:vAlign w:val="center"/>
                </w:tcPr>
                <w:p w14:paraId="11604208">
                  <w:pPr>
                    <w:bidi w:val="0"/>
                    <w:spacing w:line="240" w:lineRule="auto"/>
                    <w:jc w:val="center"/>
                    <w:rPr>
                      <w:rFonts w:hint="default"/>
                      <w:sz w:val="21"/>
                      <w:szCs w:val="21"/>
                      <w:lang w:val="en-US" w:eastAsia="zh-CN"/>
                    </w:rPr>
                  </w:pPr>
                  <w:r>
                    <w:rPr>
                      <w:rFonts w:hint="eastAsia"/>
                      <w:sz w:val="21"/>
                      <w:szCs w:val="21"/>
                      <w:lang w:val="en-US" w:eastAsia="zh-CN"/>
                    </w:rPr>
                    <w:t>一体化污水处理设施</w:t>
                  </w:r>
                </w:p>
              </w:tc>
              <w:tc>
                <w:tcPr>
                  <w:tcW w:w="425" w:type="dxa"/>
                  <w:tcBorders>
                    <w:tl2br w:val="nil"/>
                    <w:tr2bl w:val="nil"/>
                  </w:tcBorders>
                  <w:vAlign w:val="center"/>
                </w:tcPr>
                <w:p w14:paraId="0574D916">
                  <w:pPr>
                    <w:bidi w:val="0"/>
                    <w:spacing w:line="240" w:lineRule="auto"/>
                    <w:jc w:val="center"/>
                    <w:rPr>
                      <w:rFonts w:hint="eastAsia"/>
                      <w:sz w:val="21"/>
                      <w:szCs w:val="21"/>
                      <w:lang w:eastAsia="zh-CN"/>
                    </w:rPr>
                  </w:pPr>
                  <w:r>
                    <w:rPr>
                      <w:rFonts w:hint="eastAsia"/>
                      <w:sz w:val="21"/>
                      <w:szCs w:val="21"/>
                      <w:lang w:val="en-US" w:eastAsia="zh-CN"/>
                    </w:rPr>
                    <w:t>是</w:t>
                  </w:r>
                </w:p>
              </w:tc>
              <w:tc>
                <w:tcPr>
                  <w:tcW w:w="770" w:type="dxa"/>
                  <w:tcBorders>
                    <w:tl2br w:val="nil"/>
                    <w:tr2bl w:val="nil"/>
                  </w:tcBorders>
                  <w:vAlign w:val="center"/>
                </w:tcPr>
                <w:p w14:paraId="5CC63BC2">
                  <w:pPr>
                    <w:bidi w:val="0"/>
                    <w:spacing w:line="240" w:lineRule="auto"/>
                    <w:jc w:val="center"/>
                    <w:rPr>
                      <w:rFonts w:hint="eastAsia" w:eastAsia="宋体"/>
                      <w:sz w:val="21"/>
                      <w:szCs w:val="21"/>
                      <w:lang w:eastAsia="zh-CN"/>
                    </w:rPr>
                  </w:pPr>
                  <w:r>
                    <w:rPr>
                      <w:rFonts w:hint="eastAsia"/>
                      <w:sz w:val="21"/>
                      <w:szCs w:val="21"/>
                      <w:lang w:val="en-US" w:eastAsia="zh-CN"/>
                    </w:rPr>
                    <w:t>5</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/d</w:t>
                  </w:r>
                </w:p>
              </w:tc>
              <w:tc>
                <w:tcPr>
                  <w:tcW w:w="1426" w:type="dxa"/>
                  <w:tcBorders>
                    <w:tl2br w:val="nil"/>
                    <w:tr2bl w:val="nil"/>
                  </w:tcBorders>
                  <w:vAlign w:val="center"/>
                </w:tcPr>
                <w:p w14:paraId="3B9B60D4">
                  <w:pPr>
                    <w:bidi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90°</w:t>
                  </w:r>
                  <w:r>
                    <w:rPr>
                      <w:rFonts w:hint="eastAsia" w:ascii="Times New Roman" w:hAnsi="Times New Roman" w:cs="Times New Roman"/>
                      <w:sz w:val="21"/>
                      <w:szCs w:val="21"/>
                      <w:lang w:val="en-US" w:eastAsia="zh-CN"/>
                    </w:rPr>
                    <w:t>22</w:t>
                  </w:r>
                  <w:r>
                    <w:rPr>
                      <w:rFonts w:hint="default" w:ascii="Times New Roman" w:hAnsi="Times New Roman" w:cs="Times New Roman"/>
                      <w:sz w:val="21"/>
                      <w:szCs w:val="21"/>
                      <w:lang w:val="en-US" w:eastAsia="zh-CN"/>
                    </w:rPr>
                    <w:t>′4</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962</w:t>
                  </w:r>
                  <w:r>
                    <w:rPr>
                      <w:rFonts w:hint="default" w:ascii="Times New Roman" w:hAnsi="Times New Roman" w:cs="Times New Roman"/>
                      <w:sz w:val="21"/>
                      <w:szCs w:val="21"/>
                      <w:lang w:val="en-US" w:eastAsia="zh-CN"/>
                    </w:rPr>
                    <w:t>"</w:t>
                  </w:r>
                </w:p>
              </w:tc>
              <w:tc>
                <w:tcPr>
                  <w:tcW w:w="1426" w:type="dxa"/>
                  <w:tcBorders>
                    <w:tl2br w:val="nil"/>
                    <w:tr2bl w:val="nil"/>
                  </w:tcBorders>
                  <w:vAlign w:val="center"/>
                </w:tcPr>
                <w:p w14:paraId="64EEF054">
                  <w:pPr>
                    <w:bidi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4</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00</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21.037</w:t>
                  </w:r>
                  <w:r>
                    <w:rPr>
                      <w:rFonts w:hint="default" w:ascii="Times New Roman" w:hAnsi="Times New Roman" w:cs="Times New Roman"/>
                      <w:sz w:val="21"/>
                      <w:szCs w:val="21"/>
                      <w:lang w:val="en-US" w:eastAsia="zh-CN"/>
                    </w:rPr>
                    <w:t>"</w:t>
                  </w:r>
                </w:p>
              </w:tc>
              <w:tc>
                <w:tcPr>
                  <w:tcW w:w="425" w:type="dxa"/>
                  <w:vAlign w:val="center"/>
                </w:tcPr>
                <w:p w14:paraId="3E27B0D0">
                  <w:pPr>
                    <w:bidi w:val="0"/>
                    <w:spacing w:line="240" w:lineRule="auto"/>
                    <w:jc w:val="center"/>
                    <w:rPr>
                      <w:rFonts w:hint="default"/>
                      <w:sz w:val="21"/>
                      <w:szCs w:val="21"/>
                      <w:lang w:val="en-US" w:eastAsia="zh-CN"/>
                    </w:rPr>
                  </w:pPr>
                  <w:r>
                    <w:rPr>
                      <w:rFonts w:hint="eastAsia"/>
                      <w:sz w:val="21"/>
                      <w:szCs w:val="21"/>
                      <w:lang w:val="en-US" w:eastAsia="zh-CN"/>
                    </w:rPr>
                    <w:t>厂区绿化</w:t>
                  </w:r>
                </w:p>
              </w:tc>
              <w:tc>
                <w:tcPr>
                  <w:tcW w:w="425" w:type="dxa"/>
                  <w:vAlign w:val="center"/>
                </w:tcPr>
                <w:p w14:paraId="68116827">
                  <w:pPr>
                    <w:bidi w:val="0"/>
                    <w:spacing w:line="240" w:lineRule="auto"/>
                    <w:jc w:val="center"/>
                    <w:rPr>
                      <w:sz w:val="21"/>
                      <w:szCs w:val="21"/>
                    </w:rPr>
                  </w:pPr>
                  <w:r>
                    <w:rPr>
                      <w:sz w:val="21"/>
                      <w:szCs w:val="21"/>
                    </w:rPr>
                    <w:t>间接排放</w:t>
                  </w:r>
                </w:p>
              </w:tc>
              <w:tc>
                <w:tcPr>
                  <w:tcW w:w="636" w:type="dxa"/>
                  <w:vAlign w:val="center"/>
                </w:tcPr>
                <w:p w14:paraId="63F48BDE">
                  <w:pPr>
                    <w:bidi w:val="0"/>
                    <w:spacing w:line="240" w:lineRule="auto"/>
                    <w:jc w:val="center"/>
                    <w:rPr>
                      <w:sz w:val="21"/>
                      <w:szCs w:val="21"/>
                    </w:rPr>
                  </w:pPr>
                  <w:r>
                    <w:rPr>
                      <w:rFonts w:hint="eastAsia"/>
                      <w:sz w:val="21"/>
                      <w:szCs w:val="21"/>
                      <w:lang w:val="en-US" w:eastAsia="zh-CN"/>
                    </w:rPr>
                    <w:t>间断</w:t>
                  </w:r>
                  <w:r>
                    <w:rPr>
                      <w:sz w:val="21"/>
                      <w:szCs w:val="21"/>
                    </w:rPr>
                    <w:t>排放，流量不稳定且无规律，但不属于冲击型排放</w:t>
                  </w:r>
                </w:p>
              </w:tc>
              <w:tc>
                <w:tcPr>
                  <w:tcW w:w="426" w:type="dxa"/>
                  <w:vAlign w:val="center"/>
                </w:tcPr>
                <w:p w14:paraId="5EDAA093">
                  <w:pPr>
                    <w:bidi w:val="0"/>
                    <w:spacing w:line="240" w:lineRule="auto"/>
                    <w:jc w:val="center"/>
                    <w:rPr>
                      <w:sz w:val="21"/>
                      <w:szCs w:val="21"/>
                    </w:rPr>
                  </w:pPr>
                  <w:r>
                    <w:rPr>
                      <w:sz w:val="21"/>
                      <w:szCs w:val="21"/>
                    </w:rPr>
                    <w:t>一般排放口</w:t>
                  </w:r>
                </w:p>
              </w:tc>
            </w:tr>
          </w:tbl>
          <w:p w14:paraId="3EB5123E">
            <w:pPr>
              <w:pStyle w:val="4"/>
              <w:spacing w:line="360" w:lineRule="auto"/>
              <w:rPr>
                <w:color w:val="auto"/>
                <w:highlight w:val="none"/>
              </w:rPr>
            </w:pPr>
            <w:r>
              <w:rPr>
                <w:color w:val="auto"/>
                <w:highlight w:val="none"/>
              </w:rPr>
              <w:t>2.</w:t>
            </w:r>
            <w:r>
              <w:rPr>
                <w:rFonts w:hint="eastAsia"/>
                <w:color w:val="auto"/>
                <w:highlight w:val="none"/>
                <w:lang w:val="en-US" w:eastAsia="zh-CN"/>
              </w:rPr>
              <w:t>4</w:t>
            </w:r>
            <w:r>
              <w:rPr>
                <w:color w:val="auto"/>
                <w:highlight w:val="none"/>
              </w:rPr>
              <w:t xml:space="preserve"> 监测计划及要求</w:t>
            </w:r>
          </w:p>
          <w:p w14:paraId="7F2588CA">
            <w:pPr>
              <w:wordWrap w:val="0"/>
              <w:spacing w:line="360" w:lineRule="auto"/>
              <w:ind w:firstLine="482"/>
              <w:jc w:val="left"/>
              <w:rPr>
                <w:color w:val="auto"/>
                <w:sz w:val="21"/>
                <w:szCs w:val="21"/>
                <w:highlight w:val="none"/>
              </w:rPr>
            </w:pPr>
            <w:r>
              <w:rPr>
                <w:rFonts w:ascii="宋体" w:hAnsi="宋体" w:eastAsia="宋体" w:cs="宋体"/>
                <w:b w:val="0"/>
                <w:bCs w:val="0"/>
                <w:color w:val="000000"/>
                <w:sz w:val="24"/>
                <w:szCs w:val="24"/>
              </w:rPr>
              <w:t xml:space="preserve">根据《排污单位自行监测技术指南 </w:t>
            </w:r>
            <w:r>
              <w:rPr>
                <w:rFonts w:hint="eastAsia"/>
                <w:color w:val="auto"/>
                <w:sz w:val="24"/>
                <w:highlight w:val="none"/>
                <w:lang w:val="en-US" w:eastAsia="zh-CN"/>
              </w:rPr>
              <w:t>水泥工业</w:t>
            </w:r>
            <w:r>
              <w:rPr>
                <w:rFonts w:hint="eastAsia"/>
                <w:color w:val="auto"/>
                <w:sz w:val="24"/>
                <w:highlight w:val="none"/>
                <w:lang w:eastAsia="zh-CN"/>
              </w:rPr>
              <w:t>》（HJ84</w:t>
            </w:r>
            <w:r>
              <w:rPr>
                <w:rFonts w:hint="eastAsia"/>
                <w:color w:val="auto"/>
                <w:sz w:val="24"/>
                <w:highlight w:val="none"/>
                <w:lang w:val="en-US" w:eastAsia="zh-CN"/>
              </w:rPr>
              <w:t>8</w:t>
            </w:r>
            <w:r>
              <w:rPr>
                <w:rFonts w:hint="eastAsia"/>
                <w:color w:val="auto"/>
                <w:sz w:val="24"/>
                <w:highlight w:val="none"/>
                <w:lang w:eastAsia="zh-CN"/>
              </w:rPr>
              <w:t>-2017）</w:t>
            </w:r>
            <w:r>
              <w:rPr>
                <w:rFonts w:ascii="宋体" w:hAnsi="宋体" w:eastAsia="宋体" w:cs="宋体"/>
                <w:b w:val="0"/>
                <w:bCs w:val="0"/>
                <w:color w:val="000000"/>
                <w:sz w:val="24"/>
                <w:szCs w:val="24"/>
              </w:rPr>
              <w:t xml:space="preserve">及《排污许可证申请与核发技术规范 </w:t>
            </w:r>
            <w:r>
              <w:rPr>
                <w:rFonts w:hint="eastAsia" w:ascii="宋体" w:hAnsi="宋体" w:eastAsia="宋体" w:cs="宋体"/>
                <w:b w:val="0"/>
                <w:bCs w:val="0"/>
                <w:color w:val="000000"/>
                <w:sz w:val="24"/>
                <w:szCs w:val="24"/>
                <w:lang w:val="en-US" w:eastAsia="zh-CN"/>
              </w:rPr>
              <w:t>水泥</w:t>
            </w:r>
            <w:r>
              <w:rPr>
                <w:rFonts w:ascii="宋体" w:hAnsi="宋体" w:eastAsia="宋体" w:cs="宋体"/>
                <w:b w:val="0"/>
                <w:bCs w:val="0"/>
                <w:color w:val="000000"/>
                <w:sz w:val="24"/>
                <w:szCs w:val="24"/>
              </w:rPr>
              <w:t>工业》（</w:t>
            </w:r>
            <w:r>
              <w:rPr>
                <w:rFonts w:hint="default" w:ascii="TimesNewRomanPSMT" w:hAnsi="TimesNewRomanPSMT" w:eastAsia="TimesNewRomanPSMT" w:cs="TimesNewRomanPSMT"/>
                <w:b w:val="0"/>
                <w:bCs w:val="0"/>
                <w:color w:val="000000"/>
                <w:sz w:val="24"/>
                <w:szCs w:val="24"/>
              </w:rPr>
              <w:t>HJ</w:t>
            </w:r>
            <w:r>
              <w:rPr>
                <w:rFonts w:hint="eastAsia" w:ascii="TimesNewRomanPSMT" w:hAnsi="TimesNewRomanPSMT" w:eastAsia="宋体" w:cs="TimesNewRomanPSMT"/>
                <w:b w:val="0"/>
                <w:bCs w:val="0"/>
                <w:color w:val="000000"/>
                <w:sz w:val="24"/>
                <w:szCs w:val="24"/>
                <w:lang w:val="en-US" w:eastAsia="zh-CN"/>
              </w:rPr>
              <w:t>847</w:t>
            </w:r>
            <w:r>
              <w:rPr>
                <w:rFonts w:hint="default" w:ascii="TimesNewRomanPSMT" w:hAnsi="TimesNewRomanPSMT" w:eastAsia="TimesNewRomanPSMT" w:cs="TimesNewRomanPSMT"/>
                <w:b w:val="0"/>
                <w:bCs w:val="0"/>
                <w:color w:val="000000"/>
                <w:sz w:val="24"/>
                <w:szCs w:val="24"/>
              </w:rPr>
              <w:t>-201</w:t>
            </w:r>
            <w:r>
              <w:rPr>
                <w:rFonts w:hint="eastAsia" w:ascii="TimesNewRomanPSMT" w:hAnsi="TimesNewRomanPSMT" w:eastAsia="宋体" w:cs="TimesNewRomanPSMT"/>
                <w:b w:val="0"/>
                <w:bCs w:val="0"/>
                <w:color w:val="000000"/>
                <w:sz w:val="24"/>
                <w:szCs w:val="24"/>
                <w:lang w:val="en-US" w:eastAsia="zh-CN"/>
              </w:rPr>
              <w:t>7</w:t>
            </w:r>
            <w:r>
              <w:rPr>
                <w:rFonts w:ascii="宋体" w:hAnsi="宋体" w:eastAsia="宋体" w:cs="宋体"/>
                <w:b w:val="0"/>
                <w:bCs w:val="0"/>
                <w:color w:val="000000"/>
                <w:sz w:val="24"/>
                <w:szCs w:val="24"/>
              </w:rPr>
              <w:t>），本项目监测计划见下表</w:t>
            </w:r>
            <w:r>
              <w:rPr>
                <w:color w:val="auto"/>
                <w:sz w:val="24"/>
                <w:highlight w:val="none"/>
              </w:rPr>
              <w:t>。</w:t>
            </w:r>
          </w:p>
          <w:p w14:paraId="5DF85C62">
            <w:pPr>
              <w:pStyle w:val="6"/>
              <w:spacing w:line="240" w:lineRule="auto"/>
              <w:rPr>
                <w:rFonts w:hint="default" w:eastAsia="宋体"/>
                <w:color w:val="auto"/>
                <w:sz w:val="21"/>
                <w:szCs w:val="21"/>
                <w:highlight w:val="none"/>
                <w:lang w:val="en-US" w:eastAsia="zh-CN"/>
              </w:rPr>
            </w:pPr>
            <w:r>
              <w:rPr>
                <w:color w:val="auto"/>
                <w:sz w:val="21"/>
                <w:szCs w:val="21"/>
                <w:highlight w:val="none"/>
              </w:rPr>
              <w:t>表</w:t>
            </w:r>
            <w:r>
              <w:rPr>
                <w:rFonts w:hint="eastAsia"/>
                <w:color w:val="auto"/>
                <w:sz w:val="21"/>
                <w:szCs w:val="21"/>
                <w:highlight w:val="none"/>
                <w:lang w:val="en-US" w:eastAsia="zh-CN"/>
              </w:rPr>
              <w:t>4-9</w:t>
            </w:r>
            <w:r>
              <w:rPr>
                <w:color w:val="auto"/>
                <w:sz w:val="21"/>
                <w:szCs w:val="21"/>
                <w:highlight w:val="none"/>
              </w:rPr>
              <w:t xml:space="preserve">    </w:t>
            </w:r>
            <w:r>
              <w:rPr>
                <w:rFonts w:hint="eastAsia"/>
                <w:color w:val="auto"/>
                <w:sz w:val="21"/>
                <w:szCs w:val="21"/>
                <w:highlight w:val="none"/>
                <w:lang w:val="en-US" w:eastAsia="zh-CN"/>
              </w:rPr>
              <w:t>监测计划一览表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014"/>
              <w:gridCol w:w="1273"/>
              <w:gridCol w:w="902"/>
              <w:gridCol w:w="3184"/>
              <w:gridCol w:w="1654"/>
            </w:tblGrid>
            <w:tr w14:paraId="064E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2" w:type="pct"/>
                  <w:vMerge w:val="restart"/>
                  <w:vAlign w:val="center"/>
                </w:tcPr>
                <w:p w14:paraId="2B77E1B5">
                  <w:pPr>
                    <w:adjustRightInd w:val="0"/>
                    <w:snapToGrid w:val="0"/>
                    <w:jc w:val="center"/>
                    <w:rPr>
                      <w:b/>
                      <w:bCs/>
                      <w:color w:val="auto"/>
                      <w:sz w:val="21"/>
                      <w:szCs w:val="21"/>
                      <w:highlight w:val="none"/>
                    </w:rPr>
                  </w:pPr>
                  <w:r>
                    <w:rPr>
                      <w:b/>
                      <w:bCs/>
                      <w:color w:val="auto"/>
                      <w:sz w:val="21"/>
                      <w:szCs w:val="21"/>
                      <w:highlight w:val="none"/>
                    </w:rPr>
                    <w:t>序号</w:t>
                  </w:r>
                </w:p>
              </w:tc>
              <w:tc>
                <w:tcPr>
                  <w:tcW w:w="596" w:type="pct"/>
                  <w:vMerge w:val="restart"/>
                  <w:vAlign w:val="center"/>
                </w:tcPr>
                <w:p w14:paraId="497B3841">
                  <w:pPr>
                    <w:adjustRightInd w:val="0"/>
                    <w:snapToGrid w:val="0"/>
                    <w:jc w:val="center"/>
                    <w:rPr>
                      <w:b/>
                      <w:bCs/>
                      <w:color w:val="auto"/>
                      <w:sz w:val="21"/>
                      <w:szCs w:val="21"/>
                      <w:highlight w:val="none"/>
                    </w:rPr>
                  </w:pPr>
                  <w:r>
                    <w:rPr>
                      <w:b/>
                      <w:bCs/>
                      <w:color w:val="auto"/>
                      <w:sz w:val="21"/>
                      <w:szCs w:val="21"/>
                      <w:highlight w:val="none"/>
                    </w:rPr>
                    <w:t>排放口编号</w:t>
                  </w:r>
                </w:p>
              </w:tc>
              <w:tc>
                <w:tcPr>
                  <w:tcW w:w="748" w:type="pct"/>
                  <w:vMerge w:val="restart"/>
                  <w:vAlign w:val="center"/>
                </w:tcPr>
                <w:p w14:paraId="5FD3FA4C">
                  <w:pPr>
                    <w:adjustRightInd w:val="0"/>
                    <w:snapToGrid w:val="0"/>
                    <w:jc w:val="center"/>
                    <w:rPr>
                      <w:b/>
                      <w:bCs/>
                      <w:color w:val="auto"/>
                      <w:sz w:val="21"/>
                      <w:szCs w:val="21"/>
                      <w:highlight w:val="none"/>
                    </w:rPr>
                  </w:pPr>
                  <w:r>
                    <w:rPr>
                      <w:b/>
                      <w:bCs/>
                      <w:color w:val="auto"/>
                      <w:sz w:val="21"/>
                      <w:szCs w:val="21"/>
                      <w:highlight w:val="none"/>
                    </w:rPr>
                    <w:t>污染物种类</w:t>
                  </w:r>
                </w:p>
              </w:tc>
              <w:tc>
                <w:tcPr>
                  <w:tcW w:w="530" w:type="pct"/>
                  <w:vMerge w:val="restart"/>
                  <w:vAlign w:val="center"/>
                </w:tcPr>
                <w:p w14:paraId="5E9E4AB9">
                  <w:pPr>
                    <w:adjustRightInd w:val="0"/>
                    <w:snapToGrid w:val="0"/>
                    <w:jc w:val="center"/>
                    <w:rPr>
                      <w:b/>
                      <w:bCs/>
                      <w:color w:val="auto"/>
                      <w:sz w:val="21"/>
                      <w:szCs w:val="21"/>
                      <w:highlight w:val="none"/>
                    </w:rPr>
                  </w:pPr>
                  <w:r>
                    <w:rPr>
                      <w:b/>
                      <w:bCs/>
                      <w:color w:val="auto"/>
                      <w:sz w:val="21"/>
                      <w:szCs w:val="21"/>
                      <w:highlight w:val="none"/>
                    </w:rPr>
                    <w:t>监测频次</w:t>
                  </w:r>
                </w:p>
              </w:tc>
              <w:tc>
                <w:tcPr>
                  <w:tcW w:w="2843" w:type="pct"/>
                  <w:gridSpan w:val="2"/>
                  <w:vAlign w:val="center"/>
                </w:tcPr>
                <w:p w14:paraId="1D17884E">
                  <w:pPr>
                    <w:adjustRightInd w:val="0"/>
                    <w:snapToGrid w:val="0"/>
                    <w:jc w:val="center"/>
                    <w:rPr>
                      <w:b/>
                      <w:bCs/>
                      <w:color w:val="auto"/>
                      <w:sz w:val="21"/>
                      <w:szCs w:val="21"/>
                      <w:highlight w:val="none"/>
                    </w:rPr>
                  </w:pPr>
                  <w:r>
                    <w:rPr>
                      <w:b/>
                      <w:bCs/>
                      <w:color w:val="auto"/>
                      <w:sz w:val="21"/>
                      <w:szCs w:val="21"/>
                      <w:highlight w:val="none"/>
                    </w:rPr>
                    <w:t>国家或地方污染物排放标准及其他按规定商定的排放协议</w:t>
                  </w:r>
                </w:p>
              </w:tc>
            </w:tr>
            <w:tr w14:paraId="10D4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2" w:type="pct"/>
                  <w:vMerge w:val="continue"/>
                  <w:vAlign w:val="center"/>
                </w:tcPr>
                <w:p w14:paraId="68A338C8">
                  <w:pPr>
                    <w:adjustRightInd w:val="0"/>
                    <w:snapToGrid w:val="0"/>
                    <w:jc w:val="center"/>
                    <w:rPr>
                      <w:b/>
                      <w:bCs/>
                      <w:color w:val="auto"/>
                      <w:sz w:val="21"/>
                      <w:szCs w:val="21"/>
                      <w:highlight w:val="none"/>
                    </w:rPr>
                  </w:pPr>
                </w:p>
              </w:tc>
              <w:tc>
                <w:tcPr>
                  <w:tcW w:w="596" w:type="pct"/>
                  <w:vMerge w:val="continue"/>
                  <w:vAlign w:val="center"/>
                </w:tcPr>
                <w:p w14:paraId="76A3AFA9">
                  <w:pPr>
                    <w:adjustRightInd w:val="0"/>
                    <w:snapToGrid w:val="0"/>
                    <w:jc w:val="center"/>
                    <w:rPr>
                      <w:b/>
                      <w:bCs/>
                      <w:color w:val="auto"/>
                      <w:sz w:val="21"/>
                      <w:szCs w:val="21"/>
                      <w:highlight w:val="none"/>
                    </w:rPr>
                  </w:pPr>
                </w:p>
              </w:tc>
              <w:tc>
                <w:tcPr>
                  <w:tcW w:w="748" w:type="pct"/>
                  <w:vMerge w:val="continue"/>
                  <w:vAlign w:val="center"/>
                </w:tcPr>
                <w:p w14:paraId="106E9310">
                  <w:pPr>
                    <w:adjustRightInd w:val="0"/>
                    <w:snapToGrid w:val="0"/>
                    <w:jc w:val="center"/>
                    <w:rPr>
                      <w:b/>
                      <w:bCs/>
                      <w:color w:val="auto"/>
                      <w:sz w:val="21"/>
                      <w:szCs w:val="21"/>
                      <w:highlight w:val="none"/>
                    </w:rPr>
                  </w:pPr>
                </w:p>
              </w:tc>
              <w:tc>
                <w:tcPr>
                  <w:tcW w:w="530" w:type="pct"/>
                  <w:vMerge w:val="continue"/>
                  <w:vAlign w:val="center"/>
                </w:tcPr>
                <w:p w14:paraId="0EEC70CE">
                  <w:pPr>
                    <w:adjustRightInd w:val="0"/>
                    <w:snapToGrid w:val="0"/>
                    <w:jc w:val="center"/>
                    <w:rPr>
                      <w:b/>
                      <w:bCs/>
                      <w:color w:val="auto"/>
                      <w:sz w:val="21"/>
                      <w:szCs w:val="21"/>
                      <w:highlight w:val="none"/>
                    </w:rPr>
                  </w:pPr>
                </w:p>
              </w:tc>
              <w:tc>
                <w:tcPr>
                  <w:tcW w:w="1871" w:type="pct"/>
                  <w:vAlign w:val="center"/>
                </w:tcPr>
                <w:p w14:paraId="7DB3CDC4">
                  <w:pPr>
                    <w:adjustRightInd w:val="0"/>
                    <w:snapToGrid w:val="0"/>
                    <w:jc w:val="center"/>
                    <w:rPr>
                      <w:b/>
                      <w:bCs/>
                      <w:color w:val="auto"/>
                      <w:sz w:val="21"/>
                      <w:szCs w:val="21"/>
                      <w:highlight w:val="none"/>
                    </w:rPr>
                  </w:pPr>
                  <w:r>
                    <w:rPr>
                      <w:b/>
                      <w:bCs/>
                      <w:color w:val="auto"/>
                      <w:sz w:val="21"/>
                      <w:szCs w:val="21"/>
                      <w:highlight w:val="none"/>
                    </w:rPr>
                    <w:t>名称</w:t>
                  </w:r>
                </w:p>
              </w:tc>
              <w:tc>
                <w:tcPr>
                  <w:tcW w:w="971" w:type="pct"/>
                  <w:vAlign w:val="center"/>
                </w:tcPr>
                <w:p w14:paraId="09FE082F">
                  <w:pPr>
                    <w:adjustRightInd w:val="0"/>
                    <w:snapToGrid w:val="0"/>
                    <w:jc w:val="center"/>
                    <w:rPr>
                      <w:b/>
                      <w:bCs/>
                      <w:color w:val="auto"/>
                      <w:sz w:val="21"/>
                      <w:szCs w:val="21"/>
                      <w:highlight w:val="none"/>
                    </w:rPr>
                  </w:pPr>
                  <w:r>
                    <w:rPr>
                      <w:b/>
                      <w:bCs/>
                      <w:color w:val="auto"/>
                      <w:sz w:val="21"/>
                      <w:szCs w:val="21"/>
                      <w:highlight w:val="none"/>
                    </w:rPr>
                    <w:t>浓度限值(mg/L)</w:t>
                  </w:r>
                </w:p>
              </w:tc>
            </w:tr>
            <w:tr w14:paraId="115C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82" w:type="pct"/>
                  <w:vMerge w:val="restart"/>
                  <w:tcBorders>
                    <w:tl2br w:val="nil"/>
                    <w:tr2bl w:val="nil"/>
                  </w:tcBorders>
                  <w:vAlign w:val="center"/>
                </w:tcPr>
                <w:p w14:paraId="11C05257">
                  <w:pPr>
                    <w:adjustRightInd w:val="0"/>
                    <w:snapToGrid w:val="0"/>
                    <w:jc w:val="center"/>
                    <w:rPr>
                      <w:color w:val="auto"/>
                      <w:sz w:val="21"/>
                      <w:szCs w:val="21"/>
                      <w:highlight w:val="none"/>
                    </w:rPr>
                  </w:pPr>
                  <w:r>
                    <w:rPr>
                      <w:color w:val="auto"/>
                      <w:sz w:val="21"/>
                      <w:szCs w:val="21"/>
                      <w:highlight w:val="none"/>
                    </w:rPr>
                    <w:t>1</w:t>
                  </w:r>
                </w:p>
              </w:tc>
              <w:tc>
                <w:tcPr>
                  <w:tcW w:w="596" w:type="pct"/>
                  <w:vMerge w:val="restart"/>
                  <w:tcBorders>
                    <w:tl2br w:val="nil"/>
                    <w:tr2bl w:val="nil"/>
                  </w:tcBorders>
                  <w:vAlign w:val="center"/>
                </w:tcPr>
                <w:p w14:paraId="4FED86AF">
                  <w:pPr>
                    <w:adjustRightInd w:val="0"/>
                    <w:snapToGrid w:val="0"/>
                    <w:jc w:val="center"/>
                    <w:rPr>
                      <w:color w:val="auto"/>
                      <w:sz w:val="21"/>
                      <w:szCs w:val="21"/>
                      <w:highlight w:val="none"/>
                    </w:rPr>
                  </w:pPr>
                  <w:r>
                    <w:rPr>
                      <w:color w:val="auto"/>
                      <w:sz w:val="21"/>
                      <w:szCs w:val="21"/>
                      <w:highlight w:val="none"/>
                    </w:rPr>
                    <w:t>DW001</w:t>
                  </w:r>
                  <w:r>
                    <w:rPr>
                      <w:rFonts w:hint="default" w:ascii="Times New Roman" w:hAnsi="Times New Roman" w:cs="Times New Roman"/>
                      <w:iCs/>
                      <w:sz w:val="21"/>
                      <w:szCs w:val="21"/>
                      <w:highlight w:val="none"/>
                    </w:rPr>
                    <w:t>企业废水总排放口</w:t>
                  </w:r>
                </w:p>
              </w:tc>
              <w:tc>
                <w:tcPr>
                  <w:tcW w:w="748" w:type="pct"/>
                  <w:tcBorders>
                    <w:tl2br w:val="nil"/>
                    <w:tr2bl w:val="nil"/>
                  </w:tcBorders>
                  <w:vAlign w:val="center"/>
                </w:tcPr>
                <w:p w14:paraId="6E9CE1EF">
                  <w:pPr>
                    <w:adjustRightInd w:val="0"/>
                    <w:snapToGrid w:val="0"/>
                    <w:jc w:val="center"/>
                    <w:rPr>
                      <w:rFonts w:hint="eastAsia" w:eastAsia="宋体"/>
                      <w:color w:val="auto"/>
                      <w:sz w:val="21"/>
                      <w:szCs w:val="21"/>
                      <w:highlight w:val="none"/>
                      <w:lang w:eastAsia="zh-CN"/>
                    </w:rPr>
                  </w:pPr>
                  <w:r>
                    <w:rPr>
                      <w:rFonts w:hint="eastAsia"/>
                      <w:color w:val="auto"/>
                      <w:sz w:val="21"/>
                      <w:szCs w:val="21"/>
                      <w:highlight w:val="none"/>
                      <w:lang w:eastAsia="zh-CN"/>
                    </w:rPr>
                    <w:t>CODcr</w:t>
                  </w:r>
                </w:p>
              </w:tc>
              <w:tc>
                <w:tcPr>
                  <w:tcW w:w="530" w:type="pct"/>
                  <w:vMerge w:val="restart"/>
                  <w:tcBorders>
                    <w:tl2br w:val="nil"/>
                    <w:tr2bl w:val="nil"/>
                  </w:tcBorders>
                  <w:vAlign w:val="center"/>
                </w:tcPr>
                <w:p w14:paraId="07F50EE7">
                  <w:pPr>
                    <w:adjustRightInd w:val="0"/>
                    <w:snapToGrid w:val="0"/>
                    <w:jc w:val="center"/>
                    <w:rPr>
                      <w:color w:val="auto"/>
                      <w:sz w:val="21"/>
                      <w:szCs w:val="21"/>
                      <w:highlight w:val="none"/>
                    </w:rPr>
                  </w:pPr>
                  <w:r>
                    <w:rPr>
                      <w:color w:val="auto"/>
                      <w:sz w:val="21"/>
                      <w:szCs w:val="21"/>
                      <w:highlight w:val="none"/>
                    </w:rPr>
                    <w:t>半年/次</w:t>
                  </w:r>
                </w:p>
              </w:tc>
              <w:tc>
                <w:tcPr>
                  <w:tcW w:w="1871" w:type="pct"/>
                  <w:vMerge w:val="restart"/>
                  <w:tcBorders>
                    <w:tl2br w:val="nil"/>
                    <w:tr2bl w:val="nil"/>
                  </w:tcBorders>
                  <w:vAlign w:val="center"/>
                </w:tcPr>
                <w:p w14:paraId="6ACC8279">
                  <w:pPr>
                    <w:adjustRightInd w:val="0"/>
                    <w:snapToGrid w:val="0"/>
                    <w:jc w:val="center"/>
                    <w:rPr>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农村生活污水处理排放标准（发布稿）</w:t>
                  </w:r>
                  <w:r>
                    <w:rPr>
                      <w:rFonts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DB65/4275-2019</w:t>
                  </w:r>
                  <w:r>
                    <w:rPr>
                      <w:rFonts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表2中C级排放浓度限值</w:t>
                  </w:r>
                </w:p>
              </w:tc>
              <w:tc>
                <w:tcPr>
                  <w:tcW w:w="971" w:type="pct"/>
                  <w:tcBorders>
                    <w:tl2br w:val="nil"/>
                    <w:tr2bl w:val="nil"/>
                  </w:tcBorders>
                  <w:vAlign w:val="center"/>
                </w:tcPr>
                <w:p w14:paraId="404C9F2B">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200</w:t>
                  </w:r>
                </w:p>
              </w:tc>
            </w:tr>
            <w:tr w14:paraId="3AA5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2" w:type="pct"/>
                  <w:vMerge w:val="continue"/>
                  <w:tcBorders>
                    <w:tl2br w:val="nil"/>
                    <w:tr2bl w:val="nil"/>
                  </w:tcBorders>
                  <w:vAlign w:val="center"/>
                </w:tcPr>
                <w:p w14:paraId="1E3CD735">
                  <w:pPr>
                    <w:adjustRightInd w:val="0"/>
                    <w:snapToGrid w:val="0"/>
                    <w:jc w:val="center"/>
                    <w:rPr>
                      <w:color w:val="auto"/>
                      <w:sz w:val="21"/>
                      <w:szCs w:val="21"/>
                      <w:highlight w:val="none"/>
                    </w:rPr>
                  </w:pPr>
                </w:p>
              </w:tc>
              <w:tc>
                <w:tcPr>
                  <w:tcW w:w="596" w:type="pct"/>
                  <w:vMerge w:val="continue"/>
                  <w:tcBorders>
                    <w:tl2br w:val="nil"/>
                    <w:tr2bl w:val="nil"/>
                  </w:tcBorders>
                  <w:vAlign w:val="center"/>
                </w:tcPr>
                <w:p w14:paraId="40A0F24C">
                  <w:pPr>
                    <w:adjustRightInd w:val="0"/>
                    <w:snapToGrid w:val="0"/>
                    <w:jc w:val="center"/>
                    <w:rPr>
                      <w:color w:val="auto"/>
                      <w:sz w:val="21"/>
                      <w:szCs w:val="21"/>
                      <w:highlight w:val="none"/>
                    </w:rPr>
                  </w:pPr>
                </w:p>
              </w:tc>
              <w:tc>
                <w:tcPr>
                  <w:tcW w:w="748" w:type="pct"/>
                  <w:tcBorders>
                    <w:tl2br w:val="nil"/>
                    <w:tr2bl w:val="nil"/>
                  </w:tcBorders>
                  <w:vAlign w:val="center"/>
                </w:tcPr>
                <w:p w14:paraId="279732E8">
                  <w:pPr>
                    <w:adjustRightInd w:val="0"/>
                    <w:snapToGrid w:val="0"/>
                    <w:jc w:val="center"/>
                    <w:rPr>
                      <w:color w:val="auto"/>
                      <w:kern w:val="0"/>
                      <w:sz w:val="21"/>
                      <w:szCs w:val="21"/>
                      <w:highlight w:val="none"/>
                    </w:rPr>
                  </w:pPr>
                  <w:r>
                    <w:rPr>
                      <w:color w:val="auto"/>
                      <w:kern w:val="0"/>
                      <w:sz w:val="21"/>
                      <w:szCs w:val="21"/>
                      <w:highlight w:val="none"/>
                    </w:rPr>
                    <w:t>BOD</w:t>
                  </w:r>
                  <w:r>
                    <w:rPr>
                      <w:color w:val="auto"/>
                      <w:kern w:val="0"/>
                      <w:sz w:val="21"/>
                      <w:szCs w:val="21"/>
                      <w:highlight w:val="none"/>
                      <w:vertAlign w:val="subscript"/>
                    </w:rPr>
                    <w:t>5</w:t>
                  </w:r>
                </w:p>
              </w:tc>
              <w:tc>
                <w:tcPr>
                  <w:tcW w:w="530" w:type="pct"/>
                  <w:vMerge w:val="continue"/>
                  <w:tcBorders>
                    <w:tl2br w:val="nil"/>
                    <w:tr2bl w:val="nil"/>
                  </w:tcBorders>
                  <w:vAlign w:val="center"/>
                </w:tcPr>
                <w:p w14:paraId="417DF69D">
                  <w:pPr>
                    <w:adjustRightInd w:val="0"/>
                    <w:snapToGrid w:val="0"/>
                    <w:jc w:val="center"/>
                    <w:rPr>
                      <w:color w:val="auto"/>
                      <w:kern w:val="0"/>
                      <w:sz w:val="21"/>
                      <w:szCs w:val="21"/>
                      <w:highlight w:val="none"/>
                    </w:rPr>
                  </w:pPr>
                </w:p>
              </w:tc>
              <w:tc>
                <w:tcPr>
                  <w:tcW w:w="1871" w:type="pct"/>
                  <w:vMerge w:val="continue"/>
                  <w:tcBorders>
                    <w:tl2br w:val="nil"/>
                    <w:tr2bl w:val="nil"/>
                  </w:tcBorders>
                  <w:vAlign w:val="center"/>
                </w:tcPr>
                <w:p w14:paraId="76E9EDFB">
                  <w:pPr>
                    <w:adjustRightInd w:val="0"/>
                    <w:snapToGrid w:val="0"/>
                    <w:jc w:val="center"/>
                    <w:rPr>
                      <w:color w:val="auto"/>
                      <w:sz w:val="21"/>
                      <w:szCs w:val="21"/>
                      <w:highlight w:val="none"/>
                    </w:rPr>
                  </w:pPr>
                </w:p>
              </w:tc>
              <w:tc>
                <w:tcPr>
                  <w:tcW w:w="971" w:type="pct"/>
                  <w:tcBorders>
                    <w:tl2br w:val="nil"/>
                    <w:tr2bl w:val="nil"/>
                  </w:tcBorders>
                  <w:vAlign w:val="center"/>
                </w:tcPr>
                <w:p w14:paraId="0268D1EC">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14:paraId="71D6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2" w:type="pct"/>
                  <w:vMerge w:val="continue"/>
                  <w:tcBorders>
                    <w:tl2br w:val="nil"/>
                    <w:tr2bl w:val="nil"/>
                  </w:tcBorders>
                  <w:vAlign w:val="center"/>
                </w:tcPr>
                <w:p w14:paraId="63ABD847">
                  <w:pPr>
                    <w:adjustRightInd w:val="0"/>
                    <w:snapToGrid w:val="0"/>
                    <w:jc w:val="center"/>
                    <w:rPr>
                      <w:color w:val="auto"/>
                      <w:sz w:val="21"/>
                      <w:szCs w:val="21"/>
                      <w:highlight w:val="none"/>
                    </w:rPr>
                  </w:pPr>
                </w:p>
              </w:tc>
              <w:tc>
                <w:tcPr>
                  <w:tcW w:w="596" w:type="pct"/>
                  <w:vMerge w:val="continue"/>
                  <w:tcBorders>
                    <w:tl2br w:val="nil"/>
                    <w:tr2bl w:val="nil"/>
                  </w:tcBorders>
                  <w:vAlign w:val="center"/>
                </w:tcPr>
                <w:p w14:paraId="51051FF6">
                  <w:pPr>
                    <w:adjustRightInd w:val="0"/>
                    <w:snapToGrid w:val="0"/>
                    <w:jc w:val="center"/>
                    <w:rPr>
                      <w:color w:val="auto"/>
                      <w:sz w:val="21"/>
                      <w:szCs w:val="21"/>
                      <w:highlight w:val="none"/>
                    </w:rPr>
                  </w:pPr>
                </w:p>
              </w:tc>
              <w:tc>
                <w:tcPr>
                  <w:tcW w:w="748" w:type="pct"/>
                  <w:tcBorders>
                    <w:tl2br w:val="nil"/>
                    <w:tr2bl w:val="nil"/>
                  </w:tcBorders>
                  <w:vAlign w:val="center"/>
                </w:tcPr>
                <w:p w14:paraId="4FDBCC38">
                  <w:pPr>
                    <w:adjustRightInd w:val="0"/>
                    <w:snapToGrid w:val="0"/>
                    <w:jc w:val="center"/>
                    <w:rPr>
                      <w:color w:val="auto"/>
                      <w:kern w:val="0"/>
                      <w:sz w:val="21"/>
                      <w:szCs w:val="21"/>
                      <w:highlight w:val="none"/>
                    </w:rPr>
                  </w:pPr>
                  <w:r>
                    <w:rPr>
                      <w:bCs/>
                      <w:color w:val="auto"/>
                      <w:sz w:val="21"/>
                      <w:szCs w:val="21"/>
                      <w:highlight w:val="none"/>
                    </w:rPr>
                    <w:t>NH</w:t>
                  </w:r>
                  <w:r>
                    <w:rPr>
                      <w:bCs/>
                      <w:color w:val="auto"/>
                      <w:sz w:val="21"/>
                      <w:szCs w:val="21"/>
                      <w:highlight w:val="none"/>
                      <w:vertAlign w:val="subscript"/>
                    </w:rPr>
                    <w:t>3</w:t>
                  </w:r>
                  <w:r>
                    <w:rPr>
                      <w:bCs/>
                      <w:color w:val="auto"/>
                      <w:sz w:val="21"/>
                      <w:szCs w:val="21"/>
                      <w:highlight w:val="none"/>
                    </w:rPr>
                    <w:t>-N</w:t>
                  </w:r>
                </w:p>
              </w:tc>
              <w:tc>
                <w:tcPr>
                  <w:tcW w:w="530" w:type="pct"/>
                  <w:vMerge w:val="continue"/>
                  <w:tcBorders>
                    <w:tl2br w:val="nil"/>
                    <w:tr2bl w:val="nil"/>
                  </w:tcBorders>
                  <w:vAlign w:val="center"/>
                </w:tcPr>
                <w:p w14:paraId="22470053">
                  <w:pPr>
                    <w:adjustRightInd w:val="0"/>
                    <w:snapToGrid w:val="0"/>
                    <w:jc w:val="center"/>
                    <w:rPr>
                      <w:color w:val="auto"/>
                      <w:kern w:val="0"/>
                      <w:sz w:val="21"/>
                      <w:szCs w:val="21"/>
                      <w:highlight w:val="none"/>
                    </w:rPr>
                  </w:pPr>
                </w:p>
              </w:tc>
              <w:tc>
                <w:tcPr>
                  <w:tcW w:w="1871" w:type="pct"/>
                  <w:vMerge w:val="continue"/>
                  <w:tcBorders>
                    <w:tl2br w:val="nil"/>
                    <w:tr2bl w:val="nil"/>
                  </w:tcBorders>
                  <w:vAlign w:val="center"/>
                </w:tcPr>
                <w:p w14:paraId="22FDC86B">
                  <w:pPr>
                    <w:adjustRightInd w:val="0"/>
                    <w:snapToGrid w:val="0"/>
                    <w:jc w:val="center"/>
                    <w:rPr>
                      <w:color w:val="auto"/>
                      <w:sz w:val="21"/>
                      <w:szCs w:val="21"/>
                      <w:highlight w:val="none"/>
                    </w:rPr>
                  </w:pPr>
                </w:p>
              </w:tc>
              <w:tc>
                <w:tcPr>
                  <w:tcW w:w="971" w:type="pct"/>
                  <w:tcBorders>
                    <w:tl2br w:val="nil"/>
                    <w:tr2bl w:val="nil"/>
                  </w:tcBorders>
                  <w:vAlign w:val="center"/>
                </w:tcPr>
                <w:p w14:paraId="22D27832">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14:paraId="37F1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2" w:type="pct"/>
                  <w:vMerge w:val="continue"/>
                  <w:tcBorders>
                    <w:tl2br w:val="nil"/>
                    <w:tr2bl w:val="nil"/>
                  </w:tcBorders>
                  <w:vAlign w:val="center"/>
                </w:tcPr>
                <w:p w14:paraId="269B0D8F">
                  <w:pPr>
                    <w:adjustRightInd w:val="0"/>
                    <w:snapToGrid w:val="0"/>
                    <w:jc w:val="center"/>
                    <w:rPr>
                      <w:color w:val="auto"/>
                      <w:sz w:val="21"/>
                      <w:szCs w:val="21"/>
                      <w:highlight w:val="none"/>
                    </w:rPr>
                  </w:pPr>
                </w:p>
              </w:tc>
              <w:tc>
                <w:tcPr>
                  <w:tcW w:w="596" w:type="pct"/>
                  <w:vMerge w:val="continue"/>
                  <w:tcBorders>
                    <w:tl2br w:val="nil"/>
                    <w:tr2bl w:val="nil"/>
                  </w:tcBorders>
                  <w:vAlign w:val="center"/>
                </w:tcPr>
                <w:p w14:paraId="0B2742D1">
                  <w:pPr>
                    <w:adjustRightInd w:val="0"/>
                    <w:snapToGrid w:val="0"/>
                    <w:jc w:val="center"/>
                    <w:rPr>
                      <w:color w:val="auto"/>
                      <w:sz w:val="21"/>
                      <w:szCs w:val="21"/>
                      <w:highlight w:val="none"/>
                    </w:rPr>
                  </w:pPr>
                </w:p>
              </w:tc>
              <w:tc>
                <w:tcPr>
                  <w:tcW w:w="748" w:type="pct"/>
                  <w:tcBorders>
                    <w:tl2br w:val="nil"/>
                    <w:tr2bl w:val="nil"/>
                  </w:tcBorders>
                  <w:vAlign w:val="center"/>
                </w:tcPr>
                <w:p w14:paraId="5DCCAE3B">
                  <w:pPr>
                    <w:adjustRightInd w:val="0"/>
                    <w:snapToGrid w:val="0"/>
                    <w:jc w:val="center"/>
                    <w:rPr>
                      <w:color w:val="auto"/>
                      <w:kern w:val="0"/>
                      <w:sz w:val="21"/>
                      <w:szCs w:val="21"/>
                      <w:highlight w:val="none"/>
                    </w:rPr>
                  </w:pPr>
                  <w:r>
                    <w:rPr>
                      <w:color w:val="auto"/>
                      <w:kern w:val="0"/>
                      <w:sz w:val="21"/>
                      <w:szCs w:val="21"/>
                      <w:highlight w:val="none"/>
                    </w:rPr>
                    <w:t>SS</w:t>
                  </w:r>
                </w:p>
              </w:tc>
              <w:tc>
                <w:tcPr>
                  <w:tcW w:w="530" w:type="pct"/>
                  <w:vMerge w:val="continue"/>
                  <w:tcBorders>
                    <w:tl2br w:val="nil"/>
                    <w:tr2bl w:val="nil"/>
                  </w:tcBorders>
                  <w:vAlign w:val="center"/>
                </w:tcPr>
                <w:p w14:paraId="580A44D1">
                  <w:pPr>
                    <w:adjustRightInd w:val="0"/>
                    <w:snapToGrid w:val="0"/>
                    <w:jc w:val="center"/>
                    <w:rPr>
                      <w:bCs/>
                      <w:color w:val="auto"/>
                      <w:sz w:val="21"/>
                      <w:szCs w:val="21"/>
                      <w:highlight w:val="none"/>
                    </w:rPr>
                  </w:pPr>
                </w:p>
              </w:tc>
              <w:tc>
                <w:tcPr>
                  <w:tcW w:w="1871" w:type="pct"/>
                  <w:vMerge w:val="continue"/>
                  <w:tcBorders>
                    <w:tl2br w:val="nil"/>
                    <w:tr2bl w:val="nil"/>
                  </w:tcBorders>
                  <w:vAlign w:val="center"/>
                </w:tcPr>
                <w:p w14:paraId="79CF6072">
                  <w:pPr>
                    <w:adjustRightInd w:val="0"/>
                    <w:snapToGrid w:val="0"/>
                    <w:jc w:val="center"/>
                    <w:rPr>
                      <w:color w:val="auto"/>
                      <w:sz w:val="21"/>
                      <w:szCs w:val="21"/>
                      <w:highlight w:val="none"/>
                    </w:rPr>
                  </w:pPr>
                </w:p>
              </w:tc>
              <w:tc>
                <w:tcPr>
                  <w:tcW w:w="971" w:type="pct"/>
                  <w:tcBorders>
                    <w:tl2br w:val="nil"/>
                    <w:tr2bl w:val="nil"/>
                  </w:tcBorders>
                  <w:vAlign w:val="center"/>
                </w:tcPr>
                <w:p w14:paraId="15975F71">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100</w:t>
                  </w:r>
                </w:p>
              </w:tc>
            </w:tr>
          </w:tbl>
          <w:p w14:paraId="6245E61C">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2.</w:t>
            </w:r>
            <w:r>
              <w:rPr>
                <w:rFonts w:hint="eastAsia" w:cs="Times New Roman"/>
                <w:b/>
                <w:bCs/>
                <w:color w:val="auto"/>
                <w:sz w:val="24"/>
                <w:lang w:val="en-US" w:eastAsia="zh-CN"/>
              </w:rPr>
              <w:t xml:space="preserve">5 </w:t>
            </w:r>
            <w:r>
              <w:rPr>
                <w:rFonts w:hint="eastAsia" w:ascii="Times New Roman" w:hAnsi="Times New Roman" w:eastAsia="宋体" w:cs="Times New Roman"/>
                <w:b/>
                <w:bCs/>
                <w:color w:val="auto"/>
                <w:sz w:val="24"/>
              </w:rPr>
              <w:t>废水处理可行性分析</w:t>
            </w:r>
          </w:p>
          <w:p w14:paraId="58075595">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本项目产生的生产废水循环利用，不外排；项目产生的生活污水</w:t>
            </w:r>
            <w:r>
              <w:rPr>
                <w:rFonts w:hint="eastAsia" w:cs="Times New Roman"/>
                <w:color w:val="auto"/>
                <w:kern w:val="0"/>
                <w:sz w:val="24"/>
                <w:lang w:val="en-US" w:eastAsia="zh-CN"/>
              </w:rPr>
              <w:t>水质简单，</w:t>
            </w:r>
            <w:r>
              <w:rPr>
                <w:rFonts w:hint="eastAsia" w:ascii="Times New Roman" w:hAnsi="Times New Roman" w:eastAsia="宋体" w:cs="Times New Roman"/>
                <w:color w:val="auto"/>
                <w:kern w:val="0"/>
                <w:sz w:val="24"/>
              </w:rPr>
              <w:t>经</w:t>
            </w:r>
            <w:r>
              <w:rPr>
                <w:rFonts w:hint="eastAsia" w:cs="Times New Roman"/>
                <w:color w:val="auto"/>
                <w:kern w:val="0"/>
                <w:sz w:val="24"/>
                <w:lang w:val="en-US" w:eastAsia="zh-CN"/>
              </w:rPr>
              <w:t>地埋式</w:t>
            </w:r>
            <w:r>
              <w:rPr>
                <w:rFonts w:hint="eastAsia" w:ascii="Times New Roman" w:hAnsi="Times New Roman" w:eastAsia="宋体" w:cs="Times New Roman"/>
                <w:color w:val="auto"/>
                <w:kern w:val="0"/>
                <w:sz w:val="24"/>
              </w:rPr>
              <w:t>一体化污水处理</w:t>
            </w:r>
            <w:r>
              <w:rPr>
                <w:rFonts w:hint="eastAsia" w:cs="Times New Roman"/>
                <w:color w:val="auto"/>
                <w:kern w:val="0"/>
                <w:sz w:val="24"/>
                <w:lang w:val="en-US" w:eastAsia="zh-CN"/>
              </w:rPr>
              <w:t>设施</w:t>
            </w:r>
            <w:r>
              <w:rPr>
                <w:rFonts w:hint="eastAsia" w:ascii="Times New Roman" w:hAnsi="Times New Roman" w:eastAsia="宋体" w:cs="Times New Roman"/>
                <w:color w:val="auto"/>
                <w:kern w:val="0"/>
                <w:sz w:val="24"/>
              </w:rPr>
              <w:t>处理达标后用于</w:t>
            </w:r>
            <w:r>
              <w:rPr>
                <w:rFonts w:hint="eastAsia" w:cs="Times New Roman"/>
                <w:color w:val="auto"/>
                <w:kern w:val="0"/>
                <w:sz w:val="24"/>
                <w:lang w:val="en-US" w:eastAsia="zh-CN"/>
              </w:rPr>
              <w:t>厂区绿化</w:t>
            </w:r>
            <w:r>
              <w:rPr>
                <w:rFonts w:hint="eastAsia" w:ascii="Times New Roman" w:hAnsi="Times New Roman" w:eastAsia="宋体" w:cs="Times New Roman"/>
                <w:color w:val="auto"/>
                <w:kern w:val="0"/>
                <w:sz w:val="24"/>
              </w:rPr>
              <w:t>。</w:t>
            </w:r>
          </w:p>
          <w:p w14:paraId="4A121FF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CN"/>
              </w:rPr>
              <w:t>本</w:t>
            </w:r>
            <w:r>
              <w:rPr>
                <w:rFonts w:hint="eastAsia" w:cs="Times New Roman"/>
                <w:color w:val="auto"/>
                <w:kern w:val="0"/>
                <w:sz w:val="24"/>
                <w:lang w:val="en-US" w:eastAsia="zh-CN"/>
              </w:rPr>
              <w:t>项目</w:t>
            </w:r>
            <w:r>
              <w:rPr>
                <w:rFonts w:hint="eastAsia" w:ascii="Times New Roman" w:hAnsi="Times New Roman" w:eastAsia="宋体" w:cs="Times New Roman"/>
                <w:color w:val="auto"/>
                <w:kern w:val="0"/>
                <w:sz w:val="24"/>
              </w:rPr>
              <w:t>生活污水经管道流入集渣格栅池，经格栅池拦污后进入调节池，调节池内污水采用污水提升泵提升至一体化处理设备中。一体化设备内含A级生化池、O级生化池、沉淀池、</w:t>
            </w:r>
            <w:r>
              <w:rPr>
                <w:rFonts w:hint="eastAsia" w:ascii="Times New Roman" w:hAnsi="Times New Roman" w:eastAsia="宋体" w:cs="Times New Roman"/>
                <w:color w:val="auto"/>
                <w:kern w:val="0"/>
                <w:sz w:val="24"/>
                <w:lang w:eastAsia="zh-CN"/>
              </w:rPr>
              <w:t>净化池</w:t>
            </w:r>
            <w:r>
              <w:rPr>
                <w:rFonts w:hint="eastAsia" w:ascii="Times New Roman" w:hAnsi="Times New Roman" w:eastAsia="宋体" w:cs="Times New Roman"/>
                <w:color w:val="auto"/>
                <w:kern w:val="0"/>
                <w:sz w:val="24"/>
              </w:rPr>
              <w:t>和污泥池。经过A级池的生化作用</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rPr>
              <w:t>为了使有机物得到进一步氧化分解，特设置O级生化池，A</w:t>
            </w:r>
            <w:r>
              <w:rPr>
                <w:rFonts w:hint="eastAsia" w:cs="Times New Roman"/>
                <w:color w:val="auto"/>
                <w:kern w:val="0"/>
                <w:sz w:val="24"/>
                <w:lang w:eastAsia="zh-CN"/>
              </w:rPr>
              <w:t>级</w:t>
            </w:r>
            <w:r>
              <w:rPr>
                <w:rFonts w:hint="eastAsia" w:ascii="Times New Roman" w:hAnsi="Times New Roman" w:eastAsia="宋体" w:cs="Times New Roman"/>
                <w:color w:val="auto"/>
                <w:kern w:val="0"/>
                <w:sz w:val="24"/>
              </w:rPr>
              <w:t>池出水自流入O级池，O级池的处理依靠自氧型细菌（硝化菌）利用有机物分解产生的无机碳或空气中的CO</w:t>
            </w:r>
            <w:r>
              <w:rPr>
                <w:rFonts w:hint="eastAsia" w:ascii="Times New Roman" w:hAnsi="Times New Roman" w:eastAsia="宋体" w:cs="Times New Roman"/>
                <w:color w:val="auto"/>
                <w:kern w:val="0"/>
                <w:sz w:val="24"/>
                <w:vertAlign w:val="subscript"/>
              </w:rPr>
              <w:t>2</w:t>
            </w:r>
            <w:r>
              <w:rPr>
                <w:rFonts w:hint="eastAsia" w:ascii="Times New Roman" w:hAnsi="Times New Roman" w:eastAsia="宋体" w:cs="Times New Roman"/>
                <w:color w:val="auto"/>
                <w:kern w:val="0"/>
                <w:sz w:val="24"/>
              </w:rPr>
              <w:t>作为营养源，O级池的出水一部分回流到A级池进行内循环，以达到反硝化目的。</w:t>
            </w:r>
            <w:r>
              <w:rPr>
                <w:rFonts w:hint="eastAsia" w:ascii="Times New Roman" w:hAnsi="Times New Roman" w:eastAsia="宋体" w:cs="Times New Roman"/>
                <w:color w:val="auto"/>
                <w:kern w:val="0"/>
                <w:sz w:val="24"/>
                <w:lang w:eastAsia="zh-CN"/>
              </w:rPr>
              <w:t>生化</w:t>
            </w:r>
            <w:r>
              <w:rPr>
                <w:rFonts w:hint="eastAsia" w:ascii="Times New Roman" w:hAnsi="Times New Roman" w:eastAsia="宋体" w:cs="Times New Roman"/>
                <w:color w:val="auto"/>
                <w:kern w:val="0"/>
                <w:sz w:val="24"/>
              </w:rPr>
              <w:t>池内配置空气曝气装置，进行空气搅拌，使池中的污泥和污水混合，并使之处于悬浮状态，以保证有机物降解和NH</w:t>
            </w:r>
            <w:r>
              <w:rPr>
                <w:rFonts w:hint="eastAsia" w:ascii="Times New Roman" w:hAnsi="Times New Roman" w:eastAsia="宋体" w:cs="Times New Roman"/>
                <w:color w:val="auto"/>
                <w:kern w:val="0"/>
                <w:sz w:val="24"/>
                <w:vertAlign w:val="subscript"/>
              </w:rPr>
              <w:t>3</w:t>
            </w:r>
            <w:r>
              <w:rPr>
                <w:rFonts w:hint="eastAsia" w:ascii="Times New Roman" w:hAnsi="Times New Roman" w:eastAsia="宋体" w:cs="Times New Roman"/>
                <w:color w:val="auto"/>
                <w:kern w:val="0"/>
                <w:sz w:val="24"/>
              </w:rPr>
              <w:t>-N的脱除效果；另一部分进入沉淀池进行固液分离，固液分离后的出水进入</w:t>
            </w:r>
            <w:r>
              <w:rPr>
                <w:rFonts w:hint="eastAsia" w:ascii="Times New Roman" w:hAnsi="Times New Roman" w:eastAsia="宋体" w:cs="Times New Roman"/>
                <w:color w:val="auto"/>
                <w:kern w:val="0"/>
                <w:sz w:val="24"/>
                <w:lang w:eastAsia="zh-CN"/>
              </w:rPr>
              <w:t>净化池</w:t>
            </w:r>
            <w:r>
              <w:rPr>
                <w:rFonts w:hint="eastAsia" w:ascii="Times New Roman" w:hAnsi="Times New Roman" w:eastAsia="宋体" w:cs="Times New Roman"/>
                <w:color w:val="auto"/>
                <w:kern w:val="0"/>
                <w:sz w:val="24"/>
              </w:rPr>
              <w:t>，经</w:t>
            </w:r>
            <w:r>
              <w:rPr>
                <w:rFonts w:hint="eastAsia" w:ascii="Times New Roman" w:hAnsi="Times New Roman" w:eastAsia="宋体" w:cs="Times New Roman"/>
                <w:color w:val="auto"/>
                <w:kern w:val="0"/>
                <w:sz w:val="24"/>
                <w:lang w:eastAsia="zh-CN"/>
              </w:rPr>
              <w:t>净化池</w:t>
            </w:r>
            <w:r>
              <w:rPr>
                <w:rFonts w:hint="eastAsia" w:ascii="Times New Roman" w:hAnsi="Times New Roman" w:eastAsia="宋体" w:cs="Times New Roman"/>
                <w:color w:val="auto"/>
                <w:kern w:val="0"/>
                <w:sz w:val="24"/>
              </w:rPr>
              <w:t>处理后即可排放</w:t>
            </w:r>
            <w:r>
              <w:rPr>
                <w:rFonts w:hint="eastAsia" w:ascii="Times New Roman" w:hAnsi="Times New Roman" w:eastAsia="宋体" w:cs="Times New Roman"/>
                <w:color w:val="auto"/>
                <w:kern w:val="0"/>
                <w:sz w:val="24"/>
                <w:lang w:eastAsia="zh-CN"/>
              </w:rPr>
              <w:t>。</w:t>
            </w:r>
          </w:p>
          <w:p w14:paraId="49796C7D">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综上所述，本项目水质、水量情况都满足要求，产生的废水能</w:t>
            </w:r>
            <w:r>
              <w:rPr>
                <w:rFonts w:hint="eastAsia" w:ascii="Times New Roman" w:hAnsi="Times New Roman" w:eastAsia="宋体" w:cs="Times New Roman"/>
                <w:color w:val="auto"/>
                <w:kern w:val="0"/>
                <w:sz w:val="24"/>
                <w:szCs w:val="24"/>
              </w:rPr>
              <w:t>满足</w:t>
            </w: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农村生活污水处理排放标准（发布稿）</w:t>
            </w:r>
            <w:r>
              <w:rPr>
                <w:rFonts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DB65/4275-2019</w:t>
            </w:r>
            <w:r>
              <w:rPr>
                <w:rFonts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表2中C级排放浓度限值</w:t>
            </w:r>
            <w:r>
              <w:rPr>
                <w:rFonts w:hint="eastAsia" w:ascii="Times New Roman" w:hAnsi="Times New Roman" w:eastAsia="宋体" w:cs="Times New Roman"/>
                <w:color w:val="auto"/>
                <w:kern w:val="0"/>
                <w:sz w:val="24"/>
                <w:szCs w:val="24"/>
              </w:rPr>
              <w:t>。</w:t>
            </w:r>
          </w:p>
          <w:p w14:paraId="305E3E3E">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kern w:val="2"/>
                <w:sz w:val="24"/>
                <w:szCs w:val="24"/>
                <w:lang w:val="en-US" w:eastAsia="zh-CN" w:bidi="ar-SA"/>
              </w:rPr>
              <w:t>3.</w:t>
            </w:r>
            <w:r>
              <w:rPr>
                <w:rFonts w:hint="eastAsia" w:ascii="Times New Roman" w:hAnsi="Times New Roman" w:eastAsia="宋体" w:cs="Times New Roman"/>
                <w:b/>
                <w:bCs/>
                <w:color w:val="auto"/>
                <w:sz w:val="24"/>
              </w:rPr>
              <w:t>噪声</w:t>
            </w:r>
          </w:p>
          <w:p w14:paraId="029F4BEC">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3.1</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噪声声源分析</w:t>
            </w:r>
          </w:p>
          <w:p w14:paraId="4AAFE2AE">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本项目噪声来自生产设备运行时发出的噪声，包括搅拌机、输送设备、泵类、运输车辆噪声等。声压级为7</w:t>
            </w:r>
            <w:r>
              <w:rPr>
                <w:rFonts w:hint="eastAsia" w:ascii="Times New Roman" w:hAnsi="Times New Roman" w:eastAsia="宋体" w:cs="Times New Roman"/>
                <w:color w:val="auto"/>
                <w:kern w:val="0"/>
                <w:sz w:val="24"/>
                <w:szCs w:val="24"/>
                <w:lang w:val="en-US" w:eastAsia="zh-CN" w:bidi="ar-SA"/>
              </w:rPr>
              <w:t>5</w:t>
            </w:r>
            <w:r>
              <w:rPr>
                <w:rFonts w:hint="eastAsia" w:cs="Times New Roman"/>
                <w:color w:val="auto"/>
                <w:kern w:val="0"/>
                <w:sz w:val="24"/>
                <w:szCs w:val="24"/>
                <w:lang w:val="en-US" w:eastAsia="zh-CN" w:bidi="ar-SA"/>
              </w:rPr>
              <w:t>-85</w:t>
            </w:r>
            <w:r>
              <w:rPr>
                <w:rFonts w:ascii="Times New Roman" w:hAnsi="Times New Roman" w:eastAsia="宋体" w:cs="Times New Roman"/>
                <w:color w:val="auto"/>
                <w:kern w:val="0"/>
                <w:sz w:val="24"/>
                <w:szCs w:val="24"/>
                <w:lang w:val="en-US" w:eastAsia="zh-CN" w:bidi="ar-SA"/>
              </w:rPr>
              <w:t>dB（A）。声源集中在</w:t>
            </w:r>
            <w:r>
              <w:rPr>
                <w:rFonts w:hint="eastAsia" w:cs="Times New Roman"/>
                <w:color w:val="auto"/>
                <w:kern w:val="0"/>
                <w:sz w:val="24"/>
                <w:szCs w:val="24"/>
                <w:lang w:val="en-US" w:eastAsia="zh-CN" w:bidi="ar-SA"/>
              </w:rPr>
              <w:t>搅拌楼</w:t>
            </w:r>
            <w:r>
              <w:rPr>
                <w:rFonts w:ascii="Times New Roman" w:hAnsi="Times New Roman" w:eastAsia="宋体" w:cs="Times New Roman"/>
                <w:color w:val="auto"/>
                <w:kern w:val="0"/>
                <w:sz w:val="24"/>
                <w:szCs w:val="24"/>
                <w:lang w:val="en-US" w:eastAsia="zh-CN" w:bidi="ar-SA"/>
              </w:rPr>
              <w:t>，其噪声源强见表</w:t>
            </w:r>
            <w:r>
              <w:rPr>
                <w:rFonts w:hint="eastAsia" w:ascii="Times New Roman" w:hAnsi="Times New Roman" w:eastAsia="宋体" w:cs="Times New Roman"/>
                <w:color w:val="auto"/>
                <w:kern w:val="0"/>
                <w:sz w:val="24"/>
                <w:szCs w:val="24"/>
                <w:lang w:val="en-US" w:eastAsia="zh-CN" w:bidi="ar-SA"/>
              </w:rPr>
              <w:t>4-</w:t>
            </w:r>
            <w:r>
              <w:rPr>
                <w:rFonts w:hint="eastAsia" w:cs="Times New Roman"/>
                <w:color w:val="auto"/>
                <w:kern w:val="0"/>
                <w:sz w:val="24"/>
                <w:szCs w:val="24"/>
                <w:lang w:val="en-US" w:eastAsia="zh-CN" w:bidi="ar-SA"/>
              </w:rPr>
              <w:t>10</w:t>
            </w:r>
            <w:r>
              <w:rPr>
                <w:rFonts w:ascii="Times New Roman" w:hAnsi="Times New Roman" w:eastAsia="宋体" w:cs="Times New Roman"/>
                <w:color w:val="auto"/>
                <w:kern w:val="0"/>
                <w:sz w:val="24"/>
                <w:szCs w:val="24"/>
                <w:lang w:val="en-US" w:eastAsia="zh-CN" w:bidi="ar-SA"/>
              </w:rPr>
              <w:t>。</w:t>
            </w:r>
          </w:p>
          <w:p w14:paraId="12E60F44">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w:t>
            </w:r>
            <w:r>
              <w:rPr>
                <w:rFonts w:hint="eastAsia" w:cs="Times New Roman"/>
                <w:color w:val="auto"/>
                <w:lang w:val="en-US" w:eastAsia="zh-CN"/>
              </w:rPr>
              <w:t>10</w:t>
            </w:r>
            <w:r>
              <w:rPr>
                <w:rFonts w:hint="default" w:ascii="Times New Roman" w:hAnsi="Times New Roman" w:eastAsia="宋体" w:cs="Times New Roman"/>
                <w:color w:val="auto"/>
              </w:rPr>
              <w:t xml:space="preserve">    本项目主要噪声一览表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63"/>
              <w:gridCol w:w="426"/>
              <w:gridCol w:w="811"/>
              <w:gridCol w:w="706"/>
              <w:gridCol w:w="485"/>
              <w:gridCol w:w="1671"/>
              <w:gridCol w:w="1545"/>
              <w:gridCol w:w="1473"/>
            </w:tblGrid>
            <w:tr w14:paraId="17FC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vAlign w:val="center"/>
                </w:tcPr>
                <w:p w14:paraId="61DAFE09">
                  <w:pPr>
                    <w:jc w:val="center"/>
                    <w:rPr>
                      <w:rFonts w:hint="eastAsia" w:eastAsia="宋体"/>
                      <w:vertAlign w:val="baseline"/>
                      <w:lang w:val="en-US" w:eastAsia="zh-CN"/>
                    </w:rPr>
                  </w:pPr>
                  <w:r>
                    <w:rPr>
                      <w:rFonts w:hint="eastAsia"/>
                      <w:vertAlign w:val="baseline"/>
                      <w:lang w:val="en-US" w:eastAsia="zh-CN"/>
                    </w:rPr>
                    <w:t>序号</w:t>
                  </w:r>
                </w:p>
              </w:tc>
              <w:tc>
                <w:tcPr>
                  <w:tcW w:w="567" w:type="pct"/>
                  <w:vMerge w:val="restart"/>
                  <w:vAlign w:val="center"/>
                </w:tcPr>
                <w:p w14:paraId="77142238">
                  <w:pPr>
                    <w:jc w:val="center"/>
                    <w:rPr>
                      <w:rFonts w:hint="eastAsia" w:eastAsia="宋体"/>
                      <w:vertAlign w:val="baseline"/>
                      <w:lang w:val="en-US" w:eastAsia="zh-CN"/>
                    </w:rPr>
                  </w:pPr>
                  <w:r>
                    <w:rPr>
                      <w:rFonts w:hint="eastAsia"/>
                      <w:vertAlign w:val="baseline"/>
                      <w:lang w:val="en-US" w:eastAsia="zh-CN"/>
                    </w:rPr>
                    <w:t>声源名称</w:t>
                  </w:r>
                </w:p>
              </w:tc>
              <w:tc>
                <w:tcPr>
                  <w:tcW w:w="249" w:type="pct"/>
                  <w:vMerge w:val="restart"/>
                  <w:vAlign w:val="center"/>
                </w:tcPr>
                <w:p w14:paraId="1482C4BF">
                  <w:pPr>
                    <w:jc w:val="center"/>
                    <w:rPr>
                      <w:rFonts w:hint="eastAsia" w:eastAsia="宋体"/>
                      <w:vertAlign w:val="baseline"/>
                      <w:lang w:val="en-US" w:eastAsia="zh-CN"/>
                    </w:rPr>
                  </w:pPr>
                  <w:r>
                    <w:rPr>
                      <w:rFonts w:hint="eastAsia"/>
                      <w:vertAlign w:val="baseline"/>
                      <w:lang w:val="en-US" w:eastAsia="zh-CN"/>
                    </w:rPr>
                    <w:t>型号</w:t>
                  </w:r>
                </w:p>
              </w:tc>
              <w:tc>
                <w:tcPr>
                  <w:tcW w:w="1175" w:type="pct"/>
                  <w:gridSpan w:val="3"/>
                  <w:vAlign w:val="center"/>
                </w:tcPr>
                <w:p w14:paraId="14F05FA2">
                  <w:pPr>
                    <w:jc w:val="center"/>
                    <w:rPr>
                      <w:rFonts w:hint="default"/>
                      <w:vertAlign w:val="baseline"/>
                    </w:rPr>
                  </w:pPr>
                  <w:r>
                    <w:rPr>
                      <w:rFonts w:hint="eastAsia" w:cs="Times New Roman"/>
                      <w:kern w:val="2"/>
                      <w:sz w:val="21"/>
                      <w:szCs w:val="24"/>
                      <w:lang w:val="en-US" w:eastAsia="zh-CN" w:bidi="ar-SA"/>
                    </w:rPr>
                    <w:t>空间相对位置/m</w:t>
                  </w:r>
                </w:p>
              </w:tc>
              <w:tc>
                <w:tcPr>
                  <w:tcW w:w="982" w:type="pct"/>
                  <w:vAlign w:val="center"/>
                </w:tcPr>
                <w:p w14:paraId="28A00684">
                  <w:pPr>
                    <w:jc w:val="center"/>
                    <w:rPr>
                      <w:rFonts w:hint="eastAsia" w:eastAsia="宋体"/>
                      <w:vertAlign w:val="baseline"/>
                      <w:lang w:val="en-US" w:eastAsia="zh-CN"/>
                    </w:rPr>
                  </w:pPr>
                  <w:r>
                    <w:rPr>
                      <w:rFonts w:hint="eastAsia"/>
                      <w:vertAlign w:val="baseline"/>
                      <w:lang w:val="en-US" w:eastAsia="zh-CN"/>
                    </w:rPr>
                    <w:t>声源源强</w:t>
                  </w:r>
                </w:p>
              </w:tc>
              <w:tc>
                <w:tcPr>
                  <w:tcW w:w="908" w:type="pct"/>
                  <w:vMerge w:val="restart"/>
                  <w:vAlign w:val="center"/>
                </w:tcPr>
                <w:p w14:paraId="74EBBA21">
                  <w:pPr>
                    <w:jc w:val="center"/>
                    <w:rPr>
                      <w:rFonts w:hint="default" w:eastAsia="宋体"/>
                      <w:vertAlign w:val="baseline"/>
                      <w:lang w:val="en-US" w:eastAsia="zh-CN"/>
                    </w:rPr>
                  </w:pPr>
                  <w:r>
                    <w:rPr>
                      <w:rFonts w:hint="eastAsia"/>
                      <w:vertAlign w:val="baseline"/>
                      <w:lang w:val="en-US" w:eastAsia="zh-CN"/>
                    </w:rPr>
                    <w:t>声源控制措施</w:t>
                  </w:r>
                </w:p>
              </w:tc>
              <w:tc>
                <w:tcPr>
                  <w:tcW w:w="866" w:type="pct"/>
                  <w:vMerge w:val="restart"/>
                  <w:vAlign w:val="center"/>
                </w:tcPr>
                <w:p w14:paraId="5C766FE2">
                  <w:pPr>
                    <w:jc w:val="center"/>
                    <w:rPr>
                      <w:rFonts w:hint="eastAsia" w:eastAsia="宋体"/>
                      <w:vertAlign w:val="baseline"/>
                      <w:lang w:val="en-US" w:eastAsia="zh-CN"/>
                    </w:rPr>
                  </w:pPr>
                  <w:r>
                    <w:rPr>
                      <w:rFonts w:hint="eastAsia"/>
                      <w:vertAlign w:val="baseline"/>
                      <w:lang w:val="en-US" w:eastAsia="zh-CN"/>
                    </w:rPr>
                    <w:t>运行时段</w:t>
                  </w:r>
                </w:p>
              </w:tc>
            </w:tr>
            <w:tr w14:paraId="1AEA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27A85EAD">
                  <w:pPr>
                    <w:jc w:val="center"/>
                    <w:rPr>
                      <w:rFonts w:hint="default"/>
                      <w:vertAlign w:val="baseline"/>
                    </w:rPr>
                  </w:pPr>
                </w:p>
              </w:tc>
              <w:tc>
                <w:tcPr>
                  <w:tcW w:w="567" w:type="pct"/>
                  <w:vMerge w:val="continue"/>
                  <w:vAlign w:val="center"/>
                </w:tcPr>
                <w:p w14:paraId="46A804A8">
                  <w:pPr>
                    <w:jc w:val="center"/>
                    <w:rPr>
                      <w:rFonts w:hint="default"/>
                      <w:vertAlign w:val="baseline"/>
                    </w:rPr>
                  </w:pPr>
                </w:p>
              </w:tc>
              <w:tc>
                <w:tcPr>
                  <w:tcW w:w="249" w:type="pct"/>
                  <w:vMerge w:val="continue"/>
                  <w:vAlign w:val="center"/>
                </w:tcPr>
                <w:p w14:paraId="20568715">
                  <w:pPr>
                    <w:jc w:val="center"/>
                    <w:rPr>
                      <w:rFonts w:hint="default"/>
                      <w:vertAlign w:val="baseline"/>
                    </w:rPr>
                  </w:pPr>
                </w:p>
              </w:tc>
              <w:tc>
                <w:tcPr>
                  <w:tcW w:w="475" w:type="pct"/>
                  <w:vAlign w:val="center"/>
                </w:tcPr>
                <w:p w14:paraId="4472D4C9">
                  <w:pPr>
                    <w:jc w:val="center"/>
                    <w:rPr>
                      <w:rFonts w:hint="eastAsia" w:eastAsia="宋体"/>
                      <w:vertAlign w:val="baseline"/>
                      <w:lang w:val="en-US" w:eastAsia="zh-CN"/>
                    </w:rPr>
                  </w:pPr>
                  <w:r>
                    <w:rPr>
                      <w:rFonts w:hint="eastAsia"/>
                      <w:vertAlign w:val="baseline"/>
                      <w:lang w:val="en-US" w:eastAsia="zh-CN"/>
                    </w:rPr>
                    <w:t>X</w:t>
                  </w:r>
                </w:p>
              </w:tc>
              <w:tc>
                <w:tcPr>
                  <w:tcW w:w="414" w:type="pct"/>
                  <w:vAlign w:val="center"/>
                </w:tcPr>
                <w:p w14:paraId="5574BD36">
                  <w:pPr>
                    <w:jc w:val="center"/>
                    <w:rPr>
                      <w:rFonts w:hint="eastAsia" w:eastAsia="宋体"/>
                      <w:vertAlign w:val="baseline"/>
                      <w:lang w:val="en-US" w:eastAsia="zh-CN"/>
                    </w:rPr>
                  </w:pPr>
                  <w:r>
                    <w:rPr>
                      <w:rFonts w:hint="eastAsia"/>
                      <w:vertAlign w:val="baseline"/>
                      <w:lang w:val="en-US" w:eastAsia="zh-CN"/>
                    </w:rPr>
                    <w:t>Y</w:t>
                  </w:r>
                </w:p>
              </w:tc>
              <w:tc>
                <w:tcPr>
                  <w:tcW w:w="285" w:type="pct"/>
                  <w:vAlign w:val="center"/>
                </w:tcPr>
                <w:p w14:paraId="565F314C">
                  <w:pPr>
                    <w:jc w:val="center"/>
                    <w:rPr>
                      <w:rFonts w:hint="default" w:eastAsia="宋体"/>
                      <w:vertAlign w:val="baseline"/>
                      <w:lang w:val="en-US" w:eastAsia="zh-CN"/>
                    </w:rPr>
                  </w:pPr>
                  <w:r>
                    <w:rPr>
                      <w:rFonts w:hint="eastAsia"/>
                      <w:vertAlign w:val="baseline"/>
                      <w:lang w:val="en-US" w:eastAsia="zh-CN"/>
                    </w:rPr>
                    <w:t>Z</w:t>
                  </w:r>
                </w:p>
              </w:tc>
              <w:tc>
                <w:tcPr>
                  <w:tcW w:w="982" w:type="pct"/>
                  <w:vAlign w:val="center"/>
                </w:tcPr>
                <w:p w14:paraId="5BD0EB91">
                  <w:pPr>
                    <w:jc w:val="center"/>
                    <w:rPr>
                      <w:rFonts w:hint="default" w:eastAsia="宋体"/>
                      <w:vertAlign w:val="baseline"/>
                      <w:lang w:val="en-US" w:eastAsia="zh-CN"/>
                    </w:rPr>
                  </w:pPr>
                  <w:r>
                    <w:rPr>
                      <w:rFonts w:hint="eastAsia"/>
                      <w:vertAlign w:val="baseline"/>
                      <w:lang w:val="en-US" w:eastAsia="zh-CN"/>
                    </w:rPr>
                    <w:t>声功率级/dB（A）</w:t>
                  </w:r>
                </w:p>
              </w:tc>
              <w:tc>
                <w:tcPr>
                  <w:tcW w:w="908" w:type="pct"/>
                  <w:vMerge w:val="continue"/>
                  <w:vAlign w:val="center"/>
                </w:tcPr>
                <w:p w14:paraId="290D0504">
                  <w:pPr>
                    <w:jc w:val="center"/>
                    <w:rPr>
                      <w:rFonts w:hint="default"/>
                      <w:vertAlign w:val="baseline"/>
                    </w:rPr>
                  </w:pPr>
                </w:p>
              </w:tc>
              <w:tc>
                <w:tcPr>
                  <w:tcW w:w="866" w:type="pct"/>
                  <w:vMerge w:val="continue"/>
                  <w:vAlign w:val="center"/>
                </w:tcPr>
                <w:p w14:paraId="4B552BF2">
                  <w:pPr>
                    <w:jc w:val="center"/>
                    <w:rPr>
                      <w:rFonts w:hint="default"/>
                      <w:vertAlign w:val="baseline"/>
                    </w:rPr>
                  </w:pPr>
                </w:p>
              </w:tc>
            </w:tr>
            <w:tr w14:paraId="048F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shd w:val="clear" w:color="auto" w:fill="auto"/>
                  <w:vAlign w:val="center"/>
                </w:tcPr>
                <w:p w14:paraId="47BA202A">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w:t>
                  </w:r>
                </w:p>
              </w:tc>
              <w:tc>
                <w:tcPr>
                  <w:tcW w:w="567" w:type="pct"/>
                  <w:shd w:val="clear" w:color="auto" w:fill="auto"/>
                  <w:vAlign w:val="center"/>
                </w:tcPr>
                <w:p w14:paraId="121887A4">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搅拌机</w:t>
                  </w:r>
                </w:p>
              </w:tc>
              <w:tc>
                <w:tcPr>
                  <w:tcW w:w="249" w:type="pct"/>
                  <w:shd w:val="clear" w:color="auto" w:fill="auto"/>
                  <w:vAlign w:val="center"/>
                </w:tcPr>
                <w:p w14:paraId="5487BB86">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475" w:type="pct"/>
                  <w:shd w:val="clear" w:color="auto" w:fill="auto"/>
                  <w:vAlign w:val="center"/>
                </w:tcPr>
                <w:p w14:paraId="3589B6F4">
                  <w:pPr>
                    <w:jc w:val="cente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120</w:t>
                  </w:r>
                </w:p>
              </w:tc>
              <w:tc>
                <w:tcPr>
                  <w:tcW w:w="414" w:type="pct"/>
                  <w:shd w:val="clear" w:color="auto" w:fill="auto"/>
                  <w:vAlign w:val="center"/>
                </w:tcPr>
                <w:p w14:paraId="60B5DD9C">
                  <w:pPr>
                    <w:jc w:val="cente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30</w:t>
                  </w:r>
                </w:p>
              </w:tc>
              <w:tc>
                <w:tcPr>
                  <w:tcW w:w="285" w:type="pct"/>
                  <w:shd w:val="clear" w:color="auto" w:fill="auto"/>
                  <w:vAlign w:val="center"/>
                </w:tcPr>
                <w:p w14:paraId="39FECCFB">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3</w:t>
                  </w:r>
                </w:p>
              </w:tc>
              <w:tc>
                <w:tcPr>
                  <w:tcW w:w="982" w:type="pct"/>
                  <w:shd w:val="clear" w:color="auto" w:fill="auto"/>
                  <w:vAlign w:val="center"/>
                </w:tcPr>
                <w:p w14:paraId="531EB84E">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75-85</w:t>
                  </w:r>
                </w:p>
              </w:tc>
              <w:tc>
                <w:tcPr>
                  <w:tcW w:w="908" w:type="pct"/>
                  <w:vMerge w:val="restart"/>
                  <w:vAlign w:val="center"/>
                </w:tcPr>
                <w:p w14:paraId="30859264">
                  <w:pPr>
                    <w:jc w:val="center"/>
                    <w:rPr>
                      <w:rFonts w:hint="default"/>
                      <w:vertAlign w:val="baseline"/>
                    </w:rPr>
                  </w:pPr>
                  <w:r>
                    <w:rPr>
                      <w:rFonts w:hint="eastAsia"/>
                      <w:color w:val="auto"/>
                      <w:sz w:val="21"/>
                      <w:szCs w:val="21"/>
                    </w:rPr>
                    <w:t>基础减震+</w:t>
                  </w:r>
                  <w:r>
                    <w:rPr>
                      <w:rFonts w:hint="eastAsia"/>
                      <w:color w:val="auto"/>
                      <w:sz w:val="21"/>
                      <w:szCs w:val="21"/>
                      <w:lang w:val="en-US" w:eastAsia="zh-CN"/>
                    </w:rPr>
                    <w:t>搅拌楼</w:t>
                  </w:r>
                  <w:r>
                    <w:rPr>
                      <w:rFonts w:hint="eastAsia"/>
                      <w:color w:val="auto"/>
                      <w:sz w:val="21"/>
                      <w:szCs w:val="21"/>
                    </w:rPr>
                    <w:t>隔声+设备</w:t>
                  </w:r>
                  <w:r>
                    <w:rPr>
                      <w:color w:val="auto"/>
                      <w:sz w:val="21"/>
                      <w:szCs w:val="21"/>
                    </w:rPr>
                    <w:t>定期维护保养</w:t>
                  </w:r>
                </w:p>
              </w:tc>
              <w:tc>
                <w:tcPr>
                  <w:tcW w:w="866" w:type="pct"/>
                  <w:vMerge w:val="restart"/>
                  <w:vAlign w:val="center"/>
                </w:tcPr>
                <w:p w14:paraId="0321888E">
                  <w:pPr>
                    <w:jc w:val="center"/>
                    <w:rPr>
                      <w:rFonts w:hint="eastAsia"/>
                      <w:vertAlign w:val="baseline"/>
                      <w:lang w:val="en-US" w:eastAsia="zh-CN"/>
                    </w:rPr>
                  </w:pPr>
                  <w:r>
                    <w:rPr>
                      <w:rFonts w:hint="eastAsia"/>
                      <w:vertAlign w:val="baseline"/>
                      <w:lang w:val="en-US" w:eastAsia="zh-CN"/>
                    </w:rPr>
                    <w:t>10</w:t>
                  </w:r>
                  <w:r>
                    <w:rPr>
                      <w:rFonts w:hint="eastAsia"/>
                      <w:vertAlign w:val="baseline"/>
                      <w:lang w:eastAsia="zh-CN"/>
                    </w:rPr>
                    <w:t>：</w:t>
                  </w:r>
                  <w:r>
                    <w:rPr>
                      <w:rFonts w:hint="eastAsia"/>
                      <w:vertAlign w:val="baseline"/>
                      <w:lang w:val="en-US" w:eastAsia="zh-CN"/>
                    </w:rPr>
                    <w:t>00-14：00；</w:t>
                  </w:r>
                </w:p>
                <w:p w14:paraId="1EA8AD61">
                  <w:pPr>
                    <w:jc w:val="center"/>
                    <w:rPr>
                      <w:rFonts w:hint="default"/>
                      <w:vertAlign w:val="baseline"/>
                      <w:lang w:val="en-US" w:eastAsia="zh-CN"/>
                    </w:rPr>
                  </w:pPr>
                  <w:r>
                    <w:rPr>
                      <w:rFonts w:hint="eastAsia"/>
                      <w:vertAlign w:val="baseline"/>
                      <w:lang w:val="en-US" w:eastAsia="zh-CN"/>
                    </w:rPr>
                    <w:t>16：00-20：00</w:t>
                  </w:r>
                </w:p>
              </w:tc>
            </w:tr>
            <w:tr w14:paraId="1AEB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shd w:val="clear" w:color="auto" w:fill="auto"/>
                  <w:vAlign w:val="center"/>
                </w:tcPr>
                <w:p w14:paraId="7D5DC1B6">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w:t>
                  </w:r>
                </w:p>
              </w:tc>
              <w:tc>
                <w:tcPr>
                  <w:tcW w:w="567" w:type="pct"/>
                  <w:vAlign w:val="center"/>
                </w:tcPr>
                <w:p w14:paraId="523A0CA0">
                  <w:pPr>
                    <w:jc w:val="center"/>
                    <w:rPr>
                      <w:rFonts w:hint="default" w:eastAsia="宋体"/>
                      <w:vertAlign w:val="baseline"/>
                      <w:lang w:val="en-US" w:eastAsia="zh-CN"/>
                    </w:rPr>
                  </w:pPr>
                  <w:r>
                    <w:rPr>
                      <w:rFonts w:hint="eastAsia"/>
                      <w:vertAlign w:val="baseline"/>
                      <w:lang w:val="en-US" w:eastAsia="zh-CN"/>
                    </w:rPr>
                    <w:t>搅拌机</w:t>
                  </w:r>
                </w:p>
              </w:tc>
              <w:tc>
                <w:tcPr>
                  <w:tcW w:w="249" w:type="pct"/>
                  <w:vAlign w:val="center"/>
                </w:tcPr>
                <w:p w14:paraId="65BF711D">
                  <w:pPr>
                    <w:jc w:val="center"/>
                    <w:rPr>
                      <w:rFonts w:hint="eastAsia" w:eastAsia="宋体"/>
                      <w:vertAlign w:val="baseline"/>
                      <w:lang w:val="en-US" w:eastAsia="zh-CN"/>
                    </w:rPr>
                  </w:pPr>
                  <w:r>
                    <w:rPr>
                      <w:rFonts w:hint="eastAsia"/>
                      <w:vertAlign w:val="baseline"/>
                      <w:lang w:val="en-US" w:eastAsia="zh-CN"/>
                    </w:rPr>
                    <w:t>/</w:t>
                  </w:r>
                </w:p>
              </w:tc>
              <w:tc>
                <w:tcPr>
                  <w:tcW w:w="475" w:type="pct"/>
                  <w:vAlign w:val="center"/>
                </w:tcPr>
                <w:p w14:paraId="1BA76253">
                  <w:pPr>
                    <w:jc w:val="center"/>
                    <w:rPr>
                      <w:rFonts w:hint="default" w:eastAsia="宋体"/>
                      <w:vertAlign w:val="baseline"/>
                      <w:lang w:val="en-US" w:eastAsia="zh-CN"/>
                    </w:rPr>
                  </w:pPr>
                  <w:r>
                    <w:rPr>
                      <w:rFonts w:hint="eastAsia"/>
                      <w:vertAlign w:val="baseline"/>
                      <w:lang w:val="en-US" w:eastAsia="zh-CN"/>
                    </w:rPr>
                    <w:t>110</w:t>
                  </w:r>
                </w:p>
              </w:tc>
              <w:tc>
                <w:tcPr>
                  <w:tcW w:w="414" w:type="pct"/>
                  <w:vAlign w:val="center"/>
                </w:tcPr>
                <w:p w14:paraId="5C0B6B2C">
                  <w:pPr>
                    <w:jc w:val="center"/>
                    <w:rPr>
                      <w:rFonts w:hint="default" w:eastAsia="宋体"/>
                      <w:vertAlign w:val="baseline"/>
                      <w:lang w:val="en-US" w:eastAsia="zh-CN"/>
                    </w:rPr>
                  </w:pPr>
                  <w:r>
                    <w:rPr>
                      <w:rFonts w:hint="eastAsia"/>
                      <w:vertAlign w:val="baseline"/>
                      <w:lang w:val="en-US" w:eastAsia="zh-CN"/>
                    </w:rPr>
                    <w:t>30</w:t>
                  </w:r>
                </w:p>
              </w:tc>
              <w:tc>
                <w:tcPr>
                  <w:tcW w:w="285" w:type="pct"/>
                  <w:vAlign w:val="center"/>
                </w:tcPr>
                <w:p w14:paraId="5196C9A7">
                  <w:pPr>
                    <w:jc w:val="center"/>
                    <w:rPr>
                      <w:rFonts w:hint="default" w:eastAsia="宋体"/>
                      <w:vertAlign w:val="baseline"/>
                      <w:lang w:val="en-US" w:eastAsia="zh-CN"/>
                    </w:rPr>
                  </w:pPr>
                  <w:r>
                    <w:rPr>
                      <w:rFonts w:hint="eastAsia"/>
                      <w:vertAlign w:val="baseline"/>
                      <w:lang w:val="en-US" w:eastAsia="zh-CN"/>
                    </w:rPr>
                    <w:t>3</w:t>
                  </w:r>
                </w:p>
              </w:tc>
              <w:tc>
                <w:tcPr>
                  <w:tcW w:w="982" w:type="pct"/>
                  <w:vAlign w:val="center"/>
                </w:tcPr>
                <w:p w14:paraId="0233DAAB">
                  <w:pPr>
                    <w:jc w:val="center"/>
                    <w:rPr>
                      <w:rFonts w:hint="default" w:eastAsia="宋体"/>
                      <w:vertAlign w:val="baseline"/>
                      <w:lang w:val="en-US" w:eastAsia="zh-CN"/>
                    </w:rPr>
                  </w:pPr>
                  <w:r>
                    <w:rPr>
                      <w:rFonts w:hint="eastAsia"/>
                      <w:vertAlign w:val="baseline"/>
                      <w:lang w:val="en-US" w:eastAsia="zh-CN"/>
                    </w:rPr>
                    <w:t>75-85</w:t>
                  </w:r>
                </w:p>
              </w:tc>
              <w:tc>
                <w:tcPr>
                  <w:tcW w:w="908" w:type="pct"/>
                  <w:vMerge w:val="continue"/>
                  <w:vAlign w:val="center"/>
                </w:tcPr>
                <w:p w14:paraId="62E2C0A2">
                  <w:pPr>
                    <w:jc w:val="center"/>
                    <w:rPr>
                      <w:rFonts w:hint="default"/>
                      <w:vertAlign w:val="baseline"/>
                    </w:rPr>
                  </w:pPr>
                </w:p>
              </w:tc>
              <w:tc>
                <w:tcPr>
                  <w:tcW w:w="866" w:type="pct"/>
                  <w:vMerge w:val="continue"/>
                  <w:vAlign w:val="center"/>
                </w:tcPr>
                <w:p w14:paraId="785E5CCF">
                  <w:pPr>
                    <w:jc w:val="center"/>
                    <w:rPr>
                      <w:rFonts w:hint="default"/>
                      <w:vertAlign w:val="baseline"/>
                      <w:lang w:val="en-US" w:eastAsia="zh-CN"/>
                    </w:rPr>
                  </w:pPr>
                </w:p>
              </w:tc>
            </w:tr>
            <w:tr w14:paraId="741E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shd w:val="clear" w:color="auto" w:fill="auto"/>
                  <w:vAlign w:val="center"/>
                </w:tcPr>
                <w:p w14:paraId="0BB5A645">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3</w:t>
                  </w:r>
                </w:p>
              </w:tc>
              <w:tc>
                <w:tcPr>
                  <w:tcW w:w="567" w:type="pct"/>
                  <w:vAlign w:val="center"/>
                </w:tcPr>
                <w:p w14:paraId="35617563">
                  <w:pPr>
                    <w:jc w:val="center"/>
                    <w:rPr>
                      <w:rFonts w:hint="default" w:eastAsia="宋体"/>
                      <w:vertAlign w:val="baseline"/>
                      <w:lang w:val="en-US" w:eastAsia="zh-CN"/>
                    </w:rPr>
                  </w:pPr>
                  <w:r>
                    <w:rPr>
                      <w:rFonts w:hint="eastAsia"/>
                      <w:vertAlign w:val="baseline"/>
                      <w:lang w:val="en-US" w:eastAsia="zh-CN"/>
                    </w:rPr>
                    <w:t>泵类</w:t>
                  </w:r>
                </w:p>
              </w:tc>
              <w:tc>
                <w:tcPr>
                  <w:tcW w:w="249" w:type="pct"/>
                  <w:vAlign w:val="center"/>
                </w:tcPr>
                <w:p w14:paraId="11B158AE">
                  <w:pPr>
                    <w:jc w:val="center"/>
                    <w:rPr>
                      <w:rFonts w:hint="eastAsia" w:eastAsia="宋体"/>
                      <w:vertAlign w:val="baseline"/>
                      <w:lang w:val="en-US" w:eastAsia="zh-CN"/>
                    </w:rPr>
                  </w:pPr>
                  <w:r>
                    <w:rPr>
                      <w:rFonts w:hint="eastAsia"/>
                      <w:vertAlign w:val="baseline"/>
                      <w:lang w:val="en-US" w:eastAsia="zh-CN"/>
                    </w:rPr>
                    <w:t>/</w:t>
                  </w:r>
                </w:p>
              </w:tc>
              <w:tc>
                <w:tcPr>
                  <w:tcW w:w="475" w:type="pct"/>
                  <w:vAlign w:val="center"/>
                </w:tcPr>
                <w:p w14:paraId="25EF0792">
                  <w:pPr>
                    <w:jc w:val="center"/>
                    <w:rPr>
                      <w:rFonts w:hint="default" w:eastAsia="宋体"/>
                      <w:vertAlign w:val="baseline"/>
                      <w:lang w:val="en-US" w:eastAsia="zh-CN"/>
                    </w:rPr>
                  </w:pPr>
                  <w:r>
                    <w:rPr>
                      <w:rFonts w:hint="eastAsia"/>
                      <w:vertAlign w:val="baseline"/>
                      <w:lang w:val="en-US" w:eastAsia="zh-CN"/>
                    </w:rPr>
                    <w:t>40</w:t>
                  </w:r>
                </w:p>
              </w:tc>
              <w:tc>
                <w:tcPr>
                  <w:tcW w:w="414" w:type="pct"/>
                  <w:vAlign w:val="center"/>
                </w:tcPr>
                <w:p w14:paraId="7F2E5AF1">
                  <w:pPr>
                    <w:jc w:val="center"/>
                    <w:rPr>
                      <w:rFonts w:hint="default" w:eastAsia="宋体"/>
                      <w:vertAlign w:val="baseline"/>
                      <w:lang w:val="en-US" w:eastAsia="zh-CN"/>
                    </w:rPr>
                  </w:pPr>
                  <w:r>
                    <w:rPr>
                      <w:rFonts w:hint="eastAsia"/>
                      <w:vertAlign w:val="baseline"/>
                      <w:lang w:val="en-US" w:eastAsia="zh-CN"/>
                    </w:rPr>
                    <w:t>20</w:t>
                  </w:r>
                </w:p>
              </w:tc>
              <w:tc>
                <w:tcPr>
                  <w:tcW w:w="285" w:type="pct"/>
                  <w:vAlign w:val="center"/>
                </w:tcPr>
                <w:p w14:paraId="5AF51B45">
                  <w:pPr>
                    <w:jc w:val="center"/>
                    <w:rPr>
                      <w:rFonts w:hint="eastAsia" w:eastAsia="宋体"/>
                      <w:vertAlign w:val="baseline"/>
                      <w:lang w:val="en-US" w:eastAsia="zh-CN"/>
                    </w:rPr>
                  </w:pPr>
                  <w:r>
                    <w:rPr>
                      <w:rFonts w:hint="eastAsia"/>
                      <w:vertAlign w:val="baseline"/>
                      <w:lang w:val="en-US" w:eastAsia="zh-CN"/>
                    </w:rPr>
                    <w:t>1</w:t>
                  </w:r>
                </w:p>
              </w:tc>
              <w:tc>
                <w:tcPr>
                  <w:tcW w:w="982" w:type="pct"/>
                  <w:vAlign w:val="center"/>
                </w:tcPr>
                <w:p w14:paraId="591D4DFF">
                  <w:pPr>
                    <w:jc w:val="center"/>
                    <w:rPr>
                      <w:rFonts w:hint="default" w:eastAsia="宋体"/>
                      <w:vertAlign w:val="baseline"/>
                      <w:lang w:val="en-US" w:eastAsia="zh-CN"/>
                    </w:rPr>
                  </w:pPr>
                  <w:r>
                    <w:rPr>
                      <w:rFonts w:hint="eastAsia"/>
                      <w:vertAlign w:val="baseline"/>
                      <w:lang w:val="en-US" w:eastAsia="zh-CN"/>
                    </w:rPr>
                    <w:t>70-85</w:t>
                  </w:r>
                </w:p>
              </w:tc>
              <w:tc>
                <w:tcPr>
                  <w:tcW w:w="908" w:type="pct"/>
                  <w:vMerge w:val="continue"/>
                  <w:vAlign w:val="center"/>
                </w:tcPr>
                <w:p w14:paraId="474EE642">
                  <w:pPr>
                    <w:jc w:val="center"/>
                    <w:rPr>
                      <w:rFonts w:hint="default"/>
                      <w:vertAlign w:val="baseline"/>
                    </w:rPr>
                  </w:pPr>
                </w:p>
              </w:tc>
              <w:tc>
                <w:tcPr>
                  <w:tcW w:w="866" w:type="pct"/>
                  <w:vMerge w:val="continue"/>
                  <w:vAlign w:val="center"/>
                </w:tcPr>
                <w:p w14:paraId="7B256DAE">
                  <w:pPr>
                    <w:jc w:val="center"/>
                    <w:rPr>
                      <w:rFonts w:hint="default"/>
                      <w:vertAlign w:val="baseline"/>
                    </w:rPr>
                  </w:pPr>
                </w:p>
              </w:tc>
            </w:tr>
            <w:tr w14:paraId="65F4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shd w:val="clear" w:color="auto" w:fill="auto"/>
                  <w:vAlign w:val="center"/>
                </w:tcPr>
                <w:p w14:paraId="7EC85003">
                  <w:pPr>
                    <w:jc w:val="cente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4</w:t>
                  </w:r>
                </w:p>
              </w:tc>
              <w:tc>
                <w:tcPr>
                  <w:tcW w:w="567" w:type="pct"/>
                  <w:vAlign w:val="center"/>
                </w:tcPr>
                <w:p w14:paraId="20768B56">
                  <w:pPr>
                    <w:jc w:val="center"/>
                    <w:rPr>
                      <w:rFonts w:hint="default"/>
                      <w:vertAlign w:val="baseline"/>
                      <w:lang w:val="en-US" w:eastAsia="zh-CN"/>
                    </w:rPr>
                  </w:pPr>
                  <w:r>
                    <w:rPr>
                      <w:rFonts w:hint="eastAsia"/>
                      <w:vertAlign w:val="baseline"/>
                      <w:lang w:val="en-US" w:eastAsia="zh-CN"/>
                    </w:rPr>
                    <w:t>空压机</w:t>
                  </w:r>
                </w:p>
              </w:tc>
              <w:tc>
                <w:tcPr>
                  <w:tcW w:w="249" w:type="pct"/>
                  <w:vAlign w:val="center"/>
                </w:tcPr>
                <w:p w14:paraId="2A124CF0">
                  <w:pPr>
                    <w:jc w:val="center"/>
                    <w:rPr>
                      <w:rFonts w:hint="default"/>
                      <w:vertAlign w:val="baseline"/>
                      <w:lang w:val="en-US" w:eastAsia="zh-CN"/>
                    </w:rPr>
                  </w:pPr>
                  <w:r>
                    <w:rPr>
                      <w:rFonts w:hint="eastAsia"/>
                      <w:vertAlign w:val="baseline"/>
                      <w:lang w:val="en-US" w:eastAsia="zh-CN"/>
                    </w:rPr>
                    <w:t>/</w:t>
                  </w:r>
                </w:p>
              </w:tc>
              <w:tc>
                <w:tcPr>
                  <w:tcW w:w="475" w:type="pct"/>
                  <w:vAlign w:val="center"/>
                </w:tcPr>
                <w:p w14:paraId="6546217E">
                  <w:pPr>
                    <w:jc w:val="center"/>
                    <w:rPr>
                      <w:rFonts w:hint="default"/>
                      <w:vertAlign w:val="baseline"/>
                      <w:lang w:val="en-US" w:eastAsia="zh-CN"/>
                    </w:rPr>
                  </w:pPr>
                  <w:r>
                    <w:rPr>
                      <w:rFonts w:hint="eastAsia"/>
                      <w:vertAlign w:val="baseline"/>
                      <w:lang w:val="en-US" w:eastAsia="zh-CN"/>
                    </w:rPr>
                    <w:t>42</w:t>
                  </w:r>
                </w:p>
              </w:tc>
              <w:tc>
                <w:tcPr>
                  <w:tcW w:w="414" w:type="pct"/>
                  <w:vAlign w:val="center"/>
                </w:tcPr>
                <w:p w14:paraId="2BF96206">
                  <w:pPr>
                    <w:jc w:val="center"/>
                    <w:rPr>
                      <w:rFonts w:hint="default"/>
                      <w:vertAlign w:val="baseline"/>
                      <w:lang w:val="en-US" w:eastAsia="zh-CN"/>
                    </w:rPr>
                  </w:pPr>
                  <w:r>
                    <w:rPr>
                      <w:rFonts w:hint="eastAsia"/>
                      <w:vertAlign w:val="baseline"/>
                      <w:lang w:val="en-US" w:eastAsia="zh-CN"/>
                    </w:rPr>
                    <w:t>25</w:t>
                  </w:r>
                </w:p>
              </w:tc>
              <w:tc>
                <w:tcPr>
                  <w:tcW w:w="285" w:type="pct"/>
                  <w:vAlign w:val="center"/>
                </w:tcPr>
                <w:p w14:paraId="3CC3C495">
                  <w:pPr>
                    <w:jc w:val="center"/>
                    <w:rPr>
                      <w:rFonts w:hint="default"/>
                      <w:vertAlign w:val="baseline"/>
                      <w:lang w:val="en-US" w:eastAsia="zh-CN"/>
                    </w:rPr>
                  </w:pPr>
                  <w:r>
                    <w:rPr>
                      <w:rFonts w:hint="eastAsia"/>
                      <w:vertAlign w:val="baseline"/>
                      <w:lang w:val="en-US" w:eastAsia="zh-CN"/>
                    </w:rPr>
                    <w:t>1</w:t>
                  </w:r>
                </w:p>
              </w:tc>
              <w:tc>
                <w:tcPr>
                  <w:tcW w:w="982" w:type="pct"/>
                  <w:vAlign w:val="center"/>
                </w:tcPr>
                <w:p w14:paraId="45D6B398">
                  <w:pPr>
                    <w:jc w:val="center"/>
                    <w:rPr>
                      <w:rFonts w:hint="default" w:eastAsia="宋体"/>
                      <w:vertAlign w:val="baseline"/>
                      <w:lang w:val="en-US" w:eastAsia="zh-CN"/>
                    </w:rPr>
                  </w:pPr>
                  <w:r>
                    <w:rPr>
                      <w:rFonts w:hint="eastAsia"/>
                      <w:vertAlign w:val="baseline"/>
                      <w:lang w:val="en-US" w:eastAsia="zh-CN"/>
                    </w:rPr>
                    <w:t>75-85</w:t>
                  </w:r>
                </w:p>
              </w:tc>
              <w:tc>
                <w:tcPr>
                  <w:tcW w:w="908" w:type="pct"/>
                  <w:vMerge w:val="continue"/>
                  <w:vAlign w:val="center"/>
                </w:tcPr>
                <w:p w14:paraId="1B5CFF4C">
                  <w:pPr>
                    <w:jc w:val="center"/>
                    <w:rPr>
                      <w:rFonts w:hint="default"/>
                      <w:vertAlign w:val="baseline"/>
                    </w:rPr>
                  </w:pPr>
                </w:p>
              </w:tc>
              <w:tc>
                <w:tcPr>
                  <w:tcW w:w="866" w:type="pct"/>
                  <w:vMerge w:val="continue"/>
                  <w:vAlign w:val="center"/>
                </w:tcPr>
                <w:p w14:paraId="352C38FE">
                  <w:pPr>
                    <w:jc w:val="center"/>
                    <w:rPr>
                      <w:rFonts w:hint="default"/>
                      <w:vertAlign w:val="baseline"/>
                    </w:rPr>
                  </w:pPr>
                </w:p>
              </w:tc>
            </w:tr>
            <w:tr w14:paraId="235F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shd w:val="clear" w:color="auto" w:fill="auto"/>
                  <w:vAlign w:val="center"/>
                </w:tcPr>
                <w:p w14:paraId="3C269E8B">
                  <w:pPr>
                    <w:jc w:val="cente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5</w:t>
                  </w:r>
                </w:p>
              </w:tc>
              <w:tc>
                <w:tcPr>
                  <w:tcW w:w="567" w:type="pct"/>
                  <w:vAlign w:val="center"/>
                </w:tcPr>
                <w:p w14:paraId="5CDB35EA">
                  <w:pPr>
                    <w:jc w:val="center"/>
                    <w:rPr>
                      <w:rFonts w:hint="default"/>
                      <w:vertAlign w:val="baseline"/>
                      <w:lang w:val="en-US" w:eastAsia="zh-CN"/>
                    </w:rPr>
                  </w:pPr>
                  <w:r>
                    <w:rPr>
                      <w:rFonts w:hint="eastAsia"/>
                      <w:vertAlign w:val="baseline"/>
                      <w:lang w:val="en-US" w:eastAsia="zh-CN"/>
                    </w:rPr>
                    <w:t>输送设备</w:t>
                  </w:r>
                </w:p>
              </w:tc>
              <w:tc>
                <w:tcPr>
                  <w:tcW w:w="249" w:type="pct"/>
                  <w:vAlign w:val="center"/>
                </w:tcPr>
                <w:p w14:paraId="67484F2B">
                  <w:pPr>
                    <w:jc w:val="center"/>
                    <w:rPr>
                      <w:rFonts w:hint="default"/>
                      <w:vertAlign w:val="baseline"/>
                      <w:lang w:val="en-US" w:eastAsia="zh-CN"/>
                    </w:rPr>
                  </w:pPr>
                  <w:r>
                    <w:rPr>
                      <w:rFonts w:hint="eastAsia"/>
                      <w:vertAlign w:val="baseline"/>
                      <w:lang w:val="en-US" w:eastAsia="zh-CN"/>
                    </w:rPr>
                    <w:t>/</w:t>
                  </w:r>
                </w:p>
              </w:tc>
              <w:tc>
                <w:tcPr>
                  <w:tcW w:w="475" w:type="pct"/>
                  <w:vAlign w:val="center"/>
                </w:tcPr>
                <w:p w14:paraId="520451DD">
                  <w:pPr>
                    <w:jc w:val="center"/>
                    <w:rPr>
                      <w:rFonts w:hint="default"/>
                      <w:vertAlign w:val="baseline"/>
                      <w:lang w:val="en-US" w:eastAsia="zh-CN"/>
                    </w:rPr>
                  </w:pPr>
                  <w:r>
                    <w:rPr>
                      <w:rFonts w:hint="eastAsia"/>
                      <w:vertAlign w:val="baseline"/>
                      <w:lang w:val="en-US" w:eastAsia="zh-CN"/>
                    </w:rPr>
                    <w:t>40</w:t>
                  </w:r>
                </w:p>
              </w:tc>
              <w:tc>
                <w:tcPr>
                  <w:tcW w:w="414" w:type="pct"/>
                  <w:vAlign w:val="center"/>
                </w:tcPr>
                <w:p w14:paraId="4FBCF602">
                  <w:pPr>
                    <w:jc w:val="center"/>
                    <w:rPr>
                      <w:rFonts w:hint="default"/>
                      <w:vertAlign w:val="baseline"/>
                      <w:lang w:val="en-US" w:eastAsia="zh-CN"/>
                    </w:rPr>
                  </w:pPr>
                  <w:r>
                    <w:rPr>
                      <w:rFonts w:hint="eastAsia"/>
                      <w:vertAlign w:val="baseline"/>
                      <w:lang w:val="en-US" w:eastAsia="zh-CN"/>
                    </w:rPr>
                    <w:t>45</w:t>
                  </w:r>
                </w:p>
              </w:tc>
              <w:tc>
                <w:tcPr>
                  <w:tcW w:w="285" w:type="pct"/>
                  <w:vAlign w:val="center"/>
                </w:tcPr>
                <w:p w14:paraId="49D764F6">
                  <w:pPr>
                    <w:jc w:val="center"/>
                    <w:rPr>
                      <w:rFonts w:hint="default"/>
                      <w:vertAlign w:val="baseline"/>
                      <w:lang w:val="en-US" w:eastAsia="zh-CN"/>
                    </w:rPr>
                  </w:pPr>
                  <w:r>
                    <w:rPr>
                      <w:rFonts w:hint="eastAsia"/>
                      <w:vertAlign w:val="baseline"/>
                      <w:lang w:val="en-US" w:eastAsia="zh-CN"/>
                    </w:rPr>
                    <w:t>2</w:t>
                  </w:r>
                </w:p>
              </w:tc>
              <w:tc>
                <w:tcPr>
                  <w:tcW w:w="982" w:type="pct"/>
                  <w:vAlign w:val="center"/>
                </w:tcPr>
                <w:p w14:paraId="68A47427">
                  <w:pPr>
                    <w:jc w:val="center"/>
                    <w:rPr>
                      <w:rFonts w:hint="default" w:eastAsia="宋体"/>
                      <w:vertAlign w:val="baseline"/>
                      <w:lang w:val="en-US" w:eastAsia="zh-CN"/>
                    </w:rPr>
                  </w:pPr>
                  <w:r>
                    <w:rPr>
                      <w:rFonts w:hint="eastAsia"/>
                      <w:vertAlign w:val="baseline"/>
                      <w:lang w:val="en-US" w:eastAsia="zh-CN"/>
                    </w:rPr>
                    <w:t>75-85</w:t>
                  </w:r>
                </w:p>
              </w:tc>
              <w:tc>
                <w:tcPr>
                  <w:tcW w:w="908" w:type="pct"/>
                  <w:vMerge w:val="continue"/>
                  <w:vAlign w:val="center"/>
                </w:tcPr>
                <w:p w14:paraId="74930146">
                  <w:pPr>
                    <w:jc w:val="center"/>
                    <w:rPr>
                      <w:rFonts w:hint="default"/>
                      <w:vertAlign w:val="baseline"/>
                    </w:rPr>
                  </w:pPr>
                </w:p>
              </w:tc>
              <w:tc>
                <w:tcPr>
                  <w:tcW w:w="866" w:type="pct"/>
                  <w:vMerge w:val="continue"/>
                  <w:vAlign w:val="center"/>
                </w:tcPr>
                <w:p w14:paraId="6C57DCE6">
                  <w:pPr>
                    <w:jc w:val="center"/>
                    <w:rPr>
                      <w:rFonts w:hint="default"/>
                      <w:vertAlign w:val="baseline"/>
                    </w:rPr>
                  </w:pPr>
                </w:p>
              </w:tc>
            </w:tr>
            <w:tr w14:paraId="7F8A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14:paraId="729E6958">
                  <w:pPr>
                    <w:jc w:val="center"/>
                    <w:rPr>
                      <w:rFonts w:hint="default"/>
                      <w:vertAlign w:val="baseline"/>
                      <w:lang w:val="en-US" w:eastAsia="zh-CN"/>
                    </w:rPr>
                  </w:pPr>
                  <w:r>
                    <w:rPr>
                      <w:rFonts w:hint="eastAsia"/>
                      <w:vertAlign w:val="baseline"/>
                      <w:lang w:val="en-US" w:eastAsia="zh-CN"/>
                    </w:rPr>
                    <w:t>6</w:t>
                  </w:r>
                </w:p>
              </w:tc>
              <w:tc>
                <w:tcPr>
                  <w:tcW w:w="567" w:type="pct"/>
                  <w:vAlign w:val="center"/>
                </w:tcPr>
                <w:p w14:paraId="339F702C">
                  <w:pPr>
                    <w:jc w:val="center"/>
                    <w:rPr>
                      <w:rFonts w:hint="default"/>
                      <w:vertAlign w:val="baseline"/>
                      <w:lang w:val="en-US" w:eastAsia="zh-CN"/>
                    </w:rPr>
                  </w:pPr>
                  <w:r>
                    <w:rPr>
                      <w:rFonts w:hint="eastAsia"/>
                      <w:vertAlign w:val="baseline"/>
                      <w:lang w:val="en-US" w:eastAsia="zh-CN"/>
                    </w:rPr>
                    <w:t>运输车辆</w:t>
                  </w:r>
                </w:p>
              </w:tc>
              <w:tc>
                <w:tcPr>
                  <w:tcW w:w="249" w:type="pct"/>
                  <w:vAlign w:val="center"/>
                </w:tcPr>
                <w:p w14:paraId="085C5762">
                  <w:pPr>
                    <w:jc w:val="center"/>
                    <w:rPr>
                      <w:rFonts w:hint="default"/>
                      <w:vertAlign w:val="baseline"/>
                      <w:lang w:val="en-US" w:eastAsia="zh-CN"/>
                    </w:rPr>
                  </w:pPr>
                  <w:r>
                    <w:rPr>
                      <w:rFonts w:hint="eastAsia"/>
                      <w:vertAlign w:val="baseline"/>
                      <w:lang w:val="en-US" w:eastAsia="zh-CN"/>
                    </w:rPr>
                    <w:t>/</w:t>
                  </w:r>
                </w:p>
              </w:tc>
              <w:tc>
                <w:tcPr>
                  <w:tcW w:w="475" w:type="pct"/>
                  <w:vAlign w:val="center"/>
                </w:tcPr>
                <w:p w14:paraId="31AA306B">
                  <w:pPr>
                    <w:jc w:val="center"/>
                    <w:rPr>
                      <w:rFonts w:hint="default"/>
                      <w:vertAlign w:val="baseline"/>
                      <w:lang w:val="en-US" w:eastAsia="zh-CN"/>
                    </w:rPr>
                  </w:pPr>
                  <w:r>
                    <w:rPr>
                      <w:rFonts w:hint="eastAsia"/>
                      <w:vertAlign w:val="baseline"/>
                      <w:lang w:val="en-US" w:eastAsia="zh-CN"/>
                    </w:rPr>
                    <w:t>80-150</w:t>
                  </w:r>
                </w:p>
              </w:tc>
              <w:tc>
                <w:tcPr>
                  <w:tcW w:w="414" w:type="pct"/>
                  <w:vAlign w:val="center"/>
                </w:tcPr>
                <w:p w14:paraId="0D030963">
                  <w:pPr>
                    <w:jc w:val="center"/>
                    <w:rPr>
                      <w:rFonts w:hint="default"/>
                      <w:vertAlign w:val="baseline"/>
                      <w:lang w:val="en-US" w:eastAsia="zh-CN"/>
                    </w:rPr>
                  </w:pPr>
                  <w:r>
                    <w:rPr>
                      <w:rFonts w:hint="eastAsia"/>
                      <w:vertAlign w:val="baseline"/>
                      <w:lang w:val="en-US" w:eastAsia="zh-CN"/>
                    </w:rPr>
                    <w:t>40-80</w:t>
                  </w:r>
                </w:p>
              </w:tc>
              <w:tc>
                <w:tcPr>
                  <w:tcW w:w="285" w:type="pct"/>
                  <w:vAlign w:val="center"/>
                </w:tcPr>
                <w:p w14:paraId="78351104">
                  <w:pPr>
                    <w:jc w:val="center"/>
                    <w:rPr>
                      <w:rFonts w:hint="default"/>
                      <w:vertAlign w:val="baseline"/>
                      <w:lang w:val="en-US" w:eastAsia="zh-CN"/>
                    </w:rPr>
                  </w:pPr>
                  <w:r>
                    <w:rPr>
                      <w:rFonts w:hint="eastAsia"/>
                      <w:vertAlign w:val="baseline"/>
                      <w:lang w:val="en-US" w:eastAsia="zh-CN"/>
                    </w:rPr>
                    <w:t>1</w:t>
                  </w:r>
                </w:p>
              </w:tc>
              <w:tc>
                <w:tcPr>
                  <w:tcW w:w="982" w:type="pct"/>
                  <w:vAlign w:val="center"/>
                </w:tcPr>
                <w:p w14:paraId="553D6E35">
                  <w:pPr>
                    <w:jc w:val="center"/>
                    <w:rPr>
                      <w:rFonts w:hint="default" w:eastAsia="宋体"/>
                      <w:vertAlign w:val="baseline"/>
                      <w:lang w:val="en-US" w:eastAsia="zh-CN"/>
                    </w:rPr>
                  </w:pPr>
                  <w:r>
                    <w:rPr>
                      <w:rFonts w:hint="eastAsia"/>
                      <w:vertAlign w:val="baseline"/>
                      <w:lang w:val="en-US" w:eastAsia="zh-CN"/>
                    </w:rPr>
                    <w:t>75-80</w:t>
                  </w:r>
                </w:p>
              </w:tc>
              <w:tc>
                <w:tcPr>
                  <w:tcW w:w="908" w:type="pct"/>
                  <w:vAlign w:val="center"/>
                </w:tcPr>
                <w:p w14:paraId="5C062506">
                  <w:pPr>
                    <w:jc w:val="center"/>
                    <w:rPr>
                      <w:rFonts w:hint="default"/>
                      <w:vertAlign w:val="baseline"/>
                    </w:rPr>
                  </w:pPr>
                  <w:r>
                    <w:rPr>
                      <w:color w:val="auto"/>
                      <w:sz w:val="21"/>
                      <w:szCs w:val="21"/>
                    </w:rPr>
                    <w:t>强化行车管理制度，严禁鸣号，低速行驶</w:t>
                  </w:r>
                </w:p>
              </w:tc>
              <w:tc>
                <w:tcPr>
                  <w:tcW w:w="866" w:type="pct"/>
                  <w:vMerge w:val="continue"/>
                  <w:vAlign w:val="center"/>
                </w:tcPr>
                <w:p w14:paraId="7873B151">
                  <w:pPr>
                    <w:jc w:val="center"/>
                    <w:rPr>
                      <w:rFonts w:hint="default"/>
                      <w:vertAlign w:val="baseline"/>
                      <w:lang w:val="en-US"/>
                    </w:rPr>
                  </w:pPr>
                </w:p>
              </w:tc>
            </w:tr>
          </w:tbl>
          <w:p w14:paraId="58C0C1C7">
            <w:pPr>
              <w:rPr>
                <w:rFonts w:hint="default"/>
              </w:rPr>
            </w:pPr>
          </w:p>
          <w:p w14:paraId="28197E64">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3.2</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防治措施</w:t>
            </w:r>
          </w:p>
          <w:p w14:paraId="78CF6E3F">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为有效降低噪声对环境的影响，建设单位计划采取以下措施：</w:t>
            </w:r>
          </w:p>
          <w:p w14:paraId="6CB94F11">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（1）在设备选型时优先选择高效、低噪声设备，做好设备的安装调试，同时加强营运期间对各种机械的维修保养，保持其良好的运行效果；</w:t>
            </w:r>
          </w:p>
          <w:p w14:paraId="75BBC215">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（2）</w:t>
            </w:r>
            <w:r>
              <w:rPr>
                <w:rFonts w:ascii="Times New Roman" w:hAnsi="Times New Roman" w:eastAsia="宋体" w:cs="Times New Roman"/>
                <w:color w:val="auto"/>
                <w:kern w:val="0"/>
                <w:sz w:val="24"/>
                <w:szCs w:val="24"/>
                <w:lang w:val="en-US" w:eastAsia="zh-CN" w:bidi="ar-SA"/>
              </w:rPr>
              <w:t>在设计中考虑厂房建筑、</w:t>
            </w:r>
            <w:r>
              <w:rPr>
                <w:rFonts w:hint="eastAsia" w:ascii="Times New Roman" w:hAnsi="Times New Roman" w:eastAsia="宋体" w:cs="Times New Roman"/>
                <w:color w:val="auto"/>
                <w:kern w:val="0"/>
                <w:sz w:val="24"/>
                <w:szCs w:val="24"/>
                <w:lang w:val="en-US" w:eastAsia="zh-CN" w:bidi="ar-SA"/>
              </w:rPr>
              <w:t>洒水降尘</w:t>
            </w:r>
            <w:r>
              <w:rPr>
                <w:rFonts w:ascii="Times New Roman" w:hAnsi="Times New Roman" w:eastAsia="宋体" w:cs="Times New Roman"/>
                <w:color w:val="auto"/>
                <w:kern w:val="0"/>
                <w:sz w:val="24"/>
                <w:szCs w:val="24"/>
                <w:lang w:val="en-US" w:eastAsia="zh-CN" w:bidi="ar-SA"/>
              </w:rPr>
              <w:t>设计等方面采取有效控制措施，以降低噪声的传播和干扰，同时在工厂总体布置上利用建筑物，构筑物来阻隔声波的传播。</w:t>
            </w:r>
          </w:p>
          <w:p w14:paraId="13D123C0">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3</w:t>
            </w:r>
            <w:r>
              <w:rPr>
                <w:rFonts w:ascii="Times New Roman" w:hAnsi="Times New Roman" w:eastAsia="宋体" w:cs="Times New Roman"/>
                <w:color w:val="auto"/>
                <w:kern w:val="0"/>
                <w:sz w:val="24"/>
                <w:szCs w:val="24"/>
                <w:lang w:val="en-US" w:eastAsia="zh-CN" w:bidi="ar-SA"/>
              </w:rPr>
              <w:t>）</w:t>
            </w:r>
            <w:r>
              <w:rPr>
                <w:rFonts w:cs="Times New Roman"/>
                <w:color w:val="auto"/>
                <w:sz w:val="24"/>
                <w:szCs w:val="32"/>
                <w:highlight w:val="none"/>
              </w:rPr>
              <w:t>建议建设单位合理安排工序，避免高噪声设备同时使用，把噪声影响降低在最低限度</w:t>
            </w:r>
            <w:r>
              <w:rPr>
                <w:rFonts w:ascii="Times New Roman" w:hAnsi="Times New Roman" w:eastAsia="宋体" w:cs="Times New Roman"/>
                <w:color w:val="auto"/>
                <w:kern w:val="0"/>
                <w:sz w:val="24"/>
                <w:szCs w:val="24"/>
                <w:lang w:val="en-US" w:eastAsia="zh-CN" w:bidi="ar-SA"/>
              </w:rPr>
              <w:t>。</w:t>
            </w:r>
          </w:p>
          <w:p w14:paraId="374634B9">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4</w:t>
            </w:r>
            <w:r>
              <w:rPr>
                <w:rFonts w:ascii="Times New Roman" w:hAnsi="Times New Roman" w:eastAsia="宋体" w:cs="Times New Roman"/>
                <w:color w:val="auto"/>
                <w:kern w:val="0"/>
                <w:sz w:val="24"/>
                <w:szCs w:val="24"/>
                <w:lang w:val="en-US" w:eastAsia="zh-CN" w:bidi="ar-SA"/>
              </w:rPr>
              <w:t>）对于厂区内流动的声源（汽车、装卸车），单独控制声源技术难度较大，故需强化行车管理制度，严禁鸣号，低速行驶等。</w:t>
            </w:r>
          </w:p>
          <w:p w14:paraId="624B21F2">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3.3</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预测模式</w:t>
            </w:r>
          </w:p>
          <w:p w14:paraId="3A797006">
            <w:pPr>
              <w:pStyle w:val="23"/>
              <w:spacing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采用《环境影响评价技术导则 声环境》（HJ2.4-20</w:t>
            </w:r>
            <w:r>
              <w:rPr>
                <w:rFonts w:hint="eastAsia" w:cs="Times New Roman"/>
                <w:color w:val="auto"/>
                <w:kern w:val="0"/>
                <w:sz w:val="24"/>
                <w:szCs w:val="24"/>
                <w:lang w:val="en-US" w:eastAsia="zh-CN" w:bidi="ar-SA"/>
              </w:rPr>
              <w:t>21</w:t>
            </w:r>
            <w:r>
              <w:rPr>
                <w:rFonts w:ascii="Times New Roman" w:hAnsi="Times New Roman" w:eastAsia="宋体" w:cs="Times New Roman"/>
                <w:color w:val="auto"/>
                <w:kern w:val="0"/>
                <w:sz w:val="24"/>
                <w:szCs w:val="24"/>
                <w:lang w:val="en-US" w:eastAsia="zh-CN" w:bidi="ar-SA"/>
              </w:rPr>
              <w:t>）中的工业噪声预测模式。根据拟建项目对声环境产生影响的主要设备噪声源噪声辐射和结构特点，安装位置的环境条件以及噪声源至预测点的距离等因素。本项目采用点声源衰减预测模式和声压级叠加模式，预测</w:t>
            </w:r>
            <w:r>
              <w:rPr>
                <w:rFonts w:hint="eastAsia" w:cs="Times New Roman"/>
                <w:color w:val="auto"/>
                <w:kern w:val="0"/>
                <w:sz w:val="24"/>
                <w:szCs w:val="24"/>
                <w:lang w:val="en-US" w:eastAsia="zh-CN" w:bidi="ar-SA"/>
              </w:rPr>
              <w:t>室外</w:t>
            </w:r>
            <w:r>
              <w:rPr>
                <w:rFonts w:ascii="Times New Roman" w:hAnsi="Times New Roman" w:eastAsia="宋体" w:cs="Times New Roman"/>
                <w:color w:val="auto"/>
                <w:kern w:val="0"/>
                <w:sz w:val="24"/>
                <w:szCs w:val="24"/>
                <w:lang w:val="en-US" w:eastAsia="zh-CN" w:bidi="ar-SA"/>
              </w:rPr>
              <w:t>噪声源对各厂界噪声评价点的贡献值。</w:t>
            </w:r>
          </w:p>
          <w:p w14:paraId="733797F0">
            <w:pPr>
              <w:autoSpaceDE w:val="0"/>
              <w:autoSpaceDN w:val="0"/>
              <w:adjustRightInd w:val="0"/>
              <w:spacing w:line="360" w:lineRule="auto"/>
              <w:ind w:firstLine="480" w:firstLineChars="200"/>
              <w:jc w:val="left"/>
              <w:rPr>
                <w:rFonts w:ascii="Times New Roman" w:hAnsi="Times New Roman"/>
                <w:bCs/>
                <w:color w:val="auto"/>
                <w:sz w:val="24"/>
              </w:rPr>
            </w:pPr>
            <w:r>
              <w:rPr>
                <w:rFonts w:hint="eastAsia" w:ascii="宋体" w:hAnsi="宋体" w:cs="宋体"/>
                <w:bCs/>
                <w:color w:val="auto"/>
                <w:sz w:val="24"/>
              </w:rPr>
              <w:t>①</w:t>
            </w:r>
            <w:r>
              <w:rPr>
                <w:rFonts w:ascii="Times New Roman" w:hAnsi="Times New Roman"/>
                <w:bCs/>
                <w:color w:val="auto"/>
                <w:sz w:val="24"/>
              </w:rPr>
              <w:t xml:space="preserve"> 计算某个声源在预测点的倍频带声压级</w:t>
            </w:r>
          </w:p>
          <w:p w14:paraId="04BB9A48">
            <w:pPr>
              <w:autoSpaceDE w:val="0"/>
              <w:autoSpaceDN w:val="0"/>
              <w:adjustRightInd w:val="0"/>
              <w:spacing w:line="360" w:lineRule="auto"/>
              <w:jc w:val="center"/>
              <w:rPr>
                <w:rFonts w:ascii="Times New Roman" w:hAnsi="Times New Roman"/>
                <w:bCs/>
                <w:color w:val="auto"/>
                <w:sz w:val="24"/>
              </w:rPr>
            </w:pPr>
            <w:r>
              <w:rPr>
                <w:rFonts w:ascii="Times New Roman" w:hAnsi="Times New Roman"/>
                <w:bCs/>
                <w:color w:val="auto"/>
                <w:sz w:val="24"/>
              </w:rPr>
              <w:object>
                <v:shape id="_x0000_i1025" o:spt="75" type="#_x0000_t75" style="height:37.5pt;width:174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p>
          <w:p w14:paraId="62946D0E">
            <w:pPr>
              <w:keepNext w:val="0"/>
              <w:keepLines w:val="0"/>
              <w:pageBreakBefore w:val="0"/>
              <w:widowControl w:val="0"/>
              <w:kinsoku/>
              <w:wordWrap/>
              <w:overflowPunct/>
              <w:topLinePunct w:val="0"/>
              <w:autoSpaceDE w:val="0"/>
              <w:autoSpaceDN w:val="0"/>
              <w:bidi w:val="0"/>
              <w:adjustRightInd w:val="0"/>
              <w:snapToGrid/>
              <w:spacing w:line="360" w:lineRule="auto"/>
              <w:ind w:firstLine="1200" w:firstLineChars="500"/>
              <w:jc w:val="left"/>
              <w:textAlignment w:val="auto"/>
              <w:rPr>
                <w:rFonts w:ascii="Times New Roman" w:hAnsi="Times New Roman"/>
                <w:bCs/>
                <w:color w:val="auto"/>
                <w:sz w:val="24"/>
              </w:rPr>
            </w:pPr>
            <w:r>
              <w:rPr>
                <w:rFonts w:ascii="Times New Roman" w:hAnsi="Times New Roman"/>
                <w:bCs/>
                <w:color w:val="auto"/>
                <w:sz w:val="24"/>
              </w:rPr>
              <w:t>式中：Loct(r)——点声源在预测点产生的倍频带声压级</w:t>
            </w:r>
            <w:r>
              <w:rPr>
                <w:rFonts w:hint="eastAsia"/>
                <w:bCs/>
                <w:color w:val="auto"/>
                <w:sz w:val="24"/>
                <w:lang w:eastAsia="zh-CN"/>
              </w:rPr>
              <w:t>，</w:t>
            </w:r>
            <w:r>
              <w:rPr>
                <w:rFonts w:ascii="Times New Roman" w:hAnsi="Times New Roman"/>
                <w:bCs/>
                <w:color w:val="auto"/>
                <w:sz w:val="24"/>
              </w:rPr>
              <w:t xml:space="preserve"> dB(A)；</w:t>
            </w:r>
          </w:p>
          <w:p w14:paraId="5FC860DC">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ascii="Times New Roman" w:hAnsi="Times New Roman"/>
                <w:bCs/>
                <w:color w:val="auto"/>
                <w:sz w:val="24"/>
              </w:rPr>
              <w:t>Loct(r0)——参考位置r0处的倍频带声压级</w:t>
            </w:r>
            <w:r>
              <w:rPr>
                <w:rFonts w:hint="eastAsia"/>
                <w:bCs/>
                <w:color w:val="auto"/>
                <w:sz w:val="24"/>
                <w:lang w:eastAsia="zh-CN"/>
              </w:rPr>
              <w:t>，</w:t>
            </w:r>
            <w:r>
              <w:rPr>
                <w:rFonts w:ascii="Times New Roman" w:hAnsi="Times New Roman"/>
                <w:bCs/>
                <w:color w:val="auto"/>
                <w:sz w:val="24"/>
              </w:rPr>
              <w:t xml:space="preserve"> dB(A)；</w:t>
            </w:r>
          </w:p>
          <w:p w14:paraId="2E51B525">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ascii="Times New Roman" w:hAnsi="Times New Roman"/>
                <w:bCs/>
                <w:color w:val="auto"/>
                <w:sz w:val="24"/>
              </w:rPr>
              <w:t>r——预测点距声源的距离，m；</w:t>
            </w:r>
          </w:p>
          <w:p w14:paraId="2D804739">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ascii="Times New Roman" w:hAnsi="Times New Roman"/>
                <w:bCs/>
                <w:color w:val="auto"/>
                <w:sz w:val="24"/>
              </w:rPr>
              <w:t>r0——参考位置距声源的距离，m；</w:t>
            </w:r>
          </w:p>
          <w:p w14:paraId="194EF597">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ascii="Times New Roman" w:hAnsi="Times New Roman"/>
                <w:bCs/>
                <w:color w:val="auto"/>
                <w:sz w:val="24"/>
              </w:rPr>
              <w:t>ΔLoct——各种因素引起的衰减量（包括声屏障、遮挡物、空气吸收、地面效应等引起的衰减量）, dB(A)。</w:t>
            </w:r>
          </w:p>
          <w:p w14:paraId="4DEA9F9E">
            <w:pPr>
              <w:autoSpaceDE w:val="0"/>
              <w:autoSpaceDN w:val="0"/>
              <w:adjustRightInd w:val="0"/>
              <w:spacing w:line="360" w:lineRule="auto"/>
              <w:ind w:firstLine="480" w:firstLineChars="200"/>
              <w:jc w:val="left"/>
              <w:rPr>
                <w:rFonts w:ascii="Times New Roman" w:hAnsi="Times New Roman"/>
                <w:bCs/>
                <w:color w:val="auto"/>
                <w:sz w:val="24"/>
              </w:rPr>
            </w:pPr>
            <w:r>
              <w:rPr>
                <w:rFonts w:hint="eastAsia" w:ascii="宋体" w:hAnsi="宋体" w:cs="宋体"/>
                <w:bCs/>
                <w:color w:val="auto"/>
                <w:sz w:val="24"/>
              </w:rPr>
              <w:t>②</w:t>
            </w:r>
            <w:r>
              <w:rPr>
                <w:rFonts w:ascii="Times New Roman" w:hAnsi="Times New Roman"/>
                <w:bCs/>
                <w:color w:val="auto"/>
                <w:sz w:val="24"/>
              </w:rPr>
              <w:t>预测点总影响值计算模式：</w:t>
            </w:r>
          </w:p>
          <w:p w14:paraId="5C7B6816">
            <w:pPr>
              <w:autoSpaceDE w:val="0"/>
              <w:autoSpaceDN w:val="0"/>
              <w:adjustRightInd w:val="0"/>
              <w:spacing w:line="360" w:lineRule="auto"/>
              <w:jc w:val="center"/>
              <w:rPr>
                <w:rFonts w:ascii="Times New Roman" w:hAnsi="Times New Roman"/>
                <w:bCs/>
                <w:color w:val="auto"/>
                <w:sz w:val="24"/>
              </w:rPr>
            </w:pPr>
            <w:r>
              <w:rPr>
                <w:rFonts w:ascii="Times New Roman" w:hAnsi="Times New Roman"/>
                <w:bCs/>
                <w:color w:val="auto"/>
                <w:sz w:val="24"/>
              </w:rPr>
              <w:drawing>
                <wp:inline distT="0" distB="0" distL="114300" distR="114300">
                  <wp:extent cx="1181100" cy="447675"/>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2"/>
                          <a:stretch>
                            <a:fillRect/>
                          </a:stretch>
                        </pic:blipFill>
                        <pic:spPr>
                          <a:xfrm>
                            <a:off x="0" y="0"/>
                            <a:ext cx="1181100" cy="447675"/>
                          </a:xfrm>
                          <a:prstGeom prst="rect">
                            <a:avLst/>
                          </a:prstGeom>
                          <a:noFill/>
                          <a:ln>
                            <a:noFill/>
                          </a:ln>
                        </pic:spPr>
                      </pic:pic>
                    </a:graphicData>
                  </a:graphic>
                </wp:inline>
              </w:drawing>
            </w:r>
          </w:p>
          <w:p w14:paraId="757EFB6E">
            <w:pPr>
              <w:keepNext w:val="0"/>
              <w:keepLines w:val="0"/>
              <w:pageBreakBefore w:val="0"/>
              <w:widowControl w:val="0"/>
              <w:kinsoku/>
              <w:wordWrap/>
              <w:overflowPunct/>
              <w:topLinePunct w:val="0"/>
              <w:bidi w:val="0"/>
              <w:snapToGrid/>
              <w:spacing w:line="360" w:lineRule="auto"/>
              <w:ind w:firstLine="1200" w:firstLineChars="500"/>
              <w:textAlignment w:val="auto"/>
              <w:rPr>
                <w:color w:val="auto"/>
                <w:sz w:val="24"/>
              </w:rPr>
            </w:pPr>
            <w:r>
              <w:rPr>
                <w:color w:val="auto"/>
                <w:sz w:val="24"/>
                <w:lang w:bidi="ar"/>
              </w:rPr>
              <w:t>式中：</w:t>
            </w:r>
            <w:r>
              <w:rPr>
                <w:rFonts w:hint="eastAsia"/>
                <w:color w:val="auto"/>
                <w:sz w:val="24"/>
                <w:lang w:val="en-US" w:eastAsia="zh-CN" w:bidi="ar"/>
              </w:rPr>
              <w:t>L</w:t>
            </w:r>
            <w:r>
              <w:rPr>
                <w:rFonts w:hint="eastAsia"/>
                <w:color w:val="auto"/>
                <w:sz w:val="24"/>
                <w:vertAlign w:val="subscript"/>
                <w:lang w:val="en-US" w:eastAsia="zh-CN" w:bidi="ar"/>
              </w:rPr>
              <w:t>总</w:t>
            </w:r>
            <w:r>
              <w:rPr>
                <w:color w:val="auto"/>
                <w:sz w:val="24"/>
                <w:lang w:bidi="ar"/>
              </w:rPr>
              <w:t>——几个声压级相加后的总声压级，dB(A)；</w:t>
            </w:r>
          </w:p>
          <w:p w14:paraId="494A5933">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hint="eastAsia"/>
                <w:bCs/>
                <w:color w:val="auto"/>
                <w:sz w:val="24"/>
                <w:lang w:val="en-US" w:eastAsia="zh-CN"/>
              </w:rPr>
              <w:t>L</w:t>
            </w:r>
            <w:r>
              <w:rPr>
                <w:rFonts w:hint="eastAsia"/>
                <w:bCs/>
                <w:color w:val="auto"/>
                <w:sz w:val="24"/>
                <w:vertAlign w:val="subscript"/>
                <w:lang w:val="en-US" w:eastAsia="zh-CN"/>
              </w:rPr>
              <w:t>i</w:t>
            </w:r>
            <w:r>
              <w:rPr>
                <w:rFonts w:ascii="Times New Roman" w:hAnsi="Times New Roman"/>
                <w:bCs/>
                <w:color w:val="auto"/>
                <w:sz w:val="24"/>
              </w:rPr>
              <w:t>——某一个声压级，dB(A)。</w:t>
            </w:r>
          </w:p>
          <w:p w14:paraId="56F515D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Times New Roman" w:hAnsi="Times New Roman"/>
                <w:bCs/>
                <w:color w:val="auto"/>
                <w:sz w:val="24"/>
              </w:rPr>
            </w:pPr>
            <w:r>
              <w:rPr>
                <w:rFonts w:ascii="Times New Roman" w:hAnsi="Times New Roman"/>
                <w:bCs/>
                <w:color w:val="auto"/>
                <w:sz w:val="24"/>
              </w:rPr>
              <w:t>其声波在传播过程中将通过所在建筑物的屏蔽衰减，并经过距离衰减、声屏障衰减、空气吸收衰减达到厂界。</w:t>
            </w:r>
          </w:p>
          <w:p w14:paraId="0A70877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bCs/>
                <w:color w:val="auto"/>
                <w:sz w:val="24"/>
                <w:lang w:val="en-US" w:eastAsia="zh-CN"/>
              </w:rPr>
            </w:pPr>
            <w:r>
              <w:rPr>
                <w:rFonts w:ascii="Times New Roman" w:hAnsi="Times New Roman"/>
                <w:bCs/>
                <w:color w:val="auto"/>
                <w:sz w:val="24"/>
              </w:rPr>
              <w:t>利用以上预测公式，使噪声源通过等效变换成若干等效声源，然后计算出与噪声源不同距离处的理论噪声值，得出噪声设备运行时对厂界噪声环境的影响状况，本工程主要噪声源集中在室</w:t>
            </w:r>
            <w:r>
              <w:rPr>
                <w:rFonts w:hint="eastAsia"/>
                <w:bCs/>
                <w:color w:val="auto"/>
                <w:sz w:val="24"/>
                <w:lang w:val="en-US" w:eastAsia="zh-CN"/>
              </w:rPr>
              <w:t>外</w:t>
            </w:r>
            <w:r>
              <w:rPr>
                <w:rFonts w:ascii="Times New Roman" w:hAnsi="Times New Roman"/>
                <w:bCs/>
                <w:color w:val="auto"/>
                <w:sz w:val="24"/>
              </w:rPr>
              <w:t>，</w:t>
            </w:r>
            <w:r>
              <w:rPr>
                <w:rFonts w:hint="default" w:ascii="Times New Roman" w:hAnsi="Times New Roman" w:eastAsia="宋体" w:cs="Times New Roman"/>
                <w:b w:val="0"/>
                <w:bCs w:val="0"/>
                <w:sz w:val="24"/>
                <w:szCs w:val="24"/>
                <w:highlight w:val="none"/>
                <w:lang w:val="en-US" w:eastAsia="zh-CN"/>
              </w:rPr>
              <w:t>根据上述预测模式及参数的选择，对项目噪音源对各预测点的噪音贡献值进行计算</w:t>
            </w:r>
            <w:r>
              <w:rPr>
                <w:rFonts w:ascii="Times New Roman" w:hAnsi="Times New Roman"/>
                <w:bCs/>
                <w:color w:val="auto"/>
                <w:sz w:val="24"/>
              </w:rPr>
              <w:t>，计算结果见表</w:t>
            </w:r>
            <w:r>
              <w:rPr>
                <w:rFonts w:hint="eastAsia"/>
                <w:bCs/>
                <w:color w:val="auto"/>
                <w:sz w:val="24"/>
                <w:lang w:val="en-US" w:eastAsia="zh-CN"/>
              </w:rPr>
              <w:t>4-11。</w:t>
            </w:r>
          </w:p>
          <w:p w14:paraId="5D7A9F92">
            <w:pPr>
              <w:widowControl/>
              <w:spacing w:line="240" w:lineRule="auto"/>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color w:val="auto"/>
              </w:rPr>
              <w:t>表4-</w:t>
            </w:r>
            <w:r>
              <w:rPr>
                <w:rFonts w:hint="eastAsia" w:cs="Times New Roman"/>
                <w:b/>
                <w:bCs/>
                <w:color w:val="auto"/>
                <w:lang w:val="en-US" w:eastAsia="zh-CN"/>
              </w:rPr>
              <w:t>11</w:t>
            </w:r>
            <w:r>
              <w:rPr>
                <w:rFonts w:hint="eastAsia" w:ascii="Times New Roman" w:hAnsi="Times New Roman" w:eastAsia="宋体" w:cs="Times New Roman"/>
                <w:color w:val="auto"/>
              </w:rPr>
              <w:t xml:space="preserve">    </w:t>
            </w:r>
            <w:r>
              <w:rPr>
                <w:rFonts w:hint="default" w:ascii="Times New Roman" w:hAnsi="Times New Roman" w:eastAsia="宋体" w:cs="Times New Roman"/>
                <w:b/>
                <w:bCs/>
                <w:sz w:val="21"/>
                <w:szCs w:val="21"/>
                <w:highlight w:val="none"/>
                <w:lang w:val="en-US" w:eastAsia="zh-CN"/>
              </w:rPr>
              <w:t>噪声预测厂界</w:t>
            </w:r>
            <w:r>
              <w:rPr>
                <w:rFonts w:hint="eastAsia" w:ascii="Times New Roman" w:hAnsi="Times New Roman" w:eastAsia="宋体" w:cs="Times New Roman"/>
                <w:b/>
                <w:bCs/>
                <w:sz w:val="21"/>
                <w:szCs w:val="21"/>
                <w:highlight w:val="none"/>
                <w:lang w:val="en-US" w:eastAsia="zh-CN"/>
              </w:rPr>
              <w:t>贡献</w:t>
            </w:r>
            <w:r>
              <w:rPr>
                <w:rFonts w:hint="default" w:ascii="Times New Roman" w:hAnsi="Times New Roman" w:eastAsia="宋体" w:cs="Times New Roman"/>
                <w:b/>
                <w:bCs/>
                <w:sz w:val="21"/>
                <w:szCs w:val="21"/>
                <w:highlight w:val="none"/>
                <w:lang w:val="en-US" w:eastAsia="zh-CN"/>
              </w:rPr>
              <w:t>值结果单位：Leq［dB（A）］</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702"/>
              <w:gridCol w:w="1702"/>
              <w:gridCol w:w="1702"/>
              <w:gridCol w:w="1703"/>
            </w:tblGrid>
            <w:tr w14:paraId="2EC8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center"/>
                </w:tcPr>
                <w:p w14:paraId="3FB2837C">
                  <w:pPr>
                    <w:widowControl/>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预测方位</w:t>
                  </w:r>
                </w:p>
              </w:tc>
              <w:tc>
                <w:tcPr>
                  <w:tcW w:w="1000" w:type="pct"/>
                  <w:noWrap w:val="0"/>
                  <w:vAlign w:val="center"/>
                </w:tcPr>
                <w:p w14:paraId="1CF13CDE">
                  <w:pPr>
                    <w:widowControl/>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预测时段</w:t>
                  </w:r>
                </w:p>
              </w:tc>
              <w:tc>
                <w:tcPr>
                  <w:tcW w:w="1000" w:type="pct"/>
                  <w:noWrap w:val="0"/>
                  <w:vAlign w:val="center"/>
                </w:tcPr>
                <w:p w14:paraId="7C7667F9">
                  <w:pPr>
                    <w:widowControl/>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贡献值</w:t>
                  </w:r>
                </w:p>
              </w:tc>
              <w:tc>
                <w:tcPr>
                  <w:tcW w:w="1000" w:type="pct"/>
                  <w:noWrap w:val="0"/>
                  <w:vAlign w:val="center"/>
                </w:tcPr>
                <w:p w14:paraId="53BF4647">
                  <w:pPr>
                    <w:widowControl/>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标准限值</w:t>
                  </w:r>
                </w:p>
              </w:tc>
              <w:tc>
                <w:tcPr>
                  <w:tcW w:w="1000" w:type="pct"/>
                  <w:noWrap w:val="0"/>
                  <w:vAlign w:val="center"/>
                </w:tcPr>
                <w:p w14:paraId="06A62A93">
                  <w:pPr>
                    <w:widowControl/>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达标情况</w:t>
                  </w:r>
                </w:p>
              </w:tc>
            </w:tr>
            <w:tr w14:paraId="5F72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99" w:type="pct"/>
                  <w:vMerge w:val="restart"/>
                  <w:noWrap w:val="0"/>
                  <w:vAlign w:val="center"/>
                </w:tcPr>
                <w:p w14:paraId="46927CC6">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项目东侧厂界</w:t>
                  </w:r>
                </w:p>
              </w:tc>
              <w:tc>
                <w:tcPr>
                  <w:tcW w:w="1000" w:type="pct"/>
                  <w:noWrap w:val="0"/>
                  <w:vAlign w:val="center"/>
                </w:tcPr>
                <w:p w14:paraId="32C6D0EB">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昼间</w:t>
                  </w:r>
                </w:p>
              </w:tc>
              <w:tc>
                <w:tcPr>
                  <w:tcW w:w="1000" w:type="pct"/>
                  <w:noWrap w:val="0"/>
                  <w:vAlign w:val="center"/>
                </w:tcPr>
                <w:p w14:paraId="09DAAA48">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16</w:t>
                  </w:r>
                </w:p>
              </w:tc>
              <w:tc>
                <w:tcPr>
                  <w:tcW w:w="1000" w:type="pct"/>
                  <w:noWrap w:val="0"/>
                  <w:vAlign w:val="center"/>
                </w:tcPr>
                <w:p w14:paraId="56D454CB">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60</w:t>
                  </w:r>
                </w:p>
              </w:tc>
              <w:tc>
                <w:tcPr>
                  <w:tcW w:w="1000" w:type="pct"/>
                  <w:noWrap w:val="0"/>
                  <w:vAlign w:val="center"/>
                </w:tcPr>
                <w:p w14:paraId="28B888DD">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14:paraId="0DB9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noWrap w:val="0"/>
                  <w:vAlign w:val="center"/>
                </w:tcPr>
                <w:p w14:paraId="10948E0E">
                  <w:pPr>
                    <w:widowControl/>
                    <w:spacing w:line="240" w:lineRule="auto"/>
                    <w:jc w:val="center"/>
                    <w:rPr>
                      <w:rFonts w:hint="default" w:ascii="Times New Roman" w:hAnsi="Times New Roman" w:eastAsia="宋体" w:cs="Times New Roman"/>
                      <w:sz w:val="21"/>
                      <w:szCs w:val="21"/>
                      <w:highlight w:val="none"/>
                      <w:lang w:val="en-US" w:eastAsia="zh-CN"/>
                    </w:rPr>
                  </w:pPr>
                </w:p>
              </w:tc>
              <w:tc>
                <w:tcPr>
                  <w:tcW w:w="1000" w:type="pct"/>
                  <w:noWrap w:val="0"/>
                  <w:vAlign w:val="center"/>
                </w:tcPr>
                <w:p w14:paraId="0699E132">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夜间</w:t>
                  </w:r>
                </w:p>
              </w:tc>
              <w:tc>
                <w:tcPr>
                  <w:tcW w:w="1000" w:type="pct"/>
                  <w:noWrap w:val="0"/>
                  <w:vAlign w:val="center"/>
                </w:tcPr>
                <w:p w14:paraId="225ED020">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18</w:t>
                  </w:r>
                </w:p>
              </w:tc>
              <w:tc>
                <w:tcPr>
                  <w:tcW w:w="1000" w:type="pct"/>
                  <w:noWrap w:val="0"/>
                  <w:vAlign w:val="center"/>
                </w:tcPr>
                <w:p w14:paraId="56F7E2BC">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50</w:t>
                  </w:r>
                </w:p>
              </w:tc>
              <w:tc>
                <w:tcPr>
                  <w:tcW w:w="1000" w:type="pct"/>
                  <w:noWrap w:val="0"/>
                  <w:vAlign w:val="center"/>
                </w:tcPr>
                <w:p w14:paraId="6A2E4F6E">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14:paraId="1B0A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noWrap w:val="0"/>
                  <w:vAlign w:val="center"/>
                </w:tcPr>
                <w:p w14:paraId="5D3585C7">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w:t>
                  </w:r>
                  <w:r>
                    <w:rPr>
                      <w:rFonts w:hint="eastAsia" w:ascii="Times New Roman" w:hAnsi="Times New Roman" w:eastAsia="宋体" w:cs="Times New Roman"/>
                      <w:sz w:val="21"/>
                      <w:szCs w:val="21"/>
                      <w:highlight w:val="none"/>
                      <w:lang w:val="en-US" w:eastAsia="zh-CN"/>
                    </w:rPr>
                    <w:t>南</w:t>
                  </w:r>
                  <w:r>
                    <w:rPr>
                      <w:rFonts w:hint="default" w:ascii="Times New Roman" w:hAnsi="Times New Roman" w:eastAsia="宋体" w:cs="Times New Roman"/>
                      <w:sz w:val="21"/>
                      <w:szCs w:val="21"/>
                      <w:highlight w:val="none"/>
                      <w:lang w:val="en-US" w:eastAsia="zh-CN"/>
                    </w:rPr>
                    <w:t>侧厂界</w:t>
                  </w:r>
                </w:p>
              </w:tc>
              <w:tc>
                <w:tcPr>
                  <w:tcW w:w="1000" w:type="pct"/>
                  <w:noWrap w:val="0"/>
                  <w:vAlign w:val="center"/>
                </w:tcPr>
                <w:p w14:paraId="7D27EDF1">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昼间</w:t>
                  </w:r>
                </w:p>
              </w:tc>
              <w:tc>
                <w:tcPr>
                  <w:tcW w:w="1000" w:type="pct"/>
                  <w:noWrap w:val="0"/>
                  <w:vAlign w:val="center"/>
                </w:tcPr>
                <w:p w14:paraId="1848FDFE">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17</w:t>
                  </w:r>
                </w:p>
              </w:tc>
              <w:tc>
                <w:tcPr>
                  <w:tcW w:w="1000" w:type="pct"/>
                  <w:noWrap w:val="0"/>
                  <w:vAlign w:val="center"/>
                </w:tcPr>
                <w:p w14:paraId="6A65C8D2">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60</w:t>
                  </w:r>
                </w:p>
              </w:tc>
              <w:tc>
                <w:tcPr>
                  <w:tcW w:w="1000" w:type="pct"/>
                  <w:noWrap w:val="0"/>
                  <w:vAlign w:val="center"/>
                </w:tcPr>
                <w:p w14:paraId="1947A65B">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14:paraId="690A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noWrap w:val="0"/>
                  <w:vAlign w:val="center"/>
                </w:tcPr>
                <w:p w14:paraId="137C16EE">
                  <w:pPr>
                    <w:widowControl/>
                    <w:spacing w:line="240" w:lineRule="auto"/>
                    <w:jc w:val="center"/>
                    <w:rPr>
                      <w:rFonts w:hint="default" w:ascii="Times New Roman" w:hAnsi="Times New Roman" w:eastAsia="宋体" w:cs="Times New Roman"/>
                      <w:sz w:val="21"/>
                      <w:szCs w:val="21"/>
                      <w:highlight w:val="none"/>
                      <w:lang w:val="en-US" w:eastAsia="zh-CN"/>
                    </w:rPr>
                  </w:pPr>
                </w:p>
              </w:tc>
              <w:tc>
                <w:tcPr>
                  <w:tcW w:w="1000" w:type="pct"/>
                  <w:noWrap w:val="0"/>
                  <w:vAlign w:val="center"/>
                </w:tcPr>
                <w:p w14:paraId="01E46D0B">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夜间</w:t>
                  </w:r>
                </w:p>
              </w:tc>
              <w:tc>
                <w:tcPr>
                  <w:tcW w:w="1000" w:type="pct"/>
                  <w:noWrap w:val="0"/>
                  <w:vAlign w:val="center"/>
                </w:tcPr>
                <w:p w14:paraId="4887F633">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16</w:t>
                  </w:r>
                </w:p>
              </w:tc>
              <w:tc>
                <w:tcPr>
                  <w:tcW w:w="1000" w:type="pct"/>
                  <w:noWrap w:val="0"/>
                  <w:vAlign w:val="center"/>
                </w:tcPr>
                <w:p w14:paraId="4361286F">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50</w:t>
                  </w:r>
                </w:p>
              </w:tc>
              <w:tc>
                <w:tcPr>
                  <w:tcW w:w="1000" w:type="pct"/>
                  <w:noWrap w:val="0"/>
                  <w:vAlign w:val="center"/>
                </w:tcPr>
                <w:p w14:paraId="4D673FE0">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14:paraId="1BC7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noWrap w:val="0"/>
                  <w:vAlign w:val="center"/>
                </w:tcPr>
                <w:p w14:paraId="7DC42DB1">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w:t>
                  </w:r>
                  <w:r>
                    <w:rPr>
                      <w:rFonts w:hint="eastAsia" w:ascii="Times New Roman" w:hAnsi="Times New Roman" w:eastAsia="宋体" w:cs="Times New Roman"/>
                      <w:sz w:val="21"/>
                      <w:szCs w:val="21"/>
                      <w:highlight w:val="none"/>
                      <w:lang w:val="en-US" w:eastAsia="zh-CN"/>
                    </w:rPr>
                    <w:t>西</w:t>
                  </w:r>
                  <w:r>
                    <w:rPr>
                      <w:rFonts w:hint="default" w:ascii="Times New Roman" w:hAnsi="Times New Roman" w:eastAsia="宋体" w:cs="Times New Roman"/>
                      <w:sz w:val="21"/>
                      <w:szCs w:val="21"/>
                      <w:highlight w:val="none"/>
                      <w:lang w:val="en-US" w:eastAsia="zh-CN"/>
                    </w:rPr>
                    <w:t>侧厂界</w:t>
                  </w:r>
                </w:p>
              </w:tc>
              <w:tc>
                <w:tcPr>
                  <w:tcW w:w="1000" w:type="pct"/>
                  <w:noWrap w:val="0"/>
                  <w:vAlign w:val="center"/>
                </w:tcPr>
                <w:p w14:paraId="23AE6E34">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昼间</w:t>
                  </w:r>
                </w:p>
              </w:tc>
              <w:tc>
                <w:tcPr>
                  <w:tcW w:w="1000" w:type="pct"/>
                  <w:noWrap w:val="0"/>
                  <w:vAlign w:val="center"/>
                </w:tcPr>
                <w:p w14:paraId="312AB433">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17</w:t>
                  </w:r>
                </w:p>
              </w:tc>
              <w:tc>
                <w:tcPr>
                  <w:tcW w:w="1000" w:type="pct"/>
                  <w:noWrap w:val="0"/>
                  <w:vAlign w:val="center"/>
                </w:tcPr>
                <w:p w14:paraId="5B6B227F">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60</w:t>
                  </w:r>
                </w:p>
              </w:tc>
              <w:tc>
                <w:tcPr>
                  <w:tcW w:w="1000" w:type="pct"/>
                  <w:noWrap w:val="0"/>
                  <w:vAlign w:val="center"/>
                </w:tcPr>
                <w:p w14:paraId="4313EBA2">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14:paraId="4D69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999" w:type="pct"/>
                  <w:vMerge w:val="continue"/>
                  <w:noWrap w:val="0"/>
                  <w:vAlign w:val="center"/>
                </w:tcPr>
                <w:p w14:paraId="4621BF97">
                  <w:pPr>
                    <w:widowControl/>
                    <w:spacing w:line="240" w:lineRule="auto"/>
                    <w:jc w:val="center"/>
                    <w:rPr>
                      <w:rFonts w:hint="default" w:ascii="Times New Roman" w:hAnsi="Times New Roman" w:eastAsia="宋体" w:cs="Times New Roman"/>
                      <w:sz w:val="21"/>
                      <w:szCs w:val="21"/>
                      <w:highlight w:val="none"/>
                      <w:lang w:val="en-US" w:eastAsia="zh-CN"/>
                    </w:rPr>
                  </w:pPr>
                </w:p>
              </w:tc>
              <w:tc>
                <w:tcPr>
                  <w:tcW w:w="1000" w:type="pct"/>
                  <w:noWrap w:val="0"/>
                  <w:vAlign w:val="center"/>
                </w:tcPr>
                <w:p w14:paraId="7FFEB28C">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夜间</w:t>
                  </w:r>
                </w:p>
              </w:tc>
              <w:tc>
                <w:tcPr>
                  <w:tcW w:w="1000" w:type="pct"/>
                  <w:noWrap w:val="0"/>
                  <w:vAlign w:val="center"/>
                </w:tcPr>
                <w:p w14:paraId="4C07061F">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15</w:t>
                  </w:r>
                </w:p>
              </w:tc>
              <w:tc>
                <w:tcPr>
                  <w:tcW w:w="1000" w:type="pct"/>
                  <w:noWrap w:val="0"/>
                  <w:vAlign w:val="center"/>
                </w:tcPr>
                <w:p w14:paraId="4D74446E">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50</w:t>
                  </w:r>
                </w:p>
              </w:tc>
              <w:tc>
                <w:tcPr>
                  <w:tcW w:w="1000" w:type="pct"/>
                  <w:noWrap w:val="0"/>
                  <w:vAlign w:val="center"/>
                </w:tcPr>
                <w:p w14:paraId="5A7BC326">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14:paraId="6F73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99" w:type="pct"/>
                  <w:vMerge w:val="restart"/>
                  <w:noWrap w:val="0"/>
                  <w:vAlign w:val="center"/>
                </w:tcPr>
                <w:p w14:paraId="2B139E29">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w:t>
                  </w:r>
                  <w:r>
                    <w:rPr>
                      <w:rFonts w:hint="eastAsia" w:ascii="Times New Roman" w:hAnsi="Times New Roman" w:eastAsia="宋体" w:cs="Times New Roman"/>
                      <w:sz w:val="21"/>
                      <w:szCs w:val="21"/>
                      <w:highlight w:val="none"/>
                      <w:lang w:val="en-US" w:eastAsia="zh-CN"/>
                    </w:rPr>
                    <w:t>北</w:t>
                  </w:r>
                  <w:r>
                    <w:rPr>
                      <w:rFonts w:hint="default" w:ascii="Times New Roman" w:hAnsi="Times New Roman" w:eastAsia="宋体" w:cs="Times New Roman"/>
                      <w:sz w:val="21"/>
                      <w:szCs w:val="21"/>
                      <w:highlight w:val="none"/>
                      <w:lang w:val="en-US" w:eastAsia="zh-CN"/>
                    </w:rPr>
                    <w:t>侧厂界</w:t>
                  </w:r>
                </w:p>
              </w:tc>
              <w:tc>
                <w:tcPr>
                  <w:tcW w:w="1000" w:type="pct"/>
                  <w:noWrap w:val="0"/>
                  <w:vAlign w:val="center"/>
                </w:tcPr>
                <w:p w14:paraId="4F018F6E">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昼间</w:t>
                  </w:r>
                </w:p>
              </w:tc>
              <w:tc>
                <w:tcPr>
                  <w:tcW w:w="1000" w:type="pct"/>
                  <w:noWrap w:val="0"/>
                  <w:vAlign w:val="center"/>
                </w:tcPr>
                <w:p w14:paraId="7C6B7D4D">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17</w:t>
                  </w:r>
                </w:p>
              </w:tc>
              <w:tc>
                <w:tcPr>
                  <w:tcW w:w="1000" w:type="pct"/>
                  <w:noWrap w:val="0"/>
                  <w:vAlign w:val="center"/>
                </w:tcPr>
                <w:p w14:paraId="6C3EB93B">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60</w:t>
                  </w:r>
                </w:p>
              </w:tc>
              <w:tc>
                <w:tcPr>
                  <w:tcW w:w="1000" w:type="pct"/>
                  <w:noWrap w:val="0"/>
                  <w:vAlign w:val="center"/>
                </w:tcPr>
                <w:p w14:paraId="243253DD">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14:paraId="6208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noWrap w:val="0"/>
                  <w:vAlign w:val="center"/>
                </w:tcPr>
                <w:p w14:paraId="34C06A7F">
                  <w:pPr>
                    <w:widowControl/>
                    <w:spacing w:line="240" w:lineRule="auto"/>
                    <w:jc w:val="center"/>
                    <w:rPr>
                      <w:rFonts w:hint="default" w:ascii="Times New Roman" w:hAnsi="Times New Roman" w:eastAsia="宋体" w:cs="Times New Roman"/>
                      <w:sz w:val="21"/>
                      <w:szCs w:val="21"/>
                      <w:highlight w:val="none"/>
                      <w:lang w:val="en-US" w:eastAsia="zh-CN"/>
                    </w:rPr>
                  </w:pPr>
                </w:p>
              </w:tc>
              <w:tc>
                <w:tcPr>
                  <w:tcW w:w="1000" w:type="pct"/>
                  <w:noWrap w:val="0"/>
                  <w:vAlign w:val="center"/>
                </w:tcPr>
                <w:p w14:paraId="2C5804BD">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夜间</w:t>
                  </w:r>
                </w:p>
              </w:tc>
              <w:tc>
                <w:tcPr>
                  <w:tcW w:w="1000" w:type="pct"/>
                  <w:noWrap w:val="0"/>
                  <w:vAlign w:val="center"/>
                </w:tcPr>
                <w:p w14:paraId="068D67F9">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16</w:t>
                  </w:r>
                </w:p>
              </w:tc>
              <w:tc>
                <w:tcPr>
                  <w:tcW w:w="1000" w:type="pct"/>
                  <w:noWrap w:val="0"/>
                  <w:vAlign w:val="center"/>
                </w:tcPr>
                <w:p w14:paraId="2A1EDAC6">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50</w:t>
                  </w:r>
                </w:p>
              </w:tc>
              <w:tc>
                <w:tcPr>
                  <w:tcW w:w="1000" w:type="pct"/>
                  <w:noWrap w:val="0"/>
                  <w:vAlign w:val="center"/>
                </w:tcPr>
                <w:p w14:paraId="1363FD77">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bl>
          <w:p w14:paraId="1FBBEEE1">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bCs/>
                <w:color w:val="auto"/>
                <w:sz w:val="24"/>
              </w:rPr>
            </w:pPr>
            <w:r>
              <w:rPr>
                <w:rFonts w:hint="default" w:ascii="Times New Roman" w:hAnsi="Times New Roman" w:eastAsia="宋体" w:cs="Times New Roman"/>
                <w:sz w:val="24"/>
                <w:szCs w:val="24"/>
                <w:highlight w:val="none"/>
                <w:lang w:val="en-US" w:eastAsia="zh-CN"/>
              </w:rPr>
              <w:t>由上述预测结果可以看出，建设项目采取降噪措施后，</w:t>
            </w:r>
            <w:r>
              <w:rPr>
                <w:color w:val="auto"/>
                <w:sz w:val="24"/>
              </w:rPr>
              <w:t>厂界噪声符合《工业企业厂界环境噪声排放标准》</w:t>
            </w:r>
            <w:r>
              <w:rPr>
                <w:rFonts w:hint="eastAsia"/>
                <w:color w:val="auto"/>
                <w:sz w:val="24"/>
                <w:lang w:eastAsia="zh-CN"/>
              </w:rPr>
              <w:t>（</w:t>
            </w:r>
            <w:r>
              <w:rPr>
                <w:color w:val="auto"/>
                <w:sz w:val="24"/>
              </w:rPr>
              <w:t>G12348-2008</w:t>
            </w:r>
            <w:r>
              <w:rPr>
                <w:rFonts w:hint="eastAsia"/>
                <w:color w:val="auto"/>
                <w:sz w:val="24"/>
                <w:lang w:eastAsia="zh-CN"/>
              </w:rPr>
              <w:t>）</w:t>
            </w:r>
            <w:r>
              <w:rPr>
                <w:color w:val="auto"/>
                <w:sz w:val="24"/>
              </w:rPr>
              <w:t>中的</w:t>
            </w:r>
            <w:r>
              <w:rPr>
                <w:rFonts w:hint="eastAsia"/>
                <w:color w:val="auto"/>
                <w:sz w:val="24"/>
                <w:lang w:val="en-US" w:eastAsia="zh-CN"/>
              </w:rPr>
              <w:t>2</w:t>
            </w:r>
            <w:r>
              <w:rPr>
                <w:color w:val="auto"/>
                <w:sz w:val="24"/>
              </w:rPr>
              <w:t>类标准要求。</w:t>
            </w:r>
          </w:p>
          <w:p w14:paraId="1BA28388">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3.4</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预测结果</w:t>
            </w:r>
          </w:p>
          <w:p w14:paraId="31E5012F">
            <w:pPr>
              <w:pStyle w:val="8"/>
              <w:spacing w:before="0" w:after="0" w:line="360" w:lineRule="auto"/>
              <w:ind w:right="0"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预测评价结果表明：本项目建成后，若考虑</w:t>
            </w:r>
            <w:r>
              <w:rPr>
                <w:rFonts w:hint="eastAsia" w:cs="Times New Roman"/>
                <w:color w:val="auto"/>
                <w:kern w:val="0"/>
                <w:sz w:val="24"/>
                <w:szCs w:val="24"/>
                <w:lang w:val="en-US" w:eastAsia="zh-CN" w:bidi="ar-SA"/>
              </w:rPr>
              <w:t>建筑物</w:t>
            </w:r>
            <w:r>
              <w:rPr>
                <w:rFonts w:ascii="Times New Roman" w:hAnsi="Times New Roman" w:eastAsia="宋体" w:cs="Times New Roman"/>
                <w:color w:val="auto"/>
                <w:kern w:val="0"/>
                <w:sz w:val="24"/>
                <w:szCs w:val="24"/>
                <w:lang w:val="en-US" w:eastAsia="zh-CN" w:bidi="ar-SA"/>
              </w:rPr>
              <w:t>的墙体</w:t>
            </w:r>
            <w:r>
              <w:rPr>
                <w:rFonts w:hint="eastAsia" w:ascii="Times New Roman" w:hAnsi="Times New Roman" w:eastAsia="宋体" w:cs="Times New Roman"/>
                <w:color w:val="auto"/>
                <w:kern w:val="0"/>
                <w:sz w:val="24"/>
                <w:szCs w:val="24"/>
                <w:lang w:val="en-US" w:eastAsia="zh-CN" w:bidi="ar-SA"/>
              </w:rPr>
              <w:t>及其他</w:t>
            </w:r>
            <w:r>
              <w:rPr>
                <w:rFonts w:ascii="Times New Roman" w:hAnsi="Times New Roman" w:eastAsia="宋体" w:cs="Times New Roman"/>
                <w:color w:val="auto"/>
                <w:kern w:val="0"/>
                <w:sz w:val="24"/>
                <w:szCs w:val="24"/>
                <w:lang w:val="en-US" w:eastAsia="zh-CN" w:bidi="ar-SA"/>
              </w:rPr>
              <w:t>控制措施等对声源削减作用，在正常生产的情况下，运营期间噪声能达到《工业企业厂界环境噪声排放标准》（GB12348-2008）</w:t>
            </w:r>
            <w:r>
              <w:rPr>
                <w:rFonts w:hint="eastAsia" w:ascii="Times New Roman" w:hAnsi="Times New Roman" w:eastAsia="宋体" w:cs="Times New Roman"/>
                <w:color w:val="auto"/>
                <w:kern w:val="0"/>
                <w:sz w:val="24"/>
                <w:szCs w:val="24"/>
                <w:lang w:val="en-US" w:eastAsia="zh-CN" w:bidi="ar-SA"/>
              </w:rPr>
              <w:t>中</w:t>
            </w:r>
            <w:r>
              <w:rPr>
                <w:rFonts w:hint="eastAsia" w:cs="Times New Roman"/>
                <w:color w:val="auto"/>
                <w:kern w:val="0"/>
                <w:sz w:val="24"/>
                <w:szCs w:val="24"/>
                <w:lang w:val="en-US" w:eastAsia="zh-CN" w:bidi="ar-SA"/>
              </w:rPr>
              <w:t>2</w:t>
            </w:r>
            <w:r>
              <w:rPr>
                <w:rFonts w:ascii="Times New Roman" w:hAnsi="Times New Roman" w:eastAsia="宋体" w:cs="Times New Roman"/>
                <w:color w:val="auto"/>
                <w:kern w:val="0"/>
                <w:sz w:val="24"/>
                <w:szCs w:val="24"/>
                <w:lang w:val="en-US" w:eastAsia="zh-CN" w:bidi="ar-SA"/>
              </w:rPr>
              <w:t>类标准</w:t>
            </w:r>
            <w:r>
              <w:rPr>
                <w:rFonts w:hint="eastAsia"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因此，本项目对区域声环境质量影响较小。</w:t>
            </w:r>
          </w:p>
          <w:p w14:paraId="26125920">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3.5</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噪声监测计划</w:t>
            </w:r>
          </w:p>
          <w:p w14:paraId="15814361">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 xml:space="preserve">根据《排污单位自行监测技术指南 </w:t>
            </w:r>
            <w:r>
              <w:rPr>
                <w:rFonts w:hint="eastAsia" w:cs="Times New Roman"/>
                <w:color w:val="auto"/>
                <w:kern w:val="0"/>
                <w:sz w:val="24"/>
                <w:szCs w:val="24"/>
                <w:lang w:val="en-US" w:eastAsia="zh-CN" w:bidi="ar-SA"/>
              </w:rPr>
              <w:t>水泥工业</w:t>
            </w:r>
            <w:r>
              <w:rPr>
                <w:rFonts w:ascii="Times New Roman" w:hAnsi="Times New Roman" w:eastAsia="宋体" w:cs="Times New Roman"/>
                <w:color w:val="auto"/>
                <w:kern w:val="0"/>
                <w:sz w:val="24"/>
                <w:szCs w:val="24"/>
                <w:lang w:val="en-US" w:eastAsia="zh-CN" w:bidi="ar-SA"/>
              </w:rPr>
              <w:t>》（HJ8</w:t>
            </w:r>
            <w:r>
              <w:rPr>
                <w:rFonts w:hint="eastAsia" w:cs="Times New Roman"/>
                <w:color w:val="auto"/>
                <w:kern w:val="0"/>
                <w:sz w:val="24"/>
                <w:szCs w:val="24"/>
                <w:lang w:val="en-US" w:eastAsia="zh-CN" w:bidi="ar-SA"/>
              </w:rPr>
              <w:t>48</w:t>
            </w:r>
            <w:r>
              <w:rPr>
                <w:rFonts w:ascii="Times New Roman" w:hAnsi="Times New Roman" w:eastAsia="宋体" w:cs="Times New Roman"/>
                <w:color w:val="auto"/>
                <w:kern w:val="0"/>
                <w:sz w:val="24"/>
                <w:szCs w:val="24"/>
                <w:lang w:val="en-US" w:eastAsia="zh-CN" w:bidi="ar-SA"/>
              </w:rPr>
              <w:t>-2017）</w:t>
            </w:r>
            <w:r>
              <w:rPr>
                <w:rFonts w:hint="eastAsia"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本项目噪声环境监测</w:t>
            </w:r>
            <w:r>
              <w:rPr>
                <w:rFonts w:hint="eastAsia" w:ascii="Times New Roman" w:hAnsi="Times New Roman" w:eastAsia="宋体" w:cs="Times New Roman"/>
                <w:color w:val="auto"/>
                <w:kern w:val="0"/>
                <w:sz w:val="24"/>
                <w:szCs w:val="24"/>
                <w:lang w:val="en-US" w:eastAsia="zh-CN" w:bidi="ar-SA"/>
              </w:rPr>
              <w:t>计划</w:t>
            </w:r>
            <w:r>
              <w:rPr>
                <w:rFonts w:ascii="Times New Roman" w:hAnsi="Times New Roman" w:eastAsia="宋体" w:cs="Times New Roman"/>
                <w:color w:val="auto"/>
                <w:kern w:val="0"/>
                <w:sz w:val="24"/>
                <w:szCs w:val="24"/>
                <w:lang w:val="en-US" w:eastAsia="zh-CN" w:bidi="ar-SA"/>
              </w:rPr>
              <w:t>见下表</w:t>
            </w:r>
            <w:r>
              <w:rPr>
                <w:rFonts w:hint="eastAsia" w:ascii="Times New Roman" w:hAnsi="Times New Roman" w:eastAsia="宋体" w:cs="Times New Roman"/>
                <w:color w:val="auto"/>
                <w:kern w:val="0"/>
                <w:sz w:val="24"/>
                <w:szCs w:val="24"/>
                <w:lang w:val="en-US" w:eastAsia="zh-CN" w:bidi="ar-SA"/>
              </w:rPr>
              <w:t>4-</w:t>
            </w:r>
            <w:r>
              <w:rPr>
                <w:rFonts w:hint="eastAsia" w:cs="Times New Roman"/>
                <w:color w:val="auto"/>
                <w:kern w:val="0"/>
                <w:sz w:val="24"/>
                <w:szCs w:val="24"/>
                <w:lang w:val="en-US" w:eastAsia="zh-CN" w:bidi="ar-SA"/>
              </w:rPr>
              <w:t>12</w:t>
            </w:r>
            <w:r>
              <w:rPr>
                <w:rFonts w:ascii="Times New Roman" w:hAnsi="Times New Roman" w:eastAsia="宋体" w:cs="Times New Roman"/>
                <w:color w:val="auto"/>
                <w:kern w:val="0"/>
                <w:sz w:val="24"/>
                <w:szCs w:val="24"/>
                <w:lang w:val="en-US" w:eastAsia="zh-CN" w:bidi="ar-SA"/>
              </w:rPr>
              <w:t>。</w:t>
            </w:r>
          </w:p>
          <w:p w14:paraId="11FB80CE">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w:t>
            </w:r>
            <w:r>
              <w:rPr>
                <w:rFonts w:hint="eastAsia" w:cs="Times New Roman"/>
                <w:color w:val="auto"/>
                <w:lang w:val="en-US" w:eastAsia="zh-CN"/>
              </w:rPr>
              <w:t>12</w:t>
            </w:r>
            <w:r>
              <w:rPr>
                <w:rFonts w:hint="eastAsia" w:ascii="Times New Roman" w:hAnsi="Times New Roman" w:eastAsia="宋体" w:cs="Times New Roman"/>
                <w:color w:val="auto"/>
              </w:rPr>
              <w:t xml:space="preserve">    噪声监测计划一览表</w:t>
            </w:r>
          </w:p>
          <w:tbl>
            <w:tblPr>
              <w:tblStyle w:val="28"/>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182"/>
              <w:gridCol w:w="1170"/>
              <w:gridCol w:w="1187"/>
              <w:gridCol w:w="1835"/>
              <w:gridCol w:w="2140"/>
            </w:tblGrid>
            <w:tr w14:paraId="7D4A7EE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81" w:type="pct"/>
                  <w:tcBorders>
                    <w:bottom w:val="single" w:color="auto" w:sz="12" w:space="0"/>
                  </w:tcBorders>
                  <w:vAlign w:val="center"/>
                </w:tcPr>
                <w:p w14:paraId="05C165D1">
                  <w:pPr>
                    <w:pStyle w:val="23"/>
                    <w:spacing w:line="240" w:lineRule="auto"/>
                    <w:jc w:val="center"/>
                    <w:rPr>
                      <w:b/>
                      <w:bCs/>
                      <w:color w:val="auto"/>
                      <w:sz w:val="21"/>
                      <w:szCs w:val="21"/>
                    </w:rPr>
                  </w:pPr>
                  <w:r>
                    <w:rPr>
                      <w:b/>
                      <w:bCs/>
                      <w:color w:val="auto"/>
                      <w:sz w:val="21"/>
                      <w:szCs w:val="21"/>
                    </w:rPr>
                    <w:t>监测点位</w:t>
                  </w:r>
                </w:p>
              </w:tc>
              <w:tc>
                <w:tcPr>
                  <w:tcW w:w="687" w:type="pct"/>
                  <w:tcBorders>
                    <w:bottom w:val="single" w:color="auto" w:sz="12" w:space="0"/>
                  </w:tcBorders>
                  <w:vAlign w:val="center"/>
                </w:tcPr>
                <w:p w14:paraId="5C7C8A02">
                  <w:pPr>
                    <w:pStyle w:val="23"/>
                    <w:spacing w:line="240" w:lineRule="auto"/>
                    <w:jc w:val="center"/>
                    <w:rPr>
                      <w:b/>
                      <w:bCs/>
                      <w:color w:val="auto"/>
                      <w:sz w:val="21"/>
                      <w:szCs w:val="21"/>
                    </w:rPr>
                  </w:pPr>
                  <w:r>
                    <w:rPr>
                      <w:b/>
                      <w:bCs/>
                      <w:color w:val="auto"/>
                      <w:sz w:val="21"/>
                      <w:szCs w:val="21"/>
                    </w:rPr>
                    <w:t>监测内容</w:t>
                  </w:r>
                </w:p>
              </w:tc>
              <w:tc>
                <w:tcPr>
                  <w:tcW w:w="697" w:type="pct"/>
                  <w:tcBorders>
                    <w:bottom w:val="single" w:color="auto" w:sz="12" w:space="0"/>
                  </w:tcBorders>
                  <w:vAlign w:val="center"/>
                </w:tcPr>
                <w:p w14:paraId="747162F6">
                  <w:pPr>
                    <w:pStyle w:val="23"/>
                    <w:spacing w:line="240" w:lineRule="auto"/>
                    <w:jc w:val="center"/>
                    <w:rPr>
                      <w:b/>
                      <w:bCs/>
                      <w:color w:val="auto"/>
                      <w:sz w:val="21"/>
                      <w:szCs w:val="21"/>
                    </w:rPr>
                  </w:pPr>
                  <w:r>
                    <w:rPr>
                      <w:b/>
                      <w:bCs/>
                      <w:color w:val="auto"/>
                      <w:sz w:val="21"/>
                      <w:szCs w:val="21"/>
                    </w:rPr>
                    <w:t>监测指标</w:t>
                  </w:r>
                </w:p>
              </w:tc>
              <w:tc>
                <w:tcPr>
                  <w:tcW w:w="1077" w:type="pct"/>
                  <w:tcBorders>
                    <w:bottom w:val="single" w:color="auto" w:sz="12" w:space="0"/>
                  </w:tcBorders>
                  <w:vAlign w:val="center"/>
                </w:tcPr>
                <w:p w14:paraId="2587AE97">
                  <w:pPr>
                    <w:pStyle w:val="23"/>
                    <w:spacing w:line="240" w:lineRule="auto"/>
                    <w:jc w:val="center"/>
                    <w:rPr>
                      <w:b/>
                      <w:bCs/>
                      <w:color w:val="auto"/>
                      <w:sz w:val="21"/>
                      <w:szCs w:val="21"/>
                    </w:rPr>
                  </w:pPr>
                  <w:r>
                    <w:rPr>
                      <w:b/>
                      <w:bCs/>
                      <w:color w:val="auto"/>
                      <w:sz w:val="21"/>
                      <w:szCs w:val="21"/>
                    </w:rPr>
                    <w:t>监测频次</w:t>
                  </w:r>
                </w:p>
              </w:tc>
              <w:tc>
                <w:tcPr>
                  <w:tcW w:w="1256" w:type="pct"/>
                  <w:tcBorders>
                    <w:bottom w:val="single" w:color="auto" w:sz="12" w:space="0"/>
                  </w:tcBorders>
                  <w:vAlign w:val="center"/>
                </w:tcPr>
                <w:p w14:paraId="41B4068C">
                  <w:pPr>
                    <w:pStyle w:val="23"/>
                    <w:spacing w:line="240" w:lineRule="auto"/>
                    <w:jc w:val="center"/>
                    <w:rPr>
                      <w:b/>
                      <w:bCs/>
                      <w:color w:val="auto"/>
                      <w:sz w:val="21"/>
                      <w:szCs w:val="21"/>
                    </w:rPr>
                  </w:pPr>
                  <w:r>
                    <w:rPr>
                      <w:b/>
                      <w:bCs/>
                      <w:color w:val="auto"/>
                      <w:sz w:val="21"/>
                      <w:szCs w:val="21"/>
                    </w:rPr>
                    <w:t>执行标准</w:t>
                  </w:r>
                </w:p>
              </w:tc>
            </w:tr>
            <w:tr w14:paraId="6E29AA1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81" w:type="pct"/>
                  <w:tcBorders>
                    <w:top w:val="single" w:color="auto" w:sz="12" w:space="0"/>
                    <w:tl2br w:val="nil"/>
                    <w:tr2bl w:val="nil"/>
                  </w:tcBorders>
                  <w:vAlign w:val="center"/>
                </w:tcPr>
                <w:p w14:paraId="10595138">
                  <w:pPr>
                    <w:pStyle w:val="23"/>
                    <w:spacing w:line="240" w:lineRule="auto"/>
                    <w:jc w:val="center"/>
                    <w:rPr>
                      <w:color w:val="auto"/>
                      <w:sz w:val="21"/>
                      <w:szCs w:val="21"/>
                    </w:rPr>
                  </w:pPr>
                  <w:r>
                    <w:rPr>
                      <w:rFonts w:ascii="Times New Roman" w:hAnsi="Times New Roman"/>
                      <w:color w:val="auto"/>
                      <w:sz w:val="21"/>
                      <w:szCs w:val="21"/>
                      <w:highlight w:val="none"/>
                    </w:rPr>
                    <w:t>厂界东西南北侧各1个点位</w:t>
                  </w:r>
                </w:p>
              </w:tc>
              <w:tc>
                <w:tcPr>
                  <w:tcW w:w="687" w:type="pct"/>
                  <w:tcBorders>
                    <w:top w:val="single" w:color="auto" w:sz="12" w:space="0"/>
                    <w:tl2br w:val="nil"/>
                    <w:tr2bl w:val="nil"/>
                  </w:tcBorders>
                  <w:vAlign w:val="center"/>
                </w:tcPr>
                <w:p w14:paraId="0DC8F069">
                  <w:pPr>
                    <w:pStyle w:val="23"/>
                    <w:spacing w:line="240" w:lineRule="auto"/>
                    <w:jc w:val="center"/>
                    <w:rPr>
                      <w:color w:val="auto"/>
                      <w:sz w:val="21"/>
                      <w:szCs w:val="21"/>
                    </w:rPr>
                  </w:pPr>
                  <w:r>
                    <w:rPr>
                      <w:color w:val="auto"/>
                      <w:sz w:val="21"/>
                      <w:szCs w:val="21"/>
                    </w:rPr>
                    <w:t>噪声</w:t>
                  </w:r>
                </w:p>
              </w:tc>
              <w:tc>
                <w:tcPr>
                  <w:tcW w:w="697" w:type="pct"/>
                  <w:tcBorders>
                    <w:top w:val="single" w:color="auto" w:sz="12" w:space="0"/>
                    <w:tl2br w:val="nil"/>
                    <w:tr2bl w:val="nil"/>
                  </w:tcBorders>
                  <w:vAlign w:val="center"/>
                </w:tcPr>
                <w:p w14:paraId="069390A2">
                  <w:pPr>
                    <w:pStyle w:val="23"/>
                    <w:spacing w:line="240" w:lineRule="auto"/>
                    <w:jc w:val="center"/>
                    <w:rPr>
                      <w:color w:val="auto"/>
                      <w:sz w:val="21"/>
                      <w:szCs w:val="21"/>
                    </w:rPr>
                  </w:pPr>
                  <w:r>
                    <w:rPr>
                      <w:color w:val="auto"/>
                      <w:sz w:val="21"/>
                      <w:szCs w:val="21"/>
                    </w:rPr>
                    <w:t>等效连续A声级</w:t>
                  </w:r>
                </w:p>
              </w:tc>
              <w:tc>
                <w:tcPr>
                  <w:tcW w:w="1077" w:type="pct"/>
                  <w:tcBorders>
                    <w:top w:val="single" w:color="auto" w:sz="12" w:space="0"/>
                    <w:tl2br w:val="nil"/>
                    <w:tr2bl w:val="nil"/>
                  </w:tcBorders>
                  <w:vAlign w:val="center"/>
                </w:tcPr>
                <w:p w14:paraId="7D134AA8">
                  <w:pPr>
                    <w:pStyle w:val="23"/>
                    <w:spacing w:line="240" w:lineRule="auto"/>
                    <w:jc w:val="center"/>
                    <w:rPr>
                      <w:rFonts w:hint="default" w:eastAsia="宋体"/>
                      <w:color w:val="auto"/>
                      <w:sz w:val="21"/>
                      <w:szCs w:val="21"/>
                      <w:lang w:val="en-US" w:eastAsia="zh-CN"/>
                    </w:rPr>
                  </w:pPr>
                  <w:r>
                    <w:rPr>
                      <w:color w:val="auto"/>
                      <w:sz w:val="21"/>
                      <w:szCs w:val="21"/>
                    </w:rPr>
                    <w:t>每季度一次</w:t>
                  </w:r>
                  <w:r>
                    <w:rPr>
                      <w:rFonts w:hint="eastAsia"/>
                      <w:color w:val="auto"/>
                      <w:sz w:val="21"/>
                      <w:szCs w:val="21"/>
                      <w:lang w:eastAsia="zh-CN"/>
                    </w:rPr>
                    <w:t>，</w:t>
                  </w:r>
                  <w:r>
                    <w:rPr>
                      <w:rFonts w:hint="eastAsia"/>
                      <w:color w:val="auto"/>
                      <w:sz w:val="21"/>
                      <w:szCs w:val="21"/>
                      <w:lang w:val="en-US" w:eastAsia="zh-CN"/>
                    </w:rPr>
                    <w:t>每次开展昼夜检测</w:t>
                  </w:r>
                </w:p>
              </w:tc>
              <w:tc>
                <w:tcPr>
                  <w:tcW w:w="1256" w:type="pct"/>
                  <w:tcBorders>
                    <w:top w:val="single" w:color="auto" w:sz="12" w:space="0"/>
                    <w:tl2br w:val="nil"/>
                    <w:tr2bl w:val="nil"/>
                  </w:tcBorders>
                  <w:vAlign w:val="center"/>
                </w:tcPr>
                <w:p w14:paraId="53950AC5">
                  <w:pPr>
                    <w:pStyle w:val="23"/>
                    <w:spacing w:line="240" w:lineRule="auto"/>
                    <w:jc w:val="center"/>
                    <w:rPr>
                      <w:color w:val="auto"/>
                      <w:sz w:val="21"/>
                      <w:szCs w:val="21"/>
                    </w:rPr>
                  </w:pPr>
                  <w:r>
                    <w:rPr>
                      <w:color w:val="auto"/>
                      <w:sz w:val="21"/>
                      <w:szCs w:val="21"/>
                    </w:rPr>
                    <w:t>《工业企业厂界环境噪声排放标准》（GB12348-2008）</w:t>
                  </w:r>
                  <w:r>
                    <w:rPr>
                      <w:rFonts w:hint="eastAsia"/>
                      <w:color w:val="auto"/>
                      <w:sz w:val="21"/>
                      <w:szCs w:val="21"/>
                    </w:rPr>
                    <w:t>中</w:t>
                  </w:r>
                  <w:r>
                    <w:rPr>
                      <w:rFonts w:hint="eastAsia"/>
                      <w:color w:val="auto"/>
                      <w:sz w:val="21"/>
                      <w:szCs w:val="21"/>
                      <w:lang w:val="en-US" w:eastAsia="zh-CN"/>
                    </w:rPr>
                    <w:t>2</w:t>
                  </w:r>
                  <w:r>
                    <w:rPr>
                      <w:color w:val="auto"/>
                      <w:sz w:val="21"/>
                      <w:szCs w:val="21"/>
                    </w:rPr>
                    <w:t>类标准</w:t>
                  </w:r>
                </w:p>
              </w:tc>
            </w:tr>
          </w:tbl>
          <w:p w14:paraId="28B13622">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kern w:val="2"/>
                <w:sz w:val="24"/>
                <w:szCs w:val="24"/>
                <w:lang w:val="en-US" w:eastAsia="zh-CN" w:bidi="ar-SA"/>
              </w:rPr>
              <w:t>4.</w:t>
            </w:r>
            <w:r>
              <w:rPr>
                <w:rFonts w:hint="eastAsia" w:ascii="Times New Roman" w:hAnsi="Times New Roman" w:eastAsia="宋体" w:cs="Times New Roman"/>
                <w:b/>
                <w:bCs/>
                <w:color w:val="auto"/>
                <w:sz w:val="24"/>
              </w:rPr>
              <w:t>固废</w:t>
            </w:r>
          </w:p>
          <w:p w14:paraId="5184B721">
            <w:pPr>
              <w:spacing w:line="360" w:lineRule="auto"/>
              <w:ind w:firstLine="480" w:firstLineChars="200"/>
              <w:rPr>
                <w:rFonts w:ascii="宋体" w:hAnsi="宋体" w:cs="宋体"/>
                <w:color w:val="auto"/>
                <w:kern w:val="0"/>
                <w:sz w:val="24"/>
                <w:lang w:bidi="ar"/>
              </w:rPr>
            </w:pPr>
            <w:r>
              <w:rPr>
                <w:rFonts w:hint="eastAsia" w:ascii="Times New Roman" w:hAnsi="Times New Roman" w:eastAsia="宋体" w:cs="Times New Roman"/>
                <w:color w:val="auto"/>
                <w:kern w:val="0"/>
                <w:sz w:val="24"/>
              </w:rPr>
              <w:t>本项目固废主要为</w:t>
            </w:r>
            <w:r>
              <w:rPr>
                <w:rFonts w:hint="eastAsia" w:cs="Times New Roman"/>
                <w:color w:val="auto"/>
                <w:kern w:val="0"/>
                <w:sz w:val="24"/>
                <w:lang w:val="en-US" w:eastAsia="zh-CN"/>
              </w:rPr>
              <w:t>生产过程</w:t>
            </w:r>
            <w:r>
              <w:rPr>
                <w:rFonts w:hint="eastAsia" w:ascii="Times New Roman" w:hAnsi="Times New Roman" w:eastAsia="宋体" w:cs="Times New Roman"/>
                <w:color w:val="auto"/>
                <w:kern w:val="0"/>
                <w:sz w:val="24"/>
              </w:rPr>
              <w:t>产生的固体废弃物、职工日常生活产生的生活垃圾及设备保养维护产生的废机油</w:t>
            </w:r>
            <w:r>
              <w:rPr>
                <w:rFonts w:hint="eastAsia" w:ascii="宋体" w:hAnsi="宋体" w:cs="宋体"/>
                <w:color w:val="auto"/>
                <w:kern w:val="0"/>
                <w:sz w:val="24"/>
                <w:lang w:bidi="ar"/>
              </w:rPr>
              <w:t>。</w:t>
            </w:r>
          </w:p>
          <w:p w14:paraId="0450B63D">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4.1</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生产固废</w:t>
            </w:r>
          </w:p>
          <w:p w14:paraId="5844F757">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本项目固废主要来源有不合格混凝土、</w:t>
            </w:r>
            <w:r>
              <w:rPr>
                <w:rFonts w:hint="eastAsia" w:cs="Times New Roman"/>
                <w:color w:val="auto"/>
                <w:kern w:val="0"/>
                <w:sz w:val="24"/>
                <w:lang w:eastAsia="zh-CN"/>
              </w:rPr>
              <w:t>布袋除尘器收集的粉尘</w:t>
            </w:r>
            <w:r>
              <w:rPr>
                <w:rFonts w:hint="eastAsia" w:cs="Times New Roman"/>
                <w:color w:val="auto"/>
                <w:kern w:val="0"/>
                <w:sz w:val="24"/>
                <w:lang w:val="en-US" w:eastAsia="zh-CN"/>
              </w:rPr>
              <w:t>及</w:t>
            </w:r>
            <w:r>
              <w:rPr>
                <w:rFonts w:hint="eastAsia" w:cs="Times New Roman"/>
                <w:color w:val="auto"/>
                <w:kern w:val="0"/>
                <w:sz w:val="24"/>
                <w:lang w:eastAsia="zh-CN"/>
              </w:rPr>
              <w:t>沉淀池沉淀物</w:t>
            </w:r>
            <w:r>
              <w:rPr>
                <w:rFonts w:ascii="Times New Roman" w:hAnsi="Times New Roman" w:eastAsia="宋体" w:cs="Times New Roman"/>
                <w:color w:val="auto"/>
                <w:kern w:val="0"/>
                <w:sz w:val="24"/>
              </w:rPr>
              <w:t>。</w:t>
            </w:r>
          </w:p>
          <w:p w14:paraId="601DBA98">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val="0"/>
                <w:color w:val="auto"/>
                <w:sz w:val="24"/>
              </w:rPr>
            </w:pPr>
            <w:r>
              <w:rPr>
                <w:rFonts w:hint="eastAsia" w:cs="Times New Roman"/>
                <w:b w:val="0"/>
                <w:bCs w:val="0"/>
                <w:color w:val="auto"/>
                <w:sz w:val="24"/>
                <w:lang w:eastAsia="zh-CN"/>
              </w:rPr>
              <w:t>（</w:t>
            </w:r>
            <w:r>
              <w:rPr>
                <w:rFonts w:hint="eastAsia" w:cs="Times New Roman"/>
                <w:b w:val="0"/>
                <w:bCs w:val="0"/>
                <w:color w:val="auto"/>
                <w:sz w:val="24"/>
                <w:lang w:val="en-US" w:eastAsia="zh-CN"/>
              </w:rPr>
              <w:t>1</w:t>
            </w:r>
            <w:r>
              <w:rPr>
                <w:rFonts w:hint="eastAsia" w:cs="Times New Roman"/>
                <w:b w:val="0"/>
                <w:bCs w:val="0"/>
                <w:color w:val="auto"/>
                <w:sz w:val="24"/>
                <w:lang w:eastAsia="zh-CN"/>
              </w:rPr>
              <w:t>）</w:t>
            </w:r>
            <w:r>
              <w:rPr>
                <w:rFonts w:hint="eastAsia" w:ascii="Times New Roman" w:hAnsi="Times New Roman" w:eastAsia="宋体" w:cs="Times New Roman"/>
                <w:b w:val="0"/>
                <w:bCs w:val="0"/>
                <w:color w:val="auto"/>
                <w:sz w:val="24"/>
              </w:rPr>
              <w:t>不合格混凝土</w:t>
            </w:r>
          </w:p>
          <w:p w14:paraId="59CE2E0D">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不合格混凝土产生量直接取决于生产管理</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通过严格原料进货审验的方法，可杜绝不合格砂石料入厂；通过改善生产经营信息流的传输效率，可使不合格混凝土产生量减少。根据企业提供的相关资料，产生量为</w:t>
            </w:r>
            <w:r>
              <w:rPr>
                <w:rFonts w:hint="eastAsia" w:cs="Times New Roman"/>
                <w:color w:val="auto"/>
                <w:kern w:val="0"/>
                <w:sz w:val="24"/>
                <w:highlight w:val="none"/>
                <w:lang w:eastAsia="zh-CN"/>
              </w:rPr>
              <w:t>16.17</w:t>
            </w:r>
            <w:r>
              <w:rPr>
                <w:rFonts w:ascii="Times New Roman" w:hAnsi="Times New Roman" w:eastAsia="宋体" w:cs="Times New Roman"/>
                <w:color w:val="auto"/>
                <w:kern w:val="0"/>
                <w:sz w:val="24"/>
              </w:rPr>
              <w:t>t/a，砂石分离机分离出后，全部回用于混凝土搅拌工序。</w:t>
            </w:r>
          </w:p>
          <w:p w14:paraId="4B449139">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s="Times New Roman"/>
                <w:b w:val="0"/>
                <w:bCs w:val="0"/>
                <w:color w:val="auto"/>
                <w:sz w:val="24"/>
                <w:lang w:eastAsia="zh-CN"/>
              </w:rPr>
            </w:pPr>
            <w:r>
              <w:rPr>
                <w:rFonts w:hint="eastAsia" w:cs="Times New Roman"/>
                <w:b w:val="0"/>
                <w:bCs w:val="0"/>
                <w:color w:val="auto"/>
                <w:sz w:val="24"/>
                <w:lang w:eastAsia="zh-CN"/>
              </w:rPr>
              <w:t>（</w:t>
            </w:r>
            <w:r>
              <w:rPr>
                <w:rFonts w:hint="eastAsia" w:cs="Times New Roman"/>
                <w:b w:val="0"/>
                <w:bCs w:val="0"/>
                <w:color w:val="auto"/>
                <w:sz w:val="24"/>
                <w:lang w:val="en-US" w:eastAsia="zh-CN"/>
              </w:rPr>
              <w:t>2</w:t>
            </w:r>
            <w:r>
              <w:rPr>
                <w:rFonts w:hint="eastAsia" w:cs="Times New Roman"/>
                <w:b w:val="0"/>
                <w:bCs w:val="0"/>
                <w:color w:val="auto"/>
                <w:sz w:val="24"/>
                <w:lang w:eastAsia="zh-CN"/>
              </w:rPr>
              <w:t>）布袋除尘器收集的粉尘</w:t>
            </w:r>
          </w:p>
          <w:p w14:paraId="1F1CD88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w:t>
            </w:r>
            <w:r>
              <w:rPr>
                <w:rFonts w:hint="eastAsia" w:cs="Times New Roman"/>
                <w:b w:val="0"/>
                <w:bCs w:val="0"/>
                <w:color w:val="auto"/>
                <w:sz w:val="24"/>
                <w:lang w:eastAsia="zh-CN"/>
              </w:rPr>
              <w:t>布袋除尘器收集的粉尘</w:t>
            </w:r>
            <w:r>
              <w:rPr>
                <w:rFonts w:ascii="Times New Roman" w:hAnsi="Times New Roman" w:eastAsia="宋体" w:cs="Times New Roman"/>
                <w:color w:val="auto"/>
                <w:kern w:val="0"/>
                <w:sz w:val="24"/>
              </w:rPr>
              <w:t>量</w:t>
            </w:r>
            <w:r>
              <w:rPr>
                <w:rFonts w:hint="eastAsia" w:cs="Times New Roman"/>
                <w:color w:val="auto"/>
                <w:kern w:val="0"/>
                <w:sz w:val="24"/>
                <w:lang w:val="en-US" w:eastAsia="zh-CN"/>
              </w:rPr>
              <w:t>共计119.21</w:t>
            </w:r>
            <w:r>
              <w:rPr>
                <w:rFonts w:ascii="Times New Roman" w:hAnsi="Times New Roman" w:eastAsia="宋体" w:cs="Times New Roman"/>
                <w:color w:val="auto"/>
                <w:kern w:val="0"/>
                <w:sz w:val="24"/>
              </w:rPr>
              <w:t>t/a</w:t>
            </w:r>
            <w:r>
              <w:rPr>
                <w:rFonts w:hint="eastAsia" w:cs="Times New Roman"/>
                <w:color w:val="auto"/>
                <w:kern w:val="0"/>
                <w:sz w:val="24"/>
                <w:lang w:eastAsia="zh-CN"/>
              </w:rPr>
              <w:t>，</w:t>
            </w:r>
            <w:r>
              <w:rPr>
                <w:rFonts w:hint="eastAsia" w:cs="Times New Roman"/>
                <w:color w:val="auto"/>
                <w:kern w:val="0"/>
                <w:sz w:val="24"/>
                <w:lang w:val="en-US" w:eastAsia="zh-CN"/>
              </w:rPr>
              <w:t>其中搅拌工序61.78</w:t>
            </w:r>
            <w:r>
              <w:rPr>
                <w:rFonts w:ascii="Times New Roman" w:hAnsi="Times New Roman" w:eastAsia="宋体" w:cs="Times New Roman"/>
                <w:color w:val="auto"/>
                <w:kern w:val="0"/>
                <w:sz w:val="24"/>
              </w:rPr>
              <w:t>t/a，</w:t>
            </w:r>
            <w:r>
              <w:rPr>
                <w:rFonts w:hint="eastAsia" w:cs="Times New Roman"/>
                <w:color w:val="auto"/>
                <w:kern w:val="0"/>
                <w:sz w:val="24"/>
                <w:lang w:val="en-US" w:eastAsia="zh-CN"/>
              </w:rPr>
              <w:t>筒仓布袋除尘器收集的粉尘量为57.43</w:t>
            </w:r>
            <w:r>
              <w:rPr>
                <w:rFonts w:ascii="Times New Roman" w:hAnsi="Times New Roman" w:eastAsia="宋体" w:cs="Times New Roman"/>
                <w:color w:val="auto"/>
                <w:kern w:val="0"/>
                <w:sz w:val="24"/>
              </w:rPr>
              <w:t>t/a</w:t>
            </w:r>
            <w:r>
              <w:rPr>
                <w:rFonts w:hint="eastAsia" w:cs="Times New Roman"/>
                <w:color w:val="auto"/>
                <w:kern w:val="0"/>
                <w:sz w:val="24"/>
                <w:lang w:eastAsia="zh-CN"/>
              </w:rPr>
              <w:t>，</w:t>
            </w:r>
            <w:r>
              <w:rPr>
                <w:rFonts w:ascii="Times New Roman" w:hAnsi="Times New Roman" w:eastAsia="宋体" w:cs="Times New Roman"/>
                <w:color w:val="auto"/>
                <w:kern w:val="0"/>
                <w:sz w:val="24"/>
              </w:rPr>
              <w:t>定期清理</w:t>
            </w:r>
            <w:r>
              <w:rPr>
                <w:rFonts w:hint="eastAsia" w:cs="Times New Roman"/>
                <w:color w:val="auto"/>
                <w:kern w:val="0"/>
                <w:sz w:val="24"/>
                <w:lang w:val="en-US" w:eastAsia="zh-CN"/>
              </w:rPr>
              <w:t>后</w:t>
            </w:r>
            <w:r>
              <w:rPr>
                <w:rFonts w:ascii="Times New Roman" w:hAnsi="Times New Roman" w:eastAsia="宋体" w:cs="Times New Roman"/>
                <w:color w:val="auto"/>
                <w:kern w:val="0"/>
                <w:sz w:val="24"/>
              </w:rPr>
              <w:t>全部回用于混凝土生产过程中。</w:t>
            </w:r>
          </w:p>
          <w:p w14:paraId="4E564E47">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s="Times New Roman"/>
                <w:b w:val="0"/>
                <w:bCs w:val="0"/>
                <w:color w:val="auto"/>
                <w:sz w:val="24"/>
                <w:lang w:eastAsia="zh-CN"/>
              </w:rPr>
            </w:pPr>
            <w:r>
              <w:rPr>
                <w:rFonts w:hint="eastAsia" w:cs="Times New Roman"/>
                <w:b w:val="0"/>
                <w:bCs w:val="0"/>
                <w:color w:val="auto"/>
                <w:sz w:val="24"/>
                <w:lang w:eastAsia="zh-CN"/>
              </w:rPr>
              <w:t>（</w:t>
            </w:r>
            <w:r>
              <w:rPr>
                <w:rFonts w:hint="eastAsia" w:cs="Times New Roman"/>
                <w:b w:val="0"/>
                <w:bCs w:val="0"/>
                <w:color w:val="auto"/>
                <w:sz w:val="24"/>
                <w:lang w:val="en-US" w:eastAsia="zh-CN"/>
              </w:rPr>
              <w:t>3</w:t>
            </w:r>
            <w:r>
              <w:rPr>
                <w:rFonts w:hint="eastAsia" w:cs="Times New Roman"/>
                <w:b w:val="0"/>
                <w:bCs w:val="0"/>
                <w:color w:val="auto"/>
                <w:sz w:val="24"/>
                <w:lang w:eastAsia="zh-CN"/>
              </w:rPr>
              <w:t>）沉淀池沉淀物</w:t>
            </w:r>
          </w:p>
          <w:p w14:paraId="5372D70E">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w:t>
            </w:r>
            <w:r>
              <w:rPr>
                <w:rFonts w:ascii="Times New Roman" w:hAnsi="Times New Roman" w:eastAsia="宋体" w:cs="Times New Roman"/>
                <w:color w:val="auto"/>
                <w:kern w:val="0"/>
                <w:sz w:val="24"/>
              </w:rPr>
              <w:t>站内搅拌罐罐体清洗和砼运输车辆罐体清洗冲刷下来的废料约0.</w:t>
            </w:r>
            <w:r>
              <w:rPr>
                <w:rFonts w:hint="eastAsia" w:cs="Times New Roman"/>
                <w:color w:val="auto"/>
                <w:kern w:val="0"/>
                <w:sz w:val="24"/>
                <w:lang w:val="en-US" w:eastAsia="zh-CN"/>
              </w:rPr>
              <w:t>0</w:t>
            </w:r>
            <w:r>
              <w:rPr>
                <w:rFonts w:hint="eastAsia" w:ascii="Times New Roman" w:hAnsi="Times New Roman" w:eastAsia="宋体" w:cs="Times New Roman"/>
                <w:color w:val="auto"/>
                <w:kern w:val="0"/>
                <w:sz w:val="24"/>
              </w:rPr>
              <w:t>1</w:t>
            </w:r>
            <w:r>
              <w:rPr>
                <w:rFonts w:ascii="Times New Roman" w:hAnsi="Times New Roman" w:eastAsia="宋体" w:cs="Times New Roman"/>
                <w:color w:val="auto"/>
                <w:kern w:val="0"/>
                <w:sz w:val="24"/>
              </w:rPr>
              <w:t>t/次，平均每日清洗</w:t>
            </w:r>
            <w:r>
              <w:rPr>
                <w:rFonts w:hint="eastAsia" w:cs="Times New Roman"/>
                <w:color w:val="auto"/>
                <w:kern w:val="0"/>
                <w:sz w:val="24"/>
                <w:lang w:val="en-US" w:eastAsia="zh-CN"/>
              </w:rPr>
              <w:t>约26次</w:t>
            </w:r>
            <w:r>
              <w:rPr>
                <w:rFonts w:ascii="Times New Roman" w:hAnsi="Times New Roman" w:eastAsia="宋体" w:cs="Times New Roman"/>
                <w:color w:val="auto"/>
                <w:kern w:val="0"/>
                <w:sz w:val="24"/>
              </w:rPr>
              <w:t>，每年产生的废料约</w:t>
            </w:r>
            <w:r>
              <w:rPr>
                <w:rFonts w:hint="eastAsia" w:cs="Times New Roman"/>
                <w:color w:val="auto"/>
                <w:kern w:val="0"/>
                <w:sz w:val="24"/>
                <w:lang w:val="en-US" w:eastAsia="zh-CN"/>
              </w:rPr>
              <w:t>62.4</w:t>
            </w:r>
            <w:r>
              <w:rPr>
                <w:rFonts w:ascii="Times New Roman" w:hAnsi="Times New Roman" w:eastAsia="宋体" w:cs="Times New Roman"/>
                <w:color w:val="auto"/>
                <w:kern w:val="0"/>
                <w:sz w:val="24"/>
              </w:rPr>
              <w:t>t/a，池底废料定期清理，废料中主要固体为砂子和石子，使用砂石分离设备进行处理后全部回用于混凝土的生产过程中，生产废料不外排</w:t>
            </w:r>
            <w:r>
              <w:rPr>
                <w:rFonts w:hint="eastAsia" w:ascii="Times New Roman" w:hAnsi="Times New Roman" w:eastAsia="宋体" w:cs="Times New Roman"/>
                <w:color w:val="auto"/>
                <w:kern w:val="0"/>
                <w:sz w:val="24"/>
              </w:rPr>
              <w:t>。</w:t>
            </w:r>
          </w:p>
          <w:p w14:paraId="7FE5572C">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4.2生活垃圾</w:t>
            </w:r>
          </w:p>
          <w:p w14:paraId="33A8E5D1">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ascii="Times New Roman" w:hAnsi="Times New Roman" w:eastAsia="宋体" w:cs="Times New Roman"/>
                <w:color w:val="auto"/>
                <w:kern w:val="0"/>
                <w:sz w:val="24"/>
              </w:rPr>
              <w:t>本项目劳动定员</w:t>
            </w:r>
            <w:r>
              <w:rPr>
                <w:rFonts w:hint="eastAsia" w:cs="Times New Roman"/>
                <w:color w:val="auto"/>
                <w:kern w:val="0"/>
                <w:sz w:val="24"/>
                <w:lang w:val="en-US" w:eastAsia="zh-CN"/>
              </w:rPr>
              <w:t>45</w:t>
            </w:r>
            <w:r>
              <w:rPr>
                <w:rFonts w:ascii="Times New Roman" w:hAnsi="Times New Roman" w:eastAsia="宋体" w:cs="Times New Roman"/>
                <w:color w:val="auto"/>
                <w:kern w:val="0"/>
                <w:sz w:val="24"/>
              </w:rPr>
              <w:t>人，按每人每天产生1kg生活垃圾计，生产期为</w:t>
            </w:r>
            <w:r>
              <w:rPr>
                <w:rFonts w:hint="eastAsia" w:cs="Times New Roman"/>
                <w:color w:val="auto"/>
                <w:kern w:val="0"/>
                <w:sz w:val="24"/>
                <w:lang w:val="en-US" w:eastAsia="zh-CN"/>
              </w:rPr>
              <w:t>24</w:t>
            </w:r>
            <w:r>
              <w:rPr>
                <w:rFonts w:hint="eastAsia" w:cs="Times New Roman"/>
                <w:color w:val="auto"/>
                <w:kern w:val="0"/>
                <w:sz w:val="24"/>
                <w:highlight w:val="none"/>
                <w:lang w:val="en-US" w:eastAsia="zh-CN"/>
              </w:rPr>
              <w:t>0</w:t>
            </w:r>
            <w:r>
              <w:rPr>
                <w:rFonts w:ascii="Times New Roman" w:hAnsi="Times New Roman" w:eastAsia="宋体" w:cs="Times New Roman"/>
                <w:color w:val="auto"/>
                <w:kern w:val="0"/>
                <w:sz w:val="24"/>
              </w:rPr>
              <w:t>天，则年产生活垃圾</w:t>
            </w:r>
            <w:r>
              <w:rPr>
                <w:rFonts w:hint="eastAsia" w:cs="Times New Roman"/>
                <w:color w:val="auto"/>
                <w:kern w:val="0"/>
                <w:sz w:val="24"/>
                <w:lang w:val="en-US" w:eastAsia="zh-CN"/>
              </w:rPr>
              <w:t>10.8</w:t>
            </w:r>
            <w:r>
              <w:rPr>
                <w:rFonts w:ascii="Times New Roman" w:hAnsi="Times New Roman" w:eastAsia="宋体" w:cs="Times New Roman"/>
                <w:color w:val="auto"/>
                <w:kern w:val="0"/>
                <w:sz w:val="24"/>
              </w:rPr>
              <w:t>t。产生的生活垃圾在厂区生活垃圾箱暂时收集、存放，</w:t>
            </w:r>
            <w:r>
              <w:rPr>
                <w:rFonts w:hint="eastAsia" w:ascii="Times New Roman" w:hAnsi="Times New Roman" w:eastAsia="宋体" w:cs="Times New Roman"/>
                <w:color w:val="auto"/>
                <w:kern w:val="0"/>
                <w:sz w:val="24"/>
              </w:rPr>
              <w:t>由环卫部门</w:t>
            </w:r>
            <w:r>
              <w:rPr>
                <w:rFonts w:hint="eastAsia" w:cs="Times New Roman"/>
                <w:color w:val="auto"/>
                <w:kern w:val="0"/>
                <w:sz w:val="24"/>
                <w:lang w:val="en-US" w:eastAsia="zh-CN"/>
              </w:rPr>
              <w:t>统一清运</w:t>
            </w:r>
            <w:r>
              <w:rPr>
                <w:rFonts w:hint="eastAsia" w:ascii="Times New Roman" w:hAnsi="Times New Roman" w:eastAsia="宋体" w:cs="Times New Roman"/>
                <w:color w:val="auto"/>
                <w:kern w:val="0"/>
                <w:sz w:val="24"/>
              </w:rPr>
              <w:t>。</w:t>
            </w:r>
          </w:p>
          <w:p w14:paraId="564C25B8">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4.3污泥</w:t>
            </w:r>
          </w:p>
          <w:p w14:paraId="0FB5476B">
            <w:pPr>
              <w:pStyle w:val="73"/>
              <w:spacing w:line="360" w:lineRule="auto"/>
              <w:rPr>
                <w:rFonts w:hint="default" w:ascii="Times New Roman" w:hAnsi="Times New Roman" w:cs="Times New Roman"/>
                <w:sz w:val="24"/>
              </w:rPr>
            </w:pPr>
            <w:r>
              <w:rPr>
                <w:rFonts w:hint="eastAsia" w:ascii="Times New Roman" w:hAnsi="Times New Roman" w:cs="Times New Roman"/>
                <w:sz w:val="24"/>
                <w:lang w:val="en-US" w:eastAsia="zh-CN"/>
              </w:rPr>
              <w:t>一体化污水处理设施</w:t>
            </w:r>
            <w:r>
              <w:rPr>
                <w:rFonts w:hint="default" w:ascii="Times New Roman" w:hAnsi="Times New Roman" w:cs="Times New Roman"/>
                <w:sz w:val="24"/>
              </w:rPr>
              <w:t>处理</w:t>
            </w:r>
            <w:r>
              <w:rPr>
                <w:rFonts w:hint="eastAsia" w:ascii="Times New Roman" w:hAnsi="Times New Roman" w:cs="Times New Roman"/>
                <w:sz w:val="24"/>
                <w:lang w:val="en-US" w:eastAsia="zh-CN"/>
              </w:rPr>
              <w:t>生活污水</w:t>
            </w:r>
            <w:r>
              <w:rPr>
                <w:rFonts w:hint="default" w:ascii="Times New Roman" w:hAnsi="Times New Roman" w:cs="Times New Roman"/>
                <w:sz w:val="24"/>
              </w:rPr>
              <w:t>过程中会产生污泥，根据《排污许可证申请与核发技术规范 水处理（试行）》中的计算公式：</w:t>
            </w:r>
          </w:p>
          <w:p w14:paraId="6A483A47">
            <w:pPr>
              <w:pStyle w:val="73"/>
              <w:spacing w:line="360" w:lineRule="auto"/>
              <w:rPr>
                <w:rFonts w:hint="default" w:ascii="Times New Roman" w:hAnsi="Times New Roman" w:cs="Times New Roman"/>
                <w:sz w:val="24"/>
              </w:rPr>
            </w:pPr>
            <w:r>
              <w:rPr>
                <w:rFonts w:hint="default" w:ascii="Times New Roman" w:hAnsi="Times New Roman" w:cs="Times New Roman"/>
                <w:sz w:val="24"/>
              </w:rPr>
              <w:t>E产生量=1.7×Q×W深×10</w:t>
            </w:r>
            <w:r>
              <w:rPr>
                <w:rFonts w:hint="default" w:ascii="Times New Roman" w:hAnsi="Times New Roman" w:cs="Times New Roman"/>
                <w:sz w:val="24"/>
                <w:vertAlign w:val="superscript"/>
              </w:rPr>
              <w:t>-4</w:t>
            </w:r>
          </w:p>
          <w:p w14:paraId="71FE0B59">
            <w:pPr>
              <w:pStyle w:val="73"/>
              <w:spacing w:line="360" w:lineRule="auto"/>
              <w:rPr>
                <w:rFonts w:hint="default" w:ascii="Times New Roman" w:hAnsi="Times New Roman" w:cs="Times New Roman"/>
                <w:sz w:val="24"/>
              </w:rPr>
            </w:pPr>
            <w:r>
              <w:rPr>
                <w:rFonts w:hint="default" w:ascii="Times New Roman" w:hAnsi="Times New Roman" w:cs="Times New Roman"/>
                <w:sz w:val="24"/>
              </w:rPr>
              <w:t xml:space="preserve">式中：E 产生量—污水处理过程中产生的污泥量，以干泥计，t； </w:t>
            </w:r>
          </w:p>
          <w:p w14:paraId="70A5FC18">
            <w:pPr>
              <w:pStyle w:val="73"/>
              <w:spacing w:line="360" w:lineRule="auto"/>
              <w:rPr>
                <w:rFonts w:hint="default" w:ascii="Times New Roman" w:hAnsi="Times New Roman" w:cs="Times New Roman"/>
                <w:color w:val="auto"/>
                <w:sz w:val="24"/>
                <w:highlight w:val="none"/>
              </w:rPr>
            </w:pPr>
            <w:r>
              <w:rPr>
                <w:rFonts w:hint="default" w:ascii="Times New Roman" w:hAnsi="Times New Roman" w:cs="Times New Roman"/>
                <w:sz w:val="24"/>
              </w:rPr>
              <w:t>Q—核算时段内排污单位废水排放量，m³；具有有效出水口实测值按实测值计，无有效出水口实测值按进水口实测值计，无有效进水口实测值按协议进水水量计；本项目</w:t>
            </w:r>
            <w:r>
              <w:rPr>
                <w:rFonts w:hint="default" w:ascii="Times New Roman" w:hAnsi="Times New Roman" w:cs="Times New Roman"/>
                <w:sz w:val="24"/>
                <w:highlight w:val="none"/>
              </w:rPr>
              <w:t>取</w:t>
            </w:r>
            <w:r>
              <w:rPr>
                <w:rFonts w:hint="eastAsia" w:cs="Times New Roman"/>
                <w:color w:val="auto"/>
                <w:sz w:val="24"/>
                <w:highlight w:val="none"/>
                <w:lang w:val="en-US" w:eastAsia="zh-CN"/>
              </w:rPr>
              <w:t>518.4</w:t>
            </w:r>
            <w:r>
              <w:rPr>
                <w:rFonts w:hint="default" w:ascii="Times New Roman" w:hAnsi="Times New Roman" w:cs="Times New Roman"/>
                <w:color w:val="auto"/>
                <w:sz w:val="24"/>
                <w:highlight w:val="none"/>
              </w:rPr>
              <w:t>m³。</w:t>
            </w:r>
          </w:p>
          <w:p w14:paraId="3B991167">
            <w:pPr>
              <w:pStyle w:val="73"/>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W深—有深度处理工艺（添加化学药剂）时按2计，无深度处理工艺时按1计。本项目污水处理工艺无深度处理工艺，因此取1。</w:t>
            </w:r>
          </w:p>
          <w:p w14:paraId="5D451D5E">
            <w:pPr>
              <w:pStyle w:val="71"/>
              <w:spacing w:line="360" w:lineRule="auto"/>
              <w:rPr>
                <w:rFonts w:hint="default" w:cs="Times New Roman"/>
                <w:color w:val="auto"/>
                <w:kern w:val="0"/>
                <w:sz w:val="24"/>
                <w:lang w:val="en-US" w:eastAsia="zh-CN"/>
              </w:rPr>
            </w:pPr>
            <w:r>
              <w:rPr>
                <w:rFonts w:hint="default" w:ascii="Times New Roman" w:hAnsi="Times New Roman" w:cs="Times New Roman"/>
                <w:color w:val="auto"/>
                <w:highlight w:val="none"/>
              </w:rPr>
              <w:t>经核算，污水处理设施污泥产生量为</w:t>
            </w:r>
            <w:r>
              <w:rPr>
                <w:rFonts w:hint="eastAsia" w:cs="Times New Roman"/>
                <w:color w:val="auto"/>
                <w:highlight w:val="none"/>
                <w:lang w:val="en-US" w:eastAsia="zh-CN"/>
              </w:rPr>
              <w:t>0.09</w:t>
            </w:r>
            <w:r>
              <w:rPr>
                <w:rFonts w:hint="default" w:ascii="Times New Roman" w:hAnsi="Times New Roman" w:cs="Times New Roman"/>
                <w:color w:val="auto"/>
                <w:highlight w:val="none"/>
                <w:lang w:val="en-US" w:eastAsia="zh-CN"/>
              </w:rPr>
              <w:t>t</w:t>
            </w:r>
            <w:r>
              <w:rPr>
                <w:rFonts w:hint="default" w:ascii="Times New Roman" w:hAnsi="Times New Roman" w:cs="Times New Roman"/>
                <w:color w:val="auto"/>
                <w:highlight w:val="none"/>
              </w:rPr>
              <w:t>/a，</w:t>
            </w:r>
            <w:r>
              <w:rPr>
                <w:rFonts w:hint="eastAsia" w:cs="Times New Roman"/>
                <w:color w:val="auto"/>
                <w:highlight w:val="none"/>
                <w:lang w:val="en-US" w:eastAsia="zh-CN"/>
              </w:rPr>
              <w:t>污泥含水率压滤至60%，</w:t>
            </w:r>
            <w:r>
              <w:rPr>
                <w:rFonts w:hint="eastAsia" w:ascii="Times New Roman" w:hAnsi="Times New Roman" w:cs="Times New Roman"/>
                <w:color w:val="auto"/>
                <w:highlight w:val="none"/>
                <w:lang w:val="en-US" w:eastAsia="zh-CN"/>
              </w:rPr>
              <w:t>定期</w:t>
            </w:r>
            <w:r>
              <w:rPr>
                <w:rFonts w:hint="default" w:ascii="Times New Roman" w:hAnsi="Times New Roman" w:cs="Times New Roman"/>
                <w:color w:val="auto"/>
                <w:highlight w:val="none"/>
              </w:rPr>
              <w:t>将污泥拉运至生活垃圾填埋场处置。</w:t>
            </w:r>
          </w:p>
          <w:p w14:paraId="6AD44C81">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4.</w:t>
            </w:r>
            <w:r>
              <w:rPr>
                <w:rFonts w:hint="eastAsia" w:cs="Times New Roman"/>
                <w:b/>
                <w:bCs/>
                <w:color w:val="auto"/>
                <w:sz w:val="24"/>
                <w:lang w:val="en-US" w:eastAsia="zh-CN"/>
              </w:rPr>
              <w:t>4</w:t>
            </w:r>
            <w:r>
              <w:rPr>
                <w:rFonts w:hint="eastAsia" w:ascii="Times New Roman" w:hAnsi="Times New Roman" w:eastAsia="宋体" w:cs="Times New Roman"/>
                <w:b/>
                <w:bCs/>
                <w:color w:val="auto"/>
                <w:sz w:val="24"/>
              </w:rPr>
              <w:t>废机油</w:t>
            </w:r>
          </w:p>
          <w:p w14:paraId="41127A8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本项目机械设备日常维修、保养过程中会产生废机油，产生量为0.6t/a。</w:t>
            </w:r>
            <w:r>
              <w:rPr>
                <w:rFonts w:ascii="Times New Roman" w:hAnsi="Times New Roman" w:eastAsia="宋体" w:cs="Times New Roman"/>
                <w:color w:val="auto"/>
                <w:kern w:val="0"/>
                <w:sz w:val="24"/>
              </w:rPr>
              <w:t>根据《国家危险废物名录》（</w:t>
            </w:r>
            <w:r>
              <w:rPr>
                <w:rFonts w:hint="eastAsia" w:cs="Times New Roman"/>
                <w:color w:val="auto"/>
                <w:kern w:val="0"/>
                <w:sz w:val="24"/>
                <w:lang w:eastAsia="zh-CN"/>
              </w:rPr>
              <w:t>2025年版</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规定，废机油属于危险废物，危废类别为HW08，废物代码900-21</w:t>
            </w:r>
            <w:r>
              <w:rPr>
                <w:rFonts w:hint="eastAsia" w:cs="Times New Roman"/>
                <w:color w:val="auto"/>
                <w:kern w:val="0"/>
                <w:sz w:val="24"/>
                <w:lang w:val="en-US" w:eastAsia="zh-CN"/>
              </w:rPr>
              <w:t>4</w:t>
            </w:r>
            <w:r>
              <w:rPr>
                <w:rFonts w:hint="eastAsia" w:ascii="Times New Roman" w:hAnsi="Times New Roman" w:eastAsia="宋体" w:cs="Times New Roman"/>
                <w:color w:val="auto"/>
                <w:kern w:val="0"/>
                <w:sz w:val="24"/>
              </w:rPr>
              <w:t>-08，集中收集在危险废物暂存间内，委托有资质的单位处置。</w:t>
            </w:r>
          </w:p>
          <w:p w14:paraId="36DD7740">
            <w:pPr>
              <w:pStyle w:val="71"/>
              <w:spacing w:line="360" w:lineRule="auto"/>
              <w:rPr>
                <w:rFonts w:hint="default" w:ascii="Times New Roman" w:hAnsi="Times New Roman" w:cs="Times New Roman"/>
              </w:rPr>
            </w:pPr>
            <w:r>
              <w:rPr>
                <w:rFonts w:hint="eastAsia" w:ascii="Times New Roman" w:hAnsi="Times New Roman" w:eastAsia="宋体" w:cs="Times New Roman"/>
                <w:color w:val="auto"/>
                <w:highlight w:val="none"/>
              </w:rPr>
              <w:t>根据</w:t>
            </w:r>
            <w:r>
              <w:rPr>
                <w:rFonts w:hint="eastAsia" w:ascii="宋体" w:hAnsi="宋体" w:eastAsia="宋体" w:cs="宋体"/>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rPr>
              <w:t>固体废物分类与代码目录》（公告2024年第4号）</w:t>
            </w:r>
            <w:r>
              <w:rPr>
                <w:rFonts w:hint="eastAsia" w:ascii="Times New Roman" w:hAnsi="Times New Roman" w:eastAsia="宋体" w:cs="Times New Roman"/>
                <w:color w:val="auto"/>
                <w:highlight w:val="none"/>
              </w:rPr>
              <w:t>及《国家危险废物名录》（</w:t>
            </w:r>
            <w:r>
              <w:rPr>
                <w:rFonts w:hint="eastAsia" w:cs="Times New Roman"/>
                <w:color w:val="auto"/>
                <w:highlight w:val="none"/>
                <w:lang w:eastAsia="zh-CN"/>
              </w:rPr>
              <w:t>2025年版</w:t>
            </w:r>
            <w:r>
              <w:rPr>
                <w:rFonts w:hint="eastAsia" w:ascii="Times New Roman" w:hAnsi="Times New Roman" w:eastAsia="宋体" w:cs="Times New Roman"/>
                <w:color w:val="auto"/>
                <w:highlight w:val="none"/>
              </w:rPr>
              <w:t>），将本项目产生的固体废物进行汇总及分类，具体见表</w:t>
            </w:r>
            <w:r>
              <w:rPr>
                <w:rFonts w:hint="eastAsia" w:cs="Times New Roman"/>
                <w:color w:val="auto"/>
                <w:highlight w:val="none"/>
                <w:lang w:val="en-US" w:eastAsia="zh-CN"/>
              </w:rPr>
              <w:t>4-13</w:t>
            </w:r>
            <w:r>
              <w:rPr>
                <w:rFonts w:hint="eastAsia" w:ascii="Times New Roman" w:hAnsi="Times New Roman" w:eastAsia="宋体" w:cs="Times New Roman"/>
                <w:color w:val="auto"/>
                <w:highlight w:val="none"/>
              </w:rPr>
              <w:t>。</w:t>
            </w:r>
          </w:p>
          <w:p w14:paraId="20B0797A">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w:t>
            </w:r>
            <w:r>
              <w:rPr>
                <w:rFonts w:hint="eastAsia" w:ascii="Times New Roman" w:hAnsi="Times New Roman" w:eastAsia="宋体" w:cs="Times New Roman"/>
                <w:color w:val="auto"/>
                <w:lang w:val="en-US" w:eastAsia="zh-CN"/>
              </w:rPr>
              <w:t>1</w:t>
            </w:r>
            <w:r>
              <w:rPr>
                <w:rFonts w:hint="eastAsia" w:cs="Times New Roman"/>
                <w:color w:val="auto"/>
                <w:lang w:val="en-US" w:eastAsia="zh-CN"/>
              </w:rPr>
              <w:t>3</w:t>
            </w:r>
            <w:r>
              <w:rPr>
                <w:rFonts w:hint="eastAsia" w:ascii="Times New Roman" w:hAnsi="Times New Roman" w:eastAsia="宋体" w:cs="Times New Roman"/>
                <w:color w:val="auto"/>
              </w:rPr>
              <w:t xml:space="preserve">    </w:t>
            </w:r>
            <w:r>
              <w:rPr>
                <w:rFonts w:hint="eastAsia" w:cs="Times New Roman"/>
                <w:color w:val="auto"/>
                <w:lang w:val="en-US" w:eastAsia="zh-CN"/>
              </w:rPr>
              <w:t>固体废物</w:t>
            </w:r>
            <w:r>
              <w:rPr>
                <w:rFonts w:hint="eastAsia" w:cs="Times New Roman"/>
                <w:b/>
                <w:bCs/>
                <w:color w:val="000000"/>
                <w:sz w:val="21"/>
                <w:szCs w:val="21"/>
                <w:lang w:val="en-US" w:eastAsia="zh-CN"/>
              </w:rPr>
              <w:t>产生</w:t>
            </w:r>
            <w:r>
              <w:rPr>
                <w:rFonts w:hint="default" w:ascii="Times New Roman" w:hAnsi="Times New Roman" w:eastAsia="宋体" w:cs="Times New Roman"/>
                <w:b/>
                <w:bCs/>
                <w:color w:val="000000"/>
                <w:sz w:val="21"/>
                <w:szCs w:val="21"/>
              </w:rPr>
              <w:t>量及处置设施</w:t>
            </w:r>
          </w:p>
          <w:tbl>
            <w:tblPr>
              <w:tblStyle w:val="28"/>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897"/>
              <w:gridCol w:w="933"/>
              <w:gridCol w:w="889"/>
              <w:gridCol w:w="811"/>
              <w:gridCol w:w="1313"/>
              <w:gridCol w:w="821"/>
              <w:gridCol w:w="2406"/>
            </w:tblGrid>
            <w:tr w14:paraId="7D2C65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59" w:type="pct"/>
                  <w:tcBorders>
                    <w:bottom w:val="single" w:color="auto" w:sz="12" w:space="0"/>
                  </w:tcBorders>
                  <w:vAlign w:val="center"/>
                </w:tcPr>
                <w:p w14:paraId="0C195484">
                  <w:pPr>
                    <w:pStyle w:val="23"/>
                    <w:spacing w:line="240" w:lineRule="auto"/>
                    <w:jc w:val="center"/>
                    <w:rPr>
                      <w:b/>
                      <w:bCs/>
                      <w:color w:val="auto"/>
                      <w:sz w:val="21"/>
                      <w:szCs w:val="21"/>
                    </w:rPr>
                  </w:pPr>
                  <w:r>
                    <w:rPr>
                      <w:rFonts w:hint="eastAsia"/>
                      <w:b/>
                      <w:bCs/>
                      <w:color w:val="auto"/>
                      <w:sz w:val="21"/>
                      <w:szCs w:val="21"/>
                    </w:rPr>
                    <w:t>序号</w:t>
                  </w:r>
                </w:p>
              </w:tc>
              <w:tc>
                <w:tcPr>
                  <w:tcW w:w="527" w:type="pct"/>
                  <w:tcBorders>
                    <w:bottom w:val="single" w:color="auto" w:sz="12" w:space="0"/>
                  </w:tcBorders>
                  <w:vAlign w:val="center"/>
                </w:tcPr>
                <w:p w14:paraId="40A94F30">
                  <w:pPr>
                    <w:pStyle w:val="23"/>
                    <w:spacing w:line="240" w:lineRule="auto"/>
                    <w:jc w:val="center"/>
                    <w:rPr>
                      <w:b/>
                      <w:bCs/>
                      <w:color w:val="auto"/>
                      <w:sz w:val="21"/>
                      <w:szCs w:val="21"/>
                    </w:rPr>
                  </w:pPr>
                  <w:r>
                    <w:rPr>
                      <w:rFonts w:hint="eastAsia"/>
                      <w:b/>
                      <w:bCs/>
                      <w:color w:val="auto"/>
                      <w:sz w:val="21"/>
                      <w:szCs w:val="21"/>
                    </w:rPr>
                    <w:t>污染物名称</w:t>
                  </w:r>
                </w:p>
              </w:tc>
              <w:tc>
                <w:tcPr>
                  <w:tcW w:w="548" w:type="pct"/>
                  <w:tcBorders>
                    <w:bottom w:val="single" w:color="auto" w:sz="12" w:space="0"/>
                  </w:tcBorders>
                  <w:vAlign w:val="center"/>
                </w:tcPr>
                <w:p w14:paraId="32492152">
                  <w:pPr>
                    <w:pStyle w:val="23"/>
                    <w:spacing w:line="240" w:lineRule="auto"/>
                    <w:jc w:val="center"/>
                    <w:rPr>
                      <w:b/>
                      <w:bCs/>
                      <w:color w:val="auto"/>
                      <w:sz w:val="21"/>
                      <w:szCs w:val="21"/>
                    </w:rPr>
                  </w:pPr>
                  <w:r>
                    <w:rPr>
                      <w:rFonts w:hint="eastAsia"/>
                      <w:b/>
                      <w:bCs/>
                      <w:color w:val="auto"/>
                      <w:sz w:val="21"/>
                      <w:szCs w:val="21"/>
                    </w:rPr>
                    <w:t>产生途径</w:t>
                  </w:r>
                </w:p>
              </w:tc>
              <w:tc>
                <w:tcPr>
                  <w:tcW w:w="522" w:type="pct"/>
                  <w:tcBorders>
                    <w:bottom w:val="single" w:color="auto" w:sz="12" w:space="0"/>
                  </w:tcBorders>
                  <w:vAlign w:val="center"/>
                </w:tcPr>
                <w:p w14:paraId="3EEBBFD5">
                  <w:pPr>
                    <w:pStyle w:val="23"/>
                    <w:spacing w:line="240" w:lineRule="auto"/>
                    <w:jc w:val="center"/>
                    <w:rPr>
                      <w:b/>
                      <w:bCs/>
                      <w:color w:val="auto"/>
                      <w:sz w:val="21"/>
                      <w:szCs w:val="21"/>
                    </w:rPr>
                  </w:pPr>
                  <w:r>
                    <w:rPr>
                      <w:rFonts w:hint="eastAsia"/>
                      <w:b/>
                      <w:bCs/>
                      <w:color w:val="auto"/>
                      <w:sz w:val="21"/>
                      <w:szCs w:val="21"/>
                    </w:rPr>
                    <w:t>固废性质</w:t>
                  </w:r>
                </w:p>
              </w:tc>
              <w:tc>
                <w:tcPr>
                  <w:tcW w:w="476" w:type="pct"/>
                  <w:tcBorders>
                    <w:bottom w:val="single" w:color="auto" w:sz="12" w:space="0"/>
                  </w:tcBorders>
                  <w:vAlign w:val="center"/>
                </w:tcPr>
                <w:p w14:paraId="251B9E63">
                  <w:pPr>
                    <w:pStyle w:val="23"/>
                    <w:spacing w:line="240" w:lineRule="auto"/>
                    <w:jc w:val="center"/>
                    <w:rPr>
                      <w:b/>
                      <w:bCs/>
                      <w:color w:val="auto"/>
                      <w:sz w:val="21"/>
                      <w:szCs w:val="21"/>
                    </w:rPr>
                  </w:pPr>
                  <w:r>
                    <w:rPr>
                      <w:rFonts w:hint="eastAsia"/>
                      <w:b/>
                      <w:bCs/>
                      <w:color w:val="auto"/>
                      <w:sz w:val="21"/>
                      <w:szCs w:val="21"/>
                    </w:rPr>
                    <w:t>类别</w:t>
                  </w:r>
                </w:p>
              </w:tc>
              <w:tc>
                <w:tcPr>
                  <w:tcW w:w="770" w:type="pct"/>
                  <w:tcBorders>
                    <w:bottom w:val="single" w:color="auto" w:sz="12" w:space="0"/>
                  </w:tcBorders>
                  <w:vAlign w:val="center"/>
                </w:tcPr>
                <w:p w14:paraId="09668468">
                  <w:pPr>
                    <w:pStyle w:val="23"/>
                    <w:spacing w:line="240" w:lineRule="auto"/>
                    <w:jc w:val="center"/>
                    <w:rPr>
                      <w:b/>
                      <w:bCs/>
                      <w:color w:val="auto"/>
                      <w:sz w:val="21"/>
                      <w:szCs w:val="21"/>
                    </w:rPr>
                  </w:pPr>
                  <w:r>
                    <w:rPr>
                      <w:rFonts w:hint="eastAsia"/>
                      <w:b/>
                      <w:bCs/>
                      <w:color w:val="auto"/>
                      <w:sz w:val="21"/>
                      <w:szCs w:val="21"/>
                    </w:rPr>
                    <w:t>代码</w:t>
                  </w:r>
                </w:p>
              </w:tc>
              <w:tc>
                <w:tcPr>
                  <w:tcW w:w="482" w:type="pct"/>
                  <w:tcBorders>
                    <w:bottom w:val="single" w:color="auto" w:sz="12" w:space="0"/>
                  </w:tcBorders>
                  <w:vAlign w:val="center"/>
                </w:tcPr>
                <w:p w14:paraId="1BE8CCD6">
                  <w:pPr>
                    <w:pStyle w:val="23"/>
                    <w:spacing w:line="240" w:lineRule="auto"/>
                    <w:jc w:val="center"/>
                    <w:rPr>
                      <w:b/>
                      <w:bCs/>
                      <w:color w:val="auto"/>
                      <w:sz w:val="21"/>
                      <w:szCs w:val="21"/>
                    </w:rPr>
                  </w:pPr>
                  <w:r>
                    <w:rPr>
                      <w:rFonts w:hint="eastAsia"/>
                      <w:b/>
                      <w:bCs/>
                      <w:color w:val="auto"/>
                      <w:sz w:val="21"/>
                      <w:szCs w:val="21"/>
                    </w:rPr>
                    <w:t>产生量t/a</w:t>
                  </w:r>
                </w:p>
              </w:tc>
              <w:tc>
                <w:tcPr>
                  <w:tcW w:w="1413" w:type="pct"/>
                  <w:tcBorders>
                    <w:bottom w:val="single" w:color="auto" w:sz="12" w:space="0"/>
                  </w:tcBorders>
                  <w:vAlign w:val="center"/>
                </w:tcPr>
                <w:p w14:paraId="7690E71C">
                  <w:pPr>
                    <w:pStyle w:val="23"/>
                    <w:spacing w:line="240" w:lineRule="auto"/>
                    <w:jc w:val="center"/>
                    <w:rPr>
                      <w:b/>
                      <w:bCs/>
                      <w:color w:val="auto"/>
                      <w:sz w:val="21"/>
                      <w:szCs w:val="21"/>
                    </w:rPr>
                  </w:pPr>
                  <w:r>
                    <w:rPr>
                      <w:rFonts w:hint="eastAsia"/>
                      <w:b/>
                      <w:bCs/>
                      <w:color w:val="auto"/>
                      <w:sz w:val="21"/>
                      <w:szCs w:val="21"/>
                    </w:rPr>
                    <w:t>处理措施</w:t>
                  </w:r>
                </w:p>
              </w:tc>
            </w:tr>
            <w:tr w14:paraId="216E47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9" w:type="pct"/>
                  <w:tcBorders>
                    <w:top w:val="single" w:color="auto" w:sz="12" w:space="0"/>
                    <w:tl2br w:val="nil"/>
                    <w:tr2bl w:val="nil"/>
                  </w:tcBorders>
                  <w:vAlign w:val="center"/>
                </w:tcPr>
                <w:p w14:paraId="392D496A">
                  <w:pPr>
                    <w:pStyle w:val="23"/>
                    <w:spacing w:line="240" w:lineRule="auto"/>
                    <w:jc w:val="center"/>
                    <w:rPr>
                      <w:color w:val="auto"/>
                      <w:sz w:val="21"/>
                      <w:szCs w:val="21"/>
                    </w:rPr>
                  </w:pPr>
                  <w:r>
                    <w:rPr>
                      <w:rFonts w:hint="eastAsia"/>
                      <w:color w:val="auto"/>
                      <w:sz w:val="21"/>
                      <w:szCs w:val="21"/>
                    </w:rPr>
                    <w:t>1</w:t>
                  </w:r>
                </w:p>
              </w:tc>
              <w:tc>
                <w:tcPr>
                  <w:tcW w:w="527" w:type="pct"/>
                  <w:tcBorders>
                    <w:top w:val="single" w:color="auto" w:sz="12" w:space="0"/>
                    <w:tl2br w:val="nil"/>
                    <w:tr2bl w:val="nil"/>
                  </w:tcBorders>
                  <w:vAlign w:val="center"/>
                </w:tcPr>
                <w:p w14:paraId="210117D7">
                  <w:pPr>
                    <w:pStyle w:val="23"/>
                    <w:spacing w:line="240" w:lineRule="auto"/>
                    <w:jc w:val="center"/>
                    <w:rPr>
                      <w:color w:val="auto"/>
                      <w:sz w:val="21"/>
                      <w:szCs w:val="21"/>
                    </w:rPr>
                  </w:pPr>
                  <w:r>
                    <w:rPr>
                      <w:rFonts w:hint="eastAsia"/>
                      <w:color w:val="auto"/>
                      <w:sz w:val="21"/>
                      <w:szCs w:val="21"/>
                    </w:rPr>
                    <w:t>不合格混凝土</w:t>
                  </w:r>
                </w:p>
              </w:tc>
              <w:tc>
                <w:tcPr>
                  <w:tcW w:w="548" w:type="pct"/>
                  <w:tcBorders>
                    <w:top w:val="single" w:color="auto" w:sz="12" w:space="0"/>
                    <w:tl2br w:val="nil"/>
                    <w:tr2bl w:val="nil"/>
                  </w:tcBorders>
                  <w:vAlign w:val="center"/>
                </w:tcPr>
                <w:p w14:paraId="48EA3934">
                  <w:pPr>
                    <w:pStyle w:val="23"/>
                    <w:spacing w:line="240" w:lineRule="auto"/>
                    <w:jc w:val="center"/>
                    <w:rPr>
                      <w:rFonts w:hint="eastAsia" w:eastAsia="宋体"/>
                      <w:color w:val="auto"/>
                      <w:sz w:val="21"/>
                      <w:szCs w:val="21"/>
                      <w:lang w:eastAsia="zh-CN"/>
                    </w:rPr>
                  </w:pPr>
                  <w:r>
                    <w:rPr>
                      <w:rFonts w:hint="eastAsia"/>
                      <w:color w:val="auto"/>
                      <w:sz w:val="21"/>
                      <w:szCs w:val="21"/>
                      <w:lang w:val="en-US" w:eastAsia="zh-CN"/>
                    </w:rPr>
                    <w:t>生产过程</w:t>
                  </w:r>
                </w:p>
              </w:tc>
              <w:tc>
                <w:tcPr>
                  <w:tcW w:w="522" w:type="pct"/>
                  <w:tcBorders>
                    <w:top w:val="single" w:color="auto" w:sz="12" w:space="0"/>
                    <w:tl2br w:val="nil"/>
                    <w:tr2bl w:val="nil"/>
                  </w:tcBorders>
                  <w:vAlign w:val="center"/>
                </w:tcPr>
                <w:p w14:paraId="348EFB2A">
                  <w:pPr>
                    <w:pStyle w:val="23"/>
                    <w:spacing w:line="240" w:lineRule="auto"/>
                    <w:jc w:val="center"/>
                    <w:rPr>
                      <w:color w:val="auto"/>
                      <w:sz w:val="21"/>
                      <w:szCs w:val="21"/>
                    </w:rPr>
                  </w:pPr>
                  <w:r>
                    <w:rPr>
                      <w:rFonts w:hint="eastAsia"/>
                      <w:color w:val="auto"/>
                      <w:sz w:val="21"/>
                      <w:szCs w:val="21"/>
                    </w:rPr>
                    <w:t>一般工业固体废物</w:t>
                  </w:r>
                </w:p>
              </w:tc>
              <w:tc>
                <w:tcPr>
                  <w:tcW w:w="476" w:type="pct"/>
                  <w:tcBorders>
                    <w:top w:val="single" w:color="auto" w:sz="12" w:space="0"/>
                    <w:tl2br w:val="nil"/>
                    <w:tr2bl w:val="nil"/>
                  </w:tcBorders>
                  <w:vAlign w:val="center"/>
                </w:tcPr>
                <w:p w14:paraId="5B443F69">
                  <w:pPr>
                    <w:pStyle w:val="23"/>
                    <w:spacing w:line="240" w:lineRule="auto"/>
                    <w:jc w:val="center"/>
                    <w:rPr>
                      <w:rFonts w:hint="default" w:eastAsia="宋体"/>
                      <w:color w:val="auto"/>
                      <w:sz w:val="21"/>
                      <w:szCs w:val="21"/>
                      <w:lang w:val="en-US" w:eastAsia="zh-CN"/>
                    </w:rPr>
                  </w:pPr>
                  <w:r>
                    <w:rPr>
                      <w:rFonts w:hint="eastAsia"/>
                      <w:color w:val="auto"/>
                      <w:sz w:val="21"/>
                      <w:szCs w:val="21"/>
                      <w:lang w:val="en-US" w:eastAsia="zh-CN"/>
                    </w:rPr>
                    <w:t>SW17</w:t>
                  </w:r>
                </w:p>
              </w:tc>
              <w:tc>
                <w:tcPr>
                  <w:tcW w:w="770" w:type="pct"/>
                  <w:tcBorders>
                    <w:top w:val="single" w:color="auto" w:sz="12" w:space="0"/>
                    <w:tl2br w:val="nil"/>
                    <w:tr2bl w:val="nil"/>
                  </w:tcBorders>
                  <w:vAlign w:val="center"/>
                </w:tcPr>
                <w:p w14:paraId="21C44890">
                  <w:pPr>
                    <w:pStyle w:val="23"/>
                    <w:spacing w:line="240" w:lineRule="auto"/>
                    <w:jc w:val="center"/>
                    <w:rPr>
                      <w:rFonts w:hint="default" w:eastAsia="宋体"/>
                      <w:color w:val="auto"/>
                      <w:sz w:val="21"/>
                      <w:szCs w:val="21"/>
                      <w:lang w:val="en-US" w:eastAsia="zh-CN"/>
                    </w:rPr>
                  </w:pPr>
                  <w:r>
                    <w:rPr>
                      <w:rFonts w:hint="eastAsia"/>
                      <w:color w:val="auto"/>
                      <w:sz w:val="21"/>
                      <w:szCs w:val="21"/>
                      <w:lang w:val="en-US" w:eastAsia="zh-CN"/>
                    </w:rPr>
                    <w:t>900-099-S17</w:t>
                  </w:r>
                </w:p>
              </w:tc>
              <w:tc>
                <w:tcPr>
                  <w:tcW w:w="482" w:type="pct"/>
                  <w:tcBorders>
                    <w:top w:val="single" w:color="auto" w:sz="12" w:space="0"/>
                    <w:tl2br w:val="nil"/>
                    <w:tr2bl w:val="nil"/>
                  </w:tcBorders>
                  <w:vAlign w:val="center"/>
                </w:tcPr>
                <w:p w14:paraId="6DAD1F2F">
                  <w:pPr>
                    <w:pStyle w:val="23"/>
                    <w:spacing w:line="240" w:lineRule="auto"/>
                    <w:jc w:val="center"/>
                    <w:rPr>
                      <w:rFonts w:hint="eastAsia" w:eastAsia="宋体"/>
                      <w:color w:val="auto"/>
                      <w:sz w:val="21"/>
                      <w:szCs w:val="21"/>
                      <w:lang w:eastAsia="zh-CN"/>
                    </w:rPr>
                  </w:pPr>
                  <w:r>
                    <w:rPr>
                      <w:rFonts w:hint="eastAsia"/>
                      <w:color w:val="auto"/>
                      <w:sz w:val="21"/>
                      <w:szCs w:val="21"/>
                      <w:lang w:eastAsia="zh-CN"/>
                    </w:rPr>
                    <w:t>16.17</w:t>
                  </w:r>
                </w:p>
              </w:tc>
              <w:tc>
                <w:tcPr>
                  <w:tcW w:w="1413" w:type="pct"/>
                  <w:vMerge w:val="restart"/>
                  <w:tcBorders>
                    <w:top w:val="single" w:color="auto" w:sz="12" w:space="0"/>
                    <w:tl2br w:val="nil"/>
                    <w:tr2bl w:val="nil"/>
                  </w:tcBorders>
                  <w:vAlign w:val="center"/>
                </w:tcPr>
                <w:p w14:paraId="01FFF65E">
                  <w:pPr>
                    <w:pStyle w:val="23"/>
                    <w:spacing w:line="240" w:lineRule="auto"/>
                    <w:jc w:val="center"/>
                    <w:rPr>
                      <w:color w:val="auto"/>
                      <w:sz w:val="21"/>
                      <w:szCs w:val="21"/>
                    </w:rPr>
                  </w:pPr>
                  <w:r>
                    <w:rPr>
                      <w:color w:val="auto"/>
                      <w:sz w:val="21"/>
                      <w:szCs w:val="21"/>
                    </w:rPr>
                    <w:t>回用于混凝土生产</w:t>
                  </w:r>
                  <w:r>
                    <w:rPr>
                      <w:rFonts w:hint="eastAsia"/>
                      <w:color w:val="auto"/>
                      <w:sz w:val="21"/>
                      <w:szCs w:val="21"/>
                      <w:lang w:eastAsia="zh-CN"/>
                    </w:rPr>
                    <w:t>，</w:t>
                  </w:r>
                  <w:r>
                    <w:rPr>
                      <w:rFonts w:ascii="宋体" w:hAnsi="宋体" w:eastAsia="宋体" w:cs="宋体"/>
                      <w:b w:val="0"/>
                      <w:bCs w:val="0"/>
                      <w:color w:val="000000"/>
                      <w:sz w:val="21"/>
                      <w:szCs w:val="21"/>
                    </w:rPr>
                    <w:t>执行《一般工业固体废物贮存和填埋污染控制标准》（</w:t>
                  </w:r>
                  <w:r>
                    <w:rPr>
                      <w:rFonts w:ascii="TimesNewRomanPSMT" w:hAnsi="TimesNewRomanPSMT" w:eastAsia="TimesNewRomanPSMT" w:cs="TimesNewRomanPSMT"/>
                      <w:b w:val="0"/>
                      <w:bCs w:val="0"/>
                      <w:color w:val="000000"/>
                      <w:sz w:val="21"/>
                      <w:szCs w:val="21"/>
                    </w:rPr>
                    <w:t>GB185 99-2020</w:t>
                  </w:r>
                  <w:r>
                    <w:rPr>
                      <w:rFonts w:ascii="宋体" w:hAnsi="宋体" w:eastAsia="宋体" w:cs="宋体"/>
                      <w:b w:val="0"/>
                      <w:bCs w:val="0"/>
                      <w:color w:val="000000"/>
                      <w:sz w:val="21"/>
                      <w:szCs w:val="21"/>
                    </w:rPr>
                    <w:t>）贮存场相关要求</w:t>
                  </w:r>
                </w:p>
              </w:tc>
            </w:tr>
            <w:tr w14:paraId="29C7B5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59" w:type="pct"/>
                  <w:tcBorders>
                    <w:tl2br w:val="nil"/>
                    <w:tr2bl w:val="nil"/>
                  </w:tcBorders>
                  <w:vAlign w:val="center"/>
                </w:tcPr>
                <w:p w14:paraId="3A39D978">
                  <w:pPr>
                    <w:pStyle w:val="23"/>
                    <w:spacing w:line="240" w:lineRule="auto"/>
                    <w:jc w:val="center"/>
                    <w:rPr>
                      <w:color w:val="auto"/>
                      <w:sz w:val="21"/>
                      <w:szCs w:val="21"/>
                    </w:rPr>
                  </w:pPr>
                  <w:r>
                    <w:rPr>
                      <w:rFonts w:hint="eastAsia"/>
                      <w:color w:val="auto"/>
                      <w:sz w:val="21"/>
                      <w:szCs w:val="21"/>
                    </w:rPr>
                    <w:t>2</w:t>
                  </w:r>
                </w:p>
              </w:tc>
              <w:tc>
                <w:tcPr>
                  <w:tcW w:w="527" w:type="pct"/>
                  <w:tcBorders>
                    <w:tl2br w:val="nil"/>
                    <w:tr2bl w:val="nil"/>
                  </w:tcBorders>
                  <w:vAlign w:val="center"/>
                </w:tcPr>
                <w:p w14:paraId="15E7EEFD">
                  <w:pPr>
                    <w:pStyle w:val="23"/>
                    <w:spacing w:line="240" w:lineRule="auto"/>
                    <w:jc w:val="center"/>
                    <w:rPr>
                      <w:rFonts w:hint="eastAsia" w:eastAsia="宋体"/>
                      <w:color w:val="auto"/>
                      <w:sz w:val="21"/>
                      <w:szCs w:val="21"/>
                      <w:lang w:eastAsia="zh-CN"/>
                    </w:rPr>
                  </w:pPr>
                  <w:r>
                    <w:rPr>
                      <w:rFonts w:hint="eastAsia"/>
                      <w:bCs/>
                      <w:color w:val="auto"/>
                      <w:sz w:val="21"/>
                      <w:szCs w:val="21"/>
                      <w:lang w:eastAsia="zh-CN"/>
                    </w:rPr>
                    <w:t>布袋除尘器收集的粉尘</w:t>
                  </w:r>
                </w:p>
              </w:tc>
              <w:tc>
                <w:tcPr>
                  <w:tcW w:w="548" w:type="pct"/>
                  <w:tcBorders>
                    <w:tl2br w:val="nil"/>
                    <w:tr2bl w:val="nil"/>
                  </w:tcBorders>
                  <w:vAlign w:val="center"/>
                </w:tcPr>
                <w:p w14:paraId="3205D750">
                  <w:pPr>
                    <w:pStyle w:val="23"/>
                    <w:spacing w:line="240" w:lineRule="auto"/>
                    <w:jc w:val="center"/>
                    <w:rPr>
                      <w:color w:val="auto"/>
                      <w:sz w:val="21"/>
                      <w:szCs w:val="21"/>
                    </w:rPr>
                  </w:pPr>
                  <w:r>
                    <w:rPr>
                      <w:rFonts w:hint="eastAsia"/>
                      <w:color w:val="auto"/>
                      <w:sz w:val="21"/>
                      <w:szCs w:val="21"/>
                      <w:lang w:val="en-US" w:eastAsia="zh-CN"/>
                    </w:rPr>
                    <w:t>除</w:t>
                  </w:r>
                  <w:r>
                    <w:rPr>
                      <w:rFonts w:hint="eastAsia"/>
                      <w:color w:val="auto"/>
                      <w:sz w:val="21"/>
                      <w:szCs w:val="21"/>
                    </w:rPr>
                    <w:t>尘系统</w:t>
                  </w:r>
                </w:p>
              </w:tc>
              <w:tc>
                <w:tcPr>
                  <w:tcW w:w="522" w:type="pct"/>
                  <w:tcBorders>
                    <w:tl2br w:val="nil"/>
                    <w:tr2bl w:val="nil"/>
                  </w:tcBorders>
                  <w:vAlign w:val="center"/>
                </w:tcPr>
                <w:p w14:paraId="647752A2">
                  <w:pPr>
                    <w:pStyle w:val="23"/>
                    <w:spacing w:line="240" w:lineRule="auto"/>
                    <w:jc w:val="center"/>
                    <w:rPr>
                      <w:color w:val="auto"/>
                      <w:sz w:val="21"/>
                      <w:szCs w:val="21"/>
                    </w:rPr>
                  </w:pPr>
                  <w:r>
                    <w:rPr>
                      <w:rFonts w:hint="eastAsia"/>
                      <w:color w:val="auto"/>
                      <w:sz w:val="21"/>
                      <w:szCs w:val="21"/>
                    </w:rPr>
                    <w:t>一般工业固体废物</w:t>
                  </w:r>
                </w:p>
              </w:tc>
              <w:tc>
                <w:tcPr>
                  <w:tcW w:w="476" w:type="pct"/>
                  <w:tcBorders>
                    <w:tl2br w:val="nil"/>
                    <w:tr2bl w:val="nil"/>
                  </w:tcBorders>
                  <w:vAlign w:val="center"/>
                </w:tcPr>
                <w:p w14:paraId="47F923BC">
                  <w:pPr>
                    <w:pStyle w:val="23"/>
                    <w:spacing w:line="240" w:lineRule="auto"/>
                    <w:jc w:val="center"/>
                    <w:rPr>
                      <w:color w:val="auto"/>
                      <w:sz w:val="21"/>
                      <w:szCs w:val="21"/>
                    </w:rPr>
                  </w:pPr>
                  <w:r>
                    <w:rPr>
                      <w:rFonts w:hint="eastAsia"/>
                      <w:color w:val="auto"/>
                      <w:sz w:val="21"/>
                      <w:szCs w:val="21"/>
                      <w:lang w:val="en-US" w:eastAsia="zh-CN"/>
                    </w:rPr>
                    <w:t>SW17</w:t>
                  </w:r>
                </w:p>
              </w:tc>
              <w:tc>
                <w:tcPr>
                  <w:tcW w:w="770" w:type="pct"/>
                  <w:tcBorders>
                    <w:tl2br w:val="nil"/>
                    <w:tr2bl w:val="nil"/>
                  </w:tcBorders>
                  <w:vAlign w:val="center"/>
                </w:tcPr>
                <w:p w14:paraId="142E3642">
                  <w:pPr>
                    <w:pStyle w:val="23"/>
                    <w:spacing w:line="240" w:lineRule="auto"/>
                    <w:jc w:val="center"/>
                    <w:rPr>
                      <w:color w:val="auto"/>
                      <w:sz w:val="21"/>
                      <w:szCs w:val="21"/>
                    </w:rPr>
                  </w:pPr>
                  <w:r>
                    <w:rPr>
                      <w:rFonts w:hint="eastAsia"/>
                      <w:color w:val="auto"/>
                      <w:sz w:val="21"/>
                      <w:szCs w:val="21"/>
                      <w:lang w:val="en-US" w:eastAsia="zh-CN"/>
                    </w:rPr>
                    <w:t>900-099-S17</w:t>
                  </w:r>
                </w:p>
              </w:tc>
              <w:tc>
                <w:tcPr>
                  <w:tcW w:w="482" w:type="pct"/>
                  <w:tcBorders>
                    <w:tl2br w:val="nil"/>
                    <w:tr2bl w:val="nil"/>
                  </w:tcBorders>
                  <w:vAlign w:val="center"/>
                </w:tcPr>
                <w:p w14:paraId="58D8DDFA">
                  <w:pPr>
                    <w:pStyle w:val="23"/>
                    <w:spacing w:line="240" w:lineRule="auto"/>
                    <w:jc w:val="center"/>
                    <w:rPr>
                      <w:rFonts w:hint="eastAsia" w:eastAsia="宋体"/>
                      <w:color w:val="auto"/>
                      <w:sz w:val="21"/>
                      <w:szCs w:val="21"/>
                      <w:lang w:eastAsia="zh-CN"/>
                    </w:rPr>
                  </w:pPr>
                  <w:r>
                    <w:rPr>
                      <w:rFonts w:hint="eastAsia"/>
                      <w:color w:val="auto"/>
                      <w:sz w:val="21"/>
                      <w:szCs w:val="21"/>
                      <w:lang w:eastAsia="zh-CN"/>
                    </w:rPr>
                    <w:t>119.21</w:t>
                  </w:r>
                </w:p>
              </w:tc>
              <w:tc>
                <w:tcPr>
                  <w:tcW w:w="1413" w:type="pct"/>
                  <w:vMerge w:val="continue"/>
                  <w:tcBorders>
                    <w:tl2br w:val="nil"/>
                    <w:tr2bl w:val="nil"/>
                  </w:tcBorders>
                  <w:vAlign w:val="center"/>
                </w:tcPr>
                <w:p w14:paraId="45590C55">
                  <w:pPr>
                    <w:pStyle w:val="23"/>
                    <w:spacing w:line="240" w:lineRule="auto"/>
                    <w:jc w:val="center"/>
                    <w:rPr>
                      <w:color w:val="auto"/>
                      <w:sz w:val="21"/>
                      <w:szCs w:val="21"/>
                    </w:rPr>
                  </w:pPr>
                </w:p>
              </w:tc>
            </w:tr>
            <w:tr w14:paraId="730E3A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 w:type="pct"/>
                  <w:tcBorders>
                    <w:tl2br w:val="nil"/>
                    <w:tr2bl w:val="nil"/>
                  </w:tcBorders>
                  <w:vAlign w:val="center"/>
                </w:tcPr>
                <w:p w14:paraId="7AAF2225">
                  <w:pPr>
                    <w:pStyle w:val="23"/>
                    <w:spacing w:line="240" w:lineRule="auto"/>
                    <w:jc w:val="center"/>
                    <w:rPr>
                      <w:color w:val="auto"/>
                      <w:sz w:val="21"/>
                      <w:szCs w:val="21"/>
                    </w:rPr>
                  </w:pPr>
                  <w:r>
                    <w:rPr>
                      <w:rFonts w:hint="eastAsia"/>
                      <w:color w:val="auto"/>
                      <w:sz w:val="21"/>
                      <w:szCs w:val="21"/>
                    </w:rPr>
                    <w:t>3</w:t>
                  </w:r>
                </w:p>
              </w:tc>
              <w:tc>
                <w:tcPr>
                  <w:tcW w:w="527" w:type="pct"/>
                  <w:tcBorders>
                    <w:tl2br w:val="nil"/>
                    <w:tr2bl w:val="nil"/>
                  </w:tcBorders>
                  <w:vAlign w:val="center"/>
                </w:tcPr>
                <w:p w14:paraId="6D10B81F">
                  <w:pPr>
                    <w:pStyle w:val="23"/>
                    <w:spacing w:line="240" w:lineRule="auto"/>
                    <w:jc w:val="center"/>
                    <w:rPr>
                      <w:rFonts w:hint="eastAsia" w:eastAsia="宋体"/>
                      <w:color w:val="auto"/>
                      <w:sz w:val="21"/>
                      <w:szCs w:val="21"/>
                      <w:lang w:eastAsia="zh-CN"/>
                    </w:rPr>
                  </w:pPr>
                  <w:r>
                    <w:rPr>
                      <w:rFonts w:hint="eastAsia"/>
                      <w:color w:val="auto"/>
                      <w:sz w:val="21"/>
                      <w:szCs w:val="21"/>
                      <w:lang w:eastAsia="zh-CN"/>
                    </w:rPr>
                    <w:t>沉淀池沉淀物</w:t>
                  </w:r>
                </w:p>
              </w:tc>
              <w:tc>
                <w:tcPr>
                  <w:tcW w:w="548" w:type="pct"/>
                  <w:tcBorders>
                    <w:tl2br w:val="nil"/>
                    <w:tr2bl w:val="nil"/>
                  </w:tcBorders>
                  <w:vAlign w:val="center"/>
                </w:tcPr>
                <w:p w14:paraId="08CE8EB1">
                  <w:pPr>
                    <w:pStyle w:val="23"/>
                    <w:spacing w:line="240" w:lineRule="auto"/>
                    <w:jc w:val="center"/>
                    <w:rPr>
                      <w:color w:val="auto"/>
                      <w:sz w:val="21"/>
                      <w:szCs w:val="21"/>
                    </w:rPr>
                  </w:pPr>
                  <w:r>
                    <w:rPr>
                      <w:rFonts w:hint="eastAsia"/>
                      <w:color w:val="auto"/>
                      <w:sz w:val="21"/>
                      <w:szCs w:val="21"/>
                      <w:lang w:val="en-US" w:eastAsia="zh-CN"/>
                    </w:rPr>
                    <w:t>三级</w:t>
                  </w:r>
                  <w:r>
                    <w:rPr>
                      <w:rFonts w:hint="eastAsia"/>
                      <w:color w:val="auto"/>
                      <w:sz w:val="21"/>
                      <w:szCs w:val="21"/>
                    </w:rPr>
                    <w:t>沉淀池</w:t>
                  </w:r>
                </w:p>
              </w:tc>
              <w:tc>
                <w:tcPr>
                  <w:tcW w:w="522" w:type="pct"/>
                  <w:tcBorders>
                    <w:tl2br w:val="nil"/>
                    <w:tr2bl w:val="nil"/>
                  </w:tcBorders>
                  <w:vAlign w:val="center"/>
                </w:tcPr>
                <w:p w14:paraId="5F16ECBE">
                  <w:pPr>
                    <w:pStyle w:val="23"/>
                    <w:spacing w:line="240" w:lineRule="auto"/>
                    <w:jc w:val="center"/>
                    <w:rPr>
                      <w:color w:val="auto"/>
                      <w:sz w:val="21"/>
                      <w:szCs w:val="21"/>
                    </w:rPr>
                  </w:pPr>
                  <w:r>
                    <w:rPr>
                      <w:rFonts w:hint="eastAsia"/>
                      <w:color w:val="auto"/>
                      <w:sz w:val="21"/>
                      <w:szCs w:val="21"/>
                    </w:rPr>
                    <w:t>一般工业固体废物</w:t>
                  </w:r>
                </w:p>
              </w:tc>
              <w:tc>
                <w:tcPr>
                  <w:tcW w:w="476" w:type="pct"/>
                  <w:tcBorders>
                    <w:tl2br w:val="nil"/>
                    <w:tr2bl w:val="nil"/>
                  </w:tcBorders>
                  <w:vAlign w:val="center"/>
                </w:tcPr>
                <w:p w14:paraId="7E91FB25">
                  <w:pPr>
                    <w:pStyle w:val="23"/>
                    <w:spacing w:line="240" w:lineRule="auto"/>
                    <w:jc w:val="center"/>
                    <w:rPr>
                      <w:color w:val="auto"/>
                      <w:sz w:val="21"/>
                      <w:szCs w:val="21"/>
                    </w:rPr>
                  </w:pPr>
                  <w:r>
                    <w:rPr>
                      <w:rFonts w:hint="eastAsia"/>
                      <w:color w:val="auto"/>
                      <w:sz w:val="21"/>
                      <w:szCs w:val="21"/>
                      <w:lang w:val="en-US" w:eastAsia="zh-CN"/>
                    </w:rPr>
                    <w:t>SW17</w:t>
                  </w:r>
                </w:p>
              </w:tc>
              <w:tc>
                <w:tcPr>
                  <w:tcW w:w="770" w:type="pct"/>
                  <w:tcBorders>
                    <w:tl2br w:val="nil"/>
                    <w:tr2bl w:val="nil"/>
                  </w:tcBorders>
                  <w:vAlign w:val="center"/>
                </w:tcPr>
                <w:p w14:paraId="643D0F09">
                  <w:pPr>
                    <w:pStyle w:val="23"/>
                    <w:spacing w:line="240" w:lineRule="auto"/>
                    <w:jc w:val="center"/>
                    <w:rPr>
                      <w:color w:val="auto"/>
                      <w:sz w:val="21"/>
                      <w:szCs w:val="21"/>
                    </w:rPr>
                  </w:pPr>
                  <w:r>
                    <w:rPr>
                      <w:rFonts w:hint="eastAsia"/>
                      <w:color w:val="auto"/>
                      <w:sz w:val="21"/>
                      <w:szCs w:val="21"/>
                      <w:lang w:val="en-US" w:eastAsia="zh-CN"/>
                    </w:rPr>
                    <w:t>900-099-S17</w:t>
                  </w:r>
                </w:p>
              </w:tc>
              <w:tc>
                <w:tcPr>
                  <w:tcW w:w="482" w:type="pct"/>
                  <w:tcBorders>
                    <w:tl2br w:val="nil"/>
                    <w:tr2bl w:val="nil"/>
                  </w:tcBorders>
                  <w:vAlign w:val="center"/>
                </w:tcPr>
                <w:p w14:paraId="2C370789">
                  <w:pPr>
                    <w:pStyle w:val="23"/>
                    <w:spacing w:line="240" w:lineRule="auto"/>
                    <w:jc w:val="center"/>
                    <w:rPr>
                      <w:rFonts w:hint="eastAsia" w:eastAsia="宋体"/>
                      <w:color w:val="auto"/>
                      <w:sz w:val="21"/>
                      <w:szCs w:val="21"/>
                      <w:lang w:eastAsia="zh-CN"/>
                    </w:rPr>
                  </w:pPr>
                  <w:r>
                    <w:rPr>
                      <w:rFonts w:hint="eastAsia"/>
                      <w:color w:val="auto"/>
                      <w:sz w:val="21"/>
                      <w:szCs w:val="21"/>
                      <w:lang w:eastAsia="zh-CN"/>
                    </w:rPr>
                    <w:t>62.4</w:t>
                  </w:r>
                </w:p>
              </w:tc>
              <w:tc>
                <w:tcPr>
                  <w:tcW w:w="1413" w:type="pct"/>
                  <w:vMerge w:val="continue"/>
                  <w:tcBorders>
                    <w:tl2br w:val="nil"/>
                    <w:tr2bl w:val="nil"/>
                  </w:tcBorders>
                  <w:vAlign w:val="center"/>
                </w:tcPr>
                <w:p w14:paraId="7BE1F323">
                  <w:pPr>
                    <w:pStyle w:val="23"/>
                    <w:spacing w:line="240" w:lineRule="auto"/>
                    <w:jc w:val="center"/>
                    <w:rPr>
                      <w:color w:val="auto"/>
                      <w:sz w:val="21"/>
                      <w:szCs w:val="21"/>
                    </w:rPr>
                  </w:pPr>
                </w:p>
              </w:tc>
            </w:tr>
            <w:tr w14:paraId="55B163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 w:type="pct"/>
                  <w:tcBorders>
                    <w:tl2br w:val="nil"/>
                    <w:tr2bl w:val="nil"/>
                  </w:tcBorders>
                  <w:vAlign w:val="center"/>
                </w:tcPr>
                <w:p w14:paraId="623DB13E">
                  <w:pPr>
                    <w:pStyle w:val="23"/>
                    <w:spacing w:line="240" w:lineRule="auto"/>
                    <w:jc w:val="center"/>
                    <w:rPr>
                      <w:rFonts w:hint="eastAsia" w:eastAsia="宋体"/>
                      <w:color w:val="auto"/>
                      <w:sz w:val="21"/>
                      <w:szCs w:val="21"/>
                      <w:lang w:val="en-US" w:eastAsia="zh-CN"/>
                    </w:rPr>
                  </w:pPr>
                  <w:r>
                    <w:rPr>
                      <w:rFonts w:hint="eastAsia"/>
                      <w:color w:val="auto"/>
                      <w:sz w:val="21"/>
                      <w:szCs w:val="21"/>
                      <w:lang w:val="en-US" w:eastAsia="zh-CN"/>
                    </w:rPr>
                    <w:t>4</w:t>
                  </w:r>
                </w:p>
              </w:tc>
              <w:tc>
                <w:tcPr>
                  <w:tcW w:w="527" w:type="pct"/>
                  <w:tcBorders>
                    <w:tl2br w:val="nil"/>
                    <w:tr2bl w:val="nil"/>
                  </w:tcBorders>
                  <w:vAlign w:val="center"/>
                </w:tcPr>
                <w:p w14:paraId="6FBFBC98">
                  <w:pPr>
                    <w:pStyle w:val="23"/>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污泥</w:t>
                  </w:r>
                </w:p>
              </w:tc>
              <w:tc>
                <w:tcPr>
                  <w:tcW w:w="548" w:type="pct"/>
                  <w:tcBorders>
                    <w:tl2br w:val="nil"/>
                    <w:tr2bl w:val="nil"/>
                  </w:tcBorders>
                  <w:vAlign w:val="center"/>
                </w:tcPr>
                <w:p w14:paraId="111419E4">
                  <w:pPr>
                    <w:pStyle w:val="23"/>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一体化污水处理设施</w:t>
                  </w:r>
                </w:p>
              </w:tc>
              <w:tc>
                <w:tcPr>
                  <w:tcW w:w="522" w:type="pct"/>
                  <w:tcBorders>
                    <w:tl2br w:val="nil"/>
                    <w:tr2bl w:val="nil"/>
                  </w:tcBorders>
                  <w:vAlign w:val="center"/>
                </w:tcPr>
                <w:p w14:paraId="0EBDC5F2">
                  <w:pPr>
                    <w:pStyle w:val="23"/>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一般工业固体废物</w:t>
                  </w:r>
                </w:p>
              </w:tc>
              <w:tc>
                <w:tcPr>
                  <w:tcW w:w="476" w:type="pct"/>
                  <w:tcBorders>
                    <w:tl2br w:val="nil"/>
                    <w:tr2bl w:val="nil"/>
                  </w:tcBorders>
                  <w:vAlign w:val="center"/>
                </w:tcPr>
                <w:p w14:paraId="6F175AB6">
                  <w:pPr>
                    <w:pStyle w:val="23"/>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SW07</w:t>
                  </w:r>
                </w:p>
              </w:tc>
              <w:tc>
                <w:tcPr>
                  <w:tcW w:w="770" w:type="pct"/>
                  <w:tcBorders>
                    <w:tl2br w:val="nil"/>
                    <w:tr2bl w:val="nil"/>
                  </w:tcBorders>
                  <w:vAlign w:val="center"/>
                </w:tcPr>
                <w:p w14:paraId="154B5AC2">
                  <w:pPr>
                    <w:pStyle w:val="23"/>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900-099-S07</w:t>
                  </w:r>
                </w:p>
              </w:tc>
              <w:tc>
                <w:tcPr>
                  <w:tcW w:w="482" w:type="pct"/>
                  <w:tcBorders>
                    <w:tl2br w:val="nil"/>
                    <w:tr2bl w:val="nil"/>
                  </w:tcBorders>
                  <w:vAlign w:val="center"/>
                </w:tcPr>
                <w:p w14:paraId="1A9EDE77">
                  <w:pPr>
                    <w:pStyle w:val="23"/>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0.09</w:t>
                  </w:r>
                </w:p>
              </w:tc>
              <w:tc>
                <w:tcPr>
                  <w:tcW w:w="1413" w:type="pct"/>
                  <w:tcBorders>
                    <w:tl2br w:val="nil"/>
                    <w:tr2bl w:val="nil"/>
                  </w:tcBorders>
                  <w:vAlign w:val="center"/>
                </w:tcPr>
                <w:p w14:paraId="31361622">
                  <w:pPr>
                    <w:pStyle w:val="71"/>
                    <w:spacing w:line="240" w:lineRule="auto"/>
                    <w:ind w:left="0" w:leftChars="0" w:firstLine="0" w:firstLineChars="0"/>
                    <w:jc w:val="center"/>
                    <w:rPr>
                      <w:rFonts w:hint="default" w:ascii="Times New Roman" w:hAnsi="Times New Roman" w:eastAsia="宋体" w:cs="Times New Roman"/>
                      <w:snapToGrid/>
                      <w:color w:val="auto"/>
                      <w:kern w:val="2"/>
                      <w:sz w:val="21"/>
                      <w:szCs w:val="21"/>
                      <w:lang w:val="en-US" w:eastAsia="zh-CN" w:bidi="ar-SA"/>
                    </w:rPr>
                  </w:pPr>
                  <w:r>
                    <w:rPr>
                      <w:rFonts w:hint="eastAsia" w:ascii="Times New Roman" w:hAnsi="Times New Roman" w:eastAsia="宋体" w:cs="Times New Roman"/>
                      <w:snapToGrid/>
                      <w:color w:val="auto"/>
                      <w:kern w:val="2"/>
                      <w:sz w:val="21"/>
                      <w:szCs w:val="21"/>
                      <w:lang w:val="en-US" w:eastAsia="zh-CN" w:bidi="ar-SA"/>
                    </w:rPr>
                    <w:t>定期将</w:t>
                  </w:r>
                  <w:r>
                    <w:rPr>
                      <w:rFonts w:hint="default" w:ascii="Times New Roman" w:hAnsi="Times New Roman" w:eastAsia="宋体" w:cs="Times New Roman"/>
                      <w:snapToGrid/>
                      <w:color w:val="auto"/>
                      <w:kern w:val="2"/>
                      <w:sz w:val="21"/>
                      <w:szCs w:val="21"/>
                      <w:lang w:val="en-US" w:eastAsia="zh-CN" w:bidi="ar-SA"/>
                    </w:rPr>
                    <w:t>污泥拉运至生活垃圾填埋场处置</w:t>
                  </w:r>
                </w:p>
                <w:p w14:paraId="388A292A">
                  <w:pPr>
                    <w:pStyle w:val="23"/>
                    <w:spacing w:line="240" w:lineRule="auto"/>
                    <w:jc w:val="center"/>
                    <w:rPr>
                      <w:rFonts w:hint="eastAsia" w:ascii="Times New Roman" w:hAnsi="Times New Roman" w:eastAsia="宋体" w:cs="Times New Roman"/>
                      <w:color w:val="auto"/>
                      <w:kern w:val="2"/>
                      <w:sz w:val="21"/>
                      <w:szCs w:val="21"/>
                      <w:lang w:val="en-US" w:eastAsia="zh-CN" w:bidi="ar-SA"/>
                    </w:rPr>
                  </w:pPr>
                </w:p>
              </w:tc>
            </w:tr>
            <w:tr w14:paraId="43C329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 w:type="pct"/>
                  <w:tcBorders>
                    <w:tl2br w:val="nil"/>
                    <w:tr2bl w:val="nil"/>
                  </w:tcBorders>
                  <w:vAlign w:val="center"/>
                </w:tcPr>
                <w:p w14:paraId="5F93C5FC">
                  <w:pPr>
                    <w:pStyle w:val="23"/>
                    <w:spacing w:line="240" w:lineRule="auto"/>
                    <w:jc w:val="center"/>
                    <w:rPr>
                      <w:rFonts w:hint="default"/>
                      <w:color w:val="auto"/>
                      <w:sz w:val="21"/>
                      <w:szCs w:val="21"/>
                      <w:lang w:val="en-US" w:eastAsia="zh-CN"/>
                    </w:rPr>
                  </w:pPr>
                  <w:r>
                    <w:rPr>
                      <w:rFonts w:hint="eastAsia"/>
                      <w:color w:val="auto"/>
                      <w:sz w:val="21"/>
                      <w:szCs w:val="21"/>
                      <w:lang w:val="en-US" w:eastAsia="zh-CN"/>
                    </w:rPr>
                    <w:t>5</w:t>
                  </w:r>
                </w:p>
              </w:tc>
              <w:tc>
                <w:tcPr>
                  <w:tcW w:w="527" w:type="pct"/>
                  <w:tcBorders>
                    <w:tl2br w:val="nil"/>
                    <w:tr2bl w:val="nil"/>
                  </w:tcBorders>
                  <w:vAlign w:val="center"/>
                </w:tcPr>
                <w:p w14:paraId="33004554">
                  <w:pPr>
                    <w:pStyle w:val="23"/>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生活垃圾</w:t>
                  </w:r>
                </w:p>
              </w:tc>
              <w:tc>
                <w:tcPr>
                  <w:tcW w:w="548" w:type="pct"/>
                  <w:tcBorders>
                    <w:tl2br w:val="nil"/>
                    <w:tr2bl w:val="nil"/>
                  </w:tcBorders>
                  <w:vAlign w:val="center"/>
                </w:tcPr>
                <w:p w14:paraId="6280A185">
                  <w:pPr>
                    <w:pStyle w:val="23"/>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职工生活</w:t>
                  </w:r>
                </w:p>
              </w:tc>
              <w:tc>
                <w:tcPr>
                  <w:tcW w:w="522" w:type="pct"/>
                  <w:tcBorders>
                    <w:tl2br w:val="nil"/>
                    <w:tr2bl w:val="nil"/>
                  </w:tcBorders>
                  <w:vAlign w:val="center"/>
                </w:tcPr>
                <w:p w14:paraId="58799A2A">
                  <w:pPr>
                    <w:pStyle w:val="23"/>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生活垃圾</w:t>
                  </w:r>
                </w:p>
              </w:tc>
              <w:tc>
                <w:tcPr>
                  <w:tcW w:w="476" w:type="pct"/>
                  <w:tcBorders>
                    <w:tl2br w:val="nil"/>
                    <w:tr2bl w:val="nil"/>
                  </w:tcBorders>
                  <w:vAlign w:val="center"/>
                </w:tcPr>
                <w:p w14:paraId="092FABE4">
                  <w:pPr>
                    <w:pStyle w:val="23"/>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770" w:type="pct"/>
                  <w:tcBorders>
                    <w:tl2br w:val="nil"/>
                    <w:tr2bl w:val="nil"/>
                  </w:tcBorders>
                  <w:vAlign w:val="center"/>
                </w:tcPr>
                <w:p w14:paraId="2C3E01F9">
                  <w:pPr>
                    <w:pStyle w:val="23"/>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482" w:type="pct"/>
                  <w:tcBorders>
                    <w:tl2br w:val="nil"/>
                    <w:tr2bl w:val="nil"/>
                  </w:tcBorders>
                  <w:vAlign w:val="center"/>
                </w:tcPr>
                <w:p w14:paraId="2F75ED48">
                  <w:pPr>
                    <w:pStyle w:val="23"/>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10.8</w:t>
                  </w:r>
                </w:p>
              </w:tc>
              <w:tc>
                <w:tcPr>
                  <w:tcW w:w="1413" w:type="pct"/>
                  <w:tcBorders>
                    <w:tl2br w:val="nil"/>
                    <w:tr2bl w:val="nil"/>
                  </w:tcBorders>
                  <w:vAlign w:val="center"/>
                </w:tcPr>
                <w:p w14:paraId="37074843">
                  <w:pPr>
                    <w:pStyle w:val="23"/>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环卫部门</w:t>
                  </w:r>
                  <w:r>
                    <w:rPr>
                      <w:rFonts w:hint="eastAsia"/>
                      <w:color w:val="auto"/>
                      <w:sz w:val="21"/>
                      <w:szCs w:val="21"/>
                      <w:lang w:val="en-US" w:eastAsia="zh-CN"/>
                    </w:rPr>
                    <w:t>统一清运</w:t>
                  </w:r>
                </w:p>
              </w:tc>
            </w:tr>
            <w:tr w14:paraId="28F47A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tcBorders>
                    <w:tl2br w:val="nil"/>
                    <w:tr2bl w:val="nil"/>
                  </w:tcBorders>
                  <w:vAlign w:val="center"/>
                </w:tcPr>
                <w:p w14:paraId="41978256">
                  <w:pPr>
                    <w:pStyle w:val="23"/>
                    <w:spacing w:line="240" w:lineRule="auto"/>
                    <w:jc w:val="center"/>
                    <w:rPr>
                      <w:rFonts w:hint="eastAsia" w:eastAsia="宋体"/>
                      <w:color w:val="auto"/>
                      <w:sz w:val="21"/>
                      <w:szCs w:val="21"/>
                      <w:lang w:eastAsia="zh-CN"/>
                    </w:rPr>
                  </w:pPr>
                  <w:r>
                    <w:rPr>
                      <w:rFonts w:hint="eastAsia"/>
                      <w:color w:val="auto"/>
                      <w:sz w:val="21"/>
                      <w:szCs w:val="21"/>
                      <w:lang w:val="en-US" w:eastAsia="zh-CN"/>
                    </w:rPr>
                    <w:t>6</w:t>
                  </w:r>
                </w:p>
              </w:tc>
              <w:tc>
                <w:tcPr>
                  <w:tcW w:w="527" w:type="pct"/>
                  <w:tcBorders>
                    <w:tl2br w:val="nil"/>
                    <w:tr2bl w:val="nil"/>
                  </w:tcBorders>
                  <w:vAlign w:val="center"/>
                </w:tcPr>
                <w:p w14:paraId="6720F4A4">
                  <w:pPr>
                    <w:pStyle w:val="23"/>
                    <w:spacing w:line="240" w:lineRule="auto"/>
                    <w:jc w:val="center"/>
                    <w:rPr>
                      <w:color w:val="auto"/>
                      <w:sz w:val="21"/>
                      <w:szCs w:val="21"/>
                    </w:rPr>
                  </w:pPr>
                  <w:r>
                    <w:rPr>
                      <w:rFonts w:hint="eastAsia"/>
                      <w:color w:val="auto"/>
                      <w:sz w:val="21"/>
                      <w:szCs w:val="21"/>
                    </w:rPr>
                    <w:t>废机油</w:t>
                  </w:r>
                </w:p>
              </w:tc>
              <w:tc>
                <w:tcPr>
                  <w:tcW w:w="548" w:type="pct"/>
                  <w:tcBorders>
                    <w:tl2br w:val="nil"/>
                    <w:tr2bl w:val="nil"/>
                  </w:tcBorders>
                  <w:vAlign w:val="center"/>
                </w:tcPr>
                <w:p w14:paraId="4FB32D97">
                  <w:pPr>
                    <w:pStyle w:val="23"/>
                    <w:spacing w:line="240" w:lineRule="auto"/>
                    <w:jc w:val="center"/>
                    <w:rPr>
                      <w:color w:val="auto"/>
                      <w:sz w:val="21"/>
                      <w:szCs w:val="21"/>
                    </w:rPr>
                  </w:pPr>
                  <w:r>
                    <w:rPr>
                      <w:rFonts w:hint="eastAsia"/>
                      <w:color w:val="auto"/>
                      <w:sz w:val="21"/>
                      <w:szCs w:val="21"/>
                    </w:rPr>
                    <w:t>设备保养维护</w:t>
                  </w:r>
                </w:p>
              </w:tc>
              <w:tc>
                <w:tcPr>
                  <w:tcW w:w="522" w:type="pct"/>
                  <w:tcBorders>
                    <w:tl2br w:val="nil"/>
                    <w:tr2bl w:val="nil"/>
                  </w:tcBorders>
                  <w:vAlign w:val="center"/>
                </w:tcPr>
                <w:p w14:paraId="37CD7301">
                  <w:pPr>
                    <w:pStyle w:val="23"/>
                    <w:spacing w:line="240" w:lineRule="auto"/>
                    <w:jc w:val="center"/>
                    <w:rPr>
                      <w:color w:val="auto"/>
                      <w:sz w:val="21"/>
                      <w:szCs w:val="21"/>
                    </w:rPr>
                  </w:pPr>
                  <w:r>
                    <w:rPr>
                      <w:rFonts w:hint="eastAsia"/>
                      <w:color w:val="auto"/>
                      <w:sz w:val="21"/>
                      <w:szCs w:val="21"/>
                    </w:rPr>
                    <w:t>危险废物</w:t>
                  </w:r>
                </w:p>
              </w:tc>
              <w:tc>
                <w:tcPr>
                  <w:tcW w:w="476" w:type="pct"/>
                  <w:tcBorders>
                    <w:tl2br w:val="nil"/>
                    <w:tr2bl w:val="nil"/>
                  </w:tcBorders>
                  <w:vAlign w:val="center"/>
                </w:tcPr>
                <w:p w14:paraId="64D4F19A">
                  <w:pPr>
                    <w:pStyle w:val="23"/>
                    <w:spacing w:line="240" w:lineRule="auto"/>
                    <w:jc w:val="center"/>
                    <w:rPr>
                      <w:color w:val="auto"/>
                      <w:sz w:val="21"/>
                      <w:szCs w:val="21"/>
                    </w:rPr>
                  </w:pPr>
                  <w:r>
                    <w:rPr>
                      <w:rFonts w:hint="eastAsia"/>
                      <w:color w:val="auto"/>
                      <w:sz w:val="21"/>
                      <w:szCs w:val="21"/>
                    </w:rPr>
                    <w:t>HW08</w:t>
                  </w:r>
                </w:p>
              </w:tc>
              <w:tc>
                <w:tcPr>
                  <w:tcW w:w="770" w:type="pct"/>
                  <w:tcBorders>
                    <w:tl2br w:val="nil"/>
                    <w:tr2bl w:val="nil"/>
                  </w:tcBorders>
                  <w:vAlign w:val="center"/>
                </w:tcPr>
                <w:p w14:paraId="089A6430">
                  <w:pPr>
                    <w:pStyle w:val="23"/>
                    <w:spacing w:line="240" w:lineRule="auto"/>
                    <w:jc w:val="center"/>
                    <w:rPr>
                      <w:color w:val="auto"/>
                      <w:sz w:val="21"/>
                      <w:szCs w:val="21"/>
                    </w:rPr>
                  </w:pPr>
                  <w:r>
                    <w:rPr>
                      <w:rFonts w:hint="eastAsia"/>
                      <w:color w:val="auto"/>
                      <w:sz w:val="21"/>
                      <w:szCs w:val="21"/>
                    </w:rPr>
                    <w:t>900-21</w:t>
                  </w:r>
                  <w:r>
                    <w:rPr>
                      <w:rFonts w:hint="eastAsia"/>
                      <w:color w:val="auto"/>
                      <w:sz w:val="21"/>
                      <w:szCs w:val="21"/>
                      <w:lang w:val="en-US" w:eastAsia="zh-CN"/>
                    </w:rPr>
                    <w:t>4</w:t>
                  </w:r>
                  <w:r>
                    <w:rPr>
                      <w:rFonts w:hint="eastAsia"/>
                      <w:color w:val="auto"/>
                      <w:sz w:val="21"/>
                      <w:szCs w:val="21"/>
                    </w:rPr>
                    <w:t>-08</w:t>
                  </w:r>
                </w:p>
              </w:tc>
              <w:tc>
                <w:tcPr>
                  <w:tcW w:w="482" w:type="pct"/>
                  <w:tcBorders>
                    <w:tl2br w:val="nil"/>
                    <w:tr2bl w:val="nil"/>
                  </w:tcBorders>
                  <w:vAlign w:val="center"/>
                </w:tcPr>
                <w:p w14:paraId="0021ED80">
                  <w:pPr>
                    <w:pStyle w:val="23"/>
                    <w:spacing w:line="240" w:lineRule="auto"/>
                    <w:jc w:val="center"/>
                    <w:rPr>
                      <w:color w:val="auto"/>
                      <w:sz w:val="21"/>
                      <w:szCs w:val="21"/>
                    </w:rPr>
                  </w:pPr>
                  <w:r>
                    <w:rPr>
                      <w:rFonts w:hint="eastAsia"/>
                      <w:color w:val="auto"/>
                      <w:sz w:val="21"/>
                      <w:szCs w:val="21"/>
                    </w:rPr>
                    <w:t>0.6</w:t>
                  </w:r>
                </w:p>
              </w:tc>
              <w:tc>
                <w:tcPr>
                  <w:tcW w:w="1413" w:type="pct"/>
                  <w:tcBorders>
                    <w:tl2br w:val="nil"/>
                    <w:tr2bl w:val="nil"/>
                  </w:tcBorders>
                  <w:vAlign w:val="center"/>
                </w:tcPr>
                <w:p w14:paraId="63F57DC5">
                  <w:pPr>
                    <w:pStyle w:val="23"/>
                    <w:spacing w:line="240" w:lineRule="auto"/>
                    <w:jc w:val="center"/>
                    <w:rPr>
                      <w:rFonts w:hint="eastAsia" w:eastAsia="宋体"/>
                      <w:color w:val="auto"/>
                      <w:sz w:val="21"/>
                      <w:szCs w:val="21"/>
                      <w:lang w:eastAsia="zh-CN"/>
                    </w:rPr>
                  </w:pPr>
                  <w:r>
                    <w:rPr>
                      <w:rFonts w:hint="eastAsia" w:ascii="Times New Roman" w:hAnsi="Times New Roman" w:eastAsia="宋体" w:cs="Times New Roman"/>
                      <w:color w:val="auto"/>
                      <w:sz w:val="21"/>
                      <w:szCs w:val="21"/>
                    </w:rPr>
                    <w:t>危废暂存间暂存，委托有资质的单位处置</w:t>
                  </w:r>
                  <w:r>
                    <w:rPr>
                      <w:rFonts w:hint="eastAsia"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rPr>
                    <w:t>执行《危险废物贮存污染控制标准》（GB18597-2023）相关要求</w:t>
                  </w:r>
                </w:p>
              </w:tc>
            </w:tr>
          </w:tbl>
          <w:p w14:paraId="736E273E">
            <w:pPr>
              <w:pStyle w:val="71"/>
              <w:spacing w:line="360" w:lineRule="auto"/>
              <w:ind w:left="0" w:leftChars="0" w:firstLine="480" w:firstLineChars="200"/>
              <w:rPr>
                <w:rFonts w:hint="eastAsia"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000000"/>
              </w:rPr>
              <w:t>由上表可以得出该项目所产生的各种固体废物均具有良好的处置方法，处置率100%，符合固体废物减量化、资源化、无害化要求，防治措施可行，不会对周围环境产生影响。</w:t>
            </w:r>
          </w:p>
          <w:p w14:paraId="36F5422C">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4.</w:t>
            </w:r>
            <w:r>
              <w:rPr>
                <w:rFonts w:hint="eastAsia" w:cs="Times New Roman"/>
                <w:b/>
                <w:bCs/>
                <w:color w:val="auto"/>
                <w:sz w:val="24"/>
                <w:lang w:val="en-US" w:eastAsia="zh-CN"/>
              </w:rPr>
              <w:t>5</w:t>
            </w:r>
            <w:r>
              <w:rPr>
                <w:rFonts w:hint="eastAsia" w:ascii="Times New Roman" w:hAnsi="Times New Roman" w:eastAsia="宋体" w:cs="Times New Roman"/>
                <w:b/>
                <w:bCs/>
                <w:color w:val="auto"/>
                <w:sz w:val="24"/>
              </w:rPr>
              <w:t>固废环境管理要求</w:t>
            </w:r>
          </w:p>
          <w:p w14:paraId="0AB79A65">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本项目不合格混凝土、</w:t>
            </w:r>
            <w:r>
              <w:rPr>
                <w:rFonts w:hint="eastAsia" w:cs="Times New Roman"/>
                <w:color w:val="auto"/>
                <w:kern w:val="0"/>
                <w:sz w:val="24"/>
                <w:lang w:eastAsia="zh-CN"/>
              </w:rPr>
              <w:t>布袋除尘器收集的粉尘</w:t>
            </w:r>
            <w:r>
              <w:rPr>
                <w:rFonts w:hint="eastAsia" w:ascii="Times New Roman" w:hAnsi="Times New Roman" w:eastAsia="宋体" w:cs="Times New Roman"/>
                <w:color w:val="auto"/>
                <w:kern w:val="0"/>
                <w:sz w:val="24"/>
              </w:rPr>
              <w:t>、</w:t>
            </w:r>
            <w:r>
              <w:rPr>
                <w:rFonts w:hint="eastAsia" w:cs="Times New Roman"/>
                <w:color w:val="auto"/>
                <w:kern w:val="0"/>
                <w:sz w:val="24"/>
                <w:lang w:eastAsia="zh-CN"/>
              </w:rPr>
              <w:t>沉淀池沉淀物</w:t>
            </w:r>
            <w:r>
              <w:rPr>
                <w:rFonts w:hint="eastAsia" w:ascii="Times New Roman" w:hAnsi="Times New Roman" w:eastAsia="宋体" w:cs="Times New Roman"/>
                <w:color w:val="auto"/>
                <w:kern w:val="0"/>
                <w:sz w:val="24"/>
              </w:rPr>
              <w:t>回用于生产工序，</w:t>
            </w:r>
            <w:r>
              <w:rPr>
                <w:rFonts w:ascii="Times New Roman" w:hAnsi="Times New Roman" w:eastAsia="宋体" w:cs="Times New Roman"/>
                <w:color w:val="auto"/>
                <w:kern w:val="0"/>
                <w:sz w:val="24"/>
              </w:rPr>
              <w:t>生活垃圾暂存</w:t>
            </w:r>
            <w:r>
              <w:rPr>
                <w:rFonts w:hint="eastAsia" w:ascii="Times New Roman" w:hAnsi="Times New Roman" w:eastAsia="宋体" w:cs="Times New Roman"/>
                <w:color w:val="auto"/>
                <w:kern w:val="0"/>
                <w:sz w:val="24"/>
              </w:rPr>
              <w:t>于</w:t>
            </w:r>
            <w:r>
              <w:rPr>
                <w:rFonts w:ascii="Times New Roman" w:hAnsi="Times New Roman" w:eastAsia="宋体" w:cs="Times New Roman"/>
                <w:color w:val="auto"/>
                <w:kern w:val="0"/>
                <w:sz w:val="24"/>
              </w:rPr>
              <w:t>垃圾桶、袋中，集中收集后交环卫部门</w:t>
            </w:r>
            <w:r>
              <w:rPr>
                <w:rFonts w:hint="eastAsia" w:cs="Times New Roman"/>
                <w:color w:val="auto"/>
                <w:kern w:val="0"/>
                <w:sz w:val="24"/>
                <w:lang w:val="en-US" w:eastAsia="zh-CN"/>
              </w:rPr>
              <w:t>统一</w:t>
            </w:r>
            <w:r>
              <w:rPr>
                <w:rFonts w:ascii="Times New Roman" w:hAnsi="Times New Roman" w:eastAsia="宋体" w:cs="Times New Roman"/>
                <w:color w:val="auto"/>
                <w:kern w:val="0"/>
                <w:sz w:val="24"/>
              </w:rPr>
              <w:t>处理</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一体化污水处理设施产生的污泥定期拉运至生活垃圾填埋场处置，</w:t>
            </w:r>
            <w:r>
              <w:rPr>
                <w:rFonts w:hint="eastAsia" w:ascii="Times New Roman" w:hAnsi="Times New Roman" w:eastAsia="宋体" w:cs="Times New Roman"/>
                <w:color w:val="auto"/>
                <w:kern w:val="0"/>
                <w:sz w:val="24"/>
                <w:lang w:val="en-US" w:eastAsia="zh-CN"/>
              </w:rPr>
              <w:t>禁止随意倾倒不合格混凝土、罐车剩余或清洗混凝土</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rPr>
              <w:t>危险废物废机油集中收集在危险废物暂存间内，委托有资质的单位处置。建设单位</w:t>
            </w:r>
            <w:r>
              <w:rPr>
                <w:rFonts w:ascii="Times New Roman" w:hAnsi="Times New Roman" w:eastAsia="宋体" w:cs="Times New Roman"/>
                <w:color w:val="auto"/>
                <w:kern w:val="0"/>
                <w:sz w:val="24"/>
              </w:rPr>
              <w:t>严格按照《一般工业固体废物贮存和填埋污染控制标准》（GB18599-2020）</w:t>
            </w:r>
            <w:r>
              <w:rPr>
                <w:rFonts w:hint="eastAsia" w:cs="Times New Roman"/>
                <w:color w:val="auto"/>
                <w:kern w:val="0"/>
                <w:sz w:val="24"/>
                <w:lang w:eastAsia="zh-CN"/>
              </w:rPr>
              <w:t>、</w:t>
            </w:r>
            <w:r>
              <w:rPr>
                <w:rFonts w:ascii="Times New Roman" w:hAnsi="Times New Roman" w:eastAsia="宋体" w:cs="Times New Roman"/>
                <w:color w:val="auto"/>
                <w:sz w:val="24"/>
                <w:szCs w:val="24"/>
              </w:rPr>
              <w:t>《危险废物贮存污染控制标准》（GB18597-2023）</w:t>
            </w:r>
            <w:r>
              <w:rPr>
                <w:rFonts w:ascii="Times New Roman" w:hAnsi="Times New Roman" w:eastAsia="宋体" w:cs="Times New Roman"/>
                <w:color w:val="auto"/>
                <w:kern w:val="0"/>
                <w:sz w:val="24"/>
              </w:rPr>
              <w:t>对固体废物进行处理处置</w:t>
            </w:r>
            <w:r>
              <w:rPr>
                <w:rFonts w:hint="eastAsia" w:cs="Times New Roman"/>
                <w:color w:val="auto"/>
                <w:kern w:val="0"/>
                <w:sz w:val="24"/>
                <w:lang w:eastAsia="zh-CN"/>
              </w:rPr>
              <w:t>，</w:t>
            </w:r>
            <w:r>
              <w:rPr>
                <w:rFonts w:hint="eastAsia" w:cs="Times New Roman"/>
                <w:color w:val="auto"/>
                <w:kern w:val="0"/>
                <w:sz w:val="24"/>
                <w:lang w:val="en-US" w:eastAsia="zh-CN"/>
              </w:rPr>
              <w:t>规范建立一般工业固体废物台账、危险废物台账</w:t>
            </w:r>
            <w:r>
              <w:rPr>
                <w:rFonts w:hint="eastAsia" w:ascii="Times New Roman" w:hAnsi="Times New Roman" w:eastAsia="宋体" w:cs="Times New Roman"/>
                <w:color w:val="auto"/>
                <w:kern w:val="0"/>
                <w:sz w:val="24"/>
              </w:rPr>
              <w:t>。</w:t>
            </w:r>
          </w:p>
          <w:p w14:paraId="663CE7D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本项目新建1座</w:t>
            </w:r>
            <w:r>
              <w:rPr>
                <w:rFonts w:hint="eastAsia" w:ascii="Times New Roman" w:hAnsi="Times New Roman" w:eastAsia="宋体" w:cs="Times New Roman"/>
                <w:color w:val="auto"/>
                <w:kern w:val="0"/>
                <w:sz w:val="24"/>
              </w:rPr>
              <w:t>10m</w:t>
            </w:r>
            <w:r>
              <w:rPr>
                <w:rFonts w:hint="eastAsia" w:ascii="Times New Roman" w:hAnsi="Times New Roman" w:eastAsia="宋体" w:cs="Times New Roman"/>
                <w:color w:val="auto"/>
                <w:kern w:val="0"/>
                <w:sz w:val="24"/>
                <w:vertAlign w:val="superscript"/>
              </w:rPr>
              <w:t>2</w:t>
            </w:r>
            <w:r>
              <w:rPr>
                <w:rFonts w:ascii="Times New Roman" w:hAnsi="Times New Roman" w:eastAsia="宋体" w:cs="Times New Roman"/>
                <w:color w:val="auto"/>
                <w:kern w:val="0"/>
                <w:sz w:val="24"/>
              </w:rPr>
              <w:t>危废暂存间，危废暂存间按照《危险废物贮存污染控制标准》（GB18597-</w:t>
            </w:r>
            <w:r>
              <w:rPr>
                <w:rFonts w:hint="eastAsia" w:cs="Times New Roman"/>
                <w:color w:val="auto"/>
                <w:kern w:val="0"/>
                <w:sz w:val="24"/>
                <w:lang w:val="en-US" w:eastAsia="zh-CN"/>
              </w:rPr>
              <w:t>2023）</w:t>
            </w:r>
            <w:r>
              <w:rPr>
                <w:rFonts w:ascii="Times New Roman" w:hAnsi="Times New Roman" w:eastAsia="宋体" w:cs="Times New Roman"/>
                <w:color w:val="auto"/>
                <w:kern w:val="0"/>
                <w:sz w:val="24"/>
              </w:rPr>
              <w:t>要求，建设危废暂存间必须做防渗处理，并满足生态环境管理部门的要求，在醒目的位置安装危废标识牌。危废暂存间用于暂存废机油，危险废物收集后存放于危废暂存间，并做好防扬散、防流失、防渗漏措施，由危废处置单位委托具有危险货物专业运输资质的运输单位进行承运，并根据规定实施危废转移联单制度。</w:t>
            </w:r>
          </w:p>
          <w:p w14:paraId="2797DEA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 xml:space="preserve">（1）贮存场所污染防治措施 </w:t>
            </w:r>
          </w:p>
          <w:p w14:paraId="60C73D7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项目危废暂存</w:t>
            </w:r>
            <w:r>
              <w:rPr>
                <w:rFonts w:hint="eastAsia" w:cs="Times New Roman"/>
                <w:color w:val="auto"/>
                <w:kern w:val="0"/>
                <w:sz w:val="24"/>
                <w:lang w:val="en-US" w:eastAsia="zh-CN"/>
              </w:rPr>
              <w:t>间</w:t>
            </w:r>
            <w:r>
              <w:rPr>
                <w:rFonts w:ascii="Times New Roman" w:hAnsi="Times New Roman" w:eastAsia="宋体" w:cs="Times New Roman"/>
                <w:color w:val="auto"/>
                <w:kern w:val="0"/>
                <w:sz w:val="24"/>
              </w:rPr>
              <w:t>所严格按照《危险废物贮存污染控制标准》（GB18597-</w:t>
            </w:r>
            <w:r>
              <w:rPr>
                <w:rFonts w:hint="eastAsia" w:cs="Times New Roman"/>
                <w:color w:val="auto"/>
                <w:kern w:val="0"/>
                <w:sz w:val="24"/>
                <w:lang w:val="en-US" w:eastAsia="zh-CN"/>
              </w:rPr>
              <w:t>2023）</w:t>
            </w:r>
            <w:r>
              <w:rPr>
                <w:rFonts w:ascii="Times New Roman" w:hAnsi="Times New Roman" w:eastAsia="宋体" w:cs="Times New Roman"/>
                <w:color w:val="auto"/>
                <w:kern w:val="0"/>
                <w:sz w:val="24"/>
              </w:rPr>
              <w:t xml:space="preserve">要求规范建设和维护使用，做到防扬散、防流失、防渗漏等措施，具体情况如下： </w:t>
            </w:r>
          </w:p>
          <w:p w14:paraId="3B94498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①在危废暂存</w:t>
            </w:r>
            <w:r>
              <w:rPr>
                <w:rFonts w:hint="eastAsia" w:cs="Times New Roman"/>
                <w:color w:val="auto"/>
                <w:kern w:val="0"/>
                <w:sz w:val="24"/>
                <w:lang w:val="en-US" w:eastAsia="zh-CN"/>
              </w:rPr>
              <w:t>间</w:t>
            </w:r>
            <w:r>
              <w:rPr>
                <w:rFonts w:ascii="Times New Roman" w:hAnsi="Times New Roman" w:eastAsia="宋体" w:cs="Times New Roman"/>
                <w:color w:val="auto"/>
                <w:kern w:val="0"/>
                <w:sz w:val="24"/>
              </w:rPr>
              <w:t>所显著位置张贴危险废物的标识，根据《危险废物贮存污染控制标准》（GB18597-</w:t>
            </w:r>
            <w:r>
              <w:rPr>
                <w:rFonts w:hint="eastAsia" w:cs="Times New Roman"/>
                <w:color w:val="auto"/>
                <w:kern w:val="0"/>
                <w:sz w:val="24"/>
                <w:lang w:val="en-US" w:eastAsia="zh-CN"/>
              </w:rPr>
              <w:t>2023）</w:t>
            </w:r>
            <w:r>
              <w:rPr>
                <w:rFonts w:ascii="Times New Roman" w:hAnsi="Times New Roman" w:eastAsia="宋体" w:cs="Times New Roman"/>
                <w:color w:val="auto"/>
                <w:kern w:val="0"/>
                <w:sz w:val="24"/>
              </w:rPr>
              <w:t>相关要求，盛装危险废物的容器上必须粘贴符合标准的标签。</w:t>
            </w:r>
          </w:p>
          <w:p w14:paraId="66EB8AF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②本项目危废暂存</w:t>
            </w:r>
            <w:r>
              <w:rPr>
                <w:rFonts w:hint="eastAsia" w:cs="Times New Roman"/>
                <w:color w:val="auto"/>
                <w:kern w:val="0"/>
                <w:sz w:val="24"/>
                <w:lang w:val="en-US" w:eastAsia="zh-CN"/>
              </w:rPr>
              <w:t>间</w:t>
            </w:r>
            <w:r>
              <w:rPr>
                <w:rFonts w:ascii="Times New Roman" w:hAnsi="Times New Roman" w:eastAsia="宋体" w:cs="Times New Roman"/>
                <w:color w:val="auto"/>
                <w:kern w:val="0"/>
                <w:sz w:val="24"/>
              </w:rPr>
              <w:t>按照《危险废物贮存污染控制标准》（GB18597-</w:t>
            </w:r>
            <w:r>
              <w:rPr>
                <w:rFonts w:hint="eastAsia" w:cs="Times New Roman"/>
                <w:color w:val="auto"/>
                <w:kern w:val="0"/>
                <w:sz w:val="24"/>
                <w:lang w:val="en-US" w:eastAsia="zh-CN"/>
              </w:rPr>
              <w:t>2023）</w:t>
            </w:r>
            <w:r>
              <w:rPr>
                <w:rFonts w:ascii="Times New Roman" w:hAnsi="Times New Roman" w:eastAsia="宋体" w:cs="Times New Roman"/>
                <w:color w:val="auto"/>
                <w:kern w:val="0"/>
                <w:sz w:val="24"/>
              </w:rPr>
              <w:t>要求进行建设，设置防渗、防漏等措施。</w:t>
            </w:r>
          </w:p>
          <w:p w14:paraId="004A745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 xml:space="preserve">③贮存场所地面须作硬化处理，设置废水导排管道或渠道，如产生冲洗废水需收集处理或纳入建设项目废水处理设施处理；贮存液态或半固态废物的，还应设置泄漏液体收集装置；场所应设置警示标志。装载危险废物的容器应确保完好无损。 </w:t>
            </w:r>
          </w:p>
          <w:p w14:paraId="5F30E30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④项目应加强危险储存场所的安全防范措施，防止破损、倾倒等情况发生。</w:t>
            </w:r>
          </w:p>
          <w:p w14:paraId="1411A43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（2）管理制度建设</w:t>
            </w:r>
          </w:p>
          <w:p w14:paraId="14CB6A85">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 xml:space="preserve">①建立固废防治责任制度：建设单位按要求建立、健全污染环境防治责任制度，明确责任人。负责人熟悉危险废物管理相关法规、制度、标准、规范。 </w:t>
            </w:r>
          </w:p>
          <w:p w14:paraId="21AAE03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 xml:space="preserve">②制定危险废物管理计划：按要求制定危险废物管理计划，计划涵盖危险废物的产生环节、种类、危害特性、产生量、利用处置方式并报环保部门备案，如发生重大改变及时申报。 </w:t>
            </w:r>
          </w:p>
          <w:p w14:paraId="3D637E9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 xml:space="preserve">③建立申报登记制度：如实地向所在地县级以上地方人民政府环境保护行政主管部门申报危险废物的种类、产生量、流向、贮存、处置等有关资料。 </w:t>
            </w:r>
          </w:p>
          <w:p w14:paraId="17AF3BBF">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④固废的暂存制度：项目产生的危险废物贮存执行《危险废物贮存污染控制标准》（GB18597-</w:t>
            </w:r>
            <w:r>
              <w:rPr>
                <w:rFonts w:hint="eastAsia" w:cs="Times New Roman"/>
                <w:color w:val="auto"/>
                <w:kern w:val="0"/>
                <w:sz w:val="24"/>
                <w:lang w:val="en-US" w:eastAsia="zh-CN"/>
              </w:rPr>
              <w:t>2023）</w:t>
            </w:r>
            <w:r>
              <w:rPr>
                <w:rFonts w:ascii="Times New Roman" w:hAnsi="Times New Roman" w:eastAsia="宋体" w:cs="Times New Roman"/>
                <w:color w:val="auto"/>
                <w:kern w:val="0"/>
                <w:sz w:val="24"/>
              </w:rPr>
              <w:t>及《危险废物收集储存运输技术规范》（HJ2025-2012）中相关规定要求，根据危险废物的包装、贮存设施的选址、设计、运行、安全防护、监测和关闭等要求进行合理的贮存。</w:t>
            </w:r>
          </w:p>
          <w:p w14:paraId="5A2B0D2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危险废物转运要求：①危险废物的运输应采取危险废物转移电子联单制度，保证运输安全，防止非法转移和非法处置，保证危险废物的安全监控，防止危险废物污染事故发生。②危险废物产生者和危险废物贮存设施经营者均须</w:t>
            </w:r>
            <w:r>
              <w:rPr>
                <w:rFonts w:hint="eastAsia" w:ascii="Times New Roman" w:hAnsi="Times New Roman" w:eastAsia="宋体" w:cs="Times New Roman"/>
                <w:color w:val="auto"/>
                <w:kern w:val="0"/>
                <w:sz w:val="24"/>
                <w:lang w:eastAsia="zh-CN"/>
              </w:rPr>
              <w:t>做好</w:t>
            </w:r>
            <w:r>
              <w:rPr>
                <w:rFonts w:ascii="Times New Roman" w:hAnsi="Times New Roman" w:eastAsia="宋体" w:cs="Times New Roman"/>
                <w:color w:val="auto"/>
                <w:kern w:val="0"/>
                <w:sz w:val="24"/>
              </w:rPr>
              <w:t>危险废物情况的记录，记录上须注明危险废物的名称、来源、数量、特性和包装容器的类别、入库日期、存放库位、废物出库日期及接收单位名称，危险废物的记录和货单在危险废物回收后应继续保留5年。</w:t>
            </w:r>
          </w:p>
          <w:p w14:paraId="6B056EE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建设单位严格按照转移联单要求做好危废的去向记录，确保废物由有资质的单位进行处置，不得随意倾倒。针对危险废物，应严格按照《危险废物贮存污染控制标准</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危险废物转移管理办法》和“五联单”方式对危险废物进行暂存和转移管理，并及时交与具备处理资质的单位进行处理，将管理联单和危废处理协议送生态环境局备案。</w:t>
            </w:r>
          </w:p>
          <w:p w14:paraId="0B756EC1">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综上所述，</w:t>
            </w:r>
            <w:r>
              <w:rPr>
                <w:rFonts w:hint="eastAsia" w:ascii="Times New Roman" w:hAnsi="Times New Roman" w:eastAsia="宋体" w:cs="Times New Roman"/>
                <w:color w:val="auto"/>
                <w:kern w:val="0"/>
                <w:sz w:val="24"/>
              </w:rPr>
              <w:t>本</w:t>
            </w:r>
            <w:r>
              <w:rPr>
                <w:rFonts w:ascii="Times New Roman" w:hAnsi="Times New Roman" w:eastAsia="宋体" w:cs="Times New Roman"/>
                <w:color w:val="auto"/>
                <w:kern w:val="0"/>
                <w:sz w:val="24"/>
              </w:rPr>
              <w:t>项目的各类</w:t>
            </w:r>
            <w:r>
              <w:rPr>
                <w:rFonts w:hint="eastAsia" w:ascii="Times New Roman" w:hAnsi="Times New Roman" w:eastAsia="宋体" w:cs="Times New Roman"/>
                <w:color w:val="auto"/>
                <w:kern w:val="0"/>
                <w:sz w:val="24"/>
              </w:rPr>
              <w:t>固体废物</w:t>
            </w:r>
            <w:r>
              <w:rPr>
                <w:rFonts w:ascii="Times New Roman" w:hAnsi="Times New Roman" w:eastAsia="宋体" w:cs="Times New Roman"/>
                <w:color w:val="auto"/>
                <w:kern w:val="0"/>
                <w:sz w:val="24"/>
              </w:rPr>
              <w:t>均能得到合理妥善的处置，因此对环境影响较小。</w:t>
            </w:r>
          </w:p>
          <w:p w14:paraId="0DE8F8FC">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5.地下水、土壤环境影响及保护措施</w:t>
            </w:r>
          </w:p>
          <w:p w14:paraId="22CFC038">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5.1地下水、土壤环境影响分析</w:t>
            </w:r>
          </w:p>
          <w:p w14:paraId="47AE69DF">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本项目营运期的废机油由专用的桶状容器盛装，正常情况下不会造成渗漏，在非正常情况下危险废物发生泄漏，若处置不当则可能导致废液渗入地下，从而影响地下水、土壤质量。</w:t>
            </w:r>
          </w:p>
          <w:p w14:paraId="56C620B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本项目危废暂存间采取有效的防腐、防渗、防漏措施，对整个危险废物暂存间地面</w:t>
            </w:r>
            <w:r>
              <w:rPr>
                <w:rFonts w:hint="eastAsia" w:cs="Times New Roman"/>
                <w:color w:val="auto"/>
                <w:kern w:val="0"/>
                <w:sz w:val="24"/>
                <w:lang w:val="en-US" w:eastAsia="zh-CN"/>
              </w:rPr>
              <w:t>等进行</w:t>
            </w:r>
            <w:r>
              <w:rPr>
                <w:rFonts w:hint="eastAsia" w:ascii="Times New Roman" w:hAnsi="Times New Roman" w:eastAsia="宋体" w:cs="Times New Roman"/>
                <w:color w:val="auto"/>
                <w:kern w:val="0"/>
                <w:sz w:val="24"/>
              </w:rPr>
              <w:t>硬化。针对</w:t>
            </w:r>
            <w:r>
              <w:rPr>
                <w:rFonts w:hint="eastAsia" w:ascii="Times New Roman" w:hAnsi="Times New Roman" w:eastAsia="宋体" w:cs="Times New Roman"/>
                <w:color w:val="auto"/>
                <w:kern w:val="0"/>
                <w:sz w:val="24"/>
                <w:lang w:eastAsia="zh-CN"/>
              </w:rPr>
              <w:t>危险废物</w:t>
            </w:r>
            <w:r>
              <w:rPr>
                <w:rFonts w:hint="eastAsia" w:ascii="Times New Roman" w:hAnsi="Times New Roman" w:eastAsia="宋体" w:cs="Times New Roman"/>
                <w:color w:val="auto"/>
                <w:kern w:val="0"/>
                <w:sz w:val="24"/>
              </w:rPr>
              <w:t>暂存间的地面在抗渗混凝土基础上，铺设2mm厚高密度聚乙烯材料，或至少2mm厚</w:t>
            </w:r>
            <w:r>
              <w:rPr>
                <w:rFonts w:hint="eastAsia" w:ascii="Times New Roman" w:hAnsi="Times New Roman" w:eastAsia="宋体" w:cs="Times New Roman"/>
                <w:color w:val="auto"/>
                <w:kern w:val="0"/>
                <w:sz w:val="24"/>
                <w:lang w:eastAsia="zh-CN"/>
              </w:rPr>
              <w:t>的其他</w:t>
            </w:r>
            <w:r>
              <w:rPr>
                <w:rFonts w:hint="eastAsia" w:ascii="Times New Roman" w:hAnsi="Times New Roman" w:eastAsia="宋体" w:cs="Times New Roman"/>
                <w:color w:val="auto"/>
                <w:kern w:val="0"/>
                <w:sz w:val="24"/>
              </w:rPr>
              <w:t>人工材料，渗透系数≤10cm/s，保证无渗漏缝，符合《危险废物贮存污染控制标准》（GB18597-</w:t>
            </w:r>
            <w:r>
              <w:rPr>
                <w:rFonts w:hint="eastAsia" w:cs="Times New Roman"/>
                <w:color w:val="auto"/>
                <w:kern w:val="0"/>
                <w:sz w:val="24"/>
                <w:lang w:val="en-US" w:eastAsia="zh-CN"/>
              </w:rPr>
              <w:t>2023）</w:t>
            </w:r>
            <w:r>
              <w:rPr>
                <w:rFonts w:hint="eastAsia" w:ascii="Times New Roman" w:hAnsi="Times New Roman" w:eastAsia="宋体" w:cs="Times New Roman"/>
                <w:color w:val="auto"/>
                <w:kern w:val="0"/>
                <w:sz w:val="24"/>
              </w:rPr>
              <w:t>要求。池内刷防渗、防腐漆。项目运行期基本杜绝了地下水、土壤的污染途径，不会影响地下及土壤的变化。</w:t>
            </w:r>
          </w:p>
          <w:p w14:paraId="775C7EB0">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5.2防治措施</w:t>
            </w:r>
          </w:p>
          <w:p w14:paraId="0411267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为了进一步降低废液渗入地下对地下水及土壤产生影响，建议建设单位采取下列措施：</w:t>
            </w:r>
          </w:p>
          <w:p w14:paraId="0297397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（1）制定危险废物贮存库定期巡检制度，每天由专人负责对危险废物包装桶进行检查，如果发现有泄漏情况，立即报告相关领导，更换新的包装桶。</w:t>
            </w:r>
          </w:p>
          <w:p w14:paraId="260DE31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（2）源头控制措施：项目危险废物的装卸、暂存过程中，检查收集桶密封情况，防止危险废物</w:t>
            </w:r>
            <w:r>
              <w:rPr>
                <w:rFonts w:hint="eastAsia" w:cs="Times New Roman"/>
                <w:color w:val="auto"/>
                <w:kern w:val="0"/>
                <w:sz w:val="24"/>
                <w:lang w:val="en-US" w:eastAsia="zh-CN"/>
              </w:rPr>
              <w:t>泄露</w:t>
            </w:r>
            <w:r>
              <w:rPr>
                <w:rFonts w:hint="eastAsia" w:ascii="Times New Roman" w:hAnsi="Times New Roman" w:eastAsia="宋体" w:cs="Times New Roman"/>
                <w:color w:val="auto"/>
                <w:kern w:val="0"/>
                <w:sz w:val="24"/>
              </w:rPr>
              <w:t>。</w:t>
            </w:r>
          </w:p>
          <w:p w14:paraId="57FBA06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（3）地面防渗措施：定期检测各防渗措施，防止危险废物的</w:t>
            </w:r>
            <w:r>
              <w:rPr>
                <w:rFonts w:hint="eastAsia" w:cs="Times New Roman"/>
                <w:color w:val="auto"/>
                <w:kern w:val="0"/>
                <w:sz w:val="24"/>
                <w:lang w:val="en-US" w:eastAsia="zh-CN"/>
              </w:rPr>
              <w:t>泄露</w:t>
            </w:r>
            <w:r>
              <w:rPr>
                <w:rFonts w:hint="eastAsia" w:ascii="Times New Roman" w:hAnsi="Times New Roman" w:eastAsia="宋体" w:cs="Times New Roman"/>
                <w:color w:val="auto"/>
                <w:kern w:val="0"/>
                <w:sz w:val="24"/>
              </w:rPr>
              <w:t>，将污染物的环境风险事故降到最低。</w:t>
            </w:r>
          </w:p>
          <w:p w14:paraId="3FC7948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（4）加强厂内危险废物管理、环境风险事故处置能力，及时清运危险废物，缩短危险废物厂内储存时间。</w:t>
            </w:r>
          </w:p>
          <w:p w14:paraId="745376E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（5）分区防控措施</w:t>
            </w:r>
          </w:p>
          <w:p w14:paraId="540DB669">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根据可能泄漏至地面的污染物的性质和生产单元的构建方式，结合项目总平面布置情况，本项目</w:t>
            </w:r>
            <w:r>
              <w:rPr>
                <w:rFonts w:hint="eastAsia" w:cs="Times New Roman"/>
                <w:color w:val="auto"/>
                <w:sz w:val="24"/>
                <w:lang w:val="en-US" w:eastAsia="zh-CN"/>
              </w:rPr>
              <w:t>搅拌楼</w:t>
            </w:r>
            <w:r>
              <w:rPr>
                <w:rFonts w:hint="default" w:ascii="Times New Roman" w:hAnsi="Times New Roman" w:cs="Times New Roman"/>
                <w:color w:val="auto"/>
                <w:sz w:val="24"/>
                <w:lang w:val="en-US" w:eastAsia="zh-CN"/>
              </w:rPr>
              <w:t>为一般防渗区，危废暂存间为重点防渗区</w:t>
            </w:r>
            <w:r>
              <w:rPr>
                <w:rFonts w:hint="default" w:ascii="Times New Roman" w:hAnsi="Times New Roman" w:cs="Times New Roman"/>
                <w:color w:val="auto"/>
                <w:sz w:val="24"/>
              </w:rPr>
              <w:t>。对厂区可能泄漏污染物的地面进行防渗处理，可有效防治污染物渗入地下，并及时地将泄漏/渗漏的污染物收集并进行集中处理。</w:t>
            </w:r>
          </w:p>
          <w:p w14:paraId="569B1D3C">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一般防渗结构区主要为</w:t>
            </w:r>
            <w:r>
              <w:rPr>
                <w:rFonts w:hint="eastAsia" w:cs="Times New Roman"/>
                <w:color w:val="auto"/>
                <w:sz w:val="24"/>
                <w:lang w:val="en-US" w:eastAsia="zh-CN"/>
              </w:rPr>
              <w:t>搅拌楼、三级沉淀池</w:t>
            </w:r>
            <w:r>
              <w:rPr>
                <w:rFonts w:hint="default" w:ascii="Times New Roman" w:hAnsi="Times New Roman" w:cs="Times New Roman"/>
                <w:color w:val="auto"/>
                <w:sz w:val="24"/>
              </w:rPr>
              <w:t>，地面硬化处理，并按照相关要求设置防渗层，可选用天然或人工材料构筑防渗层，防渗层的防渗性能不应低于1.5m厚渗透系数为1.0×10</w:t>
            </w:r>
            <w:r>
              <w:rPr>
                <w:rFonts w:hint="default" w:ascii="Times New Roman" w:hAnsi="Times New Roman" w:cs="Times New Roman"/>
                <w:color w:val="auto"/>
                <w:sz w:val="24"/>
                <w:vertAlign w:val="superscript"/>
              </w:rPr>
              <w:t>-7</w:t>
            </w:r>
            <w:r>
              <w:rPr>
                <w:rFonts w:hint="default" w:ascii="Times New Roman" w:hAnsi="Times New Roman" w:cs="Times New Roman"/>
                <w:color w:val="auto"/>
                <w:sz w:val="24"/>
              </w:rPr>
              <w:t>cm/s的等效黏土层的防渗性能。</w:t>
            </w:r>
          </w:p>
          <w:p w14:paraId="2FE53BB3">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危废暂存间为重点防渗区，</w:t>
            </w:r>
            <w:r>
              <w:rPr>
                <w:rFonts w:hint="default" w:ascii="Times New Roman" w:hAnsi="Times New Roman" w:cs="Times New Roman"/>
                <w:color w:val="auto"/>
                <w:sz w:val="24"/>
              </w:rPr>
              <w:t>重点防渗区防渗技术要求等效黏土防渗层Mb≥6.0m，K≤1×10</w:t>
            </w:r>
            <w:r>
              <w:rPr>
                <w:rFonts w:hint="default" w:ascii="Times New Roman" w:hAnsi="Times New Roman" w:cs="Times New Roman"/>
                <w:color w:val="auto"/>
                <w:sz w:val="24"/>
                <w:vertAlign w:val="superscript"/>
              </w:rPr>
              <w:t>-7</w:t>
            </w:r>
            <w:r>
              <w:rPr>
                <w:rFonts w:hint="default" w:ascii="Times New Roman" w:hAnsi="Times New Roman" w:cs="Times New Roman"/>
                <w:color w:val="auto"/>
                <w:sz w:val="24"/>
              </w:rPr>
              <w:t>cm/s。</w:t>
            </w:r>
          </w:p>
          <w:p w14:paraId="184AB3B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default" w:ascii="Times New Roman" w:hAnsi="Times New Roman" w:cs="Times New Roman"/>
                <w:color w:val="auto"/>
                <w:sz w:val="24"/>
              </w:rPr>
              <w:t>除上述区域外的场区，按常规建筑结构要求进行地面处理。</w:t>
            </w:r>
            <w:r>
              <w:rPr>
                <w:rFonts w:hint="eastAsia" w:ascii="Times New Roman" w:hAnsi="Times New Roman" w:eastAsia="宋体" w:cs="Times New Roman"/>
                <w:color w:val="auto"/>
                <w:kern w:val="0"/>
                <w:sz w:val="24"/>
              </w:rPr>
              <w:t>本项目</w:t>
            </w:r>
            <w:r>
              <w:rPr>
                <w:rFonts w:hint="eastAsia" w:cs="Times New Roman"/>
                <w:color w:val="auto"/>
                <w:kern w:val="0"/>
                <w:sz w:val="24"/>
                <w:lang w:val="en-US" w:eastAsia="zh-CN"/>
              </w:rPr>
              <w:t>地下水</w:t>
            </w:r>
            <w:r>
              <w:rPr>
                <w:rFonts w:hint="default" w:ascii="Times New Roman" w:hAnsi="Times New Roman" w:cs="Times New Roman"/>
                <w:color w:val="auto"/>
                <w:sz w:val="24"/>
              </w:rPr>
              <w:t>污染防治分区情况</w:t>
            </w:r>
            <w:r>
              <w:rPr>
                <w:rFonts w:hint="eastAsia" w:ascii="Times New Roman" w:hAnsi="Times New Roman" w:eastAsia="宋体" w:cs="Times New Roman"/>
                <w:color w:val="auto"/>
                <w:kern w:val="0"/>
                <w:sz w:val="24"/>
              </w:rPr>
              <w:t>详见下表4-1</w:t>
            </w:r>
            <w:r>
              <w:rPr>
                <w:rFonts w:hint="eastAsia" w:cs="Times New Roman"/>
                <w:color w:val="auto"/>
                <w:kern w:val="0"/>
                <w:sz w:val="24"/>
                <w:lang w:val="en-US" w:eastAsia="zh-CN"/>
              </w:rPr>
              <w:t>4</w:t>
            </w:r>
            <w:r>
              <w:rPr>
                <w:rFonts w:hint="eastAsia" w:ascii="Times New Roman" w:hAnsi="Times New Roman" w:eastAsia="宋体" w:cs="Times New Roman"/>
                <w:color w:val="auto"/>
                <w:kern w:val="0"/>
                <w:sz w:val="24"/>
              </w:rPr>
              <w:t>。</w:t>
            </w:r>
          </w:p>
          <w:p w14:paraId="2311C52E">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表4-1</w:t>
            </w:r>
            <w:r>
              <w:rPr>
                <w:rFonts w:hint="eastAsia" w:cs="Times New Roman"/>
                <w:color w:val="auto"/>
                <w:lang w:val="en-US" w:eastAsia="zh-CN"/>
              </w:rPr>
              <w:t>4</w:t>
            </w:r>
            <w:r>
              <w:rPr>
                <w:rFonts w:hint="default" w:ascii="Times New Roman" w:hAnsi="Times New Roman" w:eastAsia="宋体" w:cs="Times New Roman"/>
                <w:color w:val="auto"/>
              </w:rPr>
              <w:t xml:space="preserve">   </w:t>
            </w:r>
            <w:r>
              <w:rPr>
                <w:rFonts w:hint="default" w:ascii="Times New Roman" w:hAnsi="Times New Roman" w:eastAsia="宋体" w:cs="Times New Roman"/>
                <w:b/>
                <w:bCs/>
                <w:color w:val="auto"/>
                <w:sz w:val="21"/>
                <w:szCs w:val="21"/>
              </w:rPr>
              <w:t>本项目地下水污染防治分区情况表</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702"/>
              <w:gridCol w:w="3407"/>
              <w:gridCol w:w="3407"/>
            </w:tblGrid>
            <w:tr w14:paraId="0FA5EA6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9" w:type="pct"/>
                  <w:tcBorders>
                    <w:bottom w:val="single" w:color="auto" w:sz="12" w:space="0"/>
                  </w:tcBorders>
                  <w:vAlign w:val="center"/>
                </w:tcPr>
                <w:p w14:paraId="444BE754">
                  <w:pPr>
                    <w:jc w:val="center"/>
                    <w:rPr>
                      <w:b/>
                      <w:bCs/>
                      <w:color w:val="auto"/>
                      <w:sz w:val="21"/>
                      <w:szCs w:val="21"/>
                    </w:rPr>
                  </w:pPr>
                  <w:r>
                    <w:rPr>
                      <w:b/>
                      <w:bCs/>
                      <w:color w:val="auto"/>
                      <w:sz w:val="21"/>
                      <w:szCs w:val="21"/>
                    </w:rPr>
                    <w:t>名称</w:t>
                  </w:r>
                </w:p>
              </w:tc>
              <w:tc>
                <w:tcPr>
                  <w:tcW w:w="2000" w:type="pct"/>
                  <w:tcBorders>
                    <w:bottom w:val="single" w:color="auto" w:sz="12" w:space="0"/>
                  </w:tcBorders>
                  <w:vAlign w:val="center"/>
                </w:tcPr>
                <w:p w14:paraId="4175E644">
                  <w:pPr>
                    <w:jc w:val="center"/>
                    <w:rPr>
                      <w:b/>
                      <w:bCs/>
                      <w:color w:val="auto"/>
                      <w:sz w:val="21"/>
                      <w:szCs w:val="21"/>
                    </w:rPr>
                  </w:pPr>
                  <w:r>
                    <w:rPr>
                      <w:b/>
                      <w:bCs/>
                      <w:color w:val="auto"/>
                      <w:sz w:val="21"/>
                      <w:szCs w:val="21"/>
                    </w:rPr>
                    <w:t>范围</w:t>
                  </w:r>
                </w:p>
              </w:tc>
              <w:tc>
                <w:tcPr>
                  <w:tcW w:w="2000" w:type="pct"/>
                  <w:tcBorders>
                    <w:bottom w:val="single" w:color="auto" w:sz="12" w:space="0"/>
                  </w:tcBorders>
                  <w:vAlign w:val="center"/>
                </w:tcPr>
                <w:p w14:paraId="152863DB">
                  <w:pPr>
                    <w:jc w:val="center"/>
                    <w:rPr>
                      <w:rFonts w:hint="default" w:eastAsia="宋体"/>
                      <w:b/>
                      <w:bCs/>
                      <w:color w:val="auto"/>
                      <w:sz w:val="21"/>
                      <w:szCs w:val="21"/>
                      <w:lang w:val="en-US" w:eastAsia="zh-CN"/>
                    </w:rPr>
                  </w:pPr>
                  <w:r>
                    <w:rPr>
                      <w:rFonts w:hint="eastAsia"/>
                      <w:b/>
                      <w:bCs/>
                      <w:color w:val="auto"/>
                      <w:sz w:val="21"/>
                      <w:szCs w:val="21"/>
                      <w:lang w:val="en-US" w:eastAsia="zh-CN"/>
                    </w:rPr>
                    <w:t>防渗技术要求</w:t>
                  </w:r>
                </w:p>
              </w:tc>
            </w:tr>
            <w:tr w14:paraId="50E5DCA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9" w:type="pct"/>
                  <w:tcBorders>
                    <w:top w:val="single" w:color="auto" w:sz="12" w:space="0"/>
                    <w:bottom w:val="single" w:color="auto" w:sz="12" w:space="0"/>
                    <w:tl2br w:val="nil"/>
                    <w:tr2bl w:val="nil"/>
                  </w:tcBorders>
                  <w:vAlign w:val="center"/>
                </w:tcPr>
                <w:p w14:paraId="36DB6B06">
                  <w:pPr>
                    <w:jc w:val="center"/>
                    <w:rPr>
                      <w:color w:val="auto"/>
                      <w:sz w:val="21"/>
                      <w:szCs w:val="21"/>
                    </w:rPr>
                  </w:pPr>
                  <w:r>
                    <w:rPr>
                      <w:bCs/>
                      <w:color w:val="auto"/>
                      <w:sz w:val="21"/>
                      <w:szCs w:val="21"/>
                    </w:rPr>
                    <w:t>重点防渗区</w:t>
                  </w:r>
                </w:p>
              </w:tc>
              <w:tc>
                <w:tcPr>
                  <w:tcW w:w="2000" w:type="pct"/>
                  <w:tcBorders>
                    <w:top w:val="single" w:color="auto" w:sz="12" w:space="0"/>
                    <w:bottom w:val="single" w:color="auto" w:sz="12" w:space="0"/>
                    <w:tl2br w:val="nil"/>
                    <w:tr2bl w:val="nil"/>
                  </w:tcBorders>
                  <w:vAlign w:val="center"/>
                </w:tcPr>
                <w:p w14:paraId="5C794B3B">
                  <w:pPr>
                    <w:jc w:val="center"/>
                    <w:rPr>
                      <w:rFonts w:hint="eastAsia" w:eastAsia="宋体"/>
                      <w:color w:val="auto"/>
                      <w:sz w:val="21"/>
                      <w:szCs w:val="21"/>
                      <w:lang w:eastAsia="zh-CN"/>
                    </w:rPr>
                  </w:pPr>
                  <w:r>
                    <w:rPr>
                      <w:rFonts w:hint="eastAsia"/>
                      <w:bCs/>
                      <w:color w:val="auto"/>
                      <w:kern w:val="0"/>
                      <w:sz w:val="21"/>
                      <w:szCs w:val="21"/>
                      <w:lang w:val="en-US" w:eastAsia="zh-CN" w:bidi="ar"/>
                    </w:rPr>
                    <w:t>危废暂存间</w:t>
                  </w:r>
                </w:p>
              </w:tc>
              <w:tc>
                <w:tcPr>
                  <w:tcW w:w="2000" w:type="pct"/>
                  <w:tcBorders>
                    <w:top w:val="single" w:color="auto" w:sz="12" w:space="0"/>
                    <w:bottom w:val="single" w:color="auto" w:sz="12" w:space="0"/>
                    <w:tl2br w:val="nil"/>
                    <w:tr2bl w:val="nil"/>
                  </w:tcBorders>
                  <w:vAlign w:val="center"/>
                </w:tcPr>
                <w:p w14:paraId="303E0396">
                  <w:pPr>
                    <w:jc w:val="center"/>
                    <w:rPr>
                      <w:rFonts w:hint="eastAsia"/>
                      <w:bCs/>
                      <w:color w:val="auto"/>
                      <w:kern w:val="0"/>
                      <w:sz w:val="21"/>
                      <w:szCs w:val="21"/>
                      <w:lang w:val="en-US" w:eastAsia="zh-CN" w:bidi="ar"/>
                    </w:rPr>
                  </w:pPr>
                  <w:r>
                    <w:rPr>
                      <w:rFonts w:hint="eastAsia"/>
                      <w:bCs/>
                      <w:color w:val="auto"/>
                      <w:kern w:val="0"/>
                      <w:sz w:val="21"/>
                      <w:szCs w:val="21"/>
                      <w:lang w:val="en-US" w:eastAsia="zh-CN" w:bidi="ar"/>
                    </w:rPr>
                    <w:t>等效黏土防渗层Mb≥6.0m，K≤1×</w:t>
                  </w:r>
                  <w:r>
                    <w:rPr>
                      <w:rFonts w:hint="eastAsia"/>
                      <w:bCs/>
                      <w:color w:val="auto"/>
                      <w:kern w:val="0"/>
                      <w:sz w:val="21"/>
                      <w:szCs w:val="21"/>
                      <w:vertAlign w:val="superscript"/>
                      <w:lang w:val="en-US" w:eastAsia="zh-CN" w:bidi="ar"/>
                    </w:rPr>
                    <w:t>10-7</w:t>
                  </w:r>
                  <w:r>
                    <w:rPr>
                      <w:rFonts w:hint="eastAsia"/>
                      <w:bCs/>
                      <w:color w:val="auto"/>
                      <w:kern w:val="0"/>
                      <w:sz w:val="21"/>
                      <w:szCs w:val="21"/>
                      <w:lang w:val="en-US" w:eastAsia="zh-CN" w:bidi="ar"/>
                    </w:rPr>
                    <w:t>cm/s</w:t>
                  </w:r>
                </w:p>
              </w:tc>
            </w:tr>
            <w:tr w14:paraId="172D9FA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9" w:type="pct"/>
                  <w:tcBorders>
                    <w:top w:val="single" w:color="auto" w:sz="12" w:space="0"/>
                    <w:bottom w:val="single" w:color="auto" w:sz="12" w:space="0"/>
                    <w:tl2br w:val="nil"/>
                    <w:tr2bl w:val="nil"/>
                  </w:tcBorders>
                  <w:vAlign w:val="center"/>
                </w:tcPr>
                <w:p w14:paraId="71C5F061">
                  <w:pPr>
                    <w:jc w:val="center"/>
                    <w:rPr>
                      <w:rFonts w:hint="default" w:eastAsia="宋体"/>
                      <w:bCs/>
                      <w:color w:val="auto"/>
                      <w:sz w:val="21"/>
                      <w:szCs w:val="21"/>
                      <w:lang w:val="en-US" w:eastAsia="zh-CN"/>
                    </w:rPr>
                  </w:pPr>
                  <w:r>
                    <w:rPr>
                      <w:rFonts w:hint="default" w:ascii="Times New Roman" w:hAnsi="Times New Roman" w:cs="Times New Roman"/>
                      <w:color w:val="auto"/>
                      <w:lang w:val="en-US" w:eastAsia="zh-CN"/>
                    </w:rPr>
                    <w:t>一般防渗区</w:t>
                  </w:r>
                </w:p>
              </w:tc>
              <w:tc>
                <w:tcPr>
                  <w:tcW w:w="2000" w:type="pct"/>
                  <w:tcBorders>
                    <w:top w:val="single" w:color="auto" w:sz="12" w:space="0"/>
                    <w:bottom w:val="single" w:color="auto" w:sz="12" w:space="0"/>
                    <w:tl2br w:val="nil"/>
                    <w:tr2bl w:val="nil"/>
                  </w:tcBorders>
                  <w:vAlign w:val="center"/>
                </w:tcPr>
                <w:p w14:paraId="304BE7C3">
                  <w:pPr>
                    <w:jc w:val="center"/>
                    <w:rPr>
                      <w:rFonts w:hint="default" w:eastAsia="宋体"/>
                      <w:bCs/>
                      <w:color w:val="auto"/>
                      <w:kern w:val="0"/>
                      <w:sz w:val="21"/>
                      <w:szCs w:val="21"/>
                      <w:lang w:val="en-US" w:eastAsia="zh-CN" w:bidi="ar"/>
                    </w:rPr>
                  </w:pPr>
                  <w:r>
                    <w:rPr>
                      <w:rFonts w:hint="eastAsia"/>
                      <w:bCs/>
                      <w:color w:val="auto"/>
                      <w:kern w:val="0"/>
                      <w:sz w:val="21"/>
                      <w:szCs w:val="21"/>
                      <w:lang w:val="en-US" w:eastAsia="zh-CN" w:bidi="ar"/>
                    </w:rPr>
                    <w:t>搅拌楼、三级沉淀池</w:t>
                  </w:r>
                </w:p>
              </w:tc>
              <w:tc>
                <w:tcPr>
                  <w:tcW w:w="2000" w:type="pct"/>
                  <w:tcBorders>
                    <w:top w:val="single" w:color="auto" w:sz="12" w:space="0"/>
                    <w:bottom w:val="single" w:color="auto" w:sz="12" w:space="0"/>
                    <w:tl2br w:val="nil"/>
                    <w:tr2bl w:val="nil"/>
                  </w:tcBorders>
                  <w:vAlign w:val="center"/>
                </w:tcPr>
                <w:p w14:paraId="286F9055">
                  <w:pPr>
                    <w:jc w:val="center"/>
                    <w:rPr>
                      <w:rFonts w:hint="eastAsia"/>
                      <w:bCs/>
                      <w:color w:val="auto"/>
                      <w:kern w:val="0"/>
                      <w:sz w:val="21"/>
                      <w:szCs w:val="21"/>
                      <w:lang w:val="en-US" w:eastAsia="zh-CN" w:bidi="ar"/>
                    </w:rPr>
                  </w:pPr>
                  <w:r>
                    <w:rPr>
                      <w:rFonts w:hint="eastAsia"/>
                      <w:bCs/>
                      <w:color w:val="auto"/>
                      <w:kern w:val="0"/>
                      <w:sz w:val="21"/>
                      <w:szCs w:val="21"/>
                      <w:lang w:val="en-US" w:eastAsia="zh-CN" w:bidi="ar"/>
                    </w:rPr>
                    <w:t>选用天然或人工材料构筑防渗层，防渗层的防渗性能不应低于1.5m厚渗透系数为1.0×10</w:t>
                  </w:r>
                  <w:r>
                    <w:rPr>
                      <w:rFonts w:hint="eastAsia"/>
                      <w:bCs/>
                      <w:color w:val="auto"/>
                      <w:kern w:val="0"/>
                      <w:sz w:val="21"/>
                      <w:szCs w:val="21"/>
                      <w:vertAlign w:val="superscript"/>
                      <w:lang w:val="en-US" w:eastAsia="zh-CN" w:bidi="ar"/>
                    </w:rPr>
                    <w:t>-7</w:t>
                  </w:r>
                  <w:r>
                    <w:rPr>
                      <w:rFonts w:hint="eastAsia"/>
                      <w:bCs/>
                      <w:color w:val="auto"/>
                      <w:kern w:val="0"/>
                      <w:sz w:val="21"/>
                      <w:szCs w:val="21"/>
                      <w:lang w:val="en-US" w:eastAsia="zh-CN" w:bidi="ar"/>
                    </w:rPr>
                    <w:t>cm/s的等效黏土层的防渗性能</w:t>
                  </w:r>
                </w:p>
              </w:tc>
            </w:tr>
            <w:tr w14:paraId="53D1F0B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9" w:type="pct"/>
                  <w:tcBorders>
                    <w:top w:val="single" w:color="auto" w:sz="12" w:space="0"/>
                    <w:tl2br w:val="nil"/>
                    <w:tr2bl w:val="nil"/>
                  </w:tcBorders>
                  <w:vAlign w:val="center"/>
                </w:tcPr>
                <w:p w14:paraId="2306DF44">
                  <w:pPr>
                    <w:jc w:val="center"/>
                    <w:rPr>
                      <w:rFonts w:hint="default" w:ascii="Times New Roman" w:hAnsi="Times New Roman" w:cs="Times New Roman"/>
                      <w:color w:val="auto"/>
                      <w:lang w:val="en-US" w:eastAsia="zh-CN"/>
                    </w:rPr>
                  </w:pPr>
                  <w:r>
                    <w:rPr>
                      <w:rFonts w:hint="eastAsia" w:cs="Times New Roman"/>
                      <w:color w:val="auto"/>
                      <w:lang w:val="en-US" w:eastAsia="zh-CN"/>
                    </w:rPr>
                    <w:t>简单</w:t>
                  </w:r>
                  <w:r>
                    <w:rPr>
                      <w:rFonts w:hint="default" w:ascii="Times New Roman" w:hAnsi="Times New Roman" w:cs="Times New Roman"/>
                      <w:color w:val="auto"/>
                      <w:lang w:val="en-US" w:eastAsia="zh-CN"/>
                    </w:rPr>
                    <w:t>防渗区</w:t>
                  </w:r>
                </w:p>
              </w:tc>
              <w:tc>
                <w:tcPr>
                  <w:tcW w:w="2000" w:type="pct"/>
                  <w:tcBorders>
                    <w:top w:val="single" w:color="auto" w:sz="12" w:space="0"/>
                    <w:tl2br w:val="nil"/>
                    <w:tr2bl w:val="nil"/>
                  </w:tcBorders>
                  <w:vAlign w:val="center"/>
                </w:tcPr>
                <w:p w14:paraId="277D97FA">
                  <w:pPr>
                    <w:jc w:val="center"/>
                    <w:rPr>
                      <w:rFonts w:hint="eastAsia" w:eastAsia="宋体"/>
                      <w:bCs/>
                      <w:color w:val="auto"/>
                      <w:kern w:val="0"/>
                      <w:sz w:val="21"/>
                      <w:szCs w:val="21"/>
                      <w:lang w:val="en-US" w:eastAsia="zh-CN" w:bidi="ar"/>
                    </w:rPr>
                  </w:pPr>
                  <w:r>
                    <w:rPr>
                      <w:rFonts w:hint="eastAsia"/>
                      <w:bCs/>
                      <w:color w:val="auto"/>
                      <w:kern w:val="0"/>
                      <w:sz w:val="21"/>
                      <w:szCs w:val="21"/>
                      <w:lang w:val="en-US" w:eastAsia="zh-CN" w:bidi="ar"/>
                    </w:rPr>
                    <w:t>其他区域</w:t>
                  </w:r>
                </w:p>
              </w:tc>
              <w:tc>
                <w:tcPr>
                  <w:tcW w:w="2000" w:type="pct"/>
                  <w:tcBorders>
                    <w:top w:val="single" w:color="auto" w:sz="12" w:space="0"/>
                    <w:tl2br w:val="nil"/>
                    <w:tr2bl w:val="nil"/>
                  </w:tcBorders>
                  <w:vAlign w:val="center"/>
                </w:tcPr>
                <w:p w14:paraId="2A4F6695">
                  <w:pPr>
                    <w:jc w:val="center"/>
                    <w:rPr>
                      <w:rFonts w:hint="eastAsia"/>
                      <w:bCs/>
                      <w:color w:val="auto"/>
                      <w:kern w:val="0"/>
                      <w:sz w:val="21"/>
                      <w:szCs w:val="21"/>
                      <w:lang w:val="en-US" w:eastAsia="zh-CN" w:bidi="ar"/>
                    </w:rPr>
                  </w:pPr>
                  <w:r>
                    <w:rPr>
                      <w:rFonts w:hint="eastAsia"/>
                      <w:bCs/>
                      <w:color w:val="auto"/>
                      <w:kern w:val="0"/>
                      <w:sz w:val="21"/>
                      <w:szCs w:val="21"/>
                      <w:lang w:val="en-US" w:eastAsia="zh-CN" w:bidi="ar"/>
                    </w:rPr>
                    <w:t>按常规建筑结构要求进行地面处理</w:t>
                  </w:r>
                </w:p>
              </w:tc>
            </w:tr>
          </w:tbl>
          <w:p w14:paraId="406A84A7">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cs="Times New Roman"/>
                <w:b/>
                <w:bCs/>
                <w:color w:val="auto"/>
                <w:sz w:val="24"/>
                <w:lang w:val="en-US" w:eastAsia="zh-CN"/>
              </w:rPr>
              <w:t>6</w:t>
            </w:r>
            <w:r>
              <w:rPr>
                <w:rFonts w:hint="eastAsia" w:ascii="Times New Roman" w:hAnsi="Times New Roman" w:eastAsia="宋体" w:cs="Times New Roman"/>
                <w:b/>
                <w:bCs/>
                <w:color w:val="auto"/>
                <w:sz w:val="24"/>
              </w:rPr>
              <w:t>.环境风险</w:t>
            </w:r>
          </w:p>
          <w:p w14:paraId="7881370D">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lang w:eastAsia="zh-CN"/>
              </w:rPr>
            </w:pPr>
            <w:r>
              <w:rPr>
                <w:rFonts w:hint="eastAsia" w:cs="Times New Roman"/>
                <w:b/>
                <w:bCs/>
                <w:color w:val="auto"/>
                <w:sz w:val="24"/>
                <w:lang w:val="en-US" w:eastAsia="zh-CN"/>
              </w:rPr>
              <w:t>6</w:t>
            </w:r>
            <w:r>
              <w:rPr>
                <w:rFonts w:hint="default" w:ascii="Times New Roman" w:hAnsi="Times New Roman" w:eastAsia="宋体" w:cs="Times New Roman"/>
                <w:b/>
                <w:bCs/>
                <w:color w:val="auto"/>
                <w:sz w:val="24"/>
              </w:rPr>
              <w:t>.1环境风险</w:t>
            </w:r>
            <w:r>
              <w:rPr>
                <w:rFonts w:hint="eastAsia" w:ascii="Times New Roman" w:hAnsi="Times New Roman" w:eastAsia="宋体" w:cs="Times New Roman"/>
                <w:b/>
                <w:bCs/>
                <w:color w:val="auto"/>
                <w:sz w:val="24"/>
                <w:lang w:val="en-US" w:eastAsia="zh-CN"/>
              </w:rPr>
              <w:t>评价目的</w:t>
            </w:r>
          </w:p>
          <w:p w14:paraId="7C429A6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14:paraId="2A118A2D">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Times New Roman"/>
                <w:b/>
                <w:bCs/>
                <w:color w:val="auto"/>
                <w:sz w:val="24"/>
                <w:lang w:val="en-US" w:eastAsia="zh-CN"/>
              </w:rPr>
            </w:pPr>
            <w:r>
              <w:rPr>
                <w:rFonts w:hint="eastAsia" w:cs="Times New Roman"/>
                <w:b/>
                <w:bCs/>
                <w:color w:val="auto"/>
                <w:sz w:val="24"/>
                <w:lang w:val="en-US" w:eastAsia="zh-CN"/>
              </w:rPr>
              <w:t>6</w:t>
            </w:r>
            <w:r>
              <w:rPr>
                <w:rFonts w:hint="default" w:ascii="Times New Roman" w:hAnsi="Times New Roman" w:eastAsia="宋体" w:cs="Times New Roman"/>
                <w:b/>
                <w:bCs/>
                <w:color w:val="auto"/>
                <w:sz w:val="24"/>
              </w:rPr>
              <w:t>.</w:t>
            </w:r>
            <w:r>
              <w:rPr>
                <w:rFonts w:hint="eastAsia" w:cs="Times New Roman"/>
                <w:b/>
                <w:bCs/>
                <w:color w:val="auto"/>
                <w:sz w:val="24"/>
                <w:lang w:val="en-US" w:eastAsia="zh-CN"/>
              </w:rPr>
              <w:t>2风险调查</w:t>
            </w:r>
          </w:p>
          <w:p w14:paraId="29C077C6">
            <w:pPr>
              <w:keepNext w:val="0"/>
              <w:keepLines w:val="0"/>
              <w:widowControl/>
              <w:suppressLineNumbers w:val="0"/>
              <w:spacing w:line="360" w:lineRule="auto"/>
              <w:ind w:firstLine="480" w:firstLineChars="200"/>
              <w:jc w:val="left"/>
              <w:rPr>
                <w:rFonts w:hint="default" w:cs="Times New Roman"/>
                <w:b/>
                <w:bCs/>
                <w:color w:val="auto"/>
                <w:sz w:val="24"/>
                <w:lang w:val="en-US" w:eastAsia="zh-CN"/>
              </w:rPr>
            </w:pPr>
            <w:r>
              <w:rPr>
                <w:rFonts w:hint="default" w:ascii="Times New Roman" w:hAnsi="Times New Roman" w:eastAsia="宋体" w:cs="Times New Roman"/>
                <w:color w:val="000000"/>
                <w:kern w:val="0"/>
                <w:sz w:val="24"/>
                <w:szCs w:val="24"/>
                <w:lang w:val="en-US" w:eastAsia="zh-CN" w:bidi="ar"/>
              </w:rPr>
              <w:t>根据《建设项目环境风险评价技术导则》（HJ169-2018）附录 B 中规定，本项目风险物质为</w:t>
            </w:r>
            <w:r>
              <w:rPr>
                <w:rFonts w:hint="eastAsia" w:cs="Times New Roman"/>
                <w:color w:val="000000"/>
                <w:kern w:val="0"/>
                <w:sz w:val="24"/>
                <w:szCs w:val="24"/>
                <w:highlight w:val="none"/>
                <w:lang w:val="en-US" w:eastAsia="zh-CN" w:bidi="ar"/>
              </w:rPr>
              <w:t>废机油</w:t>
            </w:r>
            <w:r>
              <w:rPr>
                <w:rFonts w:hint="default" w:ascii="Times New Roman" w:hAnsi="Times New Roman" w:eastAsia="宋体" w:cs="Times New Roman"/>
                <w:color w:val="000000"/>
                <w:kern w:val="0"/>
                <w:sz w:val="24"/>
                <w:szCs w:val="24"/>
                <w:highlight w:val="none"/>
                <w:lang w:val="en-US" w:eastAsia="zh-CN" w:bidi="ar"/>
              </w:rPr>
              <w:t>。</w:t>
            </w:r>
          </w:p>
          <w:p w14:paraId="34DA8F17">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color w:val="auto"/>
                <w:sz w:val="24"/>
              </w:rPr>
            </w:pPr>
            <w:r>
              <w:rPr>
                <w:rFonts w:hint="eastAsia" w:cs="Times New Roman"/>
                <w:b/>
                <w:bCs/>
                <w:color w:val="auto"/>
                <w:sz w:val="24"/>
                <w:lang w:val="en-US" w:eastAsia="zh-CN"/>
              </w:rPr>
              <w:t>6.3</w:t>
            </w:r>
            <w:r>
              <w:rPr>
                <w:rFonts w:hint="default" w:ascii="Times New Roman" w:hAnsi="Times New Roman" w:eastAsia="宋体" w:cs="Times New Roman"/>
                <w:b/>
                <w:bCs/>
                <w:color w:val="auto"/>
                <w:sz w:val="24"/>
              </w:rPr>
              <w:t xml:space="preserve">环境风险潜势初判 </w:t>
            </w:r>
          </w:p>
          <w:p w14:paraId="00712B1C">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ascii="Times New Roman" w:hAnsi="Times New Roman" w:eastAsia="宋体" w:cs="Times New Roman"/>
                <w:color w:val="auto"/>
                <w:kern w:val="0"/>
                <w:sz w:val="24"/>
              </w:rPr>
              <w:t>根据建设项目涉及的物质和工艺系统危险性及其所在地的环境敏感程度，结合事故情形下环境影响途径，对建设项目潜在环境危害程度进行概化分析</w:t>
            </w:r>
            <w:r>
              <w:rPr>
                <w:rFonts w:hint="eastAsia" w:cs="Times New Roman"/>
                <w:color w:val="auto"/>
                <w:kern w:val="0"/>
                <w:sz w:val="24"/>
                <w:lang w:eastAsia="zh-CN"/>
              </w:rPr>
              <w:t>。</w:t>
            </w:r>
          </w:p>
          <w:p w14:paraId="76061F4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本项目涉及环境风险的物质为</w:t>
            </w:r>
            <w:r>
              <w:rPr>
                <w:rFonts w:hint="eastAsia" w:ascii="Times New Roman" w:hAnsi="Times New Roman" w:eastAsia="宋体" w:cs="Times New Roman"/>
                <w:color w:val="auto"/>
                <w:kern w:val="0"/>
                <w:sz w:val="24"/>
              </w:rPr>
              <w:t>废机油</w:t>
            </w:r>
            <w:r>
              <w:rPr>
                <w:rFonts w:ascii="Times New Roman" w:hAnsi="Times New Roman" w:eastAsia="宋体" w:cs="Times New Roman"/>
                <w:color w:val="auto"/>
                <w:kern w:val="0"/>
                <w:sz w:val="24"/>
              </w:rPr>
              <w:t>，根据《建设项目环境风险评价技术导则》（HJ</w:t>
            </w:r>
            <w:r>
              <w:rPr>
                <w:rFonts w:hint="eastAsia" w:ascii="Times New Roman" w:hAnsi="Times New Roman" w:eastAsia="宋体" w:cs="Times New Roman"/>
                <w:color w:val="auto"/>
                <w:kern w:val="0"/>
                <w:sz w:val="24"/>
              </w:rPr>
              <w:t xml:space="preserve"> </w:t>
            </w:r>
            <w:r>
              <w:rPr>
                <w:rFonts w:ascii="Times New Roman" w:hAnsi="Times New Roman" w:eastAsia="宋体" w:cs="Times New Roman"/>
                <w:color w:val="auto"/>
                <w:kern w:val="0"/>
                <w:sz w:val="24"/>
              </w:rPr>
              <w:t>169-2018）附录C规定与其在附录B对应临界量，当存在多种危险物质时，物质总量与其临界量比值</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Q</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结果见下表。</w:t>
            </w:r>
          </w:p>
          <w:p w14:paraId="23AD3178">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表4-1</w:t>
            </w:r>
            <w:r>
              <w:rPr>
                <w:rFonts w:hint="eastAsia" w:cs="Times New Roman"/>
                <w:color w:val="auto"/>
                <w:lang w:val="en-US" w:eastAsia="zh-CN"/>
              </w:rPr>
              <w:t>5</w:t>
            </w:r>
            <w:r>
              <w:rPr>
                <w:rFonts w:hint="default" w:ascii="Times New Roman" w:hAnsi="Times New Roman" w:eastAsia="宋体" w:cs="Times New Roman"/>
                <w:color w:val="auto"/>
              </w:rPr>
              <w:t xml:space="preserve">    临界量比值 </w:t>
            </w:r>
          </w:p>
          <w:tbl>
            <w:tblPr>
              <w:tblStyle w:val="27"/>
              <w:tblW w:w="4998" w:type="pct"/>
              <w:jc w:val="center"/>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2"/>
              <w:gridCol w:w="1702"/>
              <w:gridCol w:w="1705"/>
              <w:gridCol w:w="1705"/>
            </w:tblGrid>
            <w:tr w14:paraId="5BC6804C">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tcBorders>
                    <w:top w:val="single" w:color="000000" w:sz="12" w:space="0"/>
                    <w:bottom w:val="single" w:color="000000" w:sz="12" w:space="0"/>
                  </w:tcBorders>
                  <w:vAlign w:val="center"/>
                </w:tcPr>
                <w:p w14:paraId="5FE27C53">
                  <w:pPr>
                    <w:jc w:val="center"/>
                    <w:rPr>
                      <w:b/>
                      <w:bCs/>
                      <w:color w:val="auto"/>
                      <w:sz w:val="21"/>
                      <w:szCs w:val="21"/>
                    </w:rPr>
                  </w:pPr>
                  <w:r>
                    <w:rPr>
                      <w:b/>
                      <w:bCs/>
                      <w:color w:val="auto"/>
                      <w:sz w:val="21"/>
                      <w:szCs w:val="21"/>
                    </w:rPr>
                    <w:t xml:space="preserve">序号 </w:t>
                  </w:r>
                </w:p>
              </w:tc>
              <w:tc>
                <w:tcPr>
                  <w:tcW w:w="999" w:type="pct"/>
                  <w:tcBorders>
                    <w:top w:val="single" w:color="000000" w:sz="12" w:space="0"/>
                    <w:bottom w:val="single" w:color="000000" w:sz="12" w:space="0"/>
                  </w:tcBorders>
                  <w:vAlign w:val="center"/>
                </w:tcPr>
                <w:p w14:paraId="6A5C6588">
                  <w:pPr>
                    <w:jc w:val="center"/>
                    <w:rPr>
                      <w:b/>
                      <w:bCs/>
                      <w:color w:val="auto"/>
                      <w:sz w:val="21"/>
                      <w:szCs w:val="21"/>
                    </w:rPr>
                  </w:pPr>
                  <w:r>
                    <w:rPr>
                      <w:b/>
                      <w:bCs/>
                      <w:color w:val="auto"/>
                      <w:sz w:val="21"/>
                      <w:szCs w:val="21"/>
                    </w:rPr>
                    <w:t xml:space="preserve">原料 </w:t>
                  </w:r>
                </w:p>
              </w:tc>
              <w:tc>
                <w:tcPr>
                  <w:tcW w:w="999" w:type="pct"/>
                  <w:tcBorders>
                    <w:top w:val="single" w:color="000000" w:sz="12" w:space="0"/>
                    <w:bottom w:val="single" w:color="000000" w:sz="12" w:space="0"/>
                  </w:tcBorders>
                  <w:vAlign w:val="center"/>
                </w:tcPr>
                <w:p w14:paraId="0F32F573">
                  <w:pPr>
                    <w:jc w:val="center"/>
                    <w:rPr>
                      <w:b/>
                      <w:bCs/>
                      <w:color w:val="auto"/>
                      <w:sz w:val="21"/>
                      <w:szCs w:val="21"/>
                    </w:rPr>
                  </w:pPr>
                  <w:r>
                    <w:rPr>
                      <w:b/>
                      <w:bCs/>
                      <w:color w:val="auto"/>
                      <w:sz w:val="21"/>
                      <w:szCs w:val="21"/>
                    </w:rPr>
                    <w:t xml:space="preserve">最大储量（t） </w:t>
                  </w:r>
                </w:p>
              </w:tc>
              <w:tc>
                <w:tcPr>
                  <w:tcW w:w="1001" w:type="pct"/>
                  <w:tcBorders>
                    <w:top w:val="single" w:color="000000" w:sz="12" w:space="0"/>
                    <w:bottom w:val="single" w:color="000000" w:sz="12" w:space="0"/>
                  </w:tcBorders>
                  <w:vAlign w:val="center"/>
                </w:tcPr>
                <w:p w14:paraId="56875BFD">
                  <w:pPr>
                    <w:jc w:val="center"/>
                    <w:rPr>
                      <w:b/>
                      <w:bCs/>
                      <w:color w:val="auto"/>
                      <w:sz w:val="21"/>
                      <w:szCs w:val="21"/>
                    </w:rPr>
                  </w:pPr>
                  <w:r>
                    <w:rPr>
                      <w:b/>
                      <w:bCs/>
                      <w:color w:val="auto"/>
                      <w:sz w:val="21"/>
                      <w:szCs w:val="21"/>
                    </w:rPr>
                    <w:t xml:space="preserve">临界量（t） </w:t>
                  </w:r>
                </w:p>
              </w:tc>
              <w:tc>
                <w:tcPr>
                  <w:tcW w:w="1001" w:type="pct"/>
                  <w:tcBorders>
                    <w:top w:val="single" w:color="000000" w:sz="12" w:space="0"/>
                    <w:bottom w:val="single" w:color="000000" w:sz="12" w:space="0"/>
                  </w:tcBorders>
                  <w:vAlign w:val="center"/>
                </w:tcPr>
                <w:p w14:paraId="0758D3B9">
                  <w:pPr>
                    <w:jc w:val="center"/>
                    <w:rPr>
                      <w:b/>
                      <w:bCs/>
                      <w:color w:val="auto"/>
                      <w:sz w:val="21"/>
                      <w:szCs w:val="21"/>
                    </w:rPr>
                  </w:pPr>
                  <w:r>
                    <w:rPr>
                      <w:b/>
                      <w:bCs/>
                      <w:color w:val="auto"/>
                      <w:sz w:val="21"/>
                      <w:szCs w:val="21"/>
                    </w:rPr>
                    <w:t xml:space="preserve">Q值 </w:t>
                  </w:r>
                </w:p>
              </w:tc>
            </w:tr>
            <w:tr w14:paraId="0C23E880">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pct"/>
                  <w:tcBorders>
                    <w:top w:val="single" w:color="000000" w:sz="12" w:space="0"/>
                  </w:tcBorders>
                  <w:vAlign w:val="center"/>
                </w:tcPr>
                <w:p w14:paraId="62CB8C83">
                  <w:pPr>
                    <w:jc w:val="center"/>
                    <w:rPr>
                      <w:color w:val="auto"/>
                      <w:sz w:val="21"/>
                      <w:szCs w:val="21"/>
                    </w:rPr>
                  </w:pPr>
                  <w:r>
                    <w:rPr>
                      <w:color w:val="auto"/>
                      <w:sz w:val="21"/>
                      <w:szCs w:val="21"/>
                    </w:rPr>
                    <w:t>1</w:t>
                  </w:r>
                </w:p>
              </w:tc>
              <w:tc>
                <w:tcPr>
                  <w:tcW w:w="999" w:type="pct"/>
                  <w:tcBorders>
                    <w:top w:val="single" w:color="000000" w:sz="12" w:space="0"/>
                  </w:tcBorders>
                  <w:vAlign w:val="center"/>
                </w:tcPr>
                <w:p w14:paraId="417A9944">
                  <w:pPr>
                    <w:jc w:val="center"/>
                    <w:rPr>
                      <w:color w:val="auto"/>
                      <w:sz w:val="21"/>
                      <w:szCs w:val="21"/>
                    </w:rPr>
                  </w:pPr>
                  <w:r>
                    <w:rPr>
                      <w:rFonts w:hint="eastAsia"/>
                      <w:color w:val="auto"/>
                      <w:sz w:val="21"/>
                      <w:szCs w:val="21"/>
                    </w:rPr>
                    <w:t>废机油</w:t>
                  </w:r>
                </w:p>
              </w:tc>
              <w:tc>
                <w:tcPr>
                  <w:tcW w:w="999" w:type="pct"/>
                  <w:tcBorders>
                    <w:top w:val="single" w:color="000000" w:sz="12" w:space="0"/>
                  </w:tcBorders>
                  <w:vAlign w:val="center"/>
                </w:tcPr>
                <w:p w14:paraId="5BA24467">
                  <w:pPr>
                    <w:jc w:val="center"/>
                    <w:rPr>
                      <w:color w:val="auto"/>
                      <w:sz w:val="21"/>
                      <w:szCs w:val="21"/>
                    </w:rPr>
                  </w:pPr>
                  <w:r>
                    <w:rPr>
                      <w:rFonts w:hint="eastAsia"/>
                      <w:color w:val="auto"/>
                      <w:sz w:val="21"/>
                      <w:szCs w:val="21"/>
                    </w:rPr>
                    <w:t>0.6</w:t>
                  </w:r>
                </w:p>
              </w:tc>
              <w:tc>
                <w:tcPr>
                  <w:tcW w:w="1001" w:type="pct"/>
                  <w:tcBorders>
                    <w:top w:val="single" w:color="000000" w:sz="12" w:space="0"/>
                  </w:tcBorders>
                  <w:vAlign w:val="center"/>
                </w:tcPr>
                <w:p w14:paraId="5F321EC6">
                  <w:pPr>
                    <w:jc w:val="center"/>
                    <w:rPr>
                      <w:color w:val="auto"/>
                      <w:sz w:val="21"/>
                      <w:szCs w:val="21"/>
                    </w:rPr>
                  </w:pPr>
                  <w:r>
                    <w:rPr>
                      <w:color w:val="auto"/>
                      <w:sz w:val="21"/>
                      <w:szCs w:val="21"/>
                    </w:rPr>
                    <w:t>2500</w:t>
                  </w:r>
                </w:p>
              </w:tc>
              <w:tc>
                <w:tcPr>
                  <w:tcW w:w="1001" w:type="pct"/>
                  <w:tcBorders>
                    <w:top w:val="single" w:color="000000" w:sz="12" w:space="0"/>
                  </w:tcBorders>
                  <w:vAlign w:val="center"/>
                </w:tcPr>
                <w:p w14:paraId="139A9C93">
                  <w:pPr>
                    <w:jc w:val="center"/>
                    <w:rPr>
                      <w:color w:val="auto"/>
                      <w:sz w:val="21"/>
                      <w:szCs w:val="21"/>
                    </w:rPr>
                  </w:pPr>
                  <w:r>
                    <w:rPr>
                      <w:color w:val="auto"/>
                      <w:sz w:val="21"/>
                      <w:szCs w:val="21"/>
                    </w:rPr>
                    <w:t>0.0</w:t>
                  </w:r>
                  <w:r>
                    <w:rPr>
                      <w:rFonts w:hint="eastAsia"/>
                      <w:color w:val="auto"/>
                      <w:sz w:val="21"/>
                      <w:szCs w:val="21"/>
                    </w:rPr>
                    <w:t>0024</w:t>
                  </w:r>
                </w:p>
              </w:tc>
            </w:tr>
            <w:tr w14:paraId="4339B8FA">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8" w:type="pct"/>
                  <w:gridSpan w:val="4"/>
                  <w:vAlign w:val="center"/>
                </w:tcPr>
                <w:p w14:paraId="38FED354">
                  <w:pPr>
                    <w:jc w:val="center"/>
                    <w:rPr>
                      <w:color w:val="auto"/>
                      <w:sz w:val="21"/>
                      <w:szCs w:val="21"/>
                    </w:rPr>
                  </w:pPr>
                  <w:r>
                    <w:rPr>
                      <w:rFonts w:hint="eastAsia"/>
                      <w:color w:val="auto"/>
                      <w:sz w:val="21"/>
                      <w:szCs w:val="21"/>
                    </w:rPr>
                    <w:t>合计</w:t>
                  </w:r>
                </w:p>
              </w:tc>
              <w:tc>
                <w:tcPr>
                  <w:tcW w:w="1001" w:type="pct"/>
                  <w:vAlign w:val="center"/>
                </w:tcPr>
                <w:p w14:paraId="5F68148C">
                  <w:pPr>
                    <w:jc w:val="center"/>
                    <w:rPr>
                      <w:color w:val="auto"/>
                      <w:sz w:val="21"/>
                      <w:szCs w:val="21"/>
                    </w:rPr>
                  </w:pPr>
                  <w:r>
                    <w:rPr>
                      <w:rFonts w:hint="eastAsia"/>
                      <w:color w:val="auto"/>
                      <w:sz w:val="21"/>
                      <w:szCs w:val="21"/>
                    </w:rPr>
                    <w:t>0.00024</w:t>
                  </w:r>
                </w:p>
              </w:tc>
            </w:tr>
          </w:tbl>
          <w:p w14:paraId="4D4A96A6">
            <w:pPr>
              <w:widowControl/>
              <w:spacing w:line="360" w:lineRule="auto"/>
              <w:ind w:firstLine="480" w:firstLineChars="200"/>
              <w:jc w:val="left"/>
              <w:rPr>
                <w:color w:val="auto"/>
              </w:rPr>
            </w:pPr>
            <w:r>
              <w:rPr>
                <w:rFonts w:ascii="Times New Roman" w:hAnsi="Times New Roman" w:eastAsia="宋体" w:cs="Times New Roman"/>
                <w:color w:val="auto"/>
                <w:kern w:val="0"/>
                <w:sz w:val="24"/>
              </w:rPr>
              <w:t>依据《建设项目环境风险评价技术导则》（HJ</w:t>
            </w:r>
            <w:r>
              <w:rPr>
                <w:rFonts w:hint="eastAsia" w:ascii="Times New Roman" w:hAnsi="Times New Roman" w:eastAsia="宋体" w:cs="Times New Roman"/>
                <w:color w:val="auto"/>
                <w:kern w:val="0"/>
                <w:sz w:val="24"/>
              </w:rPr>
              <w:t xml:space="preserve"> </w:t>
            </w:r>
            <w:r>
              <w:rPr>
                <w:rFonts w:ascii="Times New Roman" w:hAnsi="Times New Roman" w:eastAsia="宋体" w:cs="Times New Roman"/>
                <w:color w:val="auto"/>
                <w:kern w:val="0"/>
                <w:sz w:val="24"/>
              </w:rPr>
              <w:t xml:space="preserve">169-2018）附录C规范Q值计算过程，当单元内存在的危险物质为多品种时，则按下式进行计算。 </w:t>
            </w:r>
          </w:p>
          <w:p w14:paraId="44B7CC6A">
            <w:pPr>
              <w:jc w:val="center"/>
              <w:rPr>
                <w:color w:val="auto"/>
              </w:rPr>
            </w:pPr>
            <w:r>
              <w:rPr>
                <w:color w:val="auto"/>
                <w:position w:val="-30"/>
              </w:rPr>
              <w:object>
                <v:shape id="_x0000_i1026" o:spt="75" type="#_x0000_t75" style="height:33.8pt;width:110.2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14:paraId="0C13F3E7">
            <w:pPr>
              <w:widowControl/>
              <w:wordWrap w:val="0"/>
              <w:adjustRightInd w:val="0"/>
              <w:spacing w:line="360" w:lineRule="auto"/>
              <w:ind w:firstLine="480" w:firstLineChars="200"/>
              <w:outlineLvl w:val="2"/>
              <w:rPr>
                <w:color w:val="auto"/>
                <w:sz w:val="24"/>
              </w:rPr>
            </w:pPr>
            <w:r>
              <w:rPr>
                <w:color w:val="auto"/>
                <w:sz w:val="24"/>
              </w:rPr>
              <w:t>式中：q</w:t>
            </w:r>
            <w:r>
              <w:rPr>
                <w:color w:val="auto"/>
                <w:sz w:val="24"/>
                <w:vertAlign w:val="subscript"/>
              </w:rPr>
              <w:t>1</w:t>
            </w:r>
            <w:r>
              <w:rPr>
                <w:color w:val="auto"/>
                <w:sz w:val="24"/>
              </w:rPr>
              <w:t>，q</w:t>
            </w:r>
            <w:r>
              <w:rPr>
                <w:color w:val="auto"/>
                <w:sz w:val="24"/>
                <w:vertAlign w:val="subscript"/>
              </w:rPr>
              <w:t>2</w:t>
            </w:r>
            <w:r>
              <w:rPr>
                <w:color w:val="auto"/>
                <w:sz w:val="24"/>
              </w:rPr>
              <w:t>，…q</w:t>
            </w:r>
            <w:r>
              <w:rPr>
                <w:color w:val="auto"/>
                <w:sz w:val="24"/>
                <w:vertAlign w:val="subscript"/>
              </w:rPr>
              <w:t>n</w:t>
            </w:r>
            <w:r>
              <w:rPr>
                <w:color w:val="auto"/>
                <w:sz w:val="24"/>
              </w:rPr>
              <w:t>—每种危险物质的最大存在量，t；</w:t>
            </w:r>
          </w:p>
          <w:p w14:paraId="188C1CEB">
            <w:pPr>
              <w:widowControl/>
              <w:wordWrap w:val="0"/>
              <w:adjustRightInd w:val="0"/>
              <w:spacing w:line="360" w:lineRule="auto"/>
              <w:ind w:firstLine="1200" w:firstLineChars="500"/>
              <w:outlineLvl w:val="2"/>
              <w:rPr>
                <w:color w:val="auto"/>
                <w:sz w:val="24"/>
              </w:rPr>
            </w:pPr>
            <w:r>
              <w:rPr>
                <w:color w:val="auto"/>
                <w:sz w:val="24"/>
              </w:rPr>
              <w:t>Q</w:t>
            </w:r>
            <w:r>
              <w:rPr>
                <w:color w:val="auto"/>
                <w:sz w:val="24"/>
                <w:vertAlign w:val="subscript"/>
              </w:rPr>
              <w:t>1</w:t>
            </w:r>
            <w:r>
              <w:rPr>
                <w:color w:val="auto"/>
                <w:sz w:val="24"/>
              </w:rPr>
              <w:t>，Q</w:t>
            </w:r>
            <w:r>
              <w:rPr>
                <w:color w:val="auto"/>
                <w:sz w:val="24"/>
                <w:vertAlign w:val="subscript"/>
              </w:rPr>
              <w:t>2</w:t>
            </w:r>
            <w:r>
              <w:rPr>
                <w:color w:val="auto"/>
                <w:sz w:val="24"/>
              </w:rPr>
              <w:t>，…Q</w:t>
            </w:r>
            <w:r>
              <w:rPr>
                <w:color w:val="auto"/>
                <w:sz w:val="24"/>
                <w:vertAlign w:val="subscript"/>
              </w:rPr>
              <w:t>n</w:t>
            </w:r>
            <w:r>
              <w:rPr>
                <w:color w:val="auto"/>
                <w:sz w:val="24"/>
              </w:rPr>
              <w:t>—每种危险物质的临界量，t；</w:t>
            </w:r>
          </w:p>
          <w:p w14:paraId="5D1E380C">
            <w:pPr>
              <w:widowControl/>
              <w:wordWrap w:val="0"/>
              <w:adjustRightInd w:val="0"/>
              <w:spacing w:line="360" w:lineRule="auto"/>
              <w:ind w:firstLine="480" w:firstLineChars="200"/>
              <w:outlineLvl w:val="2"/>
              <w:rPr>
                <w:color w:val="auto"/>
                <w:sz w:val="24"/>
              </w:rPr>
            </w:pPr>
            <w:r>
              <w:rPr>
                <w:color w:val="auto"/>
                <w:sz w:val="24"/>
              </w:rPr>
              <w:t>当Q&lt;1时，该项目环境风险潜势为Ⅰ；</w:t>
            </w:r>
          </w:p>
          <w:p w14:paraId="63EB00A7">
            <w:pPr>
              <w:spacing w:line="360" w:lineRule="auto"/>
              <w:ind w:firstLine="480"/>
              <w:rPr>
                <w:color w:val="auto"/>
                <w:sz w:val="24"/>
              </w:rPr>
            </w:pPr>
            <w:r>
              <w:rPr>
                <w:color w:val="auto"/>
                <w:sz w:val="24"/>
              </w:rPr>
              <w:t xml:space="preserve">当Q≥1时，将Q值划分为（1）1≤Q＜10；（2）10≤Q＜100；（3）Q≥100。 </w:t>
            </w:r>
          </w:p>
          <w:p w14:paraId="2DF9BF1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本项目Q=0.0</w:t>
            </w:r>
            <w:r>
              <w:rPr>
                <w:rFonts w:hint="eastAsia" w:ascii="Times New Roman" w:hAnsi="Times New Roman" w:eastAsia="宋体" w:cs="Times New Roman"/>
                <w:color w:val="auto"/>
                <w:kern w:val="0"/>
                <w:sz w:val="24"/>
              </w:rPr>
              <w:t>0024</w:t>
            </w:r>
            <w:r>
              <w:rPr>
                <w:rFonts w:ascii="Times New Roman" w:hAnsi="Times New Roman" w:eastAsia="宋体" w:cs="Times New Roman"/>
                <w:color w:val="auto"/>
                <w:kern w:val="0"/>
                <w:sz w:val="24"/>
              </w:rPr>
              <w:t>，因此，根据《建设项目环境风险评价技术导则》（HJ 169-2018）附录C要求，Q=0.0</w:t>
            </w:r>
            <w:r>
              <w:rPr>
                <w:rFonts w:hint="eastAsia" w:ascii="Times New Roman" w:hAnsi="Times New Roman" w:eastAsia="宋体" w:cs="Times New Roman"/>
                <w:color w:val="auto"/>
                <w:kern w:val="0"/>
                <w:sz w:val="24"/>
              </w:rPr>
              <w:t>0024</w:t>
            </w:r>
            <w:r>
              <w:rPr>
                <w:rFonts w:ascii="Times New Roman" w:hAnsi="Times New Roman" w:eastAsia="宋体" w:cs="Times New Roman"/>
                <w:color w:val="auto"/>
                <w:kern w:val="0"/>
                <w:sz w:val="24"/>
              </w:rPr>
              <w:t>＜1，该项目环境风险潜势为Ⅰ，不再对行业及生产工艺（M）及环境敏感程度（E）进行判定。</w:t>
            </w:r>
          </w:p>
          <w:p w14:paraId="0F0EF0E5">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cs="Times New Roman"/>
                <w:b/>
                <w:bCs/>
                <w:color w:val="auto"/>
                <w:sz w:val="24"/>
                <w:lang w:val="en-US" w:eastAsia="zh-CN"/>
              </w:rPr>
              <w:t>6.4</w:t>
            </w:r>
            <w:r>
              <w:rPr>
                <w:rFonts w:hint="eastAsia" w:ascii="Times New Roman" w:hAnsi="Times New Roman" w:eastAsia="宋体" w:cs="Times New Roman"/>
                <w:b/>
                <w:bCs/>
                <w:color w:val="auto"/>
                <w:sz w:val="24"/>
              </w:rPr>
              <w:t>环境风险评价工作等级</w:t>
            </w:r>
          </w:p>
          <w:p w14:paraId="64D185F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根据建设项目</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环境风险评价技术导则</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（HJ 169-2018）中环境风险评价工作级别划分的判据见表4-</w:t>
            </w:r>
            <w:r>
              <w:rPr>
                <w:rFonts w:hint="eastAsia" w:ascii="Times New Roman" w:hAnsi="Times New Roman" w:eastAsia="宋体" w:cs="Times New Roman"/>
                <w:color w:val="auto"/>
                <w:kern w:val="0"/>
                <w:sz w:val="24"/>
              </w:rPr>
              <w:t>1</w:t>
            </w:r>
            <w:r>
              <w:rPr>
                <w:rFonts w:hint="eastAsia" w:cs="Times New Roman"/>
                <w:color w:val="auto"/>
                <w:kern w:val="0"/>
                <w:sz w:val="24"/>
                <w:lang w:val="en-US" w:eastAsia="zh-CN"/>
              </w:rPr>
              <w:t>6</w:t>
            </w:r>
            <w:r>
              <w:rPr>
                <w:rFonts w:ascii="Times New Roman" w:hAnsi="Times New Roman" w:eastAsia="宋体" w:cs="Times New Roman"/>
                <w:color w:val="auto"/>
                <w:kern w:val="0"/>
                <w:sz w:val="24"/>
              </w:rPr>
              <w:t>。</w:t>
            </w:r>
          </w:p>
          <w:p w14:paraId="3682C9C5">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w:t>
            </w:r>
            <w:r>
              <w:rPr>
                <w:rFonts w:hint="eastAsia" w:ascii="Times New Roman" w:hAnsi="Times New Roman" w:eastAsia="宋体" w:cs="Times New Roman"/>
                <w:color w:val="auto"/>
              </w:rPr>
              <w:t>1</w:t>
            </w:r>
            <w:r>
              <w:rPr>
                <w:rFonts w:hint="eastAsia" w:cs="Times New Roman"/>
                <w:color w:val="auto"/>
                <w:lang w:val="en-US" w:eastAsia="zh-CN"/>
              </w:rPr>
              <w:t>6</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 评价工作等级划分表</w:t>
            </w:r>
          </w:p>
          <w:tbl>
            <w:tblPr>
              <w:tblStyle w:val="27"/>
              <w:tblW w:w="4998"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701"/>
              <w:gridCol w:w="1701"/>
              <w:gridCol w:w="1701"/>
              <w:gridCol w:w="1702"/>
              <w:gridCol w:w="1711"/>
            </w:tblGrid>
            <w:tr w14:paraId="13C2F45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99" w:type="pct"/>
                  <w:tcBorders>
                    <w:bottom w:val="single" w:color="000000" w:sz="12" w:space="0"/>
                  </w:tcBorders>
                  <w:vAlign w:val="center"/>
                </w:tcPr>
                <w:p w14:paraId="52C7F4EA">
                  <w:pPr>
                    <w:jc w:val="center"/>
                    <w:rPr>
                      <w:b/>
                      <w:bCs/>
                      <w:color w:val="auto"/>
                      <w:sz w:val="21"/>
                      <w:szCs w:val="21"/>
                    </w:rPr>
                  </w:pPr>
                  <w:r>
                    <w:rPr>
                      <w:b/>
                      <w:bCs/>
                      <w:color w:val="auto"/>
                      <w:sz w:val="21"/>
                      <w:szCs w:val="21"/>
                    </w:rPr>
                    <w:t>环境风险潜势</w:t>
                  </w:r>
                </w:p>
              </w:tc>
              <w:tc>
                <w:tcPr>
                  <w:tcW w:w="999" w:type="pct"/>
                  <w:tcBorders>
                    <w:bottom w:val="single" w:color="000000" w:sz="12" w:space="0"/>
                  </w:tcBorders>
                  <w:vAlign w:val="center"/>
                </w:tcPr>
                <w:p w14:paraId="5CEA6D6F">
                  <w:pPr>
                    <w:jc w:val="center"/>
                    <w:rPr>
                      <w:b/>
                      <w:bCs/>
                      <w:color w:val="auto"/>
                      <w:sz w:val="21"/>
                      <w:szCs w:val="21"/>
                    </w:rPr>
                  </w:pPr>
                  <w:r>
                    <w:rPr>
                      <w:b/>
                      <w:bCs/>
                      <w:color w:val="auto"/>
                      <w:sz w:val="21"/>
                      <w:szCs w:val="21"/>
                    </w:rPr>
                    <w:t>Ⅳ、Ⅳ+</w:t>
                  </w:r>
                </w:p>
              </w:tc>
              <w:tc>
                <w:tcPr>
                  <w:tcW w:w="999" w:type="pct"/>
                  <w:tcBorders>
                    <w:bottom w:val="single" w:color="000000" w:sz="12" w:space="0"/>
                  </w:tcBorders>
                  <w:vAlign w:val="center"/>
                </w:tcPr>
                <w:p w14:paraId="7F095859">
                  <w:pPr>
                    <w:jc w:val="center"/>
                    <w:rPr>
                      <w:b/>
                      <w:bCs/>
                      <w:color w:val="auto"/>
                      <w:sz w:val="21"/>
                      <w:szCs w:val="21"/>
                    </w:rPr>
                  </w:pPr>
                  <w:r>
                    <w:rPr>
                      <w:b/>
                      <w:bCs/>
                      <w:color w:val="auto"/>
                      <w:sz w:val="21"/>
                      <w:szCs w:val="21"/>
                    </w:rPr>
                    <w:t>Ⅲ</w:t>
                  </w:r>
                </w:p>
              </w:tc>
              <w:tc>
                <w:tcPr>
                  <w:tcW w:w="999" w:type="pct"/>
                  <w:tcBorders>
                    <w:bottom w:val="single" w:color="000000" w:sz="12" w:space="0"/>
                  </w:tcBorders>
                  <w:vAlign w:val="center"/>
                </w:tcPr>
                <w:p w14:paraId="61010310">
                  <w:pPr>
                    <w:jc w:val="center"/>
                    <w:rPr>
                      <w:b/>
                      <w:bCs/>
                      <w:color w:val="auto"/>
                      <w:sz w:val="21"/>
                      <w:szCs w:val="21"/>
                    </w:rPr>
                  </w:pPr>
                  <w:r>
                    <w:rPr>
                      <w:b/>
                      <w:bCs/>
                      <w:color w:val="auto"/>
                      <w:sz w:val="21"/>
                      <w:szCs w:val="21"/>
                    </w:rPr>
                    <w:t>Ⅱ</w:t>
                  </w:r>
                </w:p>
              </w:tc>
              <w:tc>
                <w:tcPr>
                  <w:tcW w:w="1001" w:type="pct"/>
                  <w:tcBorders>
                    <w:bottom w:val="single" w:color="000000" w:sz="12" w:space="0"/>
                  </w:tcBorders>
                  <w:vAlign w:val="center"/>
                </w:tcPr>
                <w:p w14:paraId="26252C1F">
                  <w:pPr>
                    <w:jc w:val="center"/>
                    <w:rPr>
                      <w:b/>
                      <w:bCs/>
                      <w:color w:val="auto"/>
                      <w:sz w:val="21"/>
                      <w:szCs w:val="21"/>
                    </w:rPr>
                  </w:pPr>
                  <w:r>
                    <w:rPr>
                      <w:b/>
                      <w:bCs/>
                      <w:color w:val="auto"/>
                      <w:sz w:val="21"/>
                      <w:szCs w:val="21"/>
                    </w:rPr>
                    <w:t>Ⅰ</w:t>
                  </w:r>
                </w:p>
              </w:tc>
            </w:tr>
            <w:tr w14:paraId="17BE409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99" w:type="pct"/>
                  <w:tcBorders>
                    <w:top w:val="single" w:color="000000" w:sz="12" w:space="0"/>
                    <w:tl2br w:val="nil"/>
                    <w:tr2bl w:val="nil"/>
                  </w:tcBorders>
                  <w:vAlign w:val="center"/>
                </w:tcPr>
                <w:p w14:paraId="082B62FA">
                  <w:pPr>
                    <w:jc w:val="center"/>
                    <w:rPr>
                      <w:color w:val="auto"/>
                      <w:sz w:val="21"/>
                      <w:szCs w:val="21"/>
                    </w:rPr>
                  </w:pPr>
                  <w:r>
                    <w:rPr>
                      <w:color w:val="auto"/>
                      <w:sz w:val="21"/>
                      <w:szCs w:val="21"/>
                    </w:rPr>
                    <w:t>评价工作等级</w:t>
                  </w:r>
                </w:p>
              </w:tc>
              <w:tc>
                <w:tcPr>
                  <w:tcW w:w="999" w:type="pct"/>
                  <w:tcBorders>
                    <w:top w:val="single" w:color="000000" w:sz="12" w:space="0"/>
                    <w:tl2br w:val="nil"/>
                    <w:tr2bl w:val="nil"/>
                  </w:tcBorders>
                  <w:vAlign w:val="center"/>
                </w:tcPr>
                <w:p w14:paraId="487A2C9B">
                  <w:pPr>
                    <w:jc w:val="center"/>
                    <w:rPr>
                      <w:color w:val="auto"/>
                      <w:sz w:val="21"/>
                      <w:szCs w:val="21"/>
                    </w:rPr>
                  </w:pPr>
                  <w:r>
                    <w:rPr>
                      <w:color w:val="auto"/>
                      <w:sz w:val="21"/>
                      <w:szCs w:val="21"/>
                    </w:rPr>
                    <w:t>一</w:t>
                  </w:r>
                </w:p>
              </w:tc>
              <w:tc>
                <w:tcPr>
                  <w:tcW w:w="999" w:type="pct"/>
                  <w:tcBorders>
                    <w:top w:val="single" w:color="000000" w:sz="12" w:space="0"/>
                    <w:tl2br w:val="nil"/>
                    <w:tr2bl w:val="nil"/>
                  </w:tcBorders>
                  <w:vAlign w:val="center"/>
                </w:tcPr>
                <w:p w14:paraId="181C5162">
                  <w:pPr>
                    <w:jc w:val="center"/>
                    <w:rPr>
                      <w:color w:val="auto"/>
                      <w:sz w:val="21"/>
                      <w:szCs w:val="21"/>
                    </w:rPr>
                  </w:pPr>
                  <w:r>
                    <w:rPr>
                      <w:color w:val="auto"/>
                      <w:sz w:val="21"/>
                      <w:szCs w:val="21"/>
                    </w:rPr>
                    <w:t>二</w:t>
                  </w:r>
                </w:p>
              </w:tc>
              <w:tc>
                <w:tcPr>
                  <w:tcW w:w="999" w:type="pct"/>
                  <w:tcBorders>
                    <w:top w:val="single" w:color="000000" w:sz="12" w:space="0"/>
                    <w:tl2br w:val="nil"/>
                    <w:tr2bl w:val="nil"/>
                  </w:tcBorders>
                  <w:vAlign w:val="center"/>
                </w:tcPr>
                <w:p w14:paraId="46158C34">
                  <w:pPr>
                    <w:jc w:val="center"/>
                    <w:rPr>
                      <w:color w:val="auto"/>
                      <w:sz w:val="21"/>
                      <w:szCs w:val="21"/>
                    </w:rPr>
                  </w:pPr>
                  <w:r>
                    <w:rPr>
                      <w:color w:val="auto"/>
                      <w:sz w:val="21"/>
                      <w:szCs w:val="21"/>
                    </w:rPr>
                    <w:t>三</w:t>
                  </w:r>
                </w:p>
              </w:tc>
              <w:tc>
                <w:tcPr>
                  <w:tcW w:w="1001" w:type="pct"/>
                  <w:tcBorders>
                    <w:top w:val="single" w:color="000000" w:sz="12" w:space="0"/>
                    <w:tl2br w:val="nil"/>
                    <w:tr2bl w:val="nil"/>
                  </w:tcBorders>
                  <w:vAlign w:val="center"/>
                </w:tcPr>
                <w:p w14:paraId="7EF11164">
                  <w:pPr>
                    <w:jc w:val="center"/>
                    <w:rPr>
                      <w:color w:val="auto"/>
                      <w:sz w:val="21"/>
                      <w:szCs w:val="21"/>
                    </w:rPr>
                  </w:pPr>
                  <w:r>
                    <w:rPr>
                      <w:color w:val="auto"/>
                      <w:sz w:val="21"/>
                      <w:szCs w:val="21"/>
                    </w:rPr>
                    <w:t>简单分析a</w:t>
                  </w:r>
                </w:p>
              </w:tc>
            </w:tr>
            <w:tr w14:paraId="763ED11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000" w:type="pct"/>
                  <w:gridSpan w:val="5"/>
                  <w:tcBorders>
                    <w:tl2br w:val="nil"/>
                    <w:tr2bl w:val="nil"/>
                  </w:tcBorders>
                  <w:vAlign w:val="center"/>
                </w:tcPr>
                <w:p w14:paraId="0ADBB950">
                  <w:pPr>
                    <w:ind w:firstLine="420" w:firstLineChars="200"/>
                    <w:rPr>
                      <w:color w:val="auto"/>
                      <w:sz w:val="21"/>
                      <w:szCs w:val="21"/>
                    </w:rPr>
                  </w:pPr>
                  <w:r>
                    <w:rPr>
                      <w:color w:val="auto"/>
                      <w:sz w:val="21"/>
                      <w:szCs w:val="21"/>
                    </w:rPr>
                    <w:t>a是相对于详细评价工作内容而言，在描述危险物质、环境影响途径、环境危害后果、风险防范措施等方面给出定性的说明。</w:t>
                  </w:r>
                </w:p>
              </w:tc>
            </w:tr>
          </w:tbl>
          <w:p w14:paraId="2B60A10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本项目环境风险潜势为Ⅰ，根据《建设项目环境风险评价技术导则》（HJ/T169-2018）环境风险评价工作级别划分的判据，确定本工程环境风险评价工作级别为简单分析。</w:t>
            </w:r>
          </w:p>
          <w:p w14:paraId="0C9D6BF6">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cs="Times New Roman"/>
                <w:b/>
                <w:bCs/>
                <w:color w:val="auto"/>
                <w:sz w:val="24"/>
                <w:lang w:val="en-US" w:eastAsia="zh-CN"/>
              </w:rPr>
              <w:t>6.5</w:t>
            </w:r>
            <w:r>
              <w:rPr>
                <w:rFonts w:hint="eastAsia" w:ascii="Times New Roman" w:hAnsi="Times New Roman" w:eastAsia="宋体" w:cs="Times New Roman"/>
                <w:b/>
                <w:bCs/>
                <w:color w:val="auto"/>
                <w:sz w:val="24"/>
              </w:rPr>
              <w:t>环境风险识别</w:t>
            </w:r>
          </w:p>
          <w:p w14:paraId="0E05F0A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cs="Times New Roman"/>
                <w:color w:val="auto"/>
                <w:kern w:val="0"/>
                <w:sz w:val="24"/>
                <w:lang w:val="en-US" w:eastAsia="zh-CN"/>
              </w:rPr>
              <w:t>本</w:t>
            </w:r>
            <w:r>
              <w:rPr>
                <w:rFonts w:ascii="Times New Roman" w:hAnsi="Times New Roman" w:eastAsia="宋体" w:cs="Times New Roman"/>
                <w:color w:val="auto"/>
                <w:kern w:val="0"/>
                <w:sz w:val="24"/>
              </w:rPr>
              <w:t>项目存在的主要环境风险为除尘</w:t>
            </w:r>
            <w:r>
              <w:rPr>
                <w:rFonts w:hint="eastAsia" w:cs="Times New Roman"/>
                <w:color w:val="auto"/>
                <w:kern w:val="0"/>
                <w:sz w:val="24"/>
                <w:lang w:val="en-US" w:eastAsia="zh-CN"/>
              </w:rPr>
              <w:t>设备</w:t>
            </w:r>
            <w:r>
              <w:rPr>
                <w:rFonts w:ascii="Times New Roman" w:hAnsi="Times New Roman" w:eastAsia="宋体" w:cs="Times New Roman"/>
                <w:color w:val="auto"/>
                <w:kern w:val="0"/>
                <w:sz w:val="24"/>
              </w:rPr>
              <w:t>故障导致</w:t>
            </w:r>
            <w:r>
              <w:rPr>
                <w:rFonts w:hint="eastAsia" w:cs="Times New Roman"/>
                <w:color w:val="auto"/>
                <w:kern w:val="0"/>
                <w:sz w:val="24"/>
                <w:lang w:val="en-US" w:eastAsia="zh-CN"/>
              </w:rPr>
              <w:t>废气</w:t>
            </w:r>
            <w:r>
              <w:rPr>
                <w:rFonts w:ascii="Times New Roman" w:hAnsi="Times New Roman" w:eastAsia="宋体" w:cs="Times New Roman"/>
                <w:color w:val="auto"/>
                <w:kern w:val="0"/>
                <w:sz w:val="24"/>
              </w:rPr>
              <w:t>事故排放</w:t>
            </w:r>
            <w:r>
              <w:rPr>
                <w:rFonts w:hint="eastAsia" w:ascii="Times New Roman" w:hAnsi="Times New Roman" w:eastAsia="宋体" w:cs="Times New Roman"/>
                <w:color w:val="auto"/>
                <w:kern w:val="0"/>
                <w:sz w:val="24"/>
              </w:rPr>
              <w:t>，经采取相应防范措施后，项目风险可控。环评要求本项目采取以下措施减小事故发生的概率及其产生的影响：</w:t>
            </w:r>
          </w:p>
          <w:p w14:paraId="00953551">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①按照布袋使用期限，及时更换布袋，</w:t>
            </w:r>
            <w:r>
              <w:rPr>
                <w:rFonts w:hint="eastAsia" w:cs="Times New Roman"/>
                <w:color w:val="auto"/>
                <w:kern w:val="0"/>
                <w:sz w:val="24"/>
                <w:lang w:val="en-US" w:eastAsia="zh-CN"/>
              </w:rPr>
              <w:t>严禁除尘</w:t>
            </w:r>
            <w:r>
              <w:rPr>
                <w:rFonts w:hint="eastAsia" w:ascii="Times New Roman" w:hAnsi="Times New Roman" w:eastAsia="宋体" w:cs="Times New Roman"/>
                <w:color w:val="auto"/>
                <w:kern w:val="0"/>
                <w:sz w:val="24"/>
              </w:rPr>
              <w:t>器布袋超期运行；按计划进行定期维护；建议单位依据实际制定《环境保护责任制》</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《安全环保风险管理制度》，可满足企业环境风险管理要求。</w:t>
            </w:r>
          </w:p>
          <w:p w14:paraId="36F782D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②</w:t>
            </w:r>
            <w:r>
              <w:rPr>
                <w:rFonts w:hint="eastAsia" w:cs="Times New Roman"/>
                <w:color w:val="auto"/>
                <w:kern w:val="0"/>
                <w:sz w:val="24"/>
                <w:lang w:val="en-US" w:eastAsia="zh-CN"/>
              </w:rPr>
              <w:t>除</w:t>
            </w:r>
            <w:r>
              <w:rPr>
                <w:rFonts w:hint="eastAsia" w:ascii="Times New Roman" w:hAnsi="Times New Roman" w:eastAsia="宋体" w:cs="Times New Roman"/>
                <w:color w:val="auto"/>
                <w:kern w:val="0"/>
                <w:sz w:val="24"/>
              </w:rPr>
              <w:t>尘器发生故障时，及时关闭相应的</w:t>
            </w:r>
            <w:r>
              <w:rPr>
                <w:rFonts w:hint="eastAsia" w:cs="Times New Roman"/>
                <w:color w:val="auto"/>
                <w:kern w:val="0"/>
                <w:sz w:val="24"/>
                <w:lang w:val="en-US" w:eastAsia="zh-CN"/>
              </w:rPr>
              <w:t>除尘设备</w:t>
            </w:r>
            <w:r>
              <w:rPr>
                <w:rFonts w:hint="eastAsia" w:ascii="Times New Roman" w:hAnsi="Times New Roman" w:eastAsia="宋体" w:cs="Times New Roman"/>
                <w:color w:val="auto"/>
                <w:kern w:val="0"/>
                <w:sz w:val="24"/>
              </w:rPr>
              <w:t>进行维修更换。</w:t>
            </w:r>
          </w:p>
          <w:p w14:paraId="10B576E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③对环保设施设置专人进行操作，管理、维护。</w:t>
            </w:r>
          </w:p>
          <w:p w14:paraId="05F2363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④厂区内设置报警仪，防火、防爆、防静电安全装置等相关防护措施，并纳入日常安全生产管理制度中去。</w:t>
            </w:r>
          </w:p>
          <w:p w14:paraId="5D1A5E7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⑤制定严格的环保制度，所有人员必须遵守环保制度，加强设备运行状态监控，发现问题及时处理。</w:t>
            </w:r>
          </w:p>
          <w:p w14:paraId="0F9D04D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对于重大或不可接受的风险，制定应急响应方案，建立应急反应体系，当事件一旦发生时可迅速加以控制，使危害和损失降到</w:t>
            </w:r>
            <w:r>
              <w:rPr>
                <w:rFonts w:hint="eastAsia" w:cs="Times New Roman"/>
                <w:color w:val="auto"/>
                <w:kern w:val="0"/>
                <w:sz w:val="24"/>
                <w:lang w:val="en-US" w:eastAsia="zh-CN"/>
              </w:rPr>
              <w:t>最低</w:t>
            </w:r>
            <w:r>
              <w:rPr>
                <w:rFonts w:hint="eastAsia" w:ascii="Times New Roman" w:hAnsi="Times New Roman" w:eastAsia="宋体" w:cs="Times New Roman"/>
                <w:color w:val="auto"/>
                <w:kern w:val="0"/>
                <w:sz w:val="24"/>
              </w:rPr>
              <w:t>程度。</w:t>
            </w:r>
          </w:p>
          <w:p w14:paraId="4C4E2C4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作为事故风险防范和应急对策的重要组成部分，应急组织机构应制定应急计划，其基本内容应包括应急组织、应急设施（设备器材）、</w:t>
            </w:r>
            <w:r>
              <w:rPr>
                <w:rFonts w:hint="eastAsia" w:ascii="Times New Roman" w:hAnsi="Times New Roman" w:eastAsia="宋体" w:cs="Times New Roman"/>
                <w:color w:val="auto"/>
                <w:kern w:val="0"/>
                <w:sz w:val="24"/>
                <w:lang w:eastAsia="zh-CN"/>
              </w:rPr>
              <w:t>应急通信</w:t>
            </w:r>
            <w:r>
              <w:rPr>
                <w:rFonts w:hint="eastAsia" w:ascii="Times New Roman" w:hAnsi="Times New Roman" w:eastAsia="宋体" w:cs="Times New Roman"/>
                <w:color w:val="auto"/>
                <w:kern w:val="0"/>
                <w:sz w:val="24"/>
              </w:rPr>
              <w:t>联络、应急监测、应急安全保卫、应急撤离措施、应急救援、应急状态终止、事故后果评价、应急报告等。</w:t>
            </w:r>
          </w:p>
          <w:p w14:paraId="334E6722">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w:t>
            </w:r>
            <w:r>
              <w:rPr>
                <w:rFonts w:hint="default" w:ascii="Times New Roman" w:hAnsi="Times New Roman" w:eastAsia="宋体" w:cs="Times New Roman"/>
                <w:color w:val="auto"/>
              </w:rPr>
              <w:t>-</w:t>
            </w:r>
            <w:r>
              <w:rPr>
                <w:rFonts w:hint="eastAsia" w:ascii="Times New Roman" w:hAnsi="Times New Roman" w:eastAsia="宋体" w:cs="Times New Roman"/>
                <w:color w:val="auto"/>
              </w:rPr>
              <w:t>1</w:t>
            </w:r>
            <w:r>
              <w:rPr>
                <w:rFonts w:hint="eastAsia" w:cs="Times New Roman"/>
                <w:color w:val="auto"/>
                <w:lang w:val="en-US" w:eastAsia="zh-CN"/>
              </w:rPr>
              <w:t>7</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本项目环境风险应急预案内容一览表</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92"/>
              <w:gridCol w:w="1521"/>
              <w:gridCol w:w="6203"/>
            </w:tblGrid>
            <w:tr w14:paraId="5145797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tcBorders>
                    <w:bottom w:val="single" w:color="auto" w:sz="12" w:space="0"/>
                  </w:tcBorders>
                  <w:vAlign w:val="center"/>
                </w:tcPr>
                <w:p w14:paraId="49CB8C2B">
                  <w:pPr>
                    <w:pStyle w:val="60"/>
                    <w:rPr>
                      <w:b/>
                      <w:bCs w:val="0"/>
                      <w:color w:val="auto"/>
                      <w:sz w:val="21"/>
                      <w:szCs w:val="21"/>
                    </w:rPr>
                  </w:pPr>
                  <w:r>
                    <w:rPr>
                      <w:rFonts w:hint="eastAsia"/>
                      <w:b/>
                      <w:bCs w:val="0"/>
                      <w:color w:val="auto"/>
                      <w:sz w:val="21"/>
                      <w:szCs w:val="21"/>
                    </w:rPr>
                    <w:t>序号</w:t>
                  </w:r>
                </w:p>
              </w:tc>
              <w:tc>
                <w:tcPr>
                  <w:tcW w:w="893" w:type="pct"/>
                  <w:tcBorders>
                    <w:bottom w:val="single" w:color="auto" w:sz="12" w:space="0"/>
                  </w:tcBorders>
                  <w:vAlign w:val="center"/>
                </w:tcPr>
                <w:p w14:paraId="5D017BB6">
                  <w:pPr>
                    <w:pStyle w:val="60"/>
                    <w:rPr>
                      <w:b/>
                      <w:bCs w:val="0"/>
                      <w:color w:val="auto"/>
                      <w:sz w:val="21"/>
                      <w:szCs w:val="21"/>
                    </w:rPr>
                  </w:pPr>
                  <w:r>
                    <w:rPr>
                      <w:rFonts w:hint="eastAsia"/>
                      <w:b/>
                      <w:bCs w:val="0"/>
                      <w:color w:val="auto"/>
                      <w:sz w:val="21"/>
                      <w:szCs w:val="21"/>
                    </w:rPr>
                    <w:t>项目</w:t>
                  </w:r>
                </w:p>
              </w:tc>
              <w:tc>
                <w:tcPr>
                  <w:tcW w:w="3641" w:type="pct"/>
                  <w:tcBorders>
                    <w:bottom w:val="single" w:color="auto" w:sz="12" w:space="0"/>
                  </w:tcBorders>
                  <w:vAlign w:val="center"/>
                </w:tcPr>
                <w:p w14:paraId="38704A39">
                  <w:pPr>
                    <w:pStyle w:val="60"/>
                    <w:rPr>
                      <w:b/>
                      <w:bCs w:val="0"/>
                      <w:color w:val="auto"/>
                      <w:sz w:val="21"/>
                      <w:szCs w:val="21"/>
                    </w:rPr>
                  </w:pPr>
                  <w:r>
                    <w:rPr>
                      <w:rFonts w:hint="eastAsia"/>
                      <w:b/>
                      <w:bCs w:val="0"/>
                      <w:color w:val="auto"/>
                      <w:sz w:val="21"/>
                      <w:szCs w:val="21"/>
                    </w:rPr>
                    <w:t>主要内容</w:t>
                  </w:r>
                </w:p>
              </w:tc>
            </w:tr>
            <w:tr w14:paraId="2152B5E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tcBorders>
                    <w:top w:val="single" w:color="auto" w:sz="12" w:space="0"/>
                    <w:tl2br w:val="nil"/>
                    <w:tr2bl w:val="nil"/>
                  </w:tcBorders>
                  <w:vAlign w:val="center"/>
                </w:tcPr>
                <w:p w14:paraId="2D9B72E4">
                  <w:pPr>
                    <w:pStyle w:val="60"/>
                    <w:rPr>
                      <w:color w:val="auto"/>
                      <w:sz w:val="21"/>
                      <w:szCs w:val="21"/>
                    </w:rPr>
                  </w:pPr>
                  <w:r>
                    <w:rPr>
                      <w:rFonts w:hint="eastAsia"/>
                      <w:color w:val="auto"/>
                      <w:sz w:val="21"/>
                      <w:szCs w:val="21"/>
                    </w:rPr>
                    <w:t>1</w:t>
                  </w:r>
                </w:p>
              </w:tc>
              <w:tc>
                <w:tcPr>
                  <w:tcW w:w="893" w:type="pct"/>
                  <w:tcBorders>
                    <w:top w:val="single" w:color="auto" w:sz="12" w:space="0"/>
                    <w:tl2br w:val="nil"/>
                    <w:tr2bl w:val="nil"/>
                  </w:tcBorders>
                  <w:vAlign w:val="center"/>
                </w:tcPr>
                <w:p w14:paraId="08D760E9">
                  <w:pPr>
                    <w:pStyle w:val="60"/>
                    <w:rPr>
                      <w:color w:val="auto"/>
                      <w:sz w:val="21"/>
                      <w:szCs w:val="21"/>
                    </w:rPr>
                  </w:pPr>
                  <w:r>
                    <w:rPr>
                      <w:rFonts w:hint="eastAsia"/>
                      <w:color w:val="auto"/>
                      <w:sz w:val="21"/>
                      <w:szCs w:val="21"/>
                    </w:rPr>
                    <w:t>应急计划区</w:t>
                  </w:r>
                </w:p>
              </w:tc>
              <w:tc>
                <w:tcPr>
                  <w:tcW w:w="3641" w:type="pct"/>
                  <w:tcBorders>
                    <w:top w:val="single" w:color="auto" w:sz="12" w:space="0"/>
                    <w:tl2br w:val="nil"/>
                    <w:tr2bl w:val="nil"/>
                  </w:tcBorders>
                  <w:vAlign w:val="center"/>
                </w:tcPr>
                <w:p w14:paraId="28B9D40C">
                  <w:pPr>
                    <w:pStyle w:val="60"/>
                    <w:rPr>
                      <w:color w:val="auto"/>
                      <w:sz w:val="21"/>
                      <w:szCs w:val="21"/>
                    </w:rPr>
                  </w:pPr>
                  <w:r>
                    <w:rPr>
                      <w:rFonts w:hint="eastAsia"/>
                      <w:color w:val="auto"/>
                      <w:sz w:val="21"/>
                      <w:szCs w:val="21"/>
                    </w:rPr>
                    <w:t>主要危险源：</w:t>
                  </w:r>
                  <w:r>
                    <w:rPr>
                      <w:rFonts w:hint="eastAsia"/>
                      <w:color w:val="auto"/>
                      <w:sz w:val="21"/>
                      <w:szCs w:val="21"/>
                      <w:lang w:val="en-US" w:eastAsia="zh-CN"/>
                    </w:rPr>
                    <w:t>搅拌楼</w:t>
                  </w:r>
                  <w:r>
                    <w:rPr>
                      <w:rFonts w:hint="eastAsia"/>
                      <w:color w:val="auto"/>
                      <w:sz w:val="21"/>
                      <w:szCs w:val="21"/>
                    </w:rPr>
                    <w:t>、</w:t>
                  </w:r>
                  <w:r>
                    <w:rPr>
                      <w:rFonts w:hint="eastAsia"/>
                      <w:color w:val="auto"/>
                      <w:sz w:val="21"/>
                      <w:szCs w:val="21"/>
                      <w:lang w:val="en-US" w:eastAsia="zh-CN"/>
                    </w:rPr>
                    <w:t>物料</w:t>
                  </w:r>
                  <w:r>
                    <w:rPr>
                      <w:rFonts w:hint="eastAsia"/>
                      <w:color w:val="auto"/>
                      <w:sz w:val="21"/>
                      <w:szCs w:val="21"/>
                    </w:rPr>
                    <w:t>储存区、相关环保设施等；环境保护目标</w:t>
                  </w:r>
                </w:p>
              </w:tc>
            </w:tr>
            <w:tr w14:paraId="7B9CDB6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tcBorders>
                    <w:tl2br w:val="nil"/>
                    <w:tr2bl w:val="nil"/>
                  </w:tcBorders>
                  <w:vAlign w:val="center"/>
                </w:tcPr>
                <w:p w14:paraId="6C24DE16">
                  <w:pPr>
                    <w:pStyle w:val="60"/>
                    <w:rPr>
                      <w:color w:val="auto"/>
                      <w:sz w:val="21"/>
                      <w:szCs w:val="21"/>
                    </w:rPr>
                  </w:pPr>
                  <w:r>
                    <w:rPr>
                      <w:rFonts w:hint="eastAsia"/>
                      <w:color w:val="auto"/>
                      <w:sz w:val="21"/>
                      <w:szCs w:val="21"/>
                    </w:rPr>
                    <w:t>2</w:t>
                  </w:r>
                </w:p>
              </w:tc>
              <w:tc>
                <w:tcPr>
                  <w:tcW w:w="893" w:type="pct"/>
                  <w:tcBorders>
                    <w:tl2br w:val="nil"/>
                    <w:tr2bl w:val="nil"/>
                  </w:tcBorders>
                  <w:vAlign w:val="center"/>
                </w:tcPr>
                <w:p w14:paraId="265BBC5C">
                  <w:pPr>
                    <w:pStyle w:val="60"/>
                    <w:rPr>
                      <w:color w:val="auto"/>
                      <w:sz w:val="21"/>
                      <w:szCs w:val="21"/>
                    </w:rPr>
                  </w:pPr>
                  <w:r>
                    <w:rPr>
                      <w:rFonts w:hint="eastAsia"/>
                      <w:color w:val="auto"/>
                      <w:sz w:val="21"/>
                      <w:szCs w:val="21"/>
                    </w:rPr>
                    <w:t>应急组织结构</w:t>
                  </w:r>
                </w:p>
              </w:tc>
              <w:tc>
                <w:tcPr>
                  <w:tcW w:w="3641" w:type="pct"/>
                  <w:tcBorders>
                    <w:tl2br w:val="nil"/>
                    <w:tr2bl w:val="nil"/>
                  </w:tcBorders>
                  <w:vAlign w:val="center"/>
                </w:tcPr>
                <w:p w14:paraId="54937551">
                  <w:pPr>
                    <w:pStyle w:val="60"/>
                    <w:rPr>
                      <w:rFonts w:ascii="宋体" w:hAnsi="宋体" w:cs="宋体"/>
                      <w:color w:val="auto"/>
                      <w:kern w:val="0"/>
                      <w:sz w:val="21"/>
                      <w:szCs w:val="21"/>
                    </w:rPr>
                  </w:pPr>
                  <w:r>
                    <w:rPr>
                      <w:rFonts w:hint="eastAsia" w:ascii="宋体" w:hAnsi="宋体" w:cs="宋体"/>
                      <w:color w:val="auto"/>
                      <w:kern w:val="0"/>
                      <w:sz w:val="21"/>
                      <w:szCs w:val="21"/>
                    </w:rPr>
                    <w:t>公司设置应急组织机构，经理为应急计划、协调第一人，应急人员必须</w:t>
                  </w:r>
                  <w:r>
                    <w:rPr>
                      <w:rFonts w:hint="eastAsia" w:ascii="宋体" w:hAnsi="宋体" w:cs="宋体"/>
                      <w:color w:val="auto"/>
                      <w:kern w:val="0"/>
                      <w:sz w:val="21"/>
                      <w:szCs w:val="21"/>
                      <w:lang w:val="en-US" w:eastAsia="zh-CN"/>
                    </w:rPr>
                    <w:t>经过专业技术培训</w:t>
                  </w:r>
                  <w:r>
                    <w:rPr>
                      <w:rFonts w:hint="eastAsia" w:ascii="宋体" w:hAnsi="宋体" w:cs="宋体"/>
                      <w:color w:val="auto"/>
                      <w:kern w:val="0"/>
                      <w:sz w:val="21"/>
                      <w:szCs w:val="21"/>
                    </w:rPr>
                    <w:t>；区域应急组织结构由当地政府、相关行业专家、卫生安全相关单位组成，并由当地政府进行统一调度。</w:t>
                  </w:r>
                </w:p>
              </w:tc>
            </w:tr>
            <w:tr w14:paraId="75D4E5B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tcBorders>
                    <w:tl2br w:val="nil"/>
                    <w:tr2bl w:val="nil"/>
                  </w:tcBorders>
                  <w:vAlign w:val="center"/>
                </w:tcPr>
                <w:p w14:paraId="08F32250">
                  <w:pPr>
                    <w:pStyle w:val="60"/>
                    <w:rPr>
                      <w:color w:val="auto"/>
                      <w:sz w:val="21"/>
                      <w:szCs w:val="21"/>
                    </w:rPr>
                  </w:pPr>
                  <w:r>
                    <w:rPr>
                      <w:rFonts w:hint="eastAsia"/>
                      <w:color w:val="auto"/>
                      <w:sz w:val="21"/>
                      <w:szCs w:val="21"/>
                    </w:rPr>
                    <w:t>3</w:t>
                  </w:r>
                </w:p>
              </w:tc>
              <w:tc>
                <w:tcPr>
                  <w:tcW w:w="893" w:type="pct"/>
                  <w:tcBorders>
                    <w:tl2br w:val="nil"/>
                    <w:tr2bl w:val="nil"/>
                  </w:tcBorders>
                  <w:vAlign w:val="center"/>
                </w:tcPr>
                <w:p w14:paraId="58DF149C">
                  <w:pPr>
                    <w:pStyle w:val="60"/>
                    <w:rPr>
                      <w:color w:val="auto"/>
                      <w:sz w:val="21"/>
                      <w:szCs w:val="21"/>
                    </w:rPr>
                  </w:pPr>
                  <w:r>
                    <w:rPr>
                      <w:rFonts w:hint="eastAsia" w:ascii="宋体" w:hAnsi="宋体" w:cs="宋体"/>
                      <w:color w:val="auto"/>
                      <w:kern w:val="0"/>
                      <w:sz w:val="21"/>
                      <w:szCs w:val="21"/>
                    </w:rPr>
                    <w:t>预案分级响应条件</w:t>
                  </w:r>
                </w:p>
              </w:tc>
              <w:tc>
                <w:tcPr>
                  <w:tcW w:w="3641" w:type="pct"/>
                  <w:tcBorders>
                    <w:tl2br w:val="nil"/>
                    <w:tr2bl w:val="nil"/>
                  </w:tcBorders>
                  <w:vAlign w:val="center"/>
                </w:tcPr>
                <w:p w14:paraId="41989424">
                  <w:pPr>
                    <w:pStyle w:val="60"/>
                    <w:rPr>
                      <w:rFonts w:ascii="宋体" w:hAnsi="宋体" w:cs="宋体"/>
                      <w:color w:val="auto"/>
                      <w:kern w:val="0"/>
                      <w:sz w:val="21"/>
                      <w:szCs w:val="21"/>
                    </w:rPr>
                  </w:pPr>
                  <w:r>
                    <w:rPr>
                      <w:rFonts w:hint="eastAsia" w:ascii="宋体" w:hAnsi="宋体" w:cs="宋体"/>
                      <w:color w:val="auto"/>
                      <w:kern w:val="0"/>
                      <w:sz w:val="21"/>
                      <w:szCs w:val="21"/>
                    </w:rPr>
                    <w:t>根据事故的严重程度制定相应级别的应急预案，以及适合相应情况的处理措施。</w:t>
                  </w:r>
                </w:p>
              </w:tc>
            </w:tr>
            <w:tr w14:paraId="180C028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tcBorders>
                    <w:tl2br w:val="nil"/>
                    <w:tr2bl w:val="nil"/>
                  </w:tcBorders>
                  <w:vAlign w:val="center"/>
                </w:tcPr>
                <w:p w14:paraId="54BEF861">
                  <w:pPr>
                    <w:pStyle w:val="60"/>
                    <w:rPr>
                      <w:color w:val="auto"/>
                      <w:sz w:val="21"/>
                      <w:szCs w:val="21"/>
                    </w:rPr>
                  </w:pPr>
                  <w:r>
                    <w:rPr>
                      <w:rFonts w:hint="eastAsia"/>
                      <w:color w:val="auto"/>
                      <w:sz w:val="21"/>
                      <w:szCs w:val="21"/>
                    </w:rPr>
                    <w:t>4</w:t>
                  </w:r>
                </w:p>
              </w:tc>
              <w:tc>
                <w:tcPr>
                  <w:tcW w:w="893" w:type="pct"/>
                  <w:tcBorders>
                    <w:tl2br w:val="nil"/>
                    <w:tr2bl w:val="nil"/>
                  </w:tcBorders>
                  <w:vAlign w:val="center"/>
                </w:tcPr>
                <w:p w14:paraId="4A28AA7A">
                  <w:pPr>
                    <w:pStyle w:val="60"/>
                    <w:rPr>
                      <w:color w:val="auto"/>
                      <w:sz w:val="21"/>
                      <w:szCs w:val="21"/>
                    </w:rPr>
                  </w:pPr>
                  <w:r>
                    <w:rPr>
                      <w:rFonts w:hint="eastAsia" w:ascii="宋体" w:hAnsi="宋体" w:cs="宋体"/>
                      <w:color w:val="auto"/>
                      <w:kern w:val="0"/>
                      <w:sz w:val="21"/>
                      <w:szCs w:val="21"/>
                    </w:rPr>
                    <w:t>报警、通讯联络方式</w:t>
                  </w:r>
                </w:p>
              </w:tc>
              <w:tc>
                <w:tcPr>
                  <w:tcW w:w="3641" w:type="pct"/>
                  <w:tcBorders>
                    <w:tl2br w:val="nil"/>
                    <w:tr2bl w:val="nil"/>
                  </w:tcBorders>
                  <w:vAlign w:val="center"/>
                </w:tcPr>
                <w:p w14:paraId="1C66012E">
                  <w:pPr>
                    <w:pStyle w:val="60"/>
                    <w:rPr>
                      <w:color w:val="auto"/>
                      <w:sz w:val="21"/>
                      <w:szCs w:val="21"/>
                    </w:rPr>
                  </w:pPr>
                  <w:r>
                    <w:rPr>
                      <w:rFonts w:hint="eastAsia" w:ascii="宋体" w:hAnsi="宋体" w:cs="宋体"/>
                      <w:color w:val="auto"/>
                      <w:kern w:val="0"/>
                      <w:sz w:val="21"/>
                      <w:szCs w:val="21"/>
                    </w:rPr>
                    <w:t>逐一细化应急状态下各主要负责部门的</w:t>
                  </w:r>
                  <w:r>
                    <w:rPr>
                      <w:rFonts w:hint="eastAsia" w:ascii="宋体" w:hAnsi="宋体" w:cs="宋体"/>
                      <w:color w:val="auto"/>
                      <w:kern w:val="0"/>
                      <w:sz w:val="21"/>
                      <w:szCs w:val="21"/>
                      <w:lang w:eastAsia="zh-CN"/>
                    </w:rPr>
                    <w:t>报警通信</w:t>
                  </w:r>
                  <w:r>
                    <w:rPr>
                      <w:rFonts w:hint="eastAsia" w:ascii="宋体" w:hAnsi="宋体" w:cs="宋体"/>
                      <w:color w:val="auto"/>
                      <w:kern w:val="0"/>
                      <w:sz w:val="21"/>
                      <w:szCs w:val="21"/>
                    </w:rPr>
                    <w:t>方式、地点、</w:t>
                  </w:r>
                  <w:r>
                    <w:rPr>
                      <w:rFonts w:hint="eastAsia" w:ascii="宋体" w:hAnsi="宋体" w:cs="宋体"/>
                      <w:color w:val="auto"/>
                      <w:kern w:val="0"/>
                      <w:sz w:val="21"/>
                      <w:szCs w:val="21"/>
                      <w:lang w:val="en-US" w:eastAsia="zh-CN"/>
                    </w:rPr>
                    <w:t>联系方式</w:t>
                  </w:r>
                  <w:r>
                    <w:rPr>
                      <w:rFonts w:hint="eastAsia" w:ascii="宋体" w:hAnsi="宋体" w:cs="宋体"/>
                      <w:color w:val="auto"/>
                      <w:kern w:val="0"/>
                      <w:sz w:val="21"/>
                      <w:szCs w:val="21"/>
                    </w:rPr>
                    <w:t>以及相关配套的交通保障、管制、消防联络方法，涉及跨区域的应与相关区域环境保护部门和上级环保部门保持联系，及时通报事故处理情况，以获得区域性支援。</w:t>
                  </w:r>
                </w:p>
              </w:tc>
            </w:tr>
            <w:tr w14:paraId="3ECBACB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tcBorders>
                    <w:tl2br w:val="nil"/>
                    <w:tr2bl w:val="nil"/>
                  </w:tcBorders>
                  <w:vAlign w:val="center"/>
                </w:tcPr>
                <w:p w14:paraId="000A66BC">
                  <w:pPr>
                    <w:pStyle w:val="60"/>
                    <w:rPr>
                      <w:color w:val="auto"/>
                      <w:sz w:val="21"/>
                      <w:szCs w:val="21"/>
                    </w:rPr>
                  </w:pPr>
                  <w:r>
                    <w:rPr>
                      <w:rFonts w:hint="eastAsia"/>
                      <w:color w:val="auto"/>
                      <w:sz w:val="21"/>
                      <w:szCs w:val="21"/>
                    </w:rPr>
                    <w:t>5</w:t>
                  </w:r>
                </w:p>
              </w:tc>
              <w:tc>
                <w:tcPr>
                  <w:tcW w:w="893" w:type="pct"/>
                  <w:tcBorders>
                    <w:tl2br w:val="nil"/>
                    <w:tr2bl w:val="nil"/>
                  </w:tcBorders>
                  <w:vAlign w:val="center"/>
                </w:tcPr>
                <w:p w14:paraId="75CC74BA">
                  <w:pPr>
                    <w:pStyle w:val="60"/>
                    <w:rPr>
                      <w:color w:val="auto"/>
                      <w:sz w:val="21"/>
                      <w:szCs w:val="21"/>
                    </w:rPr>
                  </w:pPr>
                  <w:r>
                    <w:rPr>
                      <w:rFonts w:hint="eastAsia"/>
                      <w:color w:val="auto"/>
                      <w:sz w:val="21"/>
                      <w:szCs w:val="21"/>
                    </w:rPr>
                    <w:t>应急环境监测</w:t>
                  </w:r>
                </w:p>
              </w:tc>
              <w:tc>
                <w:tcPr>
                  <w:tcW w:w="3641" w:type="pct"/>
                  <w:tcBorders>
                    <w:tl2br w:val="nil"/>
                    <w:tr2bl w:val="nil"/>
                  </w:tcBorders>
                  <w:vAlign w:val="center"/>
                </w:tcPr>
                <w:p w14:paraId="1A388E36">
                  <w:pPr>
                    <w:pStyle w:val="60"/>
                    <w:rPr>
                      <w:color w:val="auto"/>
                      <w:sz w:val="21"/>
                      <w:szCs w:val="21"/>
                    </w:rPr>
                  </w:pPr>
                  <w:r>
                    <w:rPr>
                      <w:rFonts w:hint="eastAsia" w:ascii="宋体" w:hAnsi="宋体" w:cs="宋体"/>
                      <w:color w:val="auto"/>
                      <w:kern w:val="0"/>
                      <w:sz w:val="21"/>
                      <w:szCs w:val="21"/>
                    </w:rPr>
                    <w:t>组织专业队伍负责对事故现场进行侦察监测，对事故性质、参数与后果进行评估，专为指挥部门提供决策依据。</w:t>
                  </w:r>
                </w:p>
              </w:tc>
            </w:tr>
            <w:tr w14:paraId="37E05A5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tcBorders>
                    <w:tl2br w:val="nil"/>
                    <w:tr2bl w:val="nil"/>
                  </w:tcBorders>
                  <w:vAlign w:val="center"/>
                </w:tcPr>
                <w:p w14:paraId="4FC661F0">
                  <w:pPr>
                    <w:pStyle w:val="60"/>
                    <w:ind w:firstLine="0" w:firstLineChars="0"/>
                    <w:rPr>
                      <w:rFonts w:hint="default" w:ascii="Times New Roman" w:hAnsi="Times New Roman" w:eastAsia="宋体" w:cs="Times New Roman"/>
                      <w:b w:val="0"/>
                      <w:bCs/>
                      <w:color w:val="auto"/>
                      <w:kern w:val="2"/>
                      <w:sz w:val="21"/>
                      <w:szCs w:val="21"/>
                      <w:lang w:val="en-US" w:eastAsia="zh-CN" w:bidi="ar-SA"/>
                    </w:rPr>
                  </w:pPr>
                  <w:r>
                    <w:rPr>
                      <w:rFonts w:hint="eastAsia"/>
                      <w:color w:val="auto"/>
                      <w:sz w:val="21"/>
                      <w:szCs w:val="21"/>
                    </w:rPr>
                    <w:t>6</w:t>
                  </w:r>
                </w:p>
              </w:tc>
              <w:tc>
                <w:tcPr>
                  <w:tcW w:w="893" w:type="pct"/>
                  <w:tcBorders>
                    <w:tl2br w:val="nil"/>
                    <w:tr2bl w:val="nil"/>
                  </w:tcBorders>
                  <w:vAlign w:val="center"/>
                </w:tcPr>
                <w:p w14:paraId="5E6D084D">
                  <w:pPr>
                    <w:pStyle w:val="60"/>
                    <w:rPr>
                      <w:color w:val="auto"/>
                      <w:sz w:val="21"/>
                      <w:szCs w:val="21"/>
                    </w:rPr>
                  </w:pPr>
                  <w:r>
                    <w:rPr>
                      <w:rFonts w:hint="eastAsia" w:ascii="宋体" w:hAnsi="宋体" w:cs="宋体"/>
                      <w:color w:val="auto"/>
                      <w:kern w:val="0"/>
                      <w:sz w:val="21"/>
                      <w:szCs w:val="21"/>
                    </w:rPr>
                    <w:t>抢险、救援控制措施</w:t>
                  </w:r>
                </w:p>
              </w:tc>
              <w:tc>
                <w:tcPr>
                  <w:tcW w:w="3641" w:type="pct"/>
                  <w:tcBorders>
                    <w:tl2br w:val="nil"/>
                    <w:tr2bl w:val="nil"/>
                  </w:tcBorders>
                  <w:vAlign w:val="center"/>
                </w:tcPr>
                <w:p w14:paraId="32492C6E">
                  <w:pPr>
                    <w:pStyle w:val="60"/>
                    <w:rPr>
                      <w:color w:val="auto"/>
                      <w:sz w:val="21"/>
                      <w:szCs w:val="21"/>
                    </w:rPr>
                  </w:pPr>
                  <w:r>
                    <w:rPr>
                      <w:rFonts w:hint="eastAsia" w:ascii="宋体" w:hAnsi="宋体" w:cs="宋体"/>
                      <w:color w:val="auto"/>
                      <w:kern w:val="0"/>
                      <w:sz w:val="21"/>
                      <w:szCs w:val="21"/>
                    </w:rPr>
                    <w:t>严格规定事故多发区、事故现场、邻近区域、控制防火区域设置控制和清除污染措施及相应设备的数量、使用方法、使用人员。</w:t>
                  </w:r>
                </w:p>
              </w:tc>
            </w:tr>
            <w:tr w14:paraId="0E827AA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tcBorders>
                    <w:tl2br w:val="nil"/>
                    <w:tr2bl w:val="nil"/>
                  </w:tcBorders>
                  <w:vAlign w:val="center"/>
                </w:tcPr>
                <w:p w14:paraId="4B9CB4F8">
                  <w:pPr>
                    <w:pStyle w:val="60"/>
                    <w:ind w:firstLine="0" w:firstLineChars="0"/>
                    <w:rPr>
                      <w:rFonts w:hint="default" w:ascii="Times New Roman" w:hAnsi="Times New Roman" w:eastAsia="宋体" w:cs="Times New Roman"/>
                      <w:b w:val="0"/>
                      <w:bCs/>
                      <w:color w:val="auto"/>
                      <w:kern w:val="2"/>
                      <w:sz w:val="21"/>
                      <w:szCs w:val="21"/>
                      <w:lang w:val="en-US" w:eastAsia="zh-CN" w:bidi="ar-SA"/>
                    </w:rPr>
                  </w:pPr>
                  <w:r>
                    <w:rPr>
                      <w:rFonts w:hint="eastAsia"/>
                      <w:color w:val="auto"/>
                      <w:sz w:val="21"/>
                      <w:szCs w:val="21"/>
                    </w:rPr>
                    <w:t>7</w:t>
                  </w:r>
                </w:p>
              </w:tc>
              <w:tc>
                <w:tcPr>
                  <w:tcW w:w="893" w:type="pct"/>
                  <w:tcBorders>
                    <w:tl2br w:val="nil"/>
                    <w:tr2bl w:val="nil"/>
                  </w:tcBorders>
                  <w:vAlign w:val="center"/>
                </w:tcPr>
                <w:p w14:paraId="5BF6B5A7">
                  <w:pPr>
                    <w:pStyle w:val="60"/>
                    <w:rPr>
                      <w:rFonts w:ascii="宋体" w:hAnsi="宋体" w:cs="宋体"/>
                      <w:color w:val="auto"/>
                      <w:kern w:val="0"/>
                      <w:sz w:val="21"/>
                      <w:szCs w:val="21"/>
                    </w:rPr>
                  </w:pPr>
                  <w:r>
                    <w:rPr>
                      <w:rFonts w:hint="eastAsia" w:ascii="宋体" w:hAnsi="宋体" w:cs="宋体"/>
                      <w:color w:val="auto"/>
                      <w:kern w:val="0"/>
                      <w:sz w:val="21"/>
                      <w:szCs w:val="21"/>
                    </w:rPr>
                    <w:t>人员紧急撤</w:t>
                  </w:r>
                </w:p>
                <w:p w14:paraId="78477051">
                  <w:pPr>
                    <w:pStyle w:val="60"/>
                    <w:rPr>
                      <w:color w:val="auto"/>
                      <w:sz w:val="21"/>
                      <w:szCs w:val="21"/>
                    </w:rPr>
                  </w:pPr>
                  <w:r>
                    <w:rPr>
                      <w:rFonts w:hint="eastAsia" w:ascii="宋体" w:hAnsi="宋体" w:cs="宋体"/>
                      <w:color w:val="auto"/>
                      <w:kern w:val="0"/>
                      <w:sz w:val="21"/>
                      <w:szCs w:val="21"/>
                    </w:rPr>
                    <w:t>离、疏散计划</w:t>
                  </w:r>
                </w:p>
              </w:tc>
              <w:tc>
                <w:tcPr>
                  <w:tcW w:w="3641" w:type="pct"/>
                  <w:tcBorders>
                    <w:tl2br w:val="nil"/>
                    <w:tr2bl w:val="nil"/>
                  </w:tcBorders>
                  <w:vAlign w:val="center"/>
                </w:tcPr>
                <w:p w14:paraId="66D88D6C">
                  <w:pPr>
                    <w:pStyle w:val="60"/>
                    <w:rPr>
                      <w:color w:val="auto"/>
                      <w:sz w:val="21"/>
                      <w:szCs w:val="21"/>
                    </w:rPr>
                  </w:pPr>
                  <w:r>
                    <w:rPr>
                      <w:rFonts w:hint="eastAsia" w:ascii="宋体" w:hAnsi="宋体" w:cs="宋体"/>
                      <w:color w:val="auto"/>
                      <w:kern w:val="0"/>
                      <w:sz w:val="21"/>
                      <w:szCs w:val="21"/>
                    </w:rPr>
                    <w:t>事故现场、工厂邻近区、受事故影响的区域人员及公众对有毒有害物质应急剂量控制规定，制定紧急撤离组织计划和救护，医疗救护与公众健康。</w:t>
                  </w:r>
                </w:p>
              </w:tc>
            </w:tr>
            <w:tr w14:paraId="26D9222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tcBorders>
                    <w:tl2br w:val="nil"/>
                    <w:tr2bl w:val="nil"/>
                  </w:tcBorders>
                  <w:vAlign w:val="center"/>
                </w:tcPr>
                <w:p w14:paraId="0960451A">
                  <w:pPr>
                    <w:pStyle w:val="60"/>
                    <w:ind w:firstLine="0" w:firstLineChars="0"/>
                    <w:rPr>
                      <w:rFonts w:hint="default" w:ascii="Times New Roman" w:hAnsi="Times New Roman" w:eastAsia="宋体" w:cs="Times New Roman"/>
                      <w:b w:val="0"/>
                      <w:bCs/>
                      <w:color w:val="auto"/>
                      <w:kern w:val="2"/>
                      <w:sz w:val="21"/>
                      <w:szCs w:val="21"/>
                      <w:lang w:val="en-US" w:eastAsia="zh-CN" w:bidi="ar-SA"/>
                    </w:rPr>
                  </w:pPr>
                  <w:r>
                    <w:rPr>
                      <w:rFonts w:hint="eastAsia"/>
                      <w:color w:val="auto"/>
                      <w:sz w:val="21"/>
                      <w:szCs w:val="21"/>
                    </w:rPr>
                    <w:t>8</w:t>
                  </w:r>
                </w:p>
              </w:tc>
              <w:tc>
                <w:tcPr>
                  <w:tcW w:w="893" w:type="pct"/>
                  <w:tcBorders>
                    <w:tl2br w:val="nil"/>
                    <w:tr2bl w:val="nil"/>
                  </w:tcBorders>
                  <w:vAlign w:val="center"/>
                </w:tcPr>
                <w:p w14:paraId="6C0FB372">
                  <w:pPr>
                    <w:pStyle w:val="60"/>
                    <w:rPr>
                      <w:color w:val="auto"/>
                      <w:sz w:val="21"/>
                      <w:szCs w:val="21"/>
                    </w:rPr>
                  </w:pPr>
                  <w:r>
                    <w:rPr>
                      <w:rFonts w:hint="eastAsia" w:ascii="宋体" w:hAnsi="宋体" w:cs="宋体"/>
                      <w:color w:val="auto"/>
                      <w:kern w:val="0"/>
                      <w:sz w:val="21"/>
                      <w:szCs w:val="21"/>
                    </w:rPr>
                    <w:t>事故应急救援关闭程序</w:t>
                  </w:r>
                </w:p>
              </w:tc>
              <w:tc>
                <w:tcPr>
                  <w:tcW w:w="3641" w:type="pct"/>
                  <w:tcBorders>
                    <w:tl2br w:val="nil"/>
                    <w:tr2bl w:val="nil"/>
                  </w:tcBorders>
                  <w:vAlign w:val="center"/>
                </w:tcPr>
                <w:p w14:paraId="60D65C51">
                  <w:pPr>
                    <w:pStyle w:val="60"/>
                    <w:rPr>
                      <w:color w:val="auto"/>
                      <w:sz w:val="21"/>
                      <w:szCs w:val="21"/>
                    </w:rPr>
                  </w:pPr>
                  <w:r>
                    <w:rPr>
                      <w:rFonts w:hint="eastAsia" w:ascii="宋体" w:hAnsi="宋体" w:cs="宋体"/>
                      <w:color w:val="auto"/>
                      <w:kern w:val="0"/>
                      <w:sz w:val="21"/>
                      <w:szCs w:val="21"/>
                    </w:rPr>
                    <w:t>制定相关应急状态终止程序，事故现场、受影响范围内的善后处理、恢复措施，邻近区域解除事故警戒及善后恢复措施。</w:t>
                  </w:r>
                </w:p>
              </w:tc>
            </w:tr>
            <w:tr w14:paraId="5AD2E6B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tcBorders>
                    <w:tl2br w:val="nil"/>
                    <w:tr2bl w:val="nil"/>
                  </w:tcBorders>
                  <w:vAlign w:val="center"/>
                </w:tcPr>
                <w:p w14:paraId="4259C16A">
                  <w:pPr>
                    <w:pStyle w:val="60"/>
                    <w:ind w:firstLine="0" w:firstLineChars="0"/>
                    <w:rPr>
                      <w:rFonts w:hint="default" w:ascii="Times New Roman" w:hAnsi="Times New Roman" w:eastAsia="宋体" w:cs="Times New Roman"/>
                      <w:b w:val="0"/>
                      <w:bCs/>
                      <w:color w:val="auto"/>
                      <w:kern w:val="2"/>
                      <w:sz w:val="21"/>
                      <w:szCs w:val="21"/>
                      <w:lang w:val="en-US" w:eastAsia="zh-CN" w:bidi="ar-SA"/>
                    </w:rPr>
                  </w:pPr>
                  <w:r>
                    <w:rPr>
                      <w:rFonts w:hint="eastAsia"/>
                      <w:color w:val="auto"/>
                      <w:sz w:val="21"/>
                      <w:szCs w:val="21"/>
                    </w:rPr>
                    <w:t>9</w:t>
                  </w:r>
                </w:p>
              </w:tc>
              <w:tc>
                <w:tcPr>
                  <w:tcW w:w="893" w:type="pct"/>
                  <w:tcBorders>
                    <w:tl2br w:val="nil"/>
                    <w:tr2bl w:val="nil"/>
                  </w:tcBorders>
                  <w:vAlign w:val="center"/>
                </w:tcPr>
                <w:p w14:paraId="5559AF85">
                  <w:pPr>
                    <w:pStyle w:val="60"/>
                    <w:rPr>
                      <w:color w:val="auto"/>
                      <w:sz w:val="21"/>
                      <w:szCs w:val="21"/>
                    </w:rPr>
                  </w:pPr>
                  <w:r>
                    <w:rPr>
                      <w:rFonts w:hint="eastAsia"/>
                      <w:color w:val="auto"/>
                      <w:sz w:val="21"/>
                      <w:szCs w:val="21"/>
                    </w:rPr>
                    <w:t>事故恢复措施</w:t>
                  </w:r>
                </w:p>
              </w:tc>
              <w:tc>
                <w:tcPr>
                  <w:tcW w:w="3641" w:type="pct"/>
                  <w:tcBorders>
                    <w:tl2br w:val="nil"/>
                    <w:tr2bl w:val="nil"/>
                  </w:tcBorders>
                  <w:vAlign w:val="center"/>
                </w:tcPr>
                <w:p w14:paraId="3F6F18C1">
                  <w:pPr>
                    <w:pStyle w:val="60"/>
                    <w:rPr>
                      <w:color w:val="auto"/>
                      <w:sz w:val="21"/>
                      <w:szCs w:val="21"/>
                    </w:rPr>
                  </w:pPr>
                  <w:r>
                    <w:rPr>
                      <w:rFonts w:hint="eastAsia" w:ascii="宋体" w:hAnsi="宋体" w:cs="宋体"/>
                      <w:color w:val="auto"/>
                      <w:kern w:val="0"/>
                      <w:sz w:val="21"/>
                      <w:szCs w:val="21"/>
                    </w:rPr>
                    <w:t>制定有关的环境恢复措施，组织专业人员对事故后的环境变化进行监测，对事故应急措施的环境可行性进行后影响评价。</w:t>
                  </w:r>
                </w:p>
              </w:tc>
            </w:tr>
            <w:tr w14:paraId="03A22BA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tcBorders>
                    <w:tl2br w:val="nil"/>
                    <w:tr2bl w:val="nil"/>
                  </w:tcBorders>
                  <w:vAlign w:val="center"/>
                </w:tcPr>
                <w:p w14:paraId="2F989907">
                  <w:pPr>
                    <w:pStyle w:val="60"/>
                    <w:ind w:firstLine="0" w:firstLineChars="0"/>
                    <w:rPr>
                      <w:rFonts w:hint="default" w:ascii="Times New Roman" w:hAnsi="Times New Roman" w:eastAsia="宋体" w:cs="Times New Roman"/>
                      <w:b w:val="0"/>
                      <w:bCs/>
                      <w:color w:val="auto"/>
                      <w:kern w:val="2"/>
                      <w:sz w:val="21"/>
                      <w:szCs w:val="21"/>
                      <w:lang w:val="en-US" w:eastAsia="zh-CN" w:bidi="ar-SA"/>
                    </w:rPr>
                  </w:pPr>
                  <w:r>
                    <w:rPr>
                      <w:rFonts w:hint="eastAsia"/>
                      <w:color w:val="auto"/>
                      <w:sz w:val="21"/>
                      <w:szCs w:val="21"/>
                    </w:rPr>
                    <w:t>1</w:t>
                  </w:r>
                  <w:r>
                    <w:rPr>
                      <w:color w:val="auto"/>
                      <w:sz w:val="21"/>
                      <w:szCs w:val="21"/>
                    </w:rPr>
                    <w:t>0</w:t>
                  </w:r>
                </w:p>
              </w:tc>
              <w:tc>
                <w:tcPr>
                  <w:tcW w:w="893" w:type="pct"/>
                  <w:tcBorders>
                    <w:tl2br w:val="nil"/>
                    <w:tr2bl w:val="nil"/>
                  </w:tcBorders>
                  <w:vAlign w:val="center"/>
                </w:tcPr>
                <w:p w14:paraId="55560545">
                  <w:pPr>
                    <w:pStyle w:val="60"/>
                    <w:rPr>
                      <w:color w:val="auto"/>
                      <w:sz w:val="21"/>
                      <w:szCs w:val="21"/>
                    </w:rPr>
                  </w:pPr>
                  <w:r>
                    <w:rPr>
                      <w:rFonts w:hint="eastAsia"/>
                      <w:color w:val="auto"/>
                      <w:sz w:val="21"/>
                      <w:szCs w:val="21"/>
                    </w:rPr>
                    <w:t>应急培训计划</w:t>
                  </w:r>
                </w:p>
              </w:tc>
              <w:tc>
                <w:tcPr>
                  <w:tcW w:w="3641" w:type="pct"/>
                  <w:tcBorders>
                    <w:tl2br w:val="nil"/>
                    <w:tr2bl w:val="nil"/>
                  </w:tcBorders>
                  <w:vAlign w:val="center"/>
                </w:tcPr>
                <w:p w14:paraId="611A9BD3">
                  <w:pPr>
                    <w:pStyle w:val="60"/>
                    <w:rPr>
                      <w:color w:val="auto"/>
                      <w:sz w:val="21"/>
                      <w:szCs w:val="21"/>
                    </w:rPr>
                  </w:pPr>
                  <w:r>
                    <w:rPr>
                      <w:rFonts w:hint="eastAsia"/>
                      <w:color w:val="auto"/>
                      <w:sz w:val="21"/>
                      <w:szCs w:val="21"/>
                    </w:rPr>
                    <w:t>定期安排有关人员进行培训与演练。</w:t>
                  </w:r>
                </w:p>
              </w:tc>
            </w:tr>
            <w:tr w14:paraId="2AAA475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tcBorders>
                    <w:tl2br w:val="nil"/>
                    <w:tr2bl w:val="nil"/>
                  </w:tcBorders>
                  <w:vAlign w:val="center"/>
                </w:tcPr>
                <w:p w14:paraId="24F74BE8">
                  <w:pPr>
                    <w:pStyle w:val="60"/>
                    <w:rPr>
                      <w:rFonts w:hint="default" w:eastAsia="宋体"/>
                      <w:color w:val="auto"/>
                      <w:sz w:val="21"/>
                      <w:szCs w:val="21"/>
                      <w:lang w:val="en-US" w:eastAsia="zh-CN"/>
                    </w:rPr>
                  </w:pPr>
                  <w:r>
                    <w:rPr>
                      <w:rFonts w:hint="eastAsia"/>
                      <w:color w:val="auto"/>
                      <w:sz w:val="21"/>
                      <w:szCs w:val="21"/>
                      <w:lang w:val="en-US" w:eastAsia="zh-CN"/>
                    </w:rPr>
                    <w:t>11</w:t>
                  </w:r>
                </w:p>
              </w:tc>
              <w:tc>
                <w:tcPr>
                  <w:tcW w:w="893" w:type="pct"/>
                  <w:tcBorders>
                    <w:tl2br w:val="nil"/>
                    <w:tr2bl w:val="nil"/>
                  </w:tcBorders>
                  <w:vAlign w:val="center"/>
                </w:tcPr>
                <w:p w14:paraId="2B7E06D1">
                  <w:pPr>
                    <w:pStyle w:val="60"/>
                    <w:rPr>
                      <w:color w:val="auto"/>
                      <w:sz w:val="21"/>
                      <w:szCs w:val="21"/>
                    </w:rPr>
                  </w:pPr>
                  <w:r>
                    <w:rPr>
                      <w:rFonts w:hint="eastAsia"/>
                      <w:color w:val="auto"/>
                      <w:sz w:val="21"/>
                      <w:szCs w:val="21"/>
                    </w:rPr>
                    <w:t>公众教育和信息</w:t>
                  </w:r>
                </w:p>
              </w:tc>
              <w:tc>
                <w:tcPr>
                  <w:tcW w:w="3641" w:type="pct"/>
                  <w:tcBorders>
                    <w:tl2br w:val="nil"/>
                    <w:tr2bl w:val="nil"/>
                  </w:tcBorders>
                  <w:vAlign w:val="center"/>
                </w:tcPr>
                <w:p w14:paraId="5D7AE4B9">
                  <w:pPr>
                    <w:pStyle w:val="60"/>
                    <w:rPr>
                      <w:color w:val="auto"/>
                      <w:sz w:val="21"/>
                      <w:szCs w:val="21"/>
                    </w:rPr>
                  </w:pPr>
                  <w:r>
                    <w:rPr>
                      <w:rFonts w:hint="eastAsia"/>
                      <w:color w:val="auto"/>
                      <w:sz w:val="21"/>
                      <w:szCs w:val="21"/>
                    </w:rPr>
                    <w:t>对工厂邻近地区开展公众教育、培训和发布有关信息。</w:t>
                  </w:r>
                </w:p>
              </w:tc>
            </w:tr>
          </w:tbl>
          <w:p w14:paraId="03560736">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cs="Times New Roman"/>
                <w:b/>
                <w:bCs/>
                <w:color w:val="auto"/>
                <w:sz w:val="24"/>
                <w:lang w:val="en-US" w:eastAsia="zh-CN"/>
              </w:rPr>
              <w:t>6.6</w:t>
            </w:r>
            <w:r>
              <w:rPr>
                <w:rFonts w:hint="eastAsia" w:ascii="Times New Roman" w:hAnsi="Times New Roman" w:eastAsia="宋体" w:cs="Times New Roman"/>
                <w:b/>
                <w:bCs/>
                <w:color w:val="auto"/>
                <w:sz w:val="24"/>
              </w:rPr>
              <w:t>环境风险影响分析结论</w:t>
            </w:r>
          </w:p>
          <w:p w14:paraId="64F4F5A1">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w:t>
            </w:r>
            <w:r>
              <w:rPr>
                <w:rFonts w:hint="eastAsia" w:ascii="Times New Roman" w:hAnsi="Times New Roman" w:eastAsia="宋体" w:cs="Times New Roman"/>
                <w:color w:val="auto"/>
                <w:kern w:val="0"/>
                <w:sz w:val="24"/>
              </w:rPr>
              <w:t>未构成</w:t>
            </w:r>
            <w:r>
              <w:rPr>
                <w:rFonts w:ascii="Times New Roman" w:hAnsi="Times New Roman" w:eastAsia="宋体" w:cs="Times New Roman"/>
                <w:color w:val="auto"/>
                <w:kern w:val="0"/>
                <w:sz w:val="24"/>
              </w:rPr>
              <w:t>重大危险源，在经过安全防范措施后能够基本杜绝风险事故发生，</w:t>
            </w:r>
            <w:r>
              <w:rPr>
                <w:rFonts w:hint="eastAsia" w:cs="Times New Roman"/>
                <w:color w:val="auto"/>
                <w:kern w:val="0"/>
                <w:sz w:val="24"/>
                <w:lang w:val="en-US" w:eastAsia="zh-CN"/>
              </w:rPr>
              <w:t>企业</w:t>
            </w:r>
            <w:r>
              <w:rPr>
                <w:rFonts w:ascii="Times New Roman" w:hAnsi="Times New Roman" w:eastAsia="宋体" w:cs="Times New Roman"/>
                <w:color w:val="auto"/>
                <w:kern w:val="0"/>
                <w:sz w:val="24"/>
              </w:rPr>
              <w:t>认真贯彻预案中的应急措施，可将风险降至接受水平内，故本项目的环境风险是可接受的。</w:t>
            </w:r>
          </w:p>
          <w:p w14:paraId="54A77116">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表4-1</w:t>
            </w:r>
            <w:r>
              <w:rPr>
                <w:rFonts w:hint="eastAsia" w:cs="Times New Roman"/>
                <w:color w:val="auto"/>
                <w:lang w:val="en-US" w:eastAsia="zh-CN"/>
              </w:rPr>
              <w:t>8</w:t>
            </w:r>
            <w:r>
              <w:rPr>
                <w:rFonts w:hint="eastAsia" w:ascii="Times New Roman" w:hAnsi="Times New Roman" w:eastAsia="宋体" w:cs="Times New Roman"/>
                <w:color w:val="auto"/>
              </w:rPr>
              <w:t xml:space="preserve">   建设项目环境风险简单分析内容表</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241"/>
              <w:gridCol w:w="746"/>
              <w:gridCol w:w="2212"/>
              <w:gridCol w:w="864"/>
              <w:gridCol w:w="2453"/>
            </w:tblGrid>
            <w:tr w14:paraId="3E53980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16" w:type="pct"/>
                  <w:tcBorders>
                    <w:bottom w:val="single" w:color="auto" w:sz="12" w:space="0"/>
                  </w:tcBorders>
                  <w:vAlign w:val="center"/>
                </w:tcPr>
                <w:p w14:paraId="2FE3AB8E">
                  <w:pPr>
                    <w:jc w:val="center"/>
                    <w:rPr>
                      <w:color w:val="auto"/>
                      <w:sz w:val="21"/>
                      <w:szCs w:val="21"/>
                    </w:rPr>
                  </w:pPr>
                  <w:r>
                    <w:rPr>
                      <w:color w:val="auto"/>
                      <w:sz w:val="21"/>
                      <w:szCs w:val="21"/>
                    </w:rPr>
                    <w:t>建设项目名称</w:t>
                  </w:r>
                </w:p>
              </w:tc>
              <w:tc>
                <w:tcPr>
                  <w:tcW w:w="3683" w:type="pct"/>
                  <w:gridSpan w:val="4"/>
                  <w:tcBorders>
                    <w:bottom w:val="single" w:color="auto" w:sz="12" w:space="0"/>
                  </w:tcBorders>
                  <w:vAlign w:val="center"/>
                </w:tcPr>
                <w:p w14:paraId="4823E2F8">
                  <w:pPr>
                    <w:jc w:val="center"/>
                    <w:rPr>
                      <w:rFonts w:hint="default" w:eastAsia="宋体"/>
                      <w:color w:val="auto"/>
                      <w:sz w:val="21"/>
                      <w:szCs w:val="21"/>
                      <w:lang w:val="en-US" w:eastAsia="zh-CN"/>
                    </w:rPr>
                  </w:pPr>
                  <w:r>
                    <w:rPr>
                      <w:rFonts w:hint="default" w:eastAsia="宋体"/>
                      <w:color w:val="auto"/>
                      <w:sz w:val="21"/>
                      <w:szCs w:val="21"/>
                      <w:lang w:val="en-US" w:eastAsia="zh-CN"/>
                    </w:rPr>
                    <w:t xml:space="preserve">新疆乾进商砼有限公司木垒光伏区商砼站项目 </w:t>
                  </w:r>
                </w:p>
              </w:tc>
            </w:tr>
            <w:tr w14:paraId="42E3C26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16" w:type="pct"/>
                  <w:tcBorders>
                    <w:top w:val="single" w:color="auto" w:sz="12" w:space="0"/>
                    <w:tl2br w:val="nil"/>
                    <w:tr2bl w:val="nil"/>
                  </w:tcBorders>
                  <w:vAlign w:val="center"/>
                </w:tcPr>
                <w:p w14:paraId="597B67F5">
                  <w:pPr>
                    <w:jc w:val="center"/>
                    <w:rPr>
                      <w:color w:val="auto"/>
                      <w:sz w:val="21"/>
                      <w:szCs w:val="21"/>
                    </w:rPr>
                  </w:pPr>
                  <w:r>
                    <w:rPr>
                      <w:color w:val="auto"/>
                      <w:sz w:val="21"/>
                      <w:szCs w:val="21"/>
                    </w:rPr>
                    <w:t>建设地点</w:t>
                  </w:r>
                </w:p>
              </w:tc>
              <w:tc>
                <w:tcPr>
                  <w:tcW w:w="3683" w:type="pct"/>
                  <w:gridSpan w:val="4"/>
                  <w:tcBorders>
                    <w:top w:val="single" w:color="auto" w:sz="12" w:space="0"/>
                    <w:tl2br w:val="nil"/>
                    <w:tr2bl w:val="nil"/>
                  </w:tcBorders>
                  <w:vAlign w:val="center"/>
                </w:tcPr>
                <w:p w14:paraId="7EBF96C1">
                  <w:pPr>
                    <w:jc w:val="center"/>
                    <w:rPr>
                      <w:rFonts w:hint="eastAsia" w:eastAsia="宋体"/>
                      <w:color w:val="auto"/>
                      <w:sz w:val="21"/>
                      <w:szCs w:val="21"/>
                      <w:lang w:eastAsia="zh-CN"/>
                    </w:rPr>
                  </w:pPr>
                  <w:r>
                    <w:rPr>
                      <w:color w:val="auto"/>
                      <w:sz w:val="21"/>
                      <w:szCs w:val="21"/>
                    </w:rPr>
                    <w:t>新疆</w:t>
                  </w:r>
                  <w:r>
                    <w:rPr>
                      <w:rFonts w:hint="eastAsia"/>
                      <w:color w:val="auto"/>
                      <w:sz w:val="21"/>
                      <w:szCs w:val="21"/>
                    </w:rPr>
                    <w:t>维吾尔自治区昌吉回族自治州木垒县</w:t>
                  </w:r>
                  <w:r>
                    <w:rPr>
                      <w:rFonts w:hint="eastAsia" w:cs="Times New Roman"/>
                      <w:color w:val="auto"/>
                      <w:sz w:val="21"/>
                      <w:szCs w:val="21"/>
                      <w:lang w:eastAsia="zh-CN"/>
                    </w:rPr>
                    <w:t>照壁山乡霍斯阔拉村</w:t>
                  </w:r>
                </w:p>
              </w:tc>
            </w:tr>
            <w:tr w14:paraId="5663A79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16" w:type="pct"/>
                  <w:tcBorders>
                    <w:tl2br w:val="nil"/>
                    <w:tr2bl w:val="nil"/>
                  </w:tcBorders>
                  <w:vAlign w:val="center"/>
                </w:tcPr>
                <w:p w14:paraId="7D715BCC">
                  <w:pPr>
                    <w:jc w:val="center"/>
                    <w:rPr>
                      <w:color w:val="auto"/>
                      <w:sz w:val="21"/>
                      <w:szCs w:val="21"/>
                    </w:rPr>
                  </w:pPr>
                  <w:r>
                    <w:rPr>
                      <w:color w:val="auto"/>
                      <w:sz w:val="21"/>
                      <w:szCs w:val="21"/>
                    </w:rPr>
                    <w:t>地理坐标</w:t>
                  </w:r>
                </w:p>
              </w:tc>
              <w:tc>
                <w:tcPr>
                  <w:tcW w:w="438" w:type="pct"/>
                  <w:tcBorders>
                    <w:tl2br w:val="nil"/>
                    <w:tr2bl w:val="nil"/>
                  </w:tcBorders>
                  <w:vAlign w:val="center"/>
                </w:tcPr>
                <w:p w14:paraId="4D2E232C">
                  <w:pPr>
                    <w:jc w:val="center"/>
                    <w:rPr>
                      <w:color w:val="auto"/>
                      <w:sz w:val="21"/>
                      <w:szCs w:val="21"/>
                    </w:rPr>
                  </w:pPr>
                  <w:r>
                    <w:rPr>
                      <w:color w:val="auto"/>
                      <w:sz w:val="21"/>
                      <w:szCs w:val="21"/>
                    </w:rPr>
                    <w:t>经度</w:t>
                  </w:r>
                </w:p>
              </w:tc>
              <w:tc>
                <w:tcPr>
                  <w:tcW w:w="1299" w:type="pct"/>
                  <w:tcBorders>
                    <w:tl2br w:val="nil"/>
                    <w:tr2bl w:val="nil"/>
                  </w:tcBorders>
                  <w:vAlign w:val="center"/>
                </w:tcPr>
                <w:p w14:paraId="4A28B251">
                  <w:pPr>
                    <w:jc w:val="center"/>
                    <w:rPr>
                      <w:color w:val="auto"/>
                      <w:sz w:val="21"/>
                      <w:szCs w:val="21"/>
                    </w:rPr>
                  </w:pPr>
                  <w:r>
                    <w:rPr>
                      <w:rFonts w:hint="default"/>
                      <w:color w:val="auto"/>
                      <w:sz w:val="21"/>
                      <w:szCs w:val="21"/>
                      <w:lang w:val="en-US" w:eastAsia="zh-CN"/>
                    </w:rPr>
                    <w:t>东经：</w:t>
                  </w:r>
                  <w:r>
                    <w:rPr>
                      <w:rFonts w:hint="default"/>
                      <w:color w:val="auto"/>
                      <w:sz w:val="21"/>
                      <w:szCs w:val="21"/>
                    </w:rPr>
                    <w:t>90°22′38.005″</w:t>
                  </w:r>
                  <w:r>
                    <w:rPr>
                      <w:rFonts w:hint="eastAsia"/>
                      <w:color w:val="auto"/>
                      <w:sz w:val="21"/>
                      <w:szCs w:val="21"/>
                    </w:rPr>
                    <w:t>，</w:t>
                  </w:r>
                  <w:r>
                    <w:rPr>
                      <w:rFonts w:hint="default"/>
                      <w:color w:val="auto"/>
                      <w:sz w:val="21"/>
                      <w:szCs w:val="21"/>
                    </w:rPr>
                    <w:t xml:space="preserve"> </w:t>
                  </w:r>
                </w:p>
              </w:tc>
              <w:tc>
                <w:tcPr>
                  <w:tcW w:w="507" w:type="pct"/>
                  <w:tcBorders>
                    <w:tl2br w:val="nil"/>
                    <w:tr2bl w:val="nil"/>
                  </w:tcBorders>
                  <w:vAlign w:val="center"/>
                </w:tcPr>
                <w:p w14:paraId="70AC172B">
                  <w:pPr>
                    <w:jc w:val="center"/>
                    <w:rPr>
                      <w:color w:val="auto"/>
                      <w:sz w:val="21"/>
                      <w:szCs w:val="21"/>
                    </w:rPr>
                  </w:pPr>
                  <w:r>
                    <w:rPr>
                      <w:color w:val="auto"/>
                      <w:sz w:val="21"/>
                      <w:szCs w:val="21"/>
                    </w:rPr>
                    <w:t>纬度</w:t>
                  </w:r>
                </w:p>
              </w:tc>
              <w:tc>
                <w:tcPr>
                  <w:tcW w:w="1437" w:type="pct"/>
                  <w:tcBorders>
                    <w:tl2br w:val="nil"/>
                    <w:tr2bl w:val="nil"/>
                  </w:tcBorders>
                  <w:vAlign w:val="center"/>
                </w:tcPr>
                <w:p w14:paraId="041B8AA8">
                  <w:pPr>
                    <w:jc w:val="center"/>
                    <w:rPr>
                      <w:color w:val="auto"/>
                      <w:sz w:val="21"/>
                      <w:szCs w:val="21"/>
                    </w:rPr>
                  </w:pPr>
                  <w:r>
                    <w:rPr>
                      <w:rFonts w:hint="eastAsia"/>
                      <w:color w:val="auto"/>
                      <w:sz w:val="21"/>
                      <w:szCs w:val="21"/>
                      <w:lang w:val="en-US" w:eastAsia="zh-CN"/>
                    </w:rPr>
                    <w:t>北纬：</w:t>
                  </w:r>
                  <w:r>
                    <w:rPr>
                      <w:rFonts w:hint="default"/>
                      <w:color w:val="auto"/>
                      <w:sz w:val="21"/>
                      <w:szCs w:val="21"/>
                    </w:rPr>
                    <w:t>44°00′16.314″</w:t>
                  </w:r>
                </w:p>
              </w:tc>
            </w:tr>
            <w:tr w14:paraId="49971C0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1316" w:type="pct"/>
                  <w:tcBorders>
                    <w:tl2br w:val="nil"/>
                    <w:tr2bl w:val="nil"/>
                  </w:tcBorders>
                  <w:vAlign w:val="center"/>
                </w:tcPr>
                <w:p w14:paraId="020F4517">
                  <w:pPr>
                    <w:jc w:val="center"/>
                    <w:rPr>
                      <w:color w:val="auto"/>
                      <w:sz w:val="21"/>
                      <w:szCs w:val="21"/>
                    </w:rPr>
                  </w:pPr>
                  <w:r>
                    <w:rPr>
                      <w:color w:val="auto"/>
                      <w:spacing w:val="-20"/>
                      <w:sz w:val="21"/>
                      <w:szCs w:val="21"/>
                    </w:rPr>
                    <w:t>主要危险物质及分布</w:t>
                  </w:r>
                </w:p>
              </w:tc>
              <w:tc>
                <w:tcPr>
                  <w:tcW w:w="3683" w:type="pct"/>
                  <w:gridSpan w:val="4"/>
                  <w:tcBorders>
                    <w:tl2br w:val="nil"/>
                    <w:tr2bl w:val="nil"/>
                  </w:tcBorders>
                  <w:vAlign w:val="center"/>
                </w:tcPr>
                <w:p w14:paraId="3E1D1A46">
                  <w:pPr>
                    <w:pStyle w:val="60"/>
                    <w:rPr>
                      <w:rFonts w:hint="eastAsia" w:eastAsia="宋体"/>
                      <w:color w:val="auto"/>
                      <w:sz w:val="21"/>
                      <w:szCs w:val="21"/>
                      <w:lang w:eastAsia="zh-CN"/>
                    </w:rPr>
                  </w:pPr>
                  <w:r>
                    <w:rPr>
                      <w:rFonts w:hint="eastAsia" w:cs="Times New Roman"/>
                      <w:szCs w:val="21"/>
                      <w:lang w:val="en-US" w:eastAsia="zh-CN"/>
                    </w:rPr>
                    <w:t>所涉及的主要危险废物</w:t>
                  </w:r>
                  <w:r>
                    <w:rPr>
                      <w:rFonts w:hint="eastAsia" w:cs="Times New Roman"/>
                      <w:szCs w:val="21"/>
                      <w:highlight w:val="none"/>
                      <w:lang w:val="en-US" w:eastAsia="zh-CN"/>
                    </w:rPr>
                    <w:t>是废机油，</w:t>
                  </w:r>
                  <w:r>
                    <w:rPr>
                      <w:rFonts w:hint="eastAsia" w:cs="Times New Roman"/>
                      <w:szCs w:val="21"/>
                      <w:lang w:val="en-US" w:eastAsia="zh-CN"/>
                    </w:rPr>
                    <w:t>位于危废暂存间。</w:t>
                  </w:r>
                </w:p>
              </w:tc>
            </w:tr>
            <w:tr w14:paraId="3318C3C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16" w:type="pct"/>
                  <w:tcBorders>
                    <w:tl2br w:val="nil"/>
                    <w:tr2bl w:val="nil"/>
                  </w:tcBorders>
                  <w:vAlign w:val="center"/>
                </w:tcPr>
                <w:p w14:paraId="3C528455">
                  <w:pPr>
                    <w:jc w:val="center"/>
                    <w:rPr>
                      <w:color w:val="auto"/>
                      <w:sz w:val="21"/>
                      <w:szCs w:val="21"/>
                    </w:rPr>
                  </w:pPr>
                  <w:r>
                    <w:rPr>
                      <w:color w:val="auto"/>
                      <w:sz w:val="21"/>
                      <w:szCs w:val="21"/>
                    </w:rPr>
                    <w:t>环境影响途径及危害后果（大气、地表水、地下水等）</w:t>
                  </w:r>
                </w:p>
              </w:tc>
              <w:tc>
                <w:tcPr>
                  <w:tcW w:w="3683" w:type="pct"/>
                  <w:gridSpan w:val="4"/>
                  <w:tcBorders>
                    <w:tl2br w:val="nil"/>
                    <w:tr2bl w:val="nil"/>
                  </w:tcBorders>
                  <w:vAlign w:val="center"/>
                </w:tcPr>
                <w:p w14:paraId="2C107639">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本项目可能发生的事故包括 </w:t>
                  </w:r>
                </w:p>
                <w:p w14:paraId="49DB8C4B">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①</w:t>
                  </w:r>
                  <w:r>
                    <w:rPr>
                      <w:rFonts w:hint="eastAsia" w:ascii="宋体" w:hAnsi="宋体" w:cs="宋体"/>
                      <w:color w:val="000000"/>
                      <w:kern w:val="0"/>
                      <w:sz w:val="21"/>
                      <w:szCs w:val="21"/>
                      <w:lang w:val="en-US" w:eastAsia="zh-CN" w:bidi="ar"/>
                    </w:rPr>
                    <w:t>废机油</w:t>
                  </w:r>
                  <w:r>
                    <w:rPr>
                      <w:rFonts w:hint="eastAsia" w:ascii="宋体" w:hAnsi="宋体" w:eastAsia="宋体" w:cs="宋体"/>
                      <w:color w:val="000000"/>
                      <w:kern w:val="0"/>
                      <w:sz w:val="21"/>
                      <w:szCs w:val="21"/>
                      <w:lang w:val="en-US" w:eastAsia="zh-CN" w:bidi="ar"/>
                    </w:rPr>
                    <w:t xml:space="preserve">泄漏，引起火灾、爆炸风险事故； </w:t>
                  </w:r>
                </w:p>
                <w:p w14:paraId="7FC141BB">
                  <w:pPr>
                    <w:keepNext w:val="0"/>
                    <w:keepLines w:val="0"/>
                    <w:widowControl/>
                    <w:suppressLineNumbers w:val="0"/>
                    <w:jc w:val="left"/>
                    <w:rPr>
                      <w:color w:val="auto"/>
                      <w:sz w:val="21"/>
                      <w:szCs w:val="21"/>
                    </w:rPr>
                  </w:pPr>
                  <w:r>
                    <w:rPr>
                      <w:rFonts w:hint="eastAsia" w:ascii="宋体" w:hAnsi="宋体" w:eastAsia="宋体" w:cs="宋体"/>
                      <w:color w:val="000000"/>
                      <w:kern w:val="0"/>
                      <w:sz w:val="21"/>
                      <w:szCs w:val="21"/>
                      <w:lang w:val="en-US" w:eastAsia="zh-CN" w:bidi="ar"/>
                    </w:rPr>
                    <w:t xml:space="preserve">②废气处理设施故障，造成周围环境影响； </w:t>
                  </w:r>
                </w:p>
              </w:tc>
            </w:tr>
            <w:tr w14:paraId="413DF1D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16" w:type="pct"/>
                  <w:tcBorders>
                    <w:tl2br w:val="nil"/>
                    <w:tr2bl w:val="nil"/>
                  </w:tcBorders>
                  <w:vAlign w:val="center"/>
                </w:tcPr>
                <w:p w14:paraId="0B5E1F24">
                  <w:pPr>
                    <w:jc w:val="center"/>
                    <w:rPr>
                      <w:color w:val="auto"/>
                      <w:sz w:val="21"/>
                      <w:szCs w:val="21"/>
                    </w:rPr>
                  </w:pPr>
                  <w:r>
                    <w:rPr>
                      <w:color w:val="auto"/>
                      <w:sz w:val="21"/>
                      <w:szCs w:val="21"/>
                    </w:rPr>
                    <w:t>风险防范措施要求</w:t>
                  </w:r>
                </w:p>
              </w:tc>
              <w:tc>
                <w:tcPr>
                  <w:tcW w:w="3683" w:type="pct"/>
                  <w:gridSpan w:val="4"/>
                  <w:tcBorders>
                    <w:tl2br w:val="nil"/>
                    <w:tr2bl w:val="nil"/>
                  </w:tcBorders>
                  <w:vAlign w:val="center"/>
                </w:tcPr>
                <w:p w14:paraId="1C2AA6D2">
                  <w:pPr>
                    <w:rPr>
                      <w:color w:val="auto"/>
                      <w:sz w:val="21"/>
                      <w:szCs w:val="21"/>
                    </w:rPr>
                  </w:pPr>
                  <w:r>
                    <w:rPr>
                      <w:rFonts w:hint="eastAsia" w:ascii="宋体" w:hAnsi="宋体" w:eastAsia="宋体" w:cs="宋体"/>
                      <w:color w:val="000000"/>
                      <w:kern w:val="0"/>
                      <w:sz w:val="20"/>
                      <w:szCs w:val="20"/>
                      <w:lang w:val="en-US" w:eastAsia="zh-CN" w:bidi="ar"/>
                    </w:rPr>
                    <w:t>设置消火栓、灭火器；建筑物构筑物之间的距离设计合理的防火间距；设备的安全管理；控制物料输运流程；各生产区保证一定的距离，设有隔离带，设双重管理。</w:t>
                  </w:r>
                  <w:r>
                    <w:rPr>
                      <w:rFonts w:hint="eastAsia" w:ascii="宋体" w:hAnsi="宋体" w:cs="宋体"/>
                      <w:color w:val="000000"/>
                      <w:kern w:val="0"/>
                      <w:sz w:val="20"/>
                      <w:szCs w:val="20"/>
                      <w:lang w:val="en-US" w:eastAsia="zh-CN" w:bidi="ar"/>
                    </w:rPr>
                    <w:t>厂区</w:t>
                  </w:r>
                  <w:r>
                    <w:rPr>
                      <w:rFonts w:hint="eastAsia" w:ascii="宋体" w:hAnsi="宋体" w:eastAsia="宋体" w:cs="宋体"/>
                      <w:color w:val="000000"/>
                      <w:kern w:val="0"/>
                      <w:sz w:val="20"/>
                      <w:szCs w:val="20"/>
                      <w:lang w:val="en-US" w:eastAsia="zh-CN" w:bidi="ar"/>
                    </w:rPr>
                    <w:t>的布局和建筑设计符合相关要求，并在</w:t>
                  </w:r>
                  <w:r>
                    <w:rPr>
                      <w:rFonts w:hint="eastAsia" w:ascii="宋体" w:hAnsi="宋体" w:cs="宋体"/>
                      <w:color w:val="000000"/>
                      <w:kern w:val="0"/>
                      <w:sz w:val="20"/>
                      <w:szCs w:val="20"/>
                      <w:lang w:val="en-US" w:eastAsia="zh-CN" w:bidi="ar"/>
                    </w:rPr>
                    <w:t>厂区内</w:t>
                  </w:r>
                  <w:r>
                    <w:rPr>
                      <w:rFonts w:hint="eastAsia" w:ascii="宋体" w:hAnsi="宋体" w:eastAsia="宋体" w:cs="宋体"/>
                      <w:color w:val="000000"/>
                      <w:kern w:val="0"/>
                      <w:sz w:val="20"/>
                      <w:szCs w:val="20"/>
                      <w:lang w:val="en-US" w:eastAsia="zh-CN" w:bidi="ar"/>
                    </w:rPr>
                    <w:t>设置消防系统，达到消防部门要求；严格管控明火的使用。</w:t>
                  </w:r>
                </w:p>
              </w:tc>
            </w:tr>
            <w:tr w14:paraId="239AC85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000" w:type="pct"/>
                  <w:gridSpan w:val="5"/>
                  <w:tcBorders>
                    <w:tl2br w:val="nil"/>
                    <w:tr2bl w:val="nil"/>
                  </w:tcBorders>
                  <w:vAlign w:val="center"/>
                </w:tcPr>
                <w:p w14:paraId="7F0E5EA9">
                  <w:pPr>
                    <w:rPr>
                      <w:color w:val="auto"/>
                      <w:sz w:val="21"/>
                      <w:szCs w:val="21"/>
                    </w:rPr>
                  </w:pPr>
                  <w:r>
                    <w:rPr>
                      <w:color w:val="auto"/>
                      <w:sz w:val="21"/>
                      <w:szCs w:val="21"/>
                    </w:rPr>
                    <w:t>填表说明（列出项目相关信息及评价说明）：</w:t>
                  </w:r>
                </w:p>
                <w:p w14:paraId="40E1A3D5">
                  <w:pPr>
                    <w:rPr>
                      <w:color w:val="auto"/>
                      <w:sz w:val="21"/>
                      <w:szCs w:val="21"/>
                    </w:rPr>
                  </w:pPr>
                  <w:r>
                    <w:rPr>
                      <w:color w:val="auto"/>
                      <w:sz w:val="21"/>
                      <w:szCs w:val="21"/>
                    </w:rPr>
                    <w:t>本项目风险评价根据《建设项目环境风险评价技术导则》（HJ169-2018）进行分析。</w:t>
                  </w:r>
                  <w:r>
                    <w:rPr>
                      <w:rFonts w:hint="eastAsia"/>
                      <w:color w:val="auto"/>
                      <w:sz w:val="21"/>
                      <w:szCs w:val="21"/>
                    </w:rPr>
                    <w:t>本项目</w:t>
                  </w:r>
                  <w:r>
                    <w:rPr>
                      <w:color w:val="auto"/>
                      <w:sz w:val="21"/>
                      <w:szCs w:val="21"/>
                    </w:rPr>
                    <w:t>环境风险潜势为</w:t>
                  </w:r>
                  <w:r>
                    <w:rPr>
                      <w:rFonts w:eastAsia="仿宋"/>
                      <w:color w:val="auto"/>
                      <w:sz w:val="21"/>
                      <w:szCs w:val="21"/>
                    </w:rPr>
                    <w:t>Ⅰ</w:t>
                  </w:r>
                  <w:r>
                    <w:rPr>
                      <w:color w:val="auto"/>
                      <w:sz w:val="21"/>
                      <w:szCs w:val="21"/>
                    </w:rPr>
                    <w:t>，评价等级为简单分析。在落实了环评提出的风险防范措施后，环境风险可控，不会对周围环境造成较大风险。</w:t>
                  </w:r>
                </w:p>
              </w:tc>
            </w:tr>
          </w:tbl>
          <w:p w14:paraId="453DB2A0">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bCs/>
                <w:color w:val="auto"/>
                <w:sz w:val="24"/>
                <w:lang w:eastAsia="zh-CN"/>
              </w:rPr>
            </w:pPr>
            <w:r>
              <w:rPr>
                <w:rFonts w:hint="eastAsia" w:cs="Times New Roman"/>
                <w:b/>
                <w:bCs/>
                <w:color w:val="auto"/>
                <w:kern w:val="2"/>
                <w:sz w:val="24"/>
                <w:szCs w:val="24"/>
                <w:lang w:val="en-US" w:eastAsia="zh-CN" w:bidi="ar-SA"/>
              </w:rPr>
              <w:t>7</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sz w:val="24"/>
                <w:lang w:eastAsia="zh-CN"/>
              </w:rPr>
              <w:t>环境管理</w:t>
            </w:r>
          </w:p>
          <w:p w14:paraId="6D511DFA">
            <w:pPr>
              <w:spacing w:line="360" w:lineRule="auto"/>
              <w:ind w:firstLine="480" w:firstLineChars="200"/>
              <w:rPr>
                <w:color w:val="auto"/>
                <w:sz w:val="24"/>
                <w:highlight w:val="none"/>
              </w:rPr>
            </w:pPr>
            <w:r>
              <w:rPr>
                <w:color w:val="auto"/>
                <w:sz w:val="24"/>
                <w:highlight w:val="none"/>
              </w:rPr>
              <w:t>环境管理就是指工程在施工期、营运期时全面执行和遵守国家、省、市有关环境保护法律、法规、政策和标准，接受地方环境保护主管部门的环境监督，调整和制定环境保护规划和目标，力争把不利影响减小到最低，加强项目环境管理，协调解决实现目标过程中的具体问题，及时调整工程运行方式和环境保护措施，以取得更好的综合环境效益，最终达到保护环境的目的。建设项目环境管理是工程管理的重要组成部分，是工程环境保护工作能够有效实施的关键。根据本项目的污染物排放特征，其产生的废气及固体废物存在一定的污染隐患。一旦管理不善将可能出现污染事故，从而影响周围环境。因此，运营期的环境管理十分重要，运营期应做好以下工作：</w:t>
            </w:r>
          </w:p>
          <w:p w14:paraId="5C537E01">
            <w:pPr>
              <w:pStyle w:val="26"/>
              <w:spacing w:line="360" w:lineRule="auto"/>
              <w:ind w:left="0" w:leftChars="0" w:firstLine="0" w:firstLineChars="0"/>
              <w:rPr>
                <w:rFonts w:hint="eastAsia"/>
                <w:b/>
                <w:bCs/>
                <w:color w:val="auto"/>
                <w:sz w:val="24"/>
                <w:highlight w:val="none"/>
                <w:lang w:val="en-US" w:eastAsia="zh-CN"/>
              </w:rPr>
            </w:pPr>
            <w:r>
              <w:rPr>
                <w:rFonts w:hint="eastAsia"/>
                <w:b/>
                <w:bCs/>
                <w:color w:val="auto"/>
                <w:sz w:val="24"/>
                <w:highlight w:val="none"/>
                <w:lang w:val="en-US" w:eastAsia="zh-CN"/>
              </w:rPr>
              <w:t>7.1汽车尾气污染控制措施</w:t>
            </w:r>
          </w:p>
          <w:p w14:paraId="52D994DF">
            <w:pPr>
              <w:spacing w:line="360" w:lineRule="auto"/>
              <w:ind w:firstLine="480" w:firstLineChars="200"/>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（1）</w:t>
            </w:r>
            <w:r>
              <w:rPr>
                <w:rFonts w:hint="default" w:ascii="Times New Roman" w:hAnsi="Times New Roman" w:eastAsia="宋体" w:cs="Times New Roman"/>
                <w:sz w:val="24"/>
                <w:szCs w:val="32"/>
                <w:lang w:val="en-US" w:eastAsia="zh-CN"/>
              </w:rPr>
              <w:t>车辆选型与采购</w:t>
            </w:r>
          </w:p>
          <w:p w14:paraId="3A201565">
            <w:pPr>
              <w:spacing w:line="360" w:lineRule="auto"/>
              <w:ind w:firstLine="480" w:firstLineChars="200"/>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优先选用低排放车辆：在采购过程中，优先选择符合国家及新疆维吾尔自治区机动车尾气排放标准，特别是国五排放标准的低排放混凝土运输罐车。</w:t>
            </w:r>
          </w:p>
          <w:p w14:paraId="2F8A3F17">
            <w:pPr>
              <w:spacing w:line="360" w:lineRule="auto"/>
              <w:ind w:firstLine="480" w:firstLineChars="200"/>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w:t>
            </w:r>
            <w:r>
              <w:rPr>
                <w:rFonts w:hint="default" w:ascii="Times New Roman" w:hAnsi="Times New Roman" w:eastAsia="宋体" w:cs="Times New Roman"/>
                <w:sz w:val="24"/>
                <w:szCs w:val="32"/>
                <w:lang w:val="en-US" w:eastAsia="zh-CN"/>
              </w:rPr>
              <w:t>尾气排放治理</w:t>
            </w:r>
          </w:p>
          <w:p w14:paraId="39BF22BB">
            <w:pPr>
              <w:spacing w:line="360" w:lineRule="auto"/>
              <w:ind w:firstLine="480" w:firstLineChars="200"/>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安装尾气净化装置：对于采购的混凝土运输罐车，应安装有效的尾气净化装置，如催化转化器、颗粒捕集器等，以减少氮氧化物（NOx）、颗粒物（PM）等污染物的排放。</w:t>
            </w:r>
          </w:p>
          <w:p w14:paraId="130932E3">
            <w:pPr>
              <w:spacing w:line="360" w:lineRule="auto"/>
              <w:ind w:firstLine="480" w:firstLineChars="200"/>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定期检测与维护：建立车辆尾气排放定期检测制度，确保车辆尾气排放符合相关标准。同时，加强车辆维护保养，确保发动机、排气系统等处于良好工作状态，减少尾气排放。</w:t>
            </w:r>
          </w:p>
          <w:p w14:paraId="38BF1AD0">
            <w:pPr>
              <w:spacing w:line="360" w:lineRule="auto"/>
              <w:ind w:firstLine="480" w:firstLineChars="200"/>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（3）</w:t>
            </w:r>
            <w:r>
              <w:rPr>
                <w:rFonts w:hint="default" w:ascii="Times New Roman" w:hAnsi="Times New Roman" w:eastAsia="宋体" w:cs="Times New Roman"/>
                <w:sz w:val="24"/>
                <w:szCs w:val="32"/>
                <w:lang w:val="en-US" w:eastAsia="zh-CN"/>
              </w:rPr>
              <w:t>运营管理</w:t>
            </w:r>
          </w:p>
          <w:p w14:paraId="65074ACF">
            <w:pPr>
              <w:spacing w:line="360" w:lineRule="auto"/>
              <w:ind w:firstLine="480" w:firstLineChars="200"/>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限制车辆行驶路线和时间：尽量避免混凝土运输罐车在人口密集区、交通繁忙区域和高污染区域行驶。同时，合理安排车辆运输时间，减少夜间和高峰时段的行驶。</w:t>
            </w:r>
          </w:p>
          <w:p w14:paraId="258CA81C">
            <w:pPr>
              <w:spacing w:line="360" w:lineRule="auto"/>
              <w:ind w:firstLine="480" w:firstLineChars="200"/>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加强驾驶员培训：提高驾驶员的环保意识，培训他们掌握正确的驾驶技能和节能减排方法，减少因驾驶不当导致的尾气排放增加。</w:t>
            </w:r>
          </w:p>
          <w:p w14:paraId="41DCAC65">
            <w:pPr>
              <w:spacing w:line="360" w:lineRule="auto"/>
              <w:ind w:firstLine="480" w:firstLineChars="200"/>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（4）</w:t>
            </w:r>
            <w:r>
              <w:rPr>
                <w:rFonts w:hint="default" w:ascii="Times New Roman" w:hAnsi="Times New Roman" w:eastAsia="宋体" w:cs="Times New Roman"/>
                <w:sz w:val="24"/>
                <w:szCs w:val="32"/>
                <w:lang w:val="en-US" w:eastAsia="zh-CN"/>
              </w:rPr>
              <w:t>环保监管与政策支持</w:t>
            </w:r>
          </w:p>
          <w:p w14:paraId="14A74231">
            <w:pPr>
              <w:spacing w:line="360" w:lineRule="auto"/>
              <w:ind w:firstLine="480" w:firstLineChars="200"/>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加强环保监管：商砼站应积极配合当地环保部门的监管工作，主动接受检查，确保混凝土运输罐车的尾气排放符合相关要求。</w:t>
            </w:r>
          </w:p>
          <w:p w14:paraId="35BFF2E3">
            <w:pPr>
              <w:pStyle w:val="26"/>
              <w:ind w:left="0" w:leftChars="0" w:firstLine="0" w:firstLineChars="0"/>
              <w:rPr>
                <w:rFonts w:hint="default"/>
                <w:b/>
                <w:bCs/>
                <w:lang w:val="en-US" w:eastAsia="zh-CN"/>
              </w:rPr>
            </w:pPr>
            <w:r>
              <w:rPr>
                <w:rFonts w:hint="eastAsia" w:ascii="Times New Roman" w:hAnsi="Times New Roman" w:eastAsia="宋体" w:cs="Times New Roman"/>
                <w:b/>
                <w:bCs/>
                <w:sz w:val="24"/>
                <w:szCs w:val="32"/>
                <w:lang w:val="en-US" w:eastAsia="zh-CN"/>
              </w:rPr>
              <w:t>7.2日常管理措施</w:t>
            </w:r>
          </w:p>
          <w:p w14:paraId="3E827727">
            <w:pPr>
              <w:spacing w:line="360" w:lineRule="auto"/>
              <w:ind w:firstLine="480" w:firstLineChars="200"/>
              <w:rPr>
                <w:color w:val="auto"/>
                <w:sz w:val="24"/>
                <w:highlight w:val="none"/>
              </w:rPr>
            </w:pPr>
            <w:r>
              <w:rPr>
                <w:color w:val="auto"/>
                <w:sz w:val="24"/>
                <w:highlight w:val="none"/>
              </w:rPr>
              <w:t>（1）制定污染治理操作规程，记录污染治理设施运行及检修情况，确保治理设施常年正常运行。</w:t>
            </w:r>
          </w:p>
          <w:p w14:paraId="4F0F713A">
            <w:pPr>
              <w:spacing w:line="360" w:lineRule="auto"/>
              <w:ind w:firstLine="480" w:firstLineChars="200"/>
              <w:rPr>
                <w:color w:val="auto"/>
                <w:sz w:val="24"/>
                <w:highlight w:val="none"/>
              </w:rPr>
            </w:pPr>
            <w:r>
              <w:rPr>
                <w:color w:val="auto"/>
                <w:sz w:val="24"/>
                <w:highlight w:val="none"/>
              </w:rPr>
              <w:t>（2）安全环保科除执行各项有关环境保护工作的指令外，还应接受当地环境保护局的监督检查，组织环保监测及统计工作，配合上级部门对本企业环保项目进行检查验收，定期与不定期地上报各项管理工作的执行情况以及各项有关环境参数、污染源排放指标，建立污染源及厂区周围环境质量监测数据档案，定期编写环保简报，制定全厂环保年度计划和长远规划，为区域整体环境控制服务。</w:t>
            </w:r>
          </w:p>
          <w:p w14:paraId="14505707">
            <w:pPr>
              <w:spacing w:line="360" w:lineRule="auto"/>
              <w:ind w:firstLine="480" w:firstLineChars="200"/>
              <w:rPr>
                <w:color w:val="auto"/>
                <w:sz w:val="24"/>
                <w:highlight w:val="none"/>
              </w:rPr>
            </w:pPr>
            <w:r>
              <w:rPr>
                <w:color w:val="auto"/>
                <w:sz w:val="24"/>
                <w:highlight w:val="none"/>
              </w:rPr>
              <w:t xml:space="preserve">（3）确保污染治理措施执行“三同时”，检查、监督全厂环保设施的正常高效运行，使各项治理设施达到设计要求。 </w:t>
            </w:r>
          </w:p>
          <w:p w14:paraId="2A82ABD9">
            <w:pPr>
              <w:spacing w:line="360" w:lineRule="auto"/>
              <w:ind w:firstLine="480" w:firstLineChars="200"/>
              <w:rPr>
                <w:color w:val="auto"/>
                <w:sz w:val="24"/>
                <w:highlight w:val="none"/>
              </w:rPr>
            </w:pPr>
            <w:r>
              <w:rPr>
                <w:color w:val="auto"/>
                <w:sz w:val="24"/>
                <w:highlight w:val="none"/>
              </w:rPr>
              <w:t>（4）控制场内运输过程中粉尘无组织排放。运输产生粉尘的物料，其车辆应采取密闭、苫盖等措施。厂区道路应硬化，并采取洒水、喷雾等降尘措施。</w:t>
            </w:r>
          </w:p>
          <w:p w14:paraId="677259B1">
            <w:pPr>
              <w:spacing w:line="360" w:lineRule="auto"/>
              <w:ind w:firstLine="480" w:firstLineChars="200"/>
              <w:rPr>
                <w:color w:val="auto"/>
                <w:sz w:val="24"/>
                <w:highlight w:val="none"/>
              </w:rPr>
            </w:pPr>
            <w:r>
              <w:rPr>
                <w:color w:val="auto"/>
                <w:sz w:val="24"/>
                <w:highlight w:val="none"/>
              </w:rPr>
              <w:t>（5）污染防治设施应在满足设计工况的条件下运行，并根据工艺要求，定期对设备、电气、自控仪表及构筑物进行检查维护，确保污染防治设施可靠运行。</w:t>
            </w:r>
          </w:p>
          <w:p w14:paraId="418B80D5">
            <w:pPr>
              <w:spacing w:line="360" w:lineRule="auto"/>
              <w:ind w:firstLine="480" w:firstLineChars="200"/>
              <w:rPr>
                <w:color w:val="auto"/>
                <w:sz w:val="24"/>
                <w:highlight w:val="none"/>
              </w:rPr>
            </w:pPr>
            <w:r>
              <w:rPr>
                <w:color w:val="auto"/>
                <w:sz w:val="24"/>
                <w:highlight w:val="none"/>
              </w:rPr>
              <w:t>（6）加强环保知识宣传教育，提高职工环境意识，把环境意识贯彻到</w:t>
            </w:r>
            <w:r>
              <w:rPr>
                <w:color w:val="auto"/>
                <w:spacing w:val="-6"/>
                <w:sz w:val="24"/>
                <w:highlight w:val="none"/>
              </w:rPr>
              <w:t>企业各车间班组及每个职工的日常生产、生活中；推广治理方面的先进技术。</w:t>
            </w:r>
          </w:p>
          <w:p w14:paraId="69ADCB97">
            <w:pPr>
              <w:spacing w:line="360" w:lineRule="auto"/>
              <w:ind w:firstLine="480" w:firstLineChars="200"/>
              <w:rPr>
                <w:color w:val="auto"/>
                <w:sz w:val="24"/>
                <w:highlight w:val="none"/>
              </w:rPr>
            </w:pPr>
            <w:r>
              <w:rPr>
                <w:color w:val="auto"/>
                <w:sz w:val="24"/>
                <w:highlight w:val="none"/>
              </w:rPr>
              <w:t>（7）组织制定环境保护管理的规章制度并监督执行；制定并组织实施各项环境保护的规划和计划；贯彻执行环境保护法规和标准。</w:t>
            </w:r>
          </w:p>
          <w:p w14:paraId="6396B266">
            <w:pPr>
              <w:spacing w:line="360" w:lineRule="auto"/>
              <w:ind w:firstLine="480" w:firstLineChars="200"/>
              <w:rPr>
                <w:color w:val="auto"/>
                <w:sz w:val="24"/>
                <w:highlight w:val="none"/>
              </w:rPr>
            </w:pPr>
            <w:r>
              <w:rPr>
                <w:color w:val="auto"/>
                <w:sz w:val="24"/>
                <w:highlight w:val="none"/>
              </w:rPr>
              <w:t>（8）项目建成后及时进行环保验收并申请排污许可证。</w:t>
            </w:r>
            <w:r>
              <w:rPr>
                <w:rFonts w:hint="default"/>
                <w:color w:val="auto"/>
                <w:sz w:val="24"/>
                <w:highlight w:val="none"/>
              </w:rPr>
              <w:t>排污单位在申请排污许可证时，应按</w:t>
            </w:r>
            <w:r>
              <w:rPr>
                <w:rFonts w:hint="eastAsia"/>
                <w:color w:val="auto"/>
                <w:sz w:val="24"/>
                <w:highlight w:val="none"/>
                <w:lang w:eastAsia="zh-CN"/>
              </w:rPr>
              <w:t xml:space="preserve">《排污许可证申请与核发技术规范 </w:t>
            </w:r>
            <w:r>
              <w:rPr>
                <w:rFonts w:hint="eastAsia"/>
                <w:color w:val="auto"/>
                <w:sz w:val="24"/>
                <w:highlight w:val="none"/>
                <w:lang w:val="en-US" w:eastAsia="zh-CN"/>
              </w:rPr>
              <w:t>水泥工业</w:t>
            </w:r>
            <w:r>
              <w:rPr>
                <w:rFonts w:hint="eastAsia"/>
                <w:color w:val="auto"/>
                <w:sz w:val="24"/>
                <w:highlight w:val="none"/>
                <w:lang w:eastAsia="zh-CN"/>
              </w:rPr>
              <w:t>》（HJ847-2017）</w:t>
            </w:r>
            <w:r>
              <w:rPr>
                <w:rFonts w:hint="eastAsia"/>
                <w:color w:val="auto"/>
                <w:sz w:val="24"/>
                <w:highlight w:val="none"/>
                <w:lang w:val="en-US" w:eastAsia="zh-CN"/>
              </w:rPr>
              <w:t>相关</w:t>
            </w:r>
            <w:r>
              <w:rPr>
                <w:rFonts w:hint="default"/>
                <w:color w:val="auto"/>
                <w:sz w:val="24"/>
                <w:highlight w:val="none"/>
              </w:rPr>
              <w:t>标准规定，在全国排污许可证管理信息平台中明确环境管理台账记录要求。建立环境管理台账制度，落实环境管理台账记录的责任单位和责任人，明确工作职责，包括台账的记录、整理、维护和管理等，台账记录频次和内容须满足排污许可证环境管理要求，并对台账记录结果的真实性、完整性和规范性负责。</w:t>
            </w:r>
          </w:p>
          <w:p w14:paraId="4B237EAF">
            <w:pPr>
              <w:spacing w:line="360" w:lineRule="auto"/>
              <w:rPr>
                <w:rFonts w:hint="default" w:eastAsia="宋体"/>
                <w:b/>
                <w:bCs/>
                <w:color w:val="auto"/>
                <w:sz w:val="24"/>
                <w:highlight w:val="none"/>
                <w:lang w:val="en-US" w:eastAsia="zh-CN"/>
              </w:rPr>
            </w:pPr>
            <w:r>
              <w:rPr>
                <w:b/>
                <w:bCs/>
                <w:color w:val="auto"/>
                <w:sz w:val="24"/>
                <w:highlight w:val="none"/>
              </w:rPr>
              <w:t>7.</w:t>
            </w:r>
            <w:r>
              <w:rPr>
                <w:rFonts w:hint="eastAsia"/>
                <w:b/>
                <w:bCs/>
                <w:color w:val="auto"/>
                <w:sz w:val="24"/>
                <w:highlight w:val="none"/>
                <w:lang w:val="en-US" w:eastAsia="zh-CN"/>
              </w:rPr>
              <w:t>3</w:t>
            </w:r>
            <w:r>
              <w:rPr>
                <w:b/>
                <w:bCs/>
                <w:color w:val="auto"/>
                <w:sz w:val="24"/>
                <w:highlight w:val="none"/>
              </w:rPr>
              <w:t xml:space="preserve"> </w:t>
            </w:r>
            <w:r>
              <w:rPr>
                <w:rFonts w:hint="eastAsia"/>
                <w:b/>
                <w:bCs/>
                <w:color w:val="auto"/>
                <w:sz w:val="24"/>
                <w:highlight w:val="none"/>
                <w:lang w:val="en-US" w:eastAsia="zh-CN"/>
              </w:rPr>
              <w:t>危险废物环境管理计划</w:t>
            </w:r>
          </w:p>
          <w:p w14:paraId="5B490612">
            <w:pPr>
              <w:spacing w:line="360" w:lineRule="auto"/>
              <w:ind w:firstLine="480" w:firstLineChars="200"/>
              <w:rPr>
                <w:rFonts w:hint="eastAsia"/>
                <w:color w:val="auto"/>
                <w:sz w:val="24"/>
                <w:highlight w:val="none"/>
              </w:rPr>
            </w:pPr>
            <w:r>
              <w:rPr>
                <w:rFonts w:hint="eastAsia"/>
                <w:color w:val="auto"/>
                <w:sz w:val="24"/>
                <w:highlight w:val="none"/>
              </w:rPr>
              <w:t>（1）危险废物产生</w:t>
            </w:r>
          </w:p>
          <w:p w14:paraId="77E2155A">
            <w:pPr>
              <w:spacing w:line="360" w:lineRule="auto"/>
              <w:ind w:firstLine="480" w:firstLineChars="200"/>
              <w:rPr>
                <w:rFonts w:hint="eastAsia"/>
                <w:color w:val="auto"/>
                <w:sz w:val="24"/>
                <w:highlight w:val="none"/>
              </w:rPr>
            </w:pPr>
            <w:r>
              <w:rPr>
                <w:rFonts w:hint="eastAsia"/>
                <w:color w:val="auto"/>
                <w:sz w:val="24"/>
                <w:highlight w:val="none"/>
              </w:rPr>
              <w:t>危险废物产生情况应按《危险废物管理计划和管理台账制定技术导则》（HJ1259-2022）附录A.3填写，填写应满足以下要求。</w:t>
            </w:r>
          </w:p>
          <w:p w14:paraId="6595BD3D">
            <w:pPr>
              <w:spacing w:line="360" w:lineRule="auto"/>
              <w:ind w:firstLine="480" w:firstLineChars="200"/>
              <w:rPr>
                <w:rFonts w:hint="eastAsia"/>
                <w:color w:val="auto"/>
                <w:sz w:val="24"/>
                <w:highlight w:val="none"/>
              </w:rPr>
            </w:pPr>
            <w:r>
              <w:rPr>
                <w:rFonts w:hint="eastAsia"/>
                <w:color w:val="auto"/>
                <w:sz w:val="24"/>
                <w:highlight w:val="none"/>
              </w:rPr>
              <w:t>①危险废物名称、类别、代码和危险特性：依据《国家危险废物名录》或根据GB 5085.1</w:t>
            </w:r>
            <w:r>
              <w:rPr>
                <w:rFonts w:hint="eastAsia"/>
                <w:color w:val="auto"/>
                <w:sz w:val="24"/>
                <w:highlight w:val="none"/>
                <w:lang w:val="en-US" w:eastAsia="zh-CN"/>
              </w:rPr>
              <w:t>-</w:t>
            </w:r>
            <w:r>
              <w:rPr>
                <w:rFonts w:hint="eastAsia"/>
                <w:color w:val="auto"/>
                <w:sz w:val="24"/>
                <w:highlight w:val="none"/>
              </w:rPr>
              <w:t>7和HJ 298判定并填写。有行业俗称或单位内部名称的，同时填写行业俗称或单位内部名称。</w:t>
            </w:r>
          </w:p>
          <w:p w14:paraId="5B774E02">
            <w:pPr>
              <w:spacing w:line="360" w:lineRule="auto"/>
              <w:ind w:firstLine="480" w:firstLineChars="200"/>
              <w:rPr>
                <w:rFonts w:hint="eastAsia"/>
                <w:color w:val="auto"/>
                <w:sz w:val="24"/>
                <w:highlight w:val="none"/>
              </w:rPr>
            </w:pPr>
            <w:r>
              <w:rPr>
                <w:rFonts w:hint="eastAsia"/>
                <w:color w:val="auto"/>
                <w:sz w:val="24"/>
                <w:highlight w:val="none"/>
              </w:rPr>
              <w:t>②有害成分名称：危险废物中对环境有害的主要污染物名称，如苯系物、氰化物、砷等。</w:t>
            </w:r>
          </w:p>
          <w:p w14:paraId="1412F952">
            <w:pPr>
              <w:spacing w:line="360" w:lineRule="auto"/>
              <w:ind w:firstLine="480" w:firstLineChars="200"/>
              <w:rPr>
                <w:rFonts w:hint="eastAsia"/>
                <w:color w:val="auto"/>
                <w:sz w:val="24"/>
                <w:highlight w:val="none"/>
              </w:rPr>
            </w:pPr>
            <w:r>
              <w:rPr>
                <w:rFonts w:hint="eastAsia"/>
                <w:color w:val="auto"/>
                <w:sz w:val="24"/>
                <w:highlight w:val="none"/>
              </w:rPr>
              <w:t>③产生危险废物设施名称和编码：依据排污许可证副本中载明的编码。若无编码，则根据HJ 608进行编码并填写生产设施名称、生产设施编码，可由国家危险废物信息管理系统自动生成。</w:t>
            </w:r>
          </w:p>
          <w:p w14:paraId="0684E851">
            <w:pPr>
              <w:spacing w:line="360" w:lineRule="auto"/>
              <w:ind w:firstLine="480" w:firstLineChars="200"/>
              <w:rPr>
                <w:rFonts w:hint="eastAsia"/>
                <w:color w:val="auto"/>
                <w:sz w:val="24"/>
                <w:highlight w:val="none"/>
              </w:rPr>
            </w:pPr>
            <w:r>
              <w:rPr>
                <w:rFonts w:hint="eastAsia"/>
                <w:color w:val="auto"/>
                <w:sz w:val="24"/>
                <w:highlight w:val="none"/>
              </w:rPr>
              <w:t>④本年度预计产生量：本年度预计产生的危险废物量。</w:t>
            </w:r>
          </w:p>
          <w:p w14:paraId="5F046732">
            <w:pPr>
              <w:spacing w:line="360" w:lineRule="auto"/>
              <w:ind w:firstLine="480" w:firstLineChars="200"/>
              <w:rPr>
                <w:rFonts w:hint="eastAsia"/>
                <w:color w:val="auto"/>
                <w:sz w:val="24"/>
                <w:highlight w:val="none"/>
              </w:rPr>
            </w:pPr>
            <w:r>
              <w:rPr>
                <w:rFonts w:hint="eastAsia"/>
                <w:color w:val="auto"/>
                <w:sz w:val="24"/>
                <w:highlight w:val="none"/>
              </w:rPr>
              <w:t>⑤计量单位：填写吨。以升、立方米等体积计量的，应折算成重量吨；以个数作为计量单位的，除填写个数外，还应折算成重量吨。</w:t>
            </w:r>
          </w:p>
          <w:p w14:paraId="7F00E452">
            <w:pPr>
              <w:spacing w:line="360" w:lineRule="auto"/>
              <w:ind w:firstLine="480" w:firstLineChars="200"/>
              <w:rPr>
                <w:rFonts w:hint="eastAsia"/>
                <w:color w:val="auto"/>
                <w:sz w:val="24"/>
                <w:highlight w:val="none"/>
              </w:rPr>
            </w:pPr>
            <w:r>
              <w:rPr>
                <w:rFonts w:hint="eastAsia"/>
                <w:color w:val="auto"/>
                <w:sz w:val="24"/>
                <w:highlight w:val="none"/>
              </w:rPr>
              <w:t>⑥内部治理方式及去向：自行利用设施编码、自行处置设施编码和贮存设施编码依据本标准第</w:t>
            </w:r>
          </w:p>
          <w:p w14:paraId="7FAAC472">
            <w:pPr>
              <w:spacing w:line="360" w:lineRule="auto"/>
              <w:ind w:firstLine="480" w:firstLineChars="200"/>
              <w:rPr>
                <w:rFonts w:hint="eastAsia"/>
                <w:color w:val="auto"/>
                <w:sz w:val="24"/>
                <w:highlight w:val="none"/>
              </w:rPr>
            </w:pPr>
            <w:r>
              <w:rPr>
                <w:rFonts w:hint="eastAsia"/>
                <w:color w:val="auto"/>
                <w:sz w:val="24"/>
                <w:highlight w:val="none"/>
              </w:rPr>
              <w:t>⑦部分填写的污染防治设施编码填写，可由国家危险废物信息管理系统自动生成。</w:t>
            </w:r>
          </w:p>
          <w:p w14:paraId="51DCC213">
            <w:pPr>
              <w:spacing w:line="360" w:lineRule="auto"/>
              <w:ind w:firstLine="480" w:firstLineChars="200"/>
              <w:rPr>
                <w:rFonts w:hint="eastAsia"/>
                <w:color w:val="auto"/>
                <w:sz w:val="24"/>
                <w:highlight w:val="none"/>
              </w:rPr>
            </w:pPr>
            <w:r>
              <w:rPr>
                <w:rFonts w:hint="eastAsia"/>
                <w:color w:val="auto"/>
                <w:sz w:val="24"/>
                <w:highlight w:val="none"/>
              </w:rPr>
              <w:t>（2）危险废物贮存</w:t>
            </w:r>
          </w:p>
          <w:p w14:paraId="13736D6A">
            <w:pPr>
              <w:spacing w:line="360" w:lineRule="auto"/>
              <w:ind w:firstLine="480" w:firstLineChars="200"/>
              <w:rPr>
                <w:rFonts w:hint="eastAsia"/>
                <w:color w:val="auto"/>
                <w:sz w:val="24"/>
                <w:highlight w:val="none"/>
              </w:rPr>
            </w:pPr>
            <w:r>
              <w:rPr>
                <w:rFonts w:hint="eastAsia"/>
                <w:color w:val="auto"/>
                <w:sz w:val="24"/>
                <w:highlight w:val="none"/>
              </w:rPr>
              <w:t>危险废物贮存情况应按《危险废物管理计划和管理台账制定技术导则》（HJ1259-2022）附录A.4填写，填写应满足以下要求。</w:t>
            </w:r>
          </w:p>
          <w:p w14:paraId="424E8E44">
            <w:pPr>
              <w:spacing w:line="360" w:lineRule="auto"/>
              <w:ind w:firstLine="480" w:firstLineChars="200"/>
              <w:rPr>
                <w:rFonts w:hint="eastAsia"/>
                <w:color w:val="auto"/>
                <w:sz w:val="24"/>
                <w:highlight w:val="none"/>
              </w:rPr>
            </w:pPr>
            <w:r>
              <w:rPr>
                <w:rFonts w:hint="eastAsia"/>
                <w:color w:val="auto"/>
                <w:sz w:val="24"/>
                <w:highlight w:val="none"/>
              </w:rPr>
              <w:t>①危险废物名称、类别、代码、有害成分名称、形态、危险特性的相关信息填写，可由国家危险废物信息管理系统自动生成。</w:t>
            </w:r>
          </w:p>
          <w:p w14:paraId="5D908ABB">
            <w:pPr>
              <w:spacing w:line="360" w:lineRule="auto"/>
              <w:ind w:firstLine="480" w:firstLineChars="200"/>
              <w:rPr>
                <w:rFonts w:hint="eastAsia"/>
                <w:color w:val="auto"/>
                <w:sz w:val="24"/>
                <w:highlight w:val="none"/>
              </w:rPr>
            </w:pPr>
            <w:r>
              <w:rPr>
                <w:rFonts w:hint="eastAsia"/>
                <w:color w:val="auto"/>
                <w:sz w:val="24"/>
                <w:highlight w:val="none"/>
              </w:rPr>
              <w:t>②贮存设施编码：依据排污许可证副本中载明的编码。若无编码，则根据HJ 608进行编码并填写生产设施名称、生产设施编码，可由国家危险废物信息管理系统自动生成。</w:t>
            </w:r>
          </w:p>
          <w:p w14:paraId="62A4C32A">
            <w:pPr>
              <w:spacing w:line="360" w:lineRule="auto"/>
              <w:ind w:firstLine="480" w:firstLineChars="200"/>
              <w:rPr>
                <w:rFonts w:hint="eastAsia"/>
                <w:color w:val="auto"/>
                <w:sz w:val="24"/>
                <w:highlight w:val="none"/>
              </w:rPr>
            </w:pPr>
            <w:r>
              <w:rPr>
                <w:rFonts w:hint="eastAsia"/>
                <w:color w:val="auto"/>
                <w:sz w:val="24"/>
                <w:highlight w:val="none"/>
              </w:rPr>
              <w:t>③贮存设施类型：根据GB 18597中贮存设施类型填写。</w:t>
            </w:r>
          </w:p>
          <w:p w14:paraId="530F7738">
            <w:pPr>
              <w:spacing w:line="360" w:lineRule="auto"/>
              <w:ind w:firstLine="480" w:firstLineChars="200"/>
              <w:rPr>
                <w:rFonts w:hint="eastAsia"/>
                <w:color w:val="auto"/>
                <w:sz w:val="24"/>
                <w:highlight w:val="none"/>
              </w:rPr>
            </w:pPr>
            <w:r>
              <w:rPr>
                <w:rFonts w:hint="eastAsia"/>
                <w:color w:val="auto"/>
                <w:sz w:val="24"/>
                <w:highlight w:val="none"/>
              </w:rPr>
              <w:t>④包装形式：包括包装容器、材质、规格等。</w:t>
            </w:r>
          </w:p>
          <w:p w14:paraId="1B448487">
            <w:pPr>
              <w:spacing w:line="360" w:lineRule="auto"/>
              <w:ind w:firstLine="480" w:firstLineChars="200"/>
              <w:rPr>
                <w:rFonts w:hint="eastAsia"/>
                <w:color w:val="auto"/>
                <w:sz w:val="24"/>
                <w:highlight w:val="none"/>
              </w:rPr>
            </w:pPr>
            <w:r>
              <w:rPr>
                <w:rFonts w:hint="eastAsia"/>
                <w:color w:val="auto"/>
                <w:sz w:val="24"/>
                <w:highlight w:val="none"/>
              </w:rPr>
              <w:t>⑤本年度预计剩余贮存量：预计截至本年底贮存设施内危险废物的库存量。</w:t>
            </w:r>
          </w:p>
          <w:p w14:paraId="789D4652">
            <w:pPr>
              <w:spacing w:line="360" w:lineRule="auto"/>
              <w:ind w:firstLine="480" w:firstLineChars="200"/>
              <w:rPr>
                <w:rFonts w:hint="eastAsia"/>
                <w:color w:val="auto"/>
                <w:sz w:val="24"/>
                <w:highlight w:val="none"/>
              </w:rPr>
            </w:pPr>
            <w:r>
              <w:rPr>
                <w:rFonts w:hint="eastAsia"/>
                <w:color w:val="auto"/>
                <w:sz w:val="24"/>
                <w:highlight w:val="none"/>
              </w:rPr>
              <w:t>⑥计量单位：填写吨。以升、立方米等体积计量的，应折算成重量吨；以个数作为计量单位的，除填写个数外，还应折算成重量吨。</w:t>
            </w:r>
          </w:p>
          <w:p w14:paraId="706F834E">
            <w:pPr>
              <w:spacing w:line="360" w:lineRule="auto"/>
              <w:ind w:firstLine="480" w:firstLineChars="200"/>
              <w:rPr>
                <w:rFonts w:hint="eastAsia"/>
                <w:color w:val="auto"/>
                <w:sz w:val="24"/>
                <w:highlight w:val="none"/>
              </w:rPr>
            </w:pPr>
            <w:r>
              <w:rPr>
                <w:rFonts w:hint="eastAsia"/>
                <w:color w:val="auto"/>
                <w:sz w:val="24"/>
                <w:highlight w:val="none"/>
              </w:rPr>
              <w:t>⑦危险废物贮存能力应与排污许可证副本中载明的保持一致，或根据产生危险废物的单位环境影响评价文件及审批意见确定。</w:t>
            </w:r>
          </w:p>
          <w:p w14:paraId="7DD65A4F">
            <w:pPr>
              <w:spacing w:line="360" w:lineRule="auto"/>
              <w:ind w:firstLine="480" w:firstLineChars="200"/>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）危险废物转移</w:t>
            </w:r>
          </w:p>
          <w:p w14:paraId="2A9A47E6">
            <w:pPr>
              <w:spacing w:line="360" w:lineRule="auto"/>
              <w:ind w:firstLine="480" w:firstLineChars="200"/>
              <w:rPr>
                <w:rFonts w:hint="eastAsia"/>
                <w:color w:val="auto"/>
                <w:sz w:val="24"/>
                <w:highlight w:val="none"/>
              </w:rPr>
            </w:pPr>
            <w:r>
              <w:rPr>
                <w:rFonts w:hint="eastAsia"/>
                <w:color w:val="auto"/>
                <w:sz w:val="24"/>
                <w:highlight w:val="none"/>
              </w:rPr>
              <w:t>危险废物转移情况应按《危险废物管理计划和管理台账制定技术导则》（HJ1259-2022）附录A.7填写，填写应满足以下要求。</w:t>
            </w:r>
          </w:p>
          <w:p w14:paraId="13E348A7">
            <w:pPr>
              <w:spacing w:line="360" w:lineRule="auto"/>
              <w:ind w:firstLine="480" w:firstLineChars="200"/>
              <w:rPr>
                <w:rFonts w:hint="eastAsia"/>
                <w:color w:val="auto"/>
                <w:sz w:val="24"/>
                <w:highlight w:val="none"/>
              </w:rPr>
            </w:pPr>
            <w:r>
              <w:rPr>
                <w:rFonts w:hint="eastAsia"/>
                <w:color w:val="auto"/>
                <w:sz w:val="24"/>
                <w:highlight w:val="none"/>
              </w:rPr>
              <w:t>①转移类型：指省内转移、跨省转移和境外转移。</w:t>
            </w:r>
          </w:p>
          <w:p w14:paraId="05AC7BDF">
            <w:pPr>
              <w:spacing w:line="360" w:lineRule="auto"/>
              <w:ind w:firstLine="480" w:firstLineChars="200"/>
              <w:rPr>
                <w:rFonts w:hint="eastAsia"/>
                <w:color w:val="auto"/>
                <w:sz w:val="24"/>
                <w:highlight w:val="none"/>
              </w:rPr>
            </w:pPr>
            <w:r>
              <w:rPr>
                <w:rFonts w:hint="eastAsia"/>
                <w:color w:val="auto"/>
                <w:sz w:val="24"/>
                <w:highlight w:val="none"/>
              </w:rPr>
              <w:t>②危险废物名称、类别、代码、有害成分名称、形态、危险特性填写相关信息，可由国家危险废物信息管理系统自动生成。</w:t>
            </w:r>
          </w:p>
          <w:p w14:paraId="275749F9">
            <w:pPr>
              <w:spacing w:line="360" w:lineRule="auto"/>
              <w:ind w:firstLine="480" w:firstLineChars="200"/>
              <w:rPr>
                <w:rFonts w:hint="eastAsia"/>
                <w:color w:val="auto"/>
                <w:sz w:val="24"/>
                <w:highlight w:val="none"/>
              </w:rPr>
            </w:pPr>
            <w:r>
              <w:rPr>
                <w:rFonts w:hint="eastAsia"/>
                <w:color w:val="auto"/>
                <w:sz w:val="24"/>
                <w:highlight w:val="none"/>
              </w:rPr>
              <w:t>②本年度预计转移量：本年度预计转移的危险废物量。</w:t>
            </w:r>
          </w:p>
          <w:p w14:paraId="533941B2">
            <w:pPr>
              <w:spacing w:line="360" w:lineRule="auto"/>
              <w:ind w:firstLine="480" w:firstLineChars="200"/>
              <w:rPr>
                <w:rFonts w:hint="eastAsia"/>
                <w:color w:val="auto"/>
                <w:sz w:val="24"/>
                <w:highlight w:val="none"/>
              </w:rPr>
            </w:pPr>
            <w:r>
              <w:rPr>
                <w:rFonts w:hint="eastAsia"/>
                <w:color w:val="auto"/>
                <w:sz w:val="24"/>
                <w:highlight w:val="none"/>
              </w:rPr>
              <w:t>③计量单位：填写吨。以升、立方米等体积计量的，应折算成重量吨；以个数作为计量单位的，除填写个数外，还应折算成重量吨。</w:t>
            </w:r>
          </w:p>
          <w:p w14:paraId="7588B705">
            <w:pPr>
              <w:spacing w:line="360" w:lineRule="auto"/>
              <w:ind w:firstLine="480" w:firstLineChars="200"/>
              <w:rPr>
                <w:rFonts w:hint="eastAsia"/>
                <w:color w:val="auto"/>
                <w:sz w:val="24"/>
                <w:highlight w:val="none"/>
              </w:rPr>
            </w:pPr>
            <w:r>
              <w:rPr>
                <w:rFonts w:hint="eastAsia"/>
                <w:color w:val="auto"/>
                <w:sz w:val="24"/>
                <w:highlight w:val="none"/>
              </w:rPr>
              <w:t>④利用/处置方式代码：根据HJ 1033附录F填写。</w:t>
            </w:r>
          </w:p>
          <w:p w14:paraId="0FEEAE7A">
            <w:pPr>
              <w:spacing w:line="360" w:lineRule="auto"/>
              <w:ind w:firstLine="480" w:firstLineChars="200"/>
              <w:rPr>
                <w:rFonts w:hint="eastAsia"/>
                <w:color w:val="auto"/>
                <w:sz w:val="24"/>
                <w:highlight w:val="none"/>
              </w:rPr>
            </w:pPr>
            <w:r>
              <w:rPr>
                <w:rFonts w:hint="eastAsia"/>
                <w:color w:val="auto"/>
                <w:sz w:val="24"/>
                <w:highlight w:val="none"/>
              </w:rPr>
              <w:t>⑤拟接收单位类型：危险废物经营许可证持有单位、危险废物利用处置环节豁免管理单位、中华人民共和国境外的危险废物利用处置单位等。</w:t>
            </w:r>
          </w:p>
          <w:p w14:paraId="75CC7187">
            <w:pPr>
              <w:spacing w:line="360" w:lineRule="auto"/>
              <w:ind w:firstLine="480" w:firstLineChars="200"/>
              <w:rPr>
                <w:rFonts w:hint="eastAsia"/>
                <w:color w:val="auto"/>
                <w:sz w:val="24"/>
                <w:highlight w:val="none"/>
              </w:rPr>
            </w:pPr>
            <w:r>
              <w:rPr>
                <w:rFonts w:hint="eastAsia"/>
                <w:color w:val="auto"/>
                <w:sz w:val="24"/>
                <w:highlight w:val="none"/>
              </w:rPr>
              <w:t>⑥拟接收危险废物经营许可证持有单位名称、经营许可证编号：应当与国家危险废物信息管理系统中登记的危险废物经营许可证持有单位相关信息关联并一致，可由国家危险废物信息管理系统自动生成。</w:t>
            </w:r>
          </w:p>
          <w:p w14:paraId="78467B6C">
            <w:pPr>
              <w:spacing w:line="360" w:lineRule="auto"/>
              <w:ind w:firstLine="480" w:firstLineChars="200"/>
              <w:rPr>
                <w:rFonts w:hint="eastAsia"/>
                <w:color w:val="auto"/>
                <w:sz w:val="24"/>
                <w:highlight w:val="none"/>
              </w:rPr>
            </w:pPr>
            <w:r>
              <w:rPr>
                <w:rFonts w:hint="eastAsia"/>
                <w:color w:val="auto"/>
                <w:sz w:val="24"/>
                <w:highlight w:val="none"/>
              </w:rPr>
              <w:t>⑦危险废物利用处置环节豁免管理单位的相关信息应在国家危险废物信息管理系统中登记。</w:t>
            </w:r>
          </w:p>
          <w:p w14:paraId="43480F22">
            <w:pPr>
              <w:spacing w:line="360" w:lineRule="auto"/>
              <w:ind w:firstLine="480" w:firstLineChars="200"/>
              <w:rPr>
                <w:rFonts w:hint="eastAsia" w:eastAsia="宋体"/>
                <w:b/>
                <w:bCs/>
                <w:color w:val="auto"/>
                <w:sz w:val="24"/>
                <w:highlight w:val="none"/>
                <w:lang w:eastAsia="zh-CN"/>
              </w:rPr>
            </w:pPr>
            <w:r>
              <w:rPr>
                <w:rFonts w:hint="eastAsia"/>
                <w:color w:val="auto"/>
                <w:sz w:val="24"/>
                <w:highlight w:val="none"/>
              </w:rPr>
              <w:t>⑧危险废物出口至境外的，应在国家危险废物信息管理系统中填写中华人民共和国境外的危险废物利用处置单位信息。</w:t>
            </w:r>
          </w:p>
          <w:p w14:paraId="00833238">
            <w:pPr>
              <w:spacing w:line="360" w:lineRule="auto"/>
              <w:rPr>
                <w:b/>
                <w:bCs/>
                <w:color w:val="auto"/>
                <w:sz w:val="24"/>
                <w:highlight w:val="none"/>
              </w:rPr>
            </w:pPr>
            <w:r>
              <w:rPr>
                <w:b/>
                <w:bCs/>
                <w:color w:val="auto"/>
                <w:sz w:val="24"/>
                <w:highlight w:val="none"/>
              </w:rPr>
              <w:t>7.</w:t>
            </w:r>
            <w:r>
              <w:rPr>
                <w:rFonts w:hint="eastAsia"/>
                <w:b/>
                <w:bCs/>
                <w:color w:val="auto"/>
                <w:sz w:val="24"/>
                <w:highlight w:val="none"/>
                <w:lang w:val="en-US" w:eastAsia="zh-CN"/>
              </w:rPr>
              <w:t>4</w:t>
            </w:r>
            <w:r>
              <w:rPr>
                <w:b/>
                <w:bCs/>
                <w:color w:val="auto"/>
                <w:sz w:val="24"/>
                <w:highlight w:val="none"/>
              </w:rPr>
              <w:t xml:space="preserve"> 环境监测</w:t>
            </w:r>
          </w:p>
          <w:p w14:paraId="5B7323CF">
            <w:pPr>
              <w:spacing w:line="360" w:lineRule="auto"/>
              <w:ind w:firstLine="480" w:firstLineChars="200"/>
              <w:rPr>
                <w:color w:val="auto"/>
                <w:sz w:val="24"/>
                <w:highlight w:val="none"/>
              </w:rPr>
            </w:pPr>
            <w:r>
              <w:rPr>
                <w:color w:val="auto"/>
                <w:sz w:val="24"/>
                <w:highlight w:val="none"/>
              </w:rPr>
              <w:t>环境监测是保证环境管理措施落实的一个基本手段。环境监测能及时、准确地提供环境质量、污染源状况及发展趋势、环保设施运行效果的信息。及时发现环境管理措施的不足而及时修正，使环境质量和环境资源维持在期望值之内。</w:t>
            </w:r>
          </w:p>
          <w:p w14:paraId="6B655F49">
            <w:pPr>
              <w:spacing w:line="360" w:lineRule="auto"/>
              <w:ind w:firstLine="480" w:firstLineChars="200"/>
              <w:rPr>
                <w:color w:val="auto"/>
                <w:sz w:val="24"/>
                <w:highlight w:val="none"/>
              </w:rPr>
            </w:pPr>
            <w:r>
              <w:rPr>
                <w:color w:val="auto"/>
                <w:sz w:val="24"/>
                <w:highlight w:val="none"/>
              </w:rPr>
              <w:t xml:space="preserve">根据《排污单位自行监测技术指南 </w:t>
            </w:r>
            <w:r>
              <w:rPr>
                <w:rFonts w:hint="eastAsia"/>
                <w:color w:val="auto"/>
                <w:sz w:val="24"/>
                <w:highlight w:val="none"/>
                <w:lang w:val="en-US" w:eastAsia="zh-CN"/>
              </w:rPr>
              <w:t>水泥工业</w:t>
            </w:r>
            <w:r>
              <w:rPr>
                <w:color w:val="auto"/>
                <w:sz w:val="24"/>
                <w:highlight w:val="none"/>
              </w:rPr>
              <w:t>》（HJ 8</w:t>
            </w:r>
            <w:r>
              <w:rPr>
                <w:rFonts w:hint="eastAsia"/>
                <w:color w:val="auto"/>
                <w:sz w:val="24"/>
                <w:highlight w:val="none"/>
                <w:lang w:val="en-US" w:eastAsia="zh-CN"/>
              </w:rPr>
              <w:t>48</w:t>
            </w:r>
            <w:r>
              <w:rPr>
                <w:color w:val="auto"/>
                <w:sz w:val="24"/>
                <w:highlight w:val="none"/>
              </w:rPr>
              <w:t>-2017）相关规定，排污单位应按照最新的监测方案开展监测活动，可根据自身条件和能力，利用自有人员、场所和设备进行自行监测；也可委托其他有资质</w:t>
            </w:r>
            <w:r>
              <w:rPr>
                <w:rFonts w:hint="eastAsia"/>
                <w:color w:val="auto"/>
                <w:sz w:val="24"/>
                <w:highlight w:val="none"/>
                <w:lang w:eastAsia="zh-CN"/>
              </w:rPr>
              <w:t>的</w:t>
            </w:r>
            <w:r>
              <w:rPr>
                <w:color w:val="auto"/>
                <w:sz w:val="24"/>
                <w:highlight w:val="none"/>
              </w:rPr>
              <w:t>检（监）测机构代其开展自行监测。排污单位应建立自行监测质量管理制度，按照相关技术规范要求做好监测质量保证与质量控制，记录好与监测有关的数据，按照规定进行保存并依据《企业事业单位环境信息公开办法》（环境保护部令第31号）、《国家重点监控企业自行监测及信息公开办法（试行）》（环发〔2013〕81号）要求向社会公开监测结果。非重点排污单位的信息公开要求有地方环境保护主管部门确定。</w:t>
            </w:r>
          </w:p>
          <w:p w14:paraId="50E4A46B">
            <w:pPr>
              <w:spacing w:line="360" w:lineRule="auto"/>
              <w:ind w:firstLine="480" w:firstLineChars="200"/>
              <w:rPr>
                <w:rFonts w:hint="default"/>
                <w:color w:val="auto"/>
                <w:sz w:val="24"/>
                <w:highlight w:val="none"/>
                <w:lang w:val="en-US" w:eastAsia="zh-CN"/>
              </w:rPr>
            </w:pPr>
            <w:r>
              <w:rPr>
                <w:color w:val="auto"/>
                <w:sz w:val="24"/>
                <w:highlight w:val="none"/>
              </w:rPr>
              <w:t xml:space="preserve">根据生产特征和污染物的排放特征，依据国家颁布的环境质量标准，污染物排放标准及地方环保部门的要求，根据《排污单位自行监测技术指南 </w:t>
            </w:r>
            <w:r>
              <w:rPr>
                <w:rFonts w:hint="eastAsia"/>
                <w:color w:val="auto"/>
                <w:sz w:val="24"/>
                <w:highlight w:val="none"/>
                <w:lang w:val="en-US" w:eastAsia="zh-CN"/>
              </w:rPr>
              <w:t>水泥工业</w:t>
            </w:r>
            <w:r>
              <w:rPr>
                <w:color w:val="auto"/>
                <w:sz w:val="24"/>
                <w:highlight w:val="none"/>
              </w:rPr>
              <w:t>》（HJ 8</w:t>
            </w:r>
            <w:r>
              <w:rPr>
                <w:rFonts w:hint="eastAsia"/>
                <w:color w:val="auto"/>
                <w:sz w:val="24"/>
                <w:highlight w:val="none"/>
                <w:lang w:val="en-US" w:eastAsia="zh-CN"/>
              </w:rPr>
              <w:t>48</w:t>
            </w:r>
            <w:r>
              <w:rPr>
                <w:color w:val="auto"/>
                <w:sz w:val="24"/>
                <w:highlight w:val="none"/>
              </w:rPr>
              <w:t>-2017）有关规定，结合本项目主要排污特点，监测项目应包括大气污染物、厂界噪声。采样、分析方法按国家环保局颁发的GB/T16157、HJ/T397、HJ/T75、HJ/T76以及《环境监测技术规范》、《空气与废气监测分析方法》等进行。</w:t>
            </w:r>
            <w:r>
              <w:rPr>
                <w:rFonts w:hint="eastAsia"/>
                <w:color w:val="auto"/>
                <w:sz w:val="24"/>
                <w:highlight w:val="none"/>
                <w:lang w:val="en-US" w:eastAsia="zh-CN"/>
              </w:rPr>
              <w:t>具体监测计划表见表4-19。</w:t>
            </w:r>
          </w:p>
          <w:p w14:paraId="62938AE8">
            <w:pPr>
              <w:spacing w:line="360" w:lineRule="auto"/>
              <w:jc w:val="center"/>
              <w:rPr>
                <w:rFonts w:hint="default"/>
                <w:b/>
                <w:bCs/>
                <w:color w:val="auto"/>
                <w:sz w:val="21"/>
                <w:szCs w:val="21"/>
                <w:highlight w:val="none"/>
                <w:vertAlign w:val="baseline"/>
                <w:lang w:val="en-US" w:eastAsia="zh-CN"/>
              </w:rPr>
            </w:pPr>
            <w:r>
              <w:rPr>
                <w:rFonts w:hint="eastAsia"/>
                <w:b/>
                <w:bCs/>
                <w:color w:val="auto"/>
                <w:sz w:val="21"/>
                <w:szCs w:val="21"/>
                <w:highlight w:val="none"/>
                <w:lang w:val="en-US" w:eastAsia="zh-CN"/>
              </w:rPr>
              <w:t>表4-19  项目监测计划一览表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761"/>
              <w:gridCol w:w="574"/>
              <w:gridCol w:w="870"/>
              <w:gridCol w:w="942"/>
              <w:gridCol w:w="479"/>
              <w:gridCol w:w="901"/>
              <w:gridCol w:w="3504"/>
            </w:tblGrid>
            <w:tr w14:paraId="32F0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vAlign w:val="center"/>
                </w:tcPr>
                <w:p w14:paraId="5CFC6883">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分类</w:t>
                  </w:r>
                </w:p>
              </w:tc>
              <w:tc>
                <w:tcPr>
                  <w:tcW w:w="469" w:type="pct"/>
                  <w:vAlign w:val="center"/>
                </w:tcPr>
                <w:p w14:paraId="678CD9D5">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监测对象</w:t>
                  </w:r>
                </w:p>
              </w:tc>
              <w:tc>
                <w:tcPr>
                  <w:tcW w:w="359" w:type="pct"/>
                  <w:vAlign w:val="center"/>
                </w:tcPr>
                <w:p w14:paraId="3BFE7DC1">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污染源</w:t>
                  </w:r>
                </w:p>
              </w:tc>
              <w:tc>
                <w:tcPr>
                  <w:tcW w:w="359" w:type="pct"/>
                  <w:vAlign w:val="center"/>
                </w:tcPr>
                <w:p w14:paraId="2F15A0CF">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监测项目</w:t>
                  </w:r>
                </w:p>
              </w:tc>
              <w:tc>
                <w:tcPr>
                  <w:tcW w:w="575" w:type="pct"/>
                  <w:vAlign w:val="center"/>
                </w:tcPr>
                <w:p w14:paraId="3747F5A4">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监测位置</w:t>
                  </w:r>
                </w:p>
              </w:tc>
              <w:tc>
                <w:tcPr>
                  <w:tcW w:w="303" w:type="pct"/>
                  <w:vAlign w:val="center"/>
                </w:tcPr>
                <w:p w14:paraId="2BA67657">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采样频次</w:t>
                  </w:r>
                </w:p>
              </w:tc>
              <w:tc>
                <w:tcPr>
                  <w:tcW w:w="551" w:type="pct"/>
                  <w:vAlign w:val="center"/>
                </w:tcPr>
                <w:p w14:paraId="00254B81">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监测单位</w:t>
                  </w:r>
                </w:p>
              </w:tc>
              <w:tc>
                <w:tcPr>
                  <w:tcW w:w="2080" w:type="pct"/>
                  <w:vAlign w:val="center"/>
                </w:tcPr>
                <w:p w14:paraId="5A91FE43">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执行标准</w:t>
                  </w:r>
                </w:p>
              </w:tc>
            </w:tr>
            <w:tr w14:paraId="46E7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vAlign w:val="center"/>
                </w:tcPr>
                <w:p w14:paraId="0F66282E">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废气</w:t>
                  </w:r>
                </w:p>
              </w:tc>
              <w:tc>
                <w:tcPr>
                  <w:tcW w:w="469" w:type="pct"/>
                  <w:vAlign w:val="center"/>
                </w:tcPr>
                <w:p w14:paraId="54403FAF">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有组织排放颗粒物</w:t>
                  </w:r>
                </w:p>
              </w:tc>
              <w:tc>
                <w:tcPr>
                  <w:tcW w:w="359" w:type="pct"/>
                  <w:vAlign w:val="center"/>
                </w:tcPr>
                <w:p w14:paraId="5E267655">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排气筒口</w:t>
                  </w:r>
                </w:p>
              </w:tc>
              <w:tc>
                <w:tcPr>
                  <w:tcW w:w="359" w:type="pct"/>
                  <w:vAlign w:val="center"/>
                </w:tcPr>
                <w:p w14:paraId="48734ADE">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颗粒物</w:t>
                  </w:r>
                </w:p>
              </w:tc>
              <w:tc>
                <w:tcPr>
                  <w:tcW w:w="575" w:type="pct"/>
                  <w:vAlign w:val="center"/>
                </w:tcPr>
                <w:p w14:paraId="6B918AC3">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排气筒口</w:t>
                  </w:r>
                </w:p>
              </w:tc>
              <w:tc>
                <w:tcPr>
                  <w:tcW w:w="303" w:type="pct"/>
                  <w:vAlign w:val="center"/>
                </w:tcPr>
                <w:p w14:paraId="7E83C04A">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1次/两年</w:t>
                  </w:r>
                </w:p>
              </w:tc>
              <w:tc>
                <w:tcPr>
                  <w:tcW w:w="551" w:type="pct"/>
                  <w:vMerge w:val="restart"/>
                  <w:vAlign w:val="center"/>
                </w:tcPr>
                <w:p w14:paraId="1FACE9F0">
                  <w:pPr>
                    <w:spacing w:line="240" w:lineRule="auto"/>
                    <w:jc w:val="center"/>
                    <w:rPr>
                      <w:rFonts w:hint="default"/>
                      <w:color w:val="auto"/>
                      <w:sz w:val="21"/>
                      <w:szCs w:val="21"/>
                      <w:highlight w:val="none"/>
                      <w:vertAlign w:val="baseline"/>
                      <w:lang w:val="en-US" w:eastAsia="zh-CN"/>
                    </w:rPr>
                  </w:pPr>
                  <w:r>
                    <w:rPr>
                      <w:rFonts w:hint="default" w:ascii="Times New Roman" w:hAnsi="Times New Roman" w:cs="Times New Roman"/>
                      <w:iCs/>
                      <w:sz w:val="21"/>
                      <w:szCs w:val="21"/>
                      <w:highlight w:val="none"/>
                    </w:rPr>
                    <w:t>委托第三方监测单位监测</w:t>
                  </w:r>
                </w:p>
              </w:tc>
              <w:tc>
                <w:tcPr>
                  <w:tcW w:w="2080" w:type="pct"/>
                  <w:vAlign w:val="center"/>
                </w:tcPr>
                <w:p w14:paraId="58941962">
                  <w:pPr>
                    <w:spacing w:line="240" w:lineRule="auto"/>
                    <w:jc w:val="center"/>
                    <w:rPr>
                      <w:rFonts w:hint="default"/>
                      <w:color w:val="auto"/>
                      <w:sz w:val="21"/>
                      <w:szCs w:val="21"/>
                      <w:highlight w:val="none"/>
                      <w:vertAlign w:val="baseline"/>
                      <w:lang w:val="en-US" w:eastAsia="zh-CN"/>
                    </w:rPr>
                  </w:pPr>
                  <w:r>
                    <w:rPr>
                      <w:rFonts w:hint="eastAsia"/>
                      <w:color w:val="auto"/>
                      <w:spacing w:val="0"/>
                      <w:sz w:val="21"/>
                      <w:szCs w:val="21"/>
                    </w:rPr>
                    <w:t>《水泥工业大气污染物排放标准》（GB4915-2013）表</w:t>
                  </w:r>
                  <w:r>
                    <w:rPr>
                      <w:rFonts w:hint="eastAsia"/>
                      <w:color w:val="auto"/>
                      <w:spacing w:val="0"/>
                      <w:sz w:val="21"/>
                      <w:szCs w:val="21"/>
                      <w:lang w:val="en-US" w:eastAsia="zh-CN"/>
                    </w:rPr>
                    <w:t>1</w:t>
                  </w:r>
                  <w:r>
                    <w:rPr>
                      <w:rFonts w:hint="eastAsia"/>
                      <w:color w:val="auto"/>
                      <w:spacing w:val="0"/>
                      <w:sz w:val="21"/>
                      <w:szCs w:val="21"/>
                    </w:rPr>
                    <w:t>大气污染物排放限值</w:t>
                  </w:r>
                </w:p>
              </w:tc>
            </w:tr>
            <w:tr w14:paraId="24B9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vAlign w:val="center"/>
                </w:tcPr>
                <w:p w14:paraId="7BC4E92B">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废气</w:t>
                  </w:r>
                </w:p>
              </w:tc>
              <w:tc>
                <w:tcPr>
                  <w:tcW w:w="469" w:type="pct"/>
                  <w:vAlign w:val="center"/>
                </w:tcPr>
                <w:p w14:paraId="6C787CE7">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无组织排放颗粒物</w:t>
                  </w:r>
                </w:p>
              </w:tc>
              <w:tc>
                <w:tcPr>
                  <w:tcW w:w="359" w:type="pct"/>
                  <w:vAlign w:val="center"/>
                </w:tcPr>
                <w:p w14:paraId="70261B76">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厂界</w:t>
                  </w:r>
                </w:p>
              </w:tc>
              <w:tc>
                <w:tcPr>
                  <w:tcW w:w="359" w:type="pct"/>
                  <w:vAlign w:val="center"/>
                </w:tcPr>
                <w:p w14:paraId="3EB5B880">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颗粒物</w:t>
                  </w:r>
                </w:p>
              </w:tc>
              <w:tc>
                <w:tcPr>
                  <w:tcW w:w="575" w:type="pct"/>
                  <w:vAlign w:val="center"/>
                </w:tcPr>
                <w:p w14:paraId="06ABABA8">
                  <w:pPr>
                    <w:keepNext w:val="0"/>
                    <w:keepLines w:val="0"/>
                    <w:widowControl/>
                    <w:suppressLineNumbers w:val="0"/>
                    <w:spacing w:line="240" w:lineRule="auto"/>
                    <w:jc w:val="both"/>
                    <w:rPr>
                      <w:sz w:val="21"/>
                      <w:szCs w:val="21"/>
                      <w:highlight w:val="none"/>
                    </w:rPr>
                  </w:pPr>
                  <w:r>
                    <w:rPr>
                      <w:rFonts w:hint="eastAsia" w:ascii="宋体" w:hAnsi="宋体" w:eastAsia="宋体" w:cs="宋体"/>
                      <w:color w:val="000000"/>
                      <w:kern w:val="0"/>
                      <w:sz w:val="21"/>
                      <w:szCs w:val="21"/>
                      <w:highlight w:val="none"/>
                      <w:lang w:val="en-US" w:eastAsia="zh-CN" w:bidi="ar"/>
                    </w:rPr>
                    <w:t>厂界上风向</w:t>
                  </w:r>
                  <w:r>
                    <w:rPr>
                      <w:rFonts w:hint="default" w:ascii="Times New Roman" w:hAnsi="Times New Roman" w:eastAsia="宋体" w:cs="Times New Roman"/>
                      <w:color w:val="000000"/>
                      <w:kern w:val="0"/>
                      <w:sz w:val="21"/>
                      <w:szCs w:val="21"/>
                      <w:highlight w:val="none"/>
                      <w:lang w:val="en-US" w:eastAsia="zh-CN" w:bidi="ar"/>
                    </w:rPr>
                    <w:t>10m</w:t>
                  </w:r>
                  <w:r>
                    <w:rPr>
                      <w:rFonts w:hint="eastAsia" w:ascii="宋体" w:hAnsi="宋体" w:eastAsia="宋体" w:cs="宋体"/>
                      <w:color w:val="000000"/>
                      <w:kern w:val="0"/>
                      <w:sz w:val="21"/>
                      <w:szCs w:val="21"/>
                      <w:highlight w:val="none"/>
                      <w:lang w:val="en-US" w:eastAsia="zh-CN" w:bidi="ar"/>
                    </w:rPr>
                    <w:t>处</w:t>
                  </w: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个点，下风向</w:t>
                  </w:r>
                </w:p>
                <w:p w14:paraId="166B64F7">
                  <w:pPr>
                    <w:keepNext w:val="0"/>
                    <w:keepLines w:val="0"/>
                    <w:widowControl/>
                    <w:suppressLineNumbers w:val="0"/>
                    <w:spacing w:line="240" w:lineRule="auto"/>
                    <w:jc w:val="both"/>
                    <w:rPr>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val="en-US" w:eastAsia="zh-CN" w:bidi="ar"/>
                    </w:rPr>
                    <w:t>内</w:t>
                  </w:r>
                  <w:r>
                    <w:rPr>
                      <w:rFonts w:hint="default" w:ascii="Times New Roman" w:hAnsi="Times New Roman" w:eastAsia="宋体" w:cs="Times New Roman"/>
                      <w:color w:val="000000"/>
                      <w:kern w:val="0"/>
                      <w:sz w:val="21"/>
                      <w:szCs w:val="21"/>
                      <w:highlight w:val="none"/>
                      <w:lang w:val="en-US" w:eastAsia="zh-CN" w:bidi="ar"/>
                    </w:rPr>
                    <w:t xml:space="preserve">3 </w:t>
                  </w:r>
                  <w:r>
                    <w:rPr>
                      <w:rFonts w:hint="eastAsia" w:ascii="宋体" w:hAnsi="宋体" w:eastAsia="宋体" w:cs="宋体"/>
                      <w:color w:val="000000"/>
                      <w:kern w:val="0"/>
                      <w:sz w:val="21"/>
                      <w:szCs w:val="21"/>
                      <w:highlight w:val="none"/>
                      <w:lang w:val="en-US" w:eastAsia="zh-CN" w:bidi="ar"/>
                    </w:rPr>
                    <w:t>个点</w:t>
                  </w:r>
                </w:p>
                <w:p w14:paraId="788FCF49">
                  <w:pPr>
                    <w:spacing w:line="240" w:lineRule="auto"/>
                    <w:jc w:val="center"/>
                    <w:rPr>
                      <w:rFonts w:hint="default"/>
                      <w:color w:val="auto"/>
                      <w:sz w:val="21"/>
                      <w:szCs w:val="21"/>
                      <w:highlight w:val="none"/>
                      <w:vertAlign w:val="baseline"/>
                      <w:lang w:val="en-US" w:eastAsia="zh-CN"/>
                    </w:rPr>
                  </w:pPr>
                </w:p>
              </w:tc>
              <w:tc>
                <w:tcPr>
                  <w:tcW w:w="303" w:type="pct"/>
                  <w:vAlign w:val="center"/>
                </w:tcPr>
                <w:p w14:paraId="46E90BF7">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1次/季度</w:t>
                  </w:r>
                </w:p>
              </w:tc>
              <w:tc>
                <w:tcPr>
                  <w:tcW w:w="551" w:type="pct"/>
                  <w:vMerge w:val="continue"/>
                  <w:vAlign w:val="center"/>
                </w:tcPr>
                <w:p w14:paraId="466AAA93">
                  <w:pPr>
                    <w:spacing w:line="240" w:lineRule="auto"/>
                    <w:jc w:val="center"/>
                    <w:rPr>
                      <w:rFonts w:hint="default"/>
                      <w:color w:val="auto"/>
                      <w:sz w:val="21"/>
                      <w:szCs w:val="21"/>
                      <w:highlight w:val="none"/>
                      <w:vertAlign w:val="baseline"/>
                      <w:lang w:val="en-US" w:eastAsia="zh-CN"/>
                    </w:rPr>
                  </w:pPr>
                </w:p>
              </w:tc>
              <w:tc>
                <w:tcPr>
                  <w:tcW w:w="2080" w:type="pct"/>
                  <w:vAlign w:val="center"/>
                </w:tcPr>
                <w:p w14:paraId="466FFB27">
                  <w:pPr>
                    <w:adjustRightInd w:val="0"/>
                    <w:snapToGrid w:val="0"/>
                    <w:spacing w:line="240" w:lineRule="auto"/>
                    <w:rPr>
                      <w:rFonts w:hint="eastAsia"/>
                      <w:color w:val="auto"/>
                      <w:spacing w:val="0"/>
                      <w:sz w:val="21"/>
                      <w:szCs w:val="21"/>
                    </w:rPr>
                  </w:pPr>
                  <w:r>
                    <w:rPr>
                      <w:rFonts w:hint="eastAsia"/>
                      <w:color w:val="auto"/>
                      <w:spacing w:val="0"/>
                      <w:sz w:val="21"/>
                      <w:szCs w:val="21"/>
                    </w:rPr>
                    <w:t>《水泥工业大气污染物排放标准》（GB4915-2013）表</w:t>
                  </w:r>
                  <w:r>
                    <w:rPr>
                      <w:rFonts w:hint="eastAsia"/>
                      <w:color w:val="auto"/>
                      <w:spacing w:val="0"/>
                      <w:sz w:val="21"/>
                      <w:szCs w:val="21"/>
                      <w:lang w:val="en-US" w:eastAsia="zh-CN"/>
                    </w:rPr>
                    <w:t>3</w:t>
                  </w:r>
                  <w:r>
                    <w:rPr>
                      <w:rFonts w:hint="eastAsia"/>
                      <w:color w:val="auto"/>
                      <w:spacing w:val="0"/>
                      <w:sz w:val="21"/>
                      <w:szCs w:val="21"/>
                    </w:rPr>
                    <w:t>大气污染物</w:t>
                  </w:r>
                  <w:r>
                    <w:rPr>
                      <w:rFonts w:hint="eastAsia"/>
                      <w:color w:val="auto"/>
                      <w:spacing w:val="0"/>
                      <w:sz w:val="21"/>
                      <w:szCs w:val="21"/>
                      <w:lang w:val="en-US" w:eastAsia="zh-CN"/>
                    </w:rPr>
                    <w:t>无组织</w:t>
                  </w:r>
                  <w:r>
                    <w:rPr>
                      <w:rFonts w:hint="eastAsia"/>
                      <w:color w:val="auto"/>
                      <w:spacing w:val="0"/>
                      <w:sz w:val="21"/>
                      <w:szCs w:val="21"/>
                    </w:rPr>
                    <w:t>排放</w:t>
                  </w:r>
                  <w:r>
                    <w:rPr>
                      <w:rFonts w:hint="eastAsia"/>
                      <w:color w:val="auto"/>
                      <w:spacing w:val="0"/>
                      <w:sz w:val="21"/>
                      <w:szCs w:val="21"/>
                      <w:lang w:val="en-US" w:eastAsia="zh-CN"/>
                    </w:rPr>
                    <w:t>浓度0.5mg/m3的</w:t>
                  </w:r>
                  <w:r>
                    <w:rPr>
                      <w:rFonts w:hint="eastAsia"/>
                      <w:color w:val="auto"/>
                      <w:spacing w:val="0"/>
                      <w:sz w:val="21"/>
                      <w:szCs w:val="21"/>
                    </w:rPr>
                    <w:t>限值</w:t>
                  </w:r>
                  <w:r>
                    <w:rPr>
                      <w:rFonts w:hint="eastAsia"/>
                      <w:color w:val="auto"/>
                      <w:spacing w:val="0"/>
                      <w:sz w:val="21"/>
                      <w:szCs w:val="21"/>
                      <w:lang w:val="en-US" w:eastAsia="zh-CN"/>
                    </w:rPr>
                    <w:t>要求</w:t>
                  </w:r>
                  <w:r>
                    <w:rPr>
                      <w:rFonts w:hint="eastAsia"/>
                      <w:color w:val="auto"/>
                      <w:spacing w:val="0"/>
                      <w:sz w:val="21"/>
                      <w:szCs w:val="21"/>
                    </w:rPr>
                    <w:t>。</w:t>
                  </w:r>
                </w:p>
                <w:p w14:paraId="0167A407">
                  <w:pPr>
                    <w:spacing w:line="240" w:lineRule="auto"/>
                    <w:jc w:val="center"/>
                    <w:rPr>
                      <w:rFonts w:hint="default"/>
                      <w:color w:val="auto"/>
                      <w:sz w:val="21"/>
                      <w:szCs w:val="21"/>
                      <w:highlight w:val="none"/>
                      <w:vertAlign w:val="baseline"/>
                      <w:lang w:val="en-US" w:eastAsia="zh-CN"/>
                    </w:rPr>
                  </w:pPr>
                </w:p>
              </w:tc>
            </w:tr>
            <w:tr w14:paraId="2E9A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vAlign w:val="center"/>
                </w:tcPr>
                <w:p w14:paraId="2CBB3D96">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废水</w:t>
                  </w:r>
                </w:p>
              </w:tc>
              <w:tc>
                <w:tcPr>
                  <w:tcW w:w="469" w:type="pct"/>
                  <w:vAlign w:val="center"/>
                </w:tcPr>
                <w:p w14:paraId="44EC2EF8">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生活污水</w:t>
                  </w:r>
                </w:p>
              </w:tc>
              <w:tc>
                <w:tcPr>
                  <w:tcW w:w="359" w:type="pct"/>
                  <w:vAlign w:val="center"/>
                </w:tcPr>
                <w:p w14:paraId="52140342">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生活污水</w:t>
                  </w:r>
                </w:p>
              </w:tc>
              <w:tc>
                <w:tcPr>
                  <w:tcW w:w="359" w:type="pct"/>
                  <w:vAlign w:val="center"/>
                </w:tcPr>
                <w:p w14:paraId="5988B73B">
                  <w:pPr>
                    <w:bidi w:val="0"/>
                    <w:spacing w:line="240" w:lineRule="auto"/>
                    <w:jc w:val="left"/>
                    <w:rPr>
                      <w:rFonts w:hint="default"/>
                      <w:lang w:val="en-US" w:eastAsia="zh-CN"/>
                    </w:rPr>
                  </w:pPr>
                  <w:r>
                    <w:rPr>
                      <w:rFonts w:hint="eastAsia"/>
                      <w:lang w:val="en-US" w:eastAsia="zh-CN"/>
                    </w:rPr>
                    <w:t>COD、BOD、SS、氨氮</w:t>
                  </w:r>
                </w:p>
                <w:p w14:paraId="4BBF06F2">
                  <w:pPr>
                    <w:bidi w:val="0"/>
                    <w:spacing w:line="240" w:lineRule="auto"/>
                    <w:jc w:val="left"/>
                    <w:rPr>
                      <w:rFonts w:hint="default"/>
                      <w:lang w:val="en-US" w:eastAsia="zh-CN"/>
                    </w:rPr>
                  </w:pPr>
                  <w:r>
                    <w:rPr>
                      <w:rFonts w:hint="eastAsia"/>
                      <w:lang w:val="en-US" w:eastAsia="zh-CN"/>
                    </w:rPr>
                    <w:t>BOD</w:t>
                  </w:r>
                </w:p>
              </w:tc>
              <w:tc>
                <w:tcPr>
                  <w:tcW w:w="575" w:type="pct"/>
                  <w:vAlign w:val="center"/>
                </w:tcPr>
                <w:p w14:paraId="11D2D81A">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废水总排口</w:t>
                  </w:r>
                </w:p>
              </w:tc>
              <w:tc>
                <w:tcPr>
                  <w:tcW w:w="303" w:type="pct"/>
                  <w:vAlign w:val="center"/>
                </w:tcPr>
                <w:p w14:paraId="6F0EEAC8">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1次/半年</w:t>
                  </w:r>
                </w:p>
              </w:tc>
              <w:tc>
                <w:tcPr>
                  <w:tcW w:w="551" w:type="pct"/>
                  <w:vMerge w:val="continue"/>
                  <w:vAlign w:val="center"/>
                </w:tcPr>
                <w:p w14:paraId="0AF1A81B">
                  <w:pPr>
                    <w:spacing w:line="240" w:lineRule="auto"/>
                    <w:jc w:val="center"/>
                    <w:rPr>
                      <w:rFonts w:hint="default"/>
                      <w:color w:val="auto"/>
                      <w:sz w:val="21"/>
                      <w:szCs w:val="21"/>
                      <w:highlight w:val="none"/>
                      <w:vertAlign w:val="baseline"/>
                      <w:lang w:val="en-US" w:eastAsia="zh-CN"/>
                    </w:rPr>
                  </w:pPr>
                </w:p>
              </w:tc>
              <w:tc>
                <w:tcPr>
                  <w:tcW w:w="2080" w:type="pct"/>
                  <w:vAlign w:val="center"/>
                </w:tcPr>
                <w:p w14:paraId="3470E63F">
                  <w:pPr>
                    <w:spacing w:line="240" w:lineRule="auto"/>
                    <w:jc w:val="center"/>
                    <w:rPr>
                      <w:rFonts w:hint="eastAsia"/>
                      <w:color w:val="auto"/>
                      <w:spacing w:val="0"/>
                      <w:sz w:val="21"/>
                      <w:szCs w:val="21"/>
                    </w:rPr>
                  </w:pPr>
                  <w:r>
                    <w:rPr>
                      <w:rFonts w:hint="eastAsia"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农村生活污水处理排放标准（发布稿）</w:t>
                  </w:r>
                  <w:r>
                    <w:rPr>
                      <w:rFonts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DB65/4275-2019</w:t>
                  </w:r>
                  <w:r>
                    <w:rPr>
                      <w:rFonts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表2中C级排放浓度限值</w:t>
                  </w:r>
                </w:p>
              </w:tc>
            </w:tr>
            <w:tr w14:paraId="1CCB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vAlign w:val="center"/>
                </w:tcPr>
                <w:p w14:paraId="04E7F9C6">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噪声</w:t>
                  </w:r>
                </w:p>
              </w:tc>
              <w:tc>
                <w:tcPr>
                  <w:tcW w:w="469" w:type="pct"/>
                  <w:vAlign w:val="center"/>
                </w:tcPr>
                <w:p w14:paraId="7062AFB6">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厂界</w:t>
                  </w:r>
                </w:p>
              </w:tc>
              <w:tc>
                <w:tcPr>
                  <w:tcW w:w="359" w:type="pct"/>
                  <w:vAlign w:val="center"/>
                </w:tcPr>
                <w:p w14:paraId="6DAFC739">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厂界</w:t>
                  </w:r>
                </w:p>
              </w:tc>
              <w:tc>
                <w:tcPr>
                  <w:tcW w:w="359" w:type="pct"/>
                  <w:vAlign w:val="center"/>
                </w:tcPr>
                <w:p w14:paraId="10AFC370">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噪声</w:t>
                  </w:r>
                </w:p>
              </w:tc>
              <w:tc>
                <w:tcPr>
                  <w:tcW w:w="575" w:type="pct"/>
                  <w:vAlign w:val="center"/>
                </w:tcPr>
                <w:p w14:paraId="1F2B060B">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厂界</w:t>
                  </w:r>
                </w:p>
              </w:tc>
              <w:tc>
                <w:tcPr>
                  <w:tcW w:w="303" w:type="pct"/>
                  <w:vAlign w:val="center"/>
                </w:tcPr>
                <w:p w14:paraId="4E6221B7">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1次/季度</w:t>
                  </w:r>
                </w:p>
              </w:tc>
              <w:tc>
                <w:tcPr>
                  <w:tcW w:w="551" w:type="pct"/>
                  <w:vMerge w:val="continue"/>
                  <w:vAlign w:val="center"/>
                </w:tcPr>
                <w:p w14:paraId="00B9CD91">
                  <w:pPr>
                    <w:spacing w:line="240" w:lineRule="auto"/>
                    <w:jc w:val="center"/>
                    <w:rPr>
                      <w:rFonts w:hint="default"/>
                      <w:color w:val="auto"/>
                      <w:sz w:val="21"/>
                      <w:szCs w:val="21"/>
                      <w:highlight w:val="none"/>
                      <w:vertAlign w:val="baseline"/>
                      <w:lang w:val="en-US" w:eastAsia="zh-CN"/>
                    </w:rPr>
                  </w:pPr>
                </w:p>
              </w:tc>
              <w:tc>
                <w:tcPr>
                  <w:tcW w:w="2080" w:type="pct"/>
                  <w:vAlign w:val="center"/>
                </w:tcPr>
                <w:p w14:paraId="4E7270B3">
                  <w:pPr>
                    <w:spacing w:line="240" w:lineRule="auto"/>
                    <w:jc w:val="center"/>
                    <w:rPr>
                      <w:rFonts w:hint="default"/>
                      <w:color w:val="auto"/>
                      <w:sz w:val="21"/>
                      <w:szCs w:val="21"/>
                      <w:highlight w:val="none"/>
                      <w:vertAlign w:val="baseline"/>
                      <w:lang w:val="en-US" w:eastAsia="zh-CN"/>
                    </w:rPr>
                  </w:pPr>
                  <w:r>
                    <w:rPr>
                      <w:color w:val="auto"/>
                      <w:sz w:val="21"/>
                      <w:szCs w:val="21"/>
                      <w:highlight w:val="none"/>
                    </w:rPr>
                    <w:t>厂界噪声达《工业企业厂界环境噪声排放标准》（GB12348-2008）中的</w:t>
                  </w:r>
                  <w:r>
                    <w:rPr>
                      <w:rFonts w:hint="eastAsia"/>
                      <w:color w:val="auto"/>
                      <w:sz w:val="21"/>
                      <w:szCs w:val="21"/>
                      <w:highlight w:val="none"/>
                      <w:lang w:val="en-US" w:eastAsia="zh-CN"/>
                    </w:rPr>
                    <w:t>2</w:t>
                  </w:r>
                  <w:r>
                    <w:rPr>
                      <w:color w:val="auto"/>
                      <w:sz w:val="21"/>
                      <w:szCs w:val="21"/>
                      <w:highlight w:val="none"/>
                    </w:rPr>
                    <w:t>类标准</w:t>
                  </w:r>
                </w:p>
              </w:tc>
            </w:tr>
          </w:tbl>
          <w:p w14:paraId="62E61F0D">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bCs/>
                <w:color w:val="auto"/>
                <w:sz w:val="24"/>
              </w:rPr>
            </w:pPr>
            <w:r>
              <w:rPr>
                <w:rFonts w:hint="eastAsia" w:cs="Times New Roman"/>
                <w:b/>
                <w:bCs/>
                <w:color w:val="auto"/>
                <w:kern w:val="2"/>
                <w:sz w:val="24"/>
                <w:szCs w:val="24"/>
                <w:lang w:val="en-US" w:eastAsia="zh-CN" w:bidi="ar-SA"/>
              </w:rPr>
              <w:t>8</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sz w:val="24"/>
              </w:rPr>
              <w:t>环保投资</w:t>
            </w:r>
          </w:p>
          <w:p w14:paraId="2BD672F4">
            <w:pPr>
              <w:pStyle w:val="3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本项目总投资</w:t>
            </w:r>
            <w:r>
              <w:rPr>
                <w:rFonts w:hint="eastAsia" w:ascii="Times New Roman" w:hAnsi="Times New Roman" w:cs="Times New Roman"/>
                <w:b w:val="0"/>
                <w:bCs/>
                <w:color w:val="auto"/>
                <w:kern w:val="0"/>
                <w:sz w:val="24"/>
                <w:szCs w:val="24"/>
                <w:lang w:val="en-US" w:eastAsia="zh-CN" w:bidi="ar-SA"/>
              </w:rPr>
              <w:t>45</w:t>
            </w:r>
            <w:r>
              <w:rPr>
                <w:rFonts w:hint="default" w:ascii="Times New Roman" w:hAnsi="Times New Roman" w:eastAsia="宋体" w:cs="Times New Roman"/>
                <w:b w:val="0"/>
                <w:bCs/>
                <w:color w:val="auto"/>
                <w:kern w:val="0"/>
                <w:sz w:val="24"/>
                <w:szCs w:val="24"/>
                <w:lang w:val="en-US" w:eastAsia="zh-CN" w:bidi="ar-SA"/>
              </w:rPr>
              <w:t>0</w:t>
            </w:r>
            <w:r>
              <w:rPr>
                <w:rFonts w:hint="eastAsia" w:ascii="Times New Roman" w:hAnsi="Times New Roman" w:cs="Times New Roman"/>
                <w:b w:val="0"/>
                <w:bCs/>
                <w:color w:val="auto"/>
                <w:kern w:val="0"/>
                <w:sz w:val="24"/>
                <w:szCs w:val="24"/>
                <w:lang w:val="en-US" w:eastAsia="zh-CN" w:bidi="ar-SA"/>
              </w:rPr>
              <w:t>.00</w:t>
            </w:r>
            <w:r>
              <w:rPr>
                <w:rFonts w:hint="default" w:ascii="Times New Roman" w:hAnsi="Times New Roman" w:eastAsia="宋体" w:cs="Times New Roman"/>
                <w:b w:val="0"/>
                <w:bCs/>
                <w:color w:val="auto"/>
                <w:kern w:val="0"/>
                <w:sz w:val="24"/>
                <w:szCs w:val="24"/>
                <w:lang w:val="en-US" w:eastAsia="zh-CN" w:bidi="ar-SA"/>
              </w:rPr>
              <w:t>万元，</w:t>
            </w:r>
            <w:r>
              <w:rPr>
                <w:rFonts w:hint="default" w:ascii="Times New Roman" w:hAnsi="Times New Roman" w:eastAsia="宋体" w:cs="Times New Roman"/>
                <w:b w:val="0"/>
                <w:bCs/>
                <w:color w:val="auto"/>
                <w:kern w:val="0"/>
                <w:sz w:val="24"/>
                <w:szCs w:val="24"/>
                <w:highlight w:val="none"/>
                <w:lang w:val="en-US" w:eastAsia="zh-CN" w:bidi="ar-SA"/>
              </w:rPr>
              <w:t>其中环保投资</w:t>
            </w:r>
            <w:r>
              <w:rPr>
                <w:rFonts w:hint="eastAsia" w:ascii="Times New Roman" w:hAnsi="Times New Roman" w:cs="Times New Roman"/>
                <w:b w:val="0"/>
                <w:bCs/>
                <w:color w:val="auto"/>
                <w:kern w:val="0"/>
                <w:sz w:val="24"/>
                <w:szCs w:val="24"/>
                <w:highlight w:val="none"/>
                <w:lang w:val="en-US" w:eastAsia="zh-CN" w:bidi="ar-SA"/>
              </w:rPr>
              <w:t>81.70</w:t>
            </w:r>
            <w:r>
              <w:rPr>
                <w:rFonts w:hint="default" w:ascii="Times New Roman" w:hAnsi="Times New Roman" w:eastAsia="宋体" w:cs="Times New Roman"/>
                <w:b w:val="0"/>
                <w:bCs/>
                <w:color w:val="auto"/>
                <w:kern w:val="0"/>
                <w:sz w:val="24"/>
                <w:szCs w:val="24"/>
                <w:highlight w:val="none"/>
                <w:lang w:val="en-US" w:eastAsia="zh-CN" w:bidi="ar-SA"/>
              </w:rPr>
              <w:t>万元，占总投资比例为</w:t>
            </w:r>
            <w:r>
              <w:rPr>
                <w:rFonts w:hint="eastAsia" w:ascii="Times New Roman" w:hAnsi="Times New Roman" w:cs="Times New Roman"/>
                <w:b w:val="0"/>
                <w:bCs/>
                <w:color w:val="auto"/>
                <w:kern w:val="0"/>
                <w:sz w:val="24"/>
                <w:szCs w:val="24"/>
                <w:highlight w:val="none"/>
                <w:lang w:val="en-US" w:eastAsia="zh-CN" w:bidi="ar-SA"/>
              </w:rPr>
              <w:t>18.2</w:t>
            </w:r>
            <w:r>
              <w:rPr>
                <w:rFonts w:hint="default" w:ascii="Times New Roman" w:hAnsi="Times New Roman" w:eastAsia="宋体" w:cs="Times New Roman"/>
                <w:b w:val="0"/>
                <w:bCs/>
                <w:color w:val="auto"/>
                <w:kern w:val="0"/>
                <w:sz w:val="24"/>
                <w:szCs w:val="24"/>
                <w:highlight w:val="none"/>
                <w:lang w:val="en-US" w:eastAsia="zh-CN" w:bidi="ar-SA"/>
              </w:rPr>
              <w:t>%，</w:t>
            </w:r>
            <w:r>
              <w:rPr>
                <w:rFonts w:hint="default" w:ascii="Times New Roman" w:hAnsi="Times New Roman" w:eastAsia="宋体" w:cs="Times New Roman"/>
                <w:b w:val="0"/>
                <w:bCs/>
                <w:color w:val="auto"/>
                <w:kern w:val="0"/>
                <w:sz w:val="24"/>
                <w:szCs w:val="24"/>
                <w:lang w:val="en-US" w:eastAsia="zh-CN" w:bidi="ar-SA"/>
              </w:rPr>
              <w:t>环保投资明细见表4-1</w:t>
            </w:r>
            <w:r>
              <w:rPr>
                <w:rFonts w:hint="eastAsia" w:ascii="Times New Roman" w:hAnsi="Times New Roman" w:cs="Times New Roman"/>
                <w:b w:val="0"/>
                <w:bCs/>
                <w:color w:val="auto"/>
                <w:kern w:val="0"/>
                <w:sz w:val="24"/>
                <w:szCs w:val="24"/>
                <w:lang w:val="en-US" w:eastAsia="zh-CN" w:bidi="ar-SA"/>
              </w:rPr>
              <w:t>8</w:t>
            </w:r>
            <w:r>
              <w:rPr>
                <w:rFonts w:hint="default" w:ascii="Times New Roman" w:hAnsi="Times New Roman" w:eastAsia="宋体" w:cs="Times New Roman"/>
                <w:b w:val="0"/>
                <w:bCs/>
                <w:color w:val="auto"/>
                <w:kern w:val="0"/>
                <w:sz w:val="24"/>
                <w:szCs w:val="24"/>
                <w:lang w:val="en-US" w:eastAsia="zh-CN" w:bidi="ar-SA"/>
              </w:rPr>
              <w:t>。</w:t>
            </w:r>
          </w:p>
          <w:p w14:paraId="469016E2">
            <w:pPr>
              <w:pStyle w:val="5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w:t>
            </w:r>
            <w:r>
              <w:rPr>
                <w:rFonts w:hint="eastAsia" w:ascii="Times New Roman" w:hAnsi="Times New Roman" w:eastAsia="宋体" w:cs="Times New Roman"/>
                <w:color w:val="auto"/>
              </w:rPr>
              <w:t>4-1</w:t>
            </w:r>
            <w:r>
              <w:rPr>
                <w:rFonts w:hint="eastAsia" w:cs="Times New Roman"/>
                <w:color w:val="auto"/>
                <w:lang w:val="en-US" w:eastAsia="zh-CN"/>
              </w:rPr>
              <w:t>8</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环保措施及投资估算表</w:t>
            </w:r>
            <w:r>
              <w:rPr>
                <w:rFonts w:hint="eastAsia" w:ascii="Times New Roman" w:hAnsi="Times New Roman" w:eastAsia="宋体" w:cs="Times New Roman"/>
                <w:color w:val="auto"/>
              </w:rPr>
              <w:t xml:space="preserve">  单位：万元</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49"/>
              <w:gridCol w:w="1370"/>
              <w:gridCol w:w="2343"/>
              <w:gridCol w:w="2764"/>
              <w:gridCol w:w="1290"/>
            </w:tblGrid>
            <w:tr w14:paraId="7A71DBF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tcBorders>
                    <w:bottom w:val="single" w:color="auto" w:sz="12" w:space="0"/>
                  </w:tcBorders>
                  <w:vAlign w:val="center"/>
                </w:tcPr>
                <w:p w14:paraId="0A9EBAF5">
                  <w:pPr>
                    <w:jc w:val="center"/>
                    <w:rPr>
                      <w:b/>
                      <w:bCs/>
                      <w:color w:val="auto"/>
                      <w:sz w:val="21"/>
                      <w:szCs w:val="21"/>
                    </w:rPr>
                  </w:pPr>
                  <w:r>
                    <w:rPr>
                      <w:rFonts w:hint="eastAsia"/>
                      <w:b/>
                      <w:bCs/>
                      <w:color w:val="auto"/>
                      <w:sz w:val="21"/>
                      <w:szCs w:val="21"/>
                    </w:rPr>
                    <w:t>序号</w:t>
                  </w:r>
                </w:p>
              </w:tc>
              <w:tc>
                <w:tcPr>
                  <w:tcW w:w="804" w:type="pct"/>
                  <w:tcBorders>
                    <w:bottom w:val="single" w:color="auto" w:sz="12" w:space="0"/>
                  </w:tcBorders>
                  <w:vAlign w:val="center"/>
                </w:tcPr>
                <w:p w14:paraId="0633ADB2">
                  <w:pPr>
                    <w:jc w:val="center"/>
                    <w:rPr>
                      <w:b/>
                      <w:bCs/>
                      <w:color w:val="auto"/>
                      <w:sz w:val="21"/>
                      <w:szCs w:val="21"/>
                    </w:rPr>
                  </w:pPr>
                  <w:r>
                    <w:rPr>
                      <w:rFonts w:hint="eastAsia"/>
                      <w:b/>
                      <w:bCs/>
                      <w:color w:val="auto"/>
                      <w:sz w:val="21"/>
                      <w:szCs w:val="21"/>
                    </w:rPr>
                    <w:t>类别</w:t>
                  </w:r>
                </w:p>
              </w:tc>
              <w:tc>
                <w:tcPr>
                  <w:tcW w:w="1375" w:type="pct"/>
                  <w:tcBorders>
                    <w:bottom w:val="single" w:color="auto" w:sz="12" w:space="0"/>
                  </w:tcBorders>
                  <w:vAlign w:val="center"/>
                </w:tcPr>
                <w:p w14:paraId="1AE975A4">
                  <w:pPr>
                    <w:jc w:val="center"/>
                    <w:rPr>
                      <w:b/>
                      <w:bCs/>
                      <w:color w:val="auto"/>
                      <w:sz w:val="21"/>
                      <w:szCs w:val="21"/>
                    </w:rPr>
                  </w:pPr>
                  <w:r>
                    <w:rPr>
                      <w:rFonts w:hint="eastAsia"/>
                      <w:b/>
                      <w:bCs/>
                      <w:color w:val="auto"/>
                      <w:sz w:val="21"/>
                      <w:szCs w:val="21"/>
                    </w:rPr>
                    <w:t>防治对象</w:t>
                  </w:r>
                </w:p>
              </w:tc>
              <w:tc>
                <w:tcPr>
                  <w:tcW w:w="1621" w:type="pct"/>
                  <w:tcBorders>
                    <w:bottom w:val="single" w:color="auto" w:sz="12" w:space="0"/>
                  </w:tcBorders>
                  <w:vAlign w:val="center"/>
                </w:tcPr>
                <w:p w14:paraId="45DC83F6">
                  <w:pPr>
                    <w:jc w:val="center"/>
                    <w:rPr>
                      <w:b/>
                      <w:bCs/>
                      <w:color w:val="auto"/>
                      <w:sz w:val="21"/>
                      <w:szCs w:val="21"/>
                    </w:rPr>
                  </w:pPr>
                  <w:r>
                    <w:rPr>
                      <w:rFonts w:hint="eastAsia"/>
                      <w:b/>
                      <w:bCs/>
                      <w:color w:val="auto"/>
                      <w:sz w:val="21"/>
                      <w:szCs w:val="21"/>
                    </w:rPr>
                    <w:t>环保措施</w:t>
                  </w:r>
                </w:p>
              </w:tc>
              <w:tc>
                <w:tcPr>
                  <w:tcW w:w="757" w:type="pct"/>
                  <w:tcBorders>
                    <w:bottom w:val="single" w:color="auto" w:sz="12" w:space="0"/>
                  </w:tcBorders>
                  <w:vAlign w:val="center"/>
                </w:tcPr>
                <w:p w14:paraId="45CAADE9">
                  <w:pPr>
                    <w:jc w:val="center"/>
                    <w:rPr>
                      <w:b/>
                      <w:bCs/>
                      <w:color w:val="auto"/>
                      <w:sz w:val="21"/>
                      <w:szCs w:val="21"/>
                    </w:rPr>
                  </w:pPr>
                  <w:r>
                    <w:rPr>
                      <w:rFonts w:hint="eastAsia"/>
                      <w:b/>
                      <w:bCs/>
                      <w:color w:val="auto"/>
                      <w:sz w:val="21"/>
                      <w:szCs w:val="21"/>
                    </w:rPr>
                    <w:t>环保投资</w:t>
                  </w:r>
                </w:p>
              </w:tc>
            </w:tr>
            <w:tr w14:paraId="05B7DC5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vMerge w:val="restart"/>
                  <w:tcBorders>
                    <w:top w:val="single" w:color="auto" w:sz="12" w:space="0"/>
                    <w:tl2br w:val="nil"/>
                    <w:tr2bl w:val="nil"/>
                  </w:tcBorders>
                  <w:vAlign w:val="center"/>
                </w:tcPr>
                <w:p w14:paraId="46836A5F">
                  <w:pPr>
                    <w:jc w:val="center"/>
                    <w:rPr>
                      <w:color w:val="auto"/>
                      <w:sz w:val="21"/>
                      <w:szCs w:val="21"/>
                    </w:rPr>
                  </w:pPr>
                  <w:r>
                    <w:rPr>
                      <w:rFonts w:hint="eastAsia"/>
                      <w:color w:val="auto"/>
                      <w:sz w:val="21"/>
                      <w:szCs w:val="21"/>
                    </w:rPr>
                    <w:t>1</w:t>
                  </w:r>
                </w:p>
              </w:tc>
              <w:tc>
                <w:tcPr>
                  <w:tcW w:w="804" w:type="pct"/>
                  <w:vMerge w:val="restart"/>
                  <w:tcBorders>
                    <w:top w:val="single" w:color="auto" w:sz="12" w:space="0"/>
                    <w:tl2br w:val="nil"/>
                    <w:tr2bl w:val="nil"/>
                  </w:tcBorders>
                  <w:vAlign w:val="center"/>
                </w:tcPr>
                <w:p w14:paraId="08556E34">
                  <w:pPr>
                    <w:jc w:val="center"/>
                    <w:rPr>
                      <w:color w:val="auto"/>
                      <w:sz w:val="21"/>
                      <w:szCs w:val="21"/>
                    </w:rPr>
                  </w:pPr>
                  <w:r>
                    <w:rPr>
                      <w:rFonts w:hint="eastAsia"/>
                      <w:color w:val="auto"/>
                      <w:sz w:val="21"/>
                      <w:szCs w:val="21"/>
                    </w:rPr>
                    <w:t>废气</w:t>
                  </w:r>
                </w:p>
              </w:tc>
              <w:tc>
                <w:tcPr>
                  <w:tcW w:w="1375" w:type="pct"/>
                  <w:tcBorders>
                    <w:top w:val="single" w:color="auto" w:sz="12" w:space="0"/>
                    <w:tl2br w:val="nil"/>
                    <w:tr2bl w:val="nil"/>
                  </w:tcBorders>
                  <w:vAlign w:val="center"/>
                </w:tcPr>
                <w:p w14:paraId="68EC50B9">
                  <w:pPr>
                    <w:jc w:val="center"/>
                    <w:rPr>
                      <w:color w:val="auto"/>
                      <w:sz w:val="21"/>
                      <w:szCs w:val="21"/>
                    </w:rPr>
                  </w:pPr>
                  <w:r>
                    <w:rPr>
                      <w:rFonts w:hint="eastAsia"/>
                      <w:color w:val="auto"/>
                      <w:sz w:val="21"/>
                      <w:szCs w:val="21"/>
                    </w:rPr>
                    <w:t>搅拌粉尘</w:t>
                  </w:r>
                </w:p>
              </w:tc>
              <w:tc>
                <w:tcPr>
                  <w:tcW w:w="1621" w:type="pct"/>
                  <w:tcBorders>
                    <w:top w:val="single" w:color="auto" w:sz="12" w:space="0"/>
                    <w:tl2br w:val="nil"/>
                    <w:tr2bl w:val="nil"/>
                  </w:tcBorders>
                  <w:vAlign w:val="center"/>
                </w:tcPr>
                <w:p w14:paraId="750F272E">
                  <w:pPr>
                    <w:jc w:val="center"/>
                    <w:rPr>
                      <w:color w:val="auto"/>
                      <w:sz w:val="21"/>
                      <w:szCs w:val="21"/>
                    </w:rPr>
                  </w:pPr>
                  <w:r>
                    <w:rPr>
                      <w:rFonts w:hint="eastAsia"/>
                      <w:color w:val="auto"/>
                      <w:sz w:val="21"/>
                      <w:szCs w:val="21"/>
                    </w:rPr>
                    <w:t>搅拌楼密闭，</w:t>
                  </w:r>
                  <w:r>
                    <w:rPr>
                      <w:rFonts w:hint="eastAsia"/>
                      <w:color w:val="auto"/>
                      <w:sz w:val="21"/>
                      <w:szCs w:val="21"/>
                      <w:lang w:val="en-US" w:eastAsia="zh-CN"/>
                    </w:rPr>
                    <w:t>封闭式</w:t>
                  </w:r>
                  <w:r>
                    <w:rPr>
                      <w:rFonts w:hint="eastAsia"/>
                      <w:color w:val="auto"/>
                      <w:sz w:val="21"/>
                      <w:szCs w:val="21"/>
                    </w:rPr>
                    <w:t>搅拌机</w:t>
                  </w:r>
                </w:p>
              </w:tc>
              <w:tc>
                <w:tcPr>
                  <w:tcW w:w="757" w:type="pct"/>
                  <w:tcBorders>
                    <w:top w:val="single" w:color="auto" w:sz="12" w:space="0"/>
                    <w:tl2br w:val="nil"/>
                    <w:tr2bl w:val="nil"/>
                  </w:tcBorders>
                  <w:vAlign w:val="center"/>
                </w:tcPr>
                <w:p w14:paraId="0152A0FA">
                  <w:pPr>
                    <w:jc w:val="center"/>
                    <w:rPr>
                      <w:rFonts w:hint="default" w:eastAsia="宋体"/>
                      <w:color w:val="auto"/>
                      <w:sz w:val="21"/>
                      <w:szCs w:val="21"/>
                      <w:lang w:val="en-US" w:eastAsia="zh-CN"/>
                    </w:rPr>
                  </w:pPr>
                  <w:r>
                    <w:rPr>
                      <w:rFonts w:hint="eastAsia"/>
                      <w:color w:val="auto"/>
                      <w:sz w:val="21"/>
                      <w:szCs w:val="21"/>
                      <w:lang w:val="en-US" w:eastAsia="zh-CN"/>
                    </w:rPr>
                    <w:t>10</w:t>
                  </w:r>
                </w:p>
              </w:tc>
            </w:tr>
            <w:tr w14:paraId="5974976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vMerge w:val="continue"/>
                  <w:tcBorders>
                    <w:tl2br w:val="nil"/>
                    <w:tr2bl w:val="nil"/>
                  </w:tcBorders>
                  <w:vAlign w:val="center"/>
                </w:tcPr>
                <w:p w14:paraId="7D782767">
                  <w:pPr>
                    <w:jc w:val="center"/>
                    <w:rPr>
                      <w:color w:val="auto"/>
                      <w:sz w:val="21"/>
                      <w:szCs w:val="21"/>
                    </w:rPr>
                  </w:pPr>
                </w:p>
              </w:tc>
              <w:tc>
                <w:tcPr>
                  <w:tcW w:w="804" w:type="pct"/>
                  <w:vMerge w:val="continue"/>
                  <w:tcBorders>
                    <w:tl2br w:val="nil"/>
                    <w:tr2bl w:val="nil"/>
                  </w:tcBorders>
                  <w:vAlign w:val="center"/>
                </w:tcPr>
                <w:p w14:paraId="1E5C06DF">
                  <w:pPr>
                    <w:jc w:val="center"/>
                    <w:rPr>
                      <w:color w:val="auto"/>
                      <w:sz w:val="21"/>
                      <w:szCs w:val="21"/>
                    </w:rPr>
                  </w:pPr>
                </w:p>
              </w:tc>
              <w:tc>
                <w:tcPr>
                  <w:tcW w:w="1375" w:type="pct"/>
                  <w:tcBorders>
                    <w:tl2br w:val="nil"/>
                    <w:tr2bl w:val="nil"/>
                  </w:tcBorders>
                  <w:vAlign w:val="center"/>
                </w:tcPr>
                <w:p w14:paraId="2CA9E029">
                  <w:pPr>
                    <w:jc w:val="center"/>
                    <w:rPr>
                      <w:color w:val="auto"/>
                      <w:sz w:val="21"/>
                      <w:szCs w:val="21"/>
                    </w:rPr>
                  </w:pPr>
                  <w:r>
                    <w:rPr>
                      <w:rFonts w:hint="eastAsia"/>
                      <w:color w:val="auto"/>
                      <w:sz w:val="21"/>
                      <w:szCs w:val="21"/>
                    </w:rPr>
                    <w:t>筒仓粉尘</w:t>
                  </w:r>
                </w:p>
              </w:tc>
              <w:tc>
                <w:tcPr>
                  <w:tcW w:w="1621" w:type="pct"/>
                  <w:tcBorders>
                    <w:tl2br w:val="nil"/>
                    <w:tr2bl w:val="nil"/>
                  </w:tcBorders>
                  <w:vAlign w:val="center"/>
                </w:tcPr>
                <w:p w14:paraId="041641D8">
                  <w:pPr>
                    <w:jc w:val="center"/>
                    <w:rPr>
                      <w:color w:val="auto"/>
                      <w:sz w:val="21"/>
                      <w:szCs w:val="21"/>
                    </w:rPr>
                  </w:pPr>
                  <w:r>
                    <w:rPr>
                      <w:rFonts w:hint="eastAsia"/>
                      <w:color w:val="auto"/>
                      <w:sz w:val="21"/>
                      <w:szCs w:val="21"/>
                    </w:rPr>
                    <w:t>筒仓配套脉冲布袋除尘器</w:t>
                  </w:r>
                </w:p>
              </w:tc>
              <w:tc>
                <w:tcPr>
                  <w:tcW w:w="757" w:type="pct"/>
                  <w:tcBorders>
                    <w:tl2br w:val="nil"/>
                    <w:tr2bl w:val="nil"/>
                  </w:tcBorders>
                  <w:vAlign w:val="center"/>
                </w:tcPr>
                <w:p w14:paraId="063807C9">
                  <w:pPr>
                    <w:jc w:val="center"/>
                    <w:rPr>
                      <w:rFonts w:hint="default" w:eastAsia="宋体"/>
                      <w:color w:val="auto"/>
                      <w:sz w:val="21"/>
                      <w:szCs w:val="21"/>
                      <w:lang w:val="en-US" w:eastAsia="zh-CN"/>
                    </w:rPr>
                  </w:pPr>
                  <w:r>
                    <w:rPr>
                      <w:rFonts w:hint="eastAsia"/>
                      <w:color w:val="auto"/>
                      <w:sz w:val="21"/>
                      <w:szCs w:val="21"/>
                      <w:lang w:val="en-US" w:eastAsia="zh-CN"/>
                    </w:rPr>
                    <w:t>20</w:t>
                  </w:r>
                </w:p>
              </w:tc>
            </w:tr>
            <w:tr w14:paraId="7B6399C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vMerge w:val="continue"/>
                  <w:tcBorders>
                    <w:tl2br w:val="nil"/>
                    <w:tr2bl w:val="nil"/>
                  </w:tcBorders>
                  <w:vAlign w:val="center"/>
                </w:tcPr>
                <w:p w14:paraId="61C1ECD1">
                  <w:pPr>
                    <w:jc w:val="center"/>
                    <w:rPr>
                      <w:color w:val="auto"/>
                      <w:sz w:val="21"/>
                      <w:szCs w:val="21"/>
                    </w:rPr>
                  </w:pPr>
                </w:p>
              </w:tc>
              <w:tc>
                <w:tcPr>
                  <w:tcW w:w="804" w:type="pct"/>
                  <w:vMerge w:val="continue"/>
                  <w:tcBorders>
                    <w:tl2br w:val="nil"/>
                    <w:tr2bl w:val="nil"/>
                  </w:tcBorders>
                  <w:vAlign w:val="center"/>
                </w:tcPr>
                <w:p w14:paraId="67ADE355">
                  <w:pPr>
                    <w:jc w:val="center"/>
                    <w:rPr>
                      <w:color w:val="auto"/>
                      <w:sz w:val="21"/>
                      <w:szCs w:val="21"/>
                    </w:rPr>
                  </w:pPr>
                </w:p>
              </w:tc>
              <w:tc>
                <w:tcPr>
                  <w:tcW w:w="1375" w:type="pct"/>
                  <w:tcBorders>
                    <w:tl2br w:val="nil"/>
                    <w:tr2bl w:val="nil"/>
                  </w:tcBorders>
                  <w:vAlign w:val="center"/>
                </w:tcPr>
                <w:p w14:paraId="186706AB">
                  <w:pPr>
                    <w:jc w:val="center"/>
                    <w:rPr>
                      <w:color w:val="auto"/>
                      <w:sz w:val="21"/>
                      <w:szCs w:val="21"/>
                    </w:rPr>
                  </w:pPr>
                  <w:r>
                    <w:rPr>
                      <w:rFonts w:hint="eastAsia"/>
                      <w:color w:val="auto"/>
                      <w:sz w:val="21"/>
                      <w:szCs w:val="21"/>
                    </w:rPr>
                    <w:t>料场扬尘及装卸扬尘</w:t>
                  </w:r>
                </w:p>
              </w:tc>
              <w:tc>
                <w:tcPr>
                  <w:tcW w:w="1621" w:type="pct"/>
                  <w:tcBorders>
                    <w:tl2br w:val="nil"/>
                    <w:tr2bl w:val="nil"/>
                  </w:tcBorders>
                  <w:vAlign w:val="center"/>
                </w:tcPr>
                <w:p w14:paraId="4322CE3A">
                  <w:pPr>
                    <w:jc w:val="center"/>
                    <w:rPr>
                      <w:color w:val="auto"/>
                      <w:sz w:val="21"/>
                      <w:szCs w:val="21"/>
                    </w:rPr>
                  </w:pPr>
                  <w:r>
                    <w:rPr>
                      <w:rFonts w:hint="eastAsia"/>
                      <w:color w:val="auto"/>
                      <w:sz w:val="21"/>
                      <w:szCs w:val="21"/>
                      <w:lang w:val="en-US" w:eastAsia="zh-CN"/>
                    </w:rPr>
                    <w:t>半封闭式料场</w:t>
                  </w:r>
                  <w:r>
                    <w:rPr>
                      <w:rFonts w:hint="eastAsia"/>
                      <w:color w:val="auto"/>
                      <w:sz w:val="21"/>
                      <w:szCs w:val="21"/>
                    </w:rPr>
                    <w:t>，</w:t>
                  </w:r>
                  <w:r>
                    <w:rPr>
                      <w:rFonts w:hint="eastAsia"/>
                      <w:color w:val="auto"/>
                      <w:sz w:val="21"/>
                      <w:szCs w:val="21"/>
                      <w:lang w:val="en-US" w:eastAsia="zh-CN"/>
                    </w:rPr>
                    <w:t>篷布覆盖、</w:t>
                  </w:r>
                  <w:r>
                    <w:rPr>
                      <w:rFonts w:hint="eastAsia"/>
                      <w:color w:val="auto"/>
                      <w:sz w:val="21"/>
                      <w:szCs w:val="21"/>
                    </w:rPr>
                    <w:t>洒水降尘</w:t>
                  </w:r>
                </w:p>
              </w:tc>
              <w:tc>
                <w:tcPr>
                  <w:tcW w:w="757" w:type="pct"/>
                  <w:tcBorders>
                    <w:tl2br w:val="nil"/>
                    <w:tr2bl w:val="nil"/>
                  </w:tcBorders>
                  <w:vAlign w:val="center"/>
                </w:tcPr>
                <w:p w14:paraId="75A2737F">
                  <w:pPr>
                    <w:jc w:val="center"/>
                    <w:rPr>
                      <w:rFonts w:hint="eastAsia" w:eastAsia="宋体"/>
                      <w:color w:val="auto"/>
                      <w:sz w:val="21"/>
                      <w:szCs w:val="21"/>
                      <w:lang w:eastAsia="zh-CN"/>
                    </w:rPr>
                  </w:pPr>
                  <w:r>
                    <w:rPr>
                      <w:rFonts w:hint="eastAsia"/>
                      <w:color w:val="auto"/>
                      <w:sz w:val="21"/>
                      <w:szCs w:val="21"/>
                      <w:lang w:val="en-US" w:eastAsia="zh-CN"/>
                    </w:rPr>
                    <w:t>5</w:t>
                  </w:r>
                </w:p>
              </w:tc>
            </w:tr>
            <w:tr w14:paraId="6BBB612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vMerge w:val="continue"/>
                  <w:tcBorders>
                    <w:tl2br w:val="nil"/>
                    <w:tr2bl w:val="nil"/>
                  </w:tcBorders>
                  <w:vAlign w:val="center"/>
                </w:tcPr>
                <w:p w14:paraId="2E85C46D">
                  <w:pPr>
                    <w:jc w:val="center"/>
                    <w:rPr>
                      <w:color w:val="auto"/>
                      <w:sz w:val="21"/>
                      <w:szCs w:val="21"/>
                    </w:rPr>
                  </w:pPr>
                </w:p>
              </w:tc>
              <w:tc>
                <w:tcPr>
                  <w:tcW w:w="804" w:type="pct"/>
                  <w:vMerge w:val="continue"/>
                  <w:tcBorders>
                    <w:tl2br w:val="nil"/>
                    <w:tr2bl w:val="nil"/>
                  </w:tcBorders>
                  <w:vAlign w:val="center"/>
                </w:tcPr>
                <w:p w14:paraId="67DAAA38">
                  <w:pPr>
                    <w:jc w:val="center"/>
                    <w:rPr>
                      <w:color w:val="auto"/>
                      <w:sz w:val="21"/>
                      <w:szCs w:val="21"/>
                    </w:rPr>
                  </w:pPr>
                </w:p>
              </w:tc>
              <w:tc>
                <w:tcPr>
                  <w:tcW w:w="1375" w:type="pct"/>
                  <w:tcBorders>
                    <w:tl2br w:val="nil"/>
                    <w:tr2bl w:val="nil"/>
                  </w:tcBorders>
                  <w:vAlign w:val="center"/>
                </w:tcPr>
                <w:p w14:paraId="192E6C80">
                  <w:pPr>
                    <w:jc w:val="center"/>
                    <w:rPr>
                      <w:color w:val="auto"/>
                      <w:sz w:val="21"/>
                      <w:szCs w:val="21"/>
                    </w:rPr>
                  </w:pPr>
                  <w:r>
                    <w:rPr>
                      <w:rFonts w:hint="eastAsia"/>
                      <w:color w:val="auto"/>
                      <w:sz w:val="21"/>
                      <w:szCs w:val="21"/>
                    </w:rPr>
                    <w:t>运输扬尘</w:t>
                  </w:r>
                </w:p>
              </w:tc>
              <w:tc>
                <w:tcPr>
                  <w:tcW w:w="1621" w:type="pct"/>
                  <w:tcBorders>
                    <w:tl2br w:val="nil"/>
                    <w:tr2bl w:val="nil"/>
                  </w:tcBorders>
                  <w:vAlign w:val="center"/>
                </w:tcPr>
                <w:p w14:paraId="0D6C2797">
                  <w:pPr>
                    <w:jc w:val="center"/>
                    <w:rPr>
                      <w:color w:val="auto"/>
                      <w:sz w:val="21"/>
                      <w:szCs w:val="21"/>
                    </w:rPr>
                  </w:pPr>
                  <w:r>
                    <w:rPr>
                      <w:rFonts w:hint="eastAsia"/>
                      <w:color w:val="auto"/>
                      <w:sz w:val="21"/>
                      <w:szCs w:val="21"/>
                    </w:rPr>
                    <w:t>运输车辆</w:t>
                  </w:r>
                  <w:r>
                    <w:rPr>
                      <w:rFonts w:hint="eastAsia"/>
                      <w:color w:val="auto"/>
                      <w:sz w:val="21"/>
                      <w:szCs w:val="21"/>
                      <w:lang w:val="en-US" w:eastAsia="zh-CN"/>
                    </w:rPr>
                    <w:t>篷布</w:t>
                  </w:r>
                  <w:r>
                    <w:rPr>
                      <w:rFonts w:hint="eastAsia"/>
                      <w:color w:val="auto"/>
                      <w:sz w:val="21"/>
                      <w:szCs w:val="21"/>
                    </w:rPr>
                    <w:t>遮盖，粉料采用密闭罐车运输，车辆清洗，地面洒水降尘、及时清扫</w:t>
                  </w:r>
                </w:p>
              </w:tc>
              <w:tc>
                <w:tcPr>
                  <w:tcW w:w="757" w:type="pct"/>
                  <w:tcBorders>
                    <w:tl2br w:val="nil"/>
                    <w:tr2bl w:val="nil"/>
                  </w:tcBorders>
                  <w:vAlign w:val="center"/>
                </w:tcPr>
                <w:p w14:paraId="6A63FCCC">
                  <w:pPr>
                    <w:jc w:val="center"/>
                    <w:rPr>
                      <w:rFonts w:hint="eastAsia" w:eastAsia="宋体"/>
                      <w:color w:val="auto"/>
                      <w:sz w:val="21"/>
                      <w:szCs w:val="21"/>
                      <w:lang w:eastAsia="zh-CN"/>
                    </w:rPr>
                  </w:pPr>
                  <w:r>
                    <w:rPr>
                      <w:rFonts w:hint="eastAsia"/>
                      <w:color w:val="auto"/>
                      <w:sz w:val="21"/>
                      <w:szCs w:val="21"/>
                      <w:lang w:val="en-US" w:eastAsia="zh-CN"/>
                    </w:rPr>
                    <w:t>3</w:t>
                  </w:r>
                </w:p>
              </w:tc>
            </w:tr>
            <w:tr w14:paraId="097C3BE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vMerge w:val="continue"/>
                  <w:tcBorders>
                    <w:tl2br w:val="nil"/>
                    <w:tr2bl w:val="nil"/>
                  </w:tcBorders>
                  <w:vAlign w:val="center"/>
                </w:tcPr>
                <w:p w14:paraId="14815799">
                  <w:pPr>
                    <w:jc w:val="center"/>
                    <w:rPr>
                      <w:color w:val="auto"/>
                      <w:sz w:val="21"/>
                      <w:szCs w:val="21"/>
                    </w:rPr>
                  </w:pPr>
                </w:p>
              </w:tc>
              <w:tc>
                <w:tcPr>
                  <w:tcW w:w="804" w:type="pct"/>
                  <w:vMerge w:val="continue"/>
                  <w:tcBorders>
                    <w:tl2br w:val="nil"/>
                    <w:tr2bl w:val="nil"/>
                  </w:tcBorders>
                  <w:vAlign w:val="center"/>
                </w:tcPr>
                <w:p w14:paraId="69AC8C08">
                  <w:pPr>
                    <w:jc w:val="center"/>
                    <w:rPr>
                      <w:color w:val="auto"/>
                      <w:sz w:val="21"/>
                      <w:szCs w:val="21"/>
                    </w:rPr>
                  </w:pPr>
                </w:p>
              </w:tc>
              <w:tc>
                <w:tcPr>
                  <w:tcW w:w="1375" w:type="pct"/>
                  <w:tcBorders>
                    <w:tl2br w:val="nil"/>
                    <w:tr2bl w:val="nil"/>
                  </w:tcBorders>
                  <w:vAlign w:val="center"/>
                </w:tcPr>
                <w:p w14:paraId="34625A9B">
                  <w:pPr>
                    <w:jc w:val="center"/>
                    <w:rPr>
                      <w:color w:val="auto"/>
                      <w:sz w:val="21"/>
                      <w:szCs w:val="21"/>
                    </w:rPr>
                  </w:pPr>
                  <w:r>
                    <w:rPr>
                      <w:rFonts w:hint="eastAsia"/>
                      <w:color w:val="auto"/>
                      <w:sz w:val="21"/>
                      <w:szCs w:val="21"/>
                    </w:rPr>
                    <w:t>廊道运输</w:t>
                  </w:r>
                </w:p>
              </w:tc>
              <w:tc>
                <w:tcPr>
                  <w:tcW w:w="1621" w:type="pct"/>
                  <w:tcBorders>
                    <w:tl2br w:val="nil"/>
                    <w:tr2bl w:val="nil"/>
                  </w:tcBorders>
                  <w:vAlign w:val="center"/>
                </w:tcPr>
                <w:p w14:paraId="02AE0CC7">
                  <w:pPr>
                    <w:jc w:val="center"/>
                    <w:rPr>
                      <w:color w:val="auto"/>
                      <w:sz w:val="21"/>
                      <w:szCs w:val="21"/>
                    </w:rPr>
                  </w:pPr>
                  <w:r>
                    <w:rPr>
                      <w:rFonts w:hint="eastAsia"/>
                      <w:color w:val="auto"/>
                      <w:sz w:val="21"/>
                      <w:szCs w:val="21"/>
                    </w:rPr>
                    <w:t>廊道密闭</w:t>
                  </w:r>
                </w:p>
              </w:tc>
              <w:tc>
                <w:tcPr>
                  <w:tcW w:w="757" w:type="pct"/>
                  <w:tcBorders>
                    <w:tl2br w:val="nil"/>
                    <w:tr2bl w:val="nil"/>
                  </w:tcBorders>
                  <w:vAlign w:val="center"/>
                </w:tcPr>
                <w:p w14:paraId="04A1ED8B">
                  <w:pPr>
                    <w:jc w:val="center"/>
                    <w:rPr>
                      <w:rFonts w:hint="default" w:eastAsia="宋体"/>
                      <w:color w:val="auto"/>
                      <w:sz w:val="21"/>
                      <w:szCs w:val="21"/>
                      <w:lang w:val="en-US" w:eastAsia="zh-CN"/>
                    </w:rPr>
                  </w:pPr>
                  <w:r>
                    <w:rPr>
                      <w:rFonts w:hint="eastAsia"/>
                      <w:color w:val="auto"/>
                      <w:sz w:val="21"/>
                      <w:szCs w:val="21"/>
                      <w:lang w:val="en-US" w:eastAsia="zh-CN"/>
                    </w:rPr>
                    <w:t>2</w:t>
                  </w:r>
                </w:p>
              </w:tc>
            </w:tr>
            <w:tr w14:paraId="1CE29A0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vMerge w:val="continue"/>
                  <w:tcBorders>
                    <w:tl2br w:val="nil"/>
                    <w:tr2bl w:val="nil"/>
                  </w:tcBorders>
                  <w:vAlign w:val="center"/>
                </w:tcPr>
                <w:p w14:paraId="599D0F00">
                  <w:pPr>
                    <w:jc w:val="center"/>
                    <w:rPr>
                      <w:color w:val="auto"/>
                      <w:sz w:val="21"/>
                      <w:szCs w:val="21"/>
                    </w:rPr>
                  </w:pPr>
                </w:p>
              </w:tc>
              <w:tc>
                <w:tcPr>
                  <w:tcW w:w="804" w:type="pct"/>
                  <w:vMerge w:val="continue"/>
                  <w:tcBorders>
                    <w:tl2br w:val="nil"/>
                    <w:tr2bl w:val="nil"/>
                  </w:tcBorders>
                  <w:vAlign w:val="center"/>
                </w:tcPr>
                <w:p w14:paraId="78DDBEB5">
                  <w:pPr>
                    <w:jc w:val="center"/>
                    <w:rPr>
                      <w:color w:val="auto"/>
                      <w:sz w:val="21"/>
                      <w:szCs w:val="21"/>
                    </w:rPr>
                  </w:pPr>
                </w:p>
              </w:tc>
              <w:tc>
                <w:tcPr>
                  <w:tcW w:w="1375" w:type="pct"/>
                  <w:tcBorders>
                    <w:tl2br w:val="nil"/>
                    <w:tr2bl w:val="nil"/>
                  </w:tcBorders>
                  <w:vAlign w:val="center"/>
                </w:tcPr>
                <w:p w14:paraId="3C8901F2">
                  <w:pPr>
                    <w:jc w:val="center"/>
                    <w:rPr>
                      <w:color w:val="auto"/>
                      <w:sz w:val="21"/>
                      <w:szCs w:val="21"/>
                    </w:rPr>
                  </w:pPr>
                  <w:r>
                    <w:rPr>
                      <w:rFonts w:hint="eastAsia"/>
                      <w:color w:val="auto"/>
                      <w:sz w:val="21"/>
                      <w:szCs w:val="21"/>
                    </w:rPr>
                    <w:t>食堂油烟</w:t>
                  </w:r>
                </w:p>
              </w:tc>
              <w:tc>
                <w:tcPr>
                  <w:tcW w:w="1621" w:type="pct"/>
                  <w:tcBorders>
                    <w:tl2br w:val="nil"/>
                    <w:tr2bl w:val="nil"/>
                  </w:tcBorders>
                  <w:vAlign w:val="center"/>
                </w:tcPr>
                <w:p w14:paraId="4B240725">
                  <w:pPr>
                    <w:jc w:val="center"/>
                    <w:rPr>
                      <w:color w:val="auto"/>
                      <w:sz w:val="21"/>
                      <w:szCs w:val="21"/>
                    </w:rPr>
                  </w:pPr>
                  <w:r>
                    <w:rPr>
                      <w:rFonts w:hint="eastAsia"/>
                      <w:color w:val="auto"/>
                      <w:sz w:val="21"/>
                      <w:szCs w:val="21"/>
                    </w:rPr>
                    <w:t>油烟净化器+专用烟道</w:t>
                  </w:r>
                </w:p>
              </w:tc>
              <w:tc>
                <w:tcPr>
                  <w:tcW w:w="757" w:type="pct"/>
                  <w:tcBorders>
                    <w:tl2br w:val="nil"/>
                    <w:tr2bl w:val="nil"/>
                  </w:tcBorders>
                  <w:vAlign w:val="center"/>
                </w:tcPr>
                <w:p w14:paraId="4C681E0F">
                  <w:pPr>
                    <w:jc w:val="center"/>
                    <w:rPr>
                      <w:rFonts w:hint="eastAsia" w:eastAsia="宋体"/>
                      <w:color w:val="auto"/>
                      <w:sz w:val="21"/>
                      <w:szCs w:val="21"/>
                      <w:lang w:eastAsia="zh-CN"/>
                    </w:rPr>
                  </w:pPr>
                  <w:r>
                    <w:rPr>
                      <w:rFonts w:hint="eastAsia"/>
                      <w:color w:val="auto"/>
                      <w:sz w:val="21"/>
                      <w:szCs w:val="21"/>
                      <w:lang w:val="en-US" w:eastAsia="zh-CN"/>
                    </w:rPr>
                    <w:t>1</w:t>
                  </w:r>
                </w:p>
              </w:tc>
            </w:tr>
            <w:tr w14:paraId="6EE8534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vMerge w:val="restart"/>
                  <w:tcBorders>
                    <w:tl2br w:val="nil"/>
                    <w:tr2bl w:val="nil"/>
                  </w:tcBorders>
                  <w:vAlign w:val="center"/>
                </w:tcPr>
                <w:p w14:paraId="54789F91">
                  <w:pPr>
                    <w:jc w:val="center"/>
                    <w:rPr>
                      <w:color w:val="auto"/>
                      <w:sz w:val="21"/>
                      <w:szCs w:val="21"/>
                    </w:rPr>
                  </w:pPr>
                  <w:r>
                    <w:rPr>
                      <w:rFonts w:hint="eastAsia"/>
                      <w:color w:val="auto"/>
                      <w:sz w:val="21"/>
                      <w:szCs w:val="21"/>
                    </w:rPr>
                    <w:t>2</w:t>
                  </w:r>
                </w:p>
              </w:tc>
              <w:tc>
                <w:tcPr>
                  <w:tcW w:w="804" w:type="pct"/>
                  <w:vMerge w:val="restart"/>
                  <w:tcBorders>
                    <w:tl2br w:val="nil"/>
                    <w:tr2bl w:val="nil"/>
                  </w:tcBorders>
                  <w:vAlign w:val="center"/>
                </w:tcPr>
                <w:p w14:paraId="3FC3641B">
                  <w:pPr>
                    <w:jc w:val="center"/>
                    <w:rPr>
                      <w:color w:val="auto"/>
                      <w:sz w:val="21"/>
                      <w:szCs w:val="21"/>
                    </w:rPr>
                  </w:pPr>
                  <w:r>
                    <w:rPr>
                      <w:rFonts w:hint="eastAsia"/>
                      <w:color w:val="auto"/>
                      <w:sz w:val="21"/>
                      <w:szCs w:val="21"/>
                    </w:rPr>
                    <w:t>废水</w:t>
                  </w:r>
                </w:p>
              </w:tc>
              <w:tc>
                <w:tcPr>
                  <w:tcW w:w="1375" w:type="pct"/>
                  <w:tcBorders>
                    <w:tl2br w:val="nil"/>
                    <w:tr2bl w:val="nil"/>
                  </w:tcBorders>
                  <w:vAlign w:val="center"/>
                </w:tcPr>
                <w:p w14:paraId="2F2811E3">
                  <w:pPr>
                    <w:jc w:val="center"/>
                    <w:rPr>
                      <w:color w:val="auto"/>
                      <w:sz w:val="21"/>
                      <w:szCs w:val="21"/>
                    </w:rPr>
                  </w:pPr>
                  <w:r>
                    <w:rPr>
                      <w:rFonts w:hint="eastAsia"/>
                      <w:color w:val="auto"/>
                      <w:sz w:val="21"/>
                      <w:szCs w:val="21"/>
                    </w:rPr>
                    <w:t>生产废水</w:t>
                  </w:r>
                </w:p>
              </w:tc>
              <w:tc>
                <w:tcPr>
                  <w:tcW w:w="1621" w:type="pct"/>
                  <w:tcBorders>
                    <w:tl2br w:val="nil"/>
                    <w:tr2bl w:val="nil"/>
                  </w:tcBorders>
                  <w:vAlign w:val="center"/>
                </w:tcPr>
                <w:p w14:paraId="404D27FB">
                  <w:pPr>
                    <w:jc w:val="center"/>
                    <w:rPr>
                      <w:rFonts w:hint="default" w:eastAsia="宋体"/>
                      <w:color w:val="auto"/>
                      <w:sz w:val="21"/>
                      <w:szCs w:val="21"/>
                      <w:lang w:val="en-US" w:eastAsia="zh-CN"/>
                    </w:rPr>
                  </w:pPr>
                  <w:r>
                    <w:rPr>
                      <w:rFonts w:hint="eastAsia"/>
                      <w:color w:val="auto"/>
                      <w:sz w:val="21"/>
                      <w:szCs w:val="21"/>
                      <w:lang w:val="en-US" w:eastAsia="zh-CN"/>
                    </w:rPr>
                    <w:t>三级沉淀池</w:t>
                  </w:r>
                </w:p>
              </w:tc>
              <w:tc>
                <w:tcPr>
                  <w:tcW w:w="757" w:type="pct"/>
                  <w:tcBorders>
                    <w:tl2br w:val="nil"/>
                    <w:tr2bl w:val="nil"/>
                  </w:tcBorders>
                  <w:vAlign w:val="center"/>
                </w:tcPr>
                <w:p w14:paraId="7DF91A44">
                  <w:pPr>
                    <w:jc w:val="center"/>
                    <w:rPr>
                      <w:color w:val="auto"/>
                      <w:sz w:val="21"/>
                      <w:szCs w:val="21"/>
                    </w:rPr>
                  </w:pPr>
                  <w:r>
                    <w:rPr>
                      <w:rFonts w:hint="eastAsia"/>
                      <w:color w:val="auto"/>
                      <w:sz w:val="21"/>
                      <w:szCs w:val="21"/>
                    </w:rPr>
                    <w:t>5</w:t>
                  </w:r>
                </w:p>
              </w:tc>
            </w:tr>
            <w:tr w14:paraId="5674117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vMerge w:val="continue"/>
                  <w:tcBorders>
                    <w:tl2br w:val="nil"/>
                    <w:tr2bl w:val="nil"/>
                  </w:tcBorders>
                  <w:vAlign w:val="center"/>
                </w:tcPr>
                <w:p w14:paraId="664BDE11">
                  <w:pPr>
                    <w:jc w:val="center"/>
                    <w:rPr>
                      <w:color w:val="auto"/>
                      <w:sz w:val="21"/>
                      <w:szCs w:val="21"/>
                    </w:rPr>
                  </w:pPr>
                </w:p>
              </w:tc>
              <w:tc>
                <w:tcPr>
                  <w:tcW w:w="804" w:type="pct"/>
                  <w:vMerge w:val="continue"/>
                  <w:tcBorders>
                    <w:tl2br w:val="nil"/>
                    <w:tr2bl w:val="nil"/>
                  </w:tcBorders>
                  <w:vAlign w:val="center"/>
                </w:tcPr>
                <w:p w14:paraId="64C4DED5">
                  <w:pPr>
                    <w:jc w:val="center"/>
                    <w:rPr>
                      <w:color w:val="auto"/>
                      <w:sz w:val="21"/>
                      <w:szCs w:val="21"/>
                    </w:rPr>
                  </w:pPr>
                </w:p>
              </w:tc>
              <w:tc>
                <w:tcPr>
                  <w:tcW w:w="1375" w:type="pct"/>
                  <w:tcBorders>
                    <w:tl2br w:val="nil"/>
                    <w:tr2bl w:val="nil"/>
                  </w:tcBorders>
                  <w:vAlign w:val="center"/>
                </w:tcPr>
                <w:p w14:paraId="286E636D">
                  <w:pPr>
                    <w:jc w:val="center"/>
                    <w:rPr>
                      <w:color w:val="auto"/>
                      <w:sz w:val="21"/>
                      <w:szCs w:val="21"/>
                    </w:rPr>
                  </w:pPr>
                  <w:r>
                    <w:rPr>
                      <w:rFonts w:hint="eastAsia"/>
                      <w:color w:val="auto"/>
                      <w:sz w:val="21"/>
                      <w:szCs w:val="21"/>
                    </w:rPr>
                    <w:t>生活污水</w:t>
                  </w:r>
                </w:p>
              </w:tc>
              <w:tc>
                <w:tcPr>
                  <w:tcW w:w="1621" w:type="pct"/>
                  <w:tcBorders>
                    <w:tl2br w:val="nil"/>
                    <w:tr2bl w:val="nil"/>
                  </w:tcBorders>
                  <w:vAlign w:val="center"/>
                </w:tcPr>
                <w:p w14:paraId="629EDAA3">
                  <w:pPr>
                    <w:jc w:val="center"/>
                    <w:rPr>
                      <w:color w:val="auto"/>
                      <w:sz w:val="21"/>
                      <w:szCs w:val="21"/>
                    </w:rPr>
                  </w:pPr>
                  <w:r>
                    <w:rPr>
                      <w:rFonts w:hint="eastAsia"/>
                      <w:color w:val="auto"/>
                      <w:sz w:val="21"/>
                      <w:szCs w:val="21"/>
                    </w:rPr>
                    <w:t>地埋式一体化污水处理系统</w:t>
                  </w:r>
                </w:p>
              </w:tc>
              <w:tc>
                <w:tcPr>
                  <w:tcW w:w="757" w:type="pct"/>
                  <w:tcBorders>
                    <w:tl2br w:val="nil"/>
                    <w:tr2bl w:val="nil"/>
                  </w:tcBorders>
                  <w:vAlign w:val="center"/>
                </w:tcPr>
                <w:p w14:paraId="5C9536ED">
                  <w:pPr>
                    <w:jc w:val="center"/>
                    <w:rPr>
                      <w:rFonts w:hint="default" w:eastAsia="宋体"/>
                      <w:color w:val="auto"/>
                      <w:sz w:val="21"/>
                      <w:szCs w:val="21"/>
                      <w:lang w:val="en-US" w:eastAsia="zh-CN"/>
                    </w:rPr>
                  </w:pPr>
                  <w:r>
                    <w:rPr>
                      <w:rFonts w:hint="eastAsia"/>
                      <w:color w:val="auto"/>
                      <w:sz w:val="21"/>
                      <w:szCs w:val="21"/>
                      <w:lang w:val="en-US" w:eastAsia="zh-CN"/>
                    </w:rPr>
                    <w:t>10</w:t>
                  </w:r>
                </w:p>
              </w:tc>
            </w:tr>
            <w:tr w14:paraId="1231E64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tcBorders>
                    <w:tl2br w:val="nil"/>
                    <w:tr2bl w:val="nil"/>
                  </w:tcBorders>
                  <w:vAlign w:val="center"/>
                </w:tcPr>
                <w:p w14:paraId="7B4DFC55">
                  <w:pPr>
                    <w:jc w:val="center"/>
                    <w:rPr>
                      <w:color w:val="auto"/>
                      <w:sz w:val="21"/>
                      <w:szCs w:val="21"/>
                    </w:rPr>
                  </w:pPr>
                  <w:r>
                    <w:rPr>
                      <w:rFonts w:hint="eastAsia"/>
                      <w:color w:val="auto"/>
                      <w:sz w:val="21"/>
                      <w:szCs w:val="21"/>
                    </w:rPr>
                    <w:t>3</w:t>
                  </w:r>
                </w:p>
              </w:tc>
              <w:tc>
                <w:tcPr>
                  <w:tcW w:w="804" w:type="pct"/>
                  <w:tcBorders>
                    <w:tl2br w:val="nil"/>
                    <w:tr2bl w:val="nil"/>
                  </w:tcBorders>
                  <w:vAlign w:val="center"/>
                </w:tcPr>
                <w:p w14:paraId="78818109">
                  <w:pPr>
                    <w:jc w:val="center"/>
                    <w:rPr>
                      <w:color w:val="auto"/>
                      <w:sz w:val="21"/>
                      <w:szCs w:val="21"/>
                    </w:rPr>
                  </w:pPr>
                  <w:r>
                    <w:rPr>
                      <w:rFonts w:hint="eastAsia"/>
                      <w:color w:val="auto"/>
                      <w:sz w:val="21"/>
                      <w:szCs w:val="21"/>
                    </w:rPr>
                    <w:t>噪声</w:t>
                  </w:r>
                </w:p>
              </w:tc>
              <w:tc>
                <w:tcPr>
                  <w:tcW w:w="1375" w:type="pct"/>
                  <w:tcBorders>
                    <w:tl2br w:val="nil"/>
                    <w:tr2bl w:val="nil"/>
                  </w:tcBorders>
                  <w:vAlign w:val="center"/>
                </w:tcPr>
                <w:p w14:paraId="61C4301D">
                  <w:pPr>
                    <w:jc w:val="center"/>
                    <w:rPr>
                      <w:color w:val="auto"/>
                      <w:sz w:val="21"/>
                      <w:szCs w:val="21"/>
                    </w:rPr>
                  </w:pPr>
                  <w:r>
                    <w:rPr>
                      <w:snapToGrid w:val="0"/>
                      <w:color w:val="auto"/>
                      <w:kern w:val="0"/>
                      <w:sz w:val="21"/>
                      <w:szCs w:val="21"/>
                    </w:rPr>
                    <w:t>生产设备</w:t>
                  </w:r>
                </w:p>
              </w:tc>
              <w:tc>
                <w:tcPr>
                  <w:tcW w:w="1621" w:type="pct"/>
                  <w:tcBorders>
                    <w:tl2br w:val="nil"/>
                    <w:tr2bl w:val="nil"/>
                  </w:tcBorders>
                  <w:vAlign w:val="center"/>
                </w:tcPr>
                <w:p w14:paraId="444366A0">
                  <w:pPr>
                    <w:jc w:val="center"/>
                    <w:rPr>
                      <w:color w:val="auto"/>
                      <w:sz w:val="21"/>
                      <w:szCs w:val="21"/>
                    </w:rPr>
                  </w:pPr>
                  <w:r>
                    <w:rPr>
                      <w:bCs/>
                      <w:color w:val="auto"/>
                      <w:sz w:val="21"/>
                      <w:szCs w:val="21"/>
                    </w:rPr>
                    <w:t>基础减震，房屋隔声</w:t>
                  </w:r>
                </w:p>
              </w:tc>
              <w:tc>
                <w:tcPr>
                  <w:tcW w:w="757" w:type="pct"/>
                  <w:tcBorders>
                    <w:tl2br w:val="nil"/>
                    <w:tr2bl w:val="nil"/>
                  </w:tcBorders>
                  <w:vAlign w:val="center"/>
                </w:tcPr>
                <w:p w14:paraId="6CED201E">
                  <w:pPr>
                    <w:jc w:val="center"/>
                    <w:rPr>
                      <w:color w:val="auto"/>
                      <w:sz w:val="21"/>
                      <w:szCs w:val="21"/>
                    </w:rPr>
                  </w:pPr>
                  <w:r>
                    <w:rPr>
                      <w:rFonts w:hint="eastAsia"/>
                      <w:color w:val="auto"/>
                      <w:sz w:val="21"/>
                      <w:szCs w:val="21"/>
                    </w:rPr>
                    <w:t>2</w:t>
                  </w:r>
                </w:p>
              </w:tc>
            </w:tr>
            <w:tr w14:paraId="02589D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vMerge w:val="restart"/>
                  <w:tcBorders>
                    <w:tl2br w:val="nil"/>
                    <w:tr2bl w:val="nil"/>
                  </w:tcBorders>
                  <w:vAlign w:val="center"/>
                </w:tcPr>
                <w:p w14:paraId="42AD0D6C">
                  <w:pPr>
                    <w:jc w:val="center"/>
                    <w:rPr>
                      <w:color w:val="auto"/>
                      <w:sz w:val="21"/>
                      <w:szCs w:val="21"/>
                    </w:rPr>
                  </w:pPr>
                  <w:r>
                    <w:rPr>
                      <w:rFonts w:hint="eastAsia"/>
                      <w:color w:val="auto"/>
                      <w:sz w:val="21"/>
                      <w:szCs w:val="21"/>
                    </w:rPr>
                    <w:t>4</w:t>
                  </w:r>
                </w:p>
              </w:tc>
              <w:tc>
                <w:tcPr>
                  <w:tcW w:w="804" w:type="pct"/>
                  <w:vMerge w:val="restart"/>
                  <w:tcBorders>
                    <w:tl2br w:val="nil"/>
                    <w:tr2bl w:val="nil"/>
                  </w:tcBorders>
                  <w:vAlign w:val="center"/>
                </w:tcPr>
                <w:p w14:paraId="6E3D3450">
                  <w:pPr>
                    <w:jc w:val="center"/>
                    <w:rPr>
                      <w:color w:val="auto"/>
                      <w:sz w:val="21"/>
                      <w:szCs w:val="21"/>
                    </w:rPr>
                  </w:pPr>
                  <w:r>
                    <w:rPr>
                      <w:rFonts w:hint="eastAsia"/>
                      <w:color w:val="auto"/>
                      <w:sz w:val="21"/>
                      <w:szCs w:val="21"/>
                    </w:rPr>
                    <w:t>固废</w:t>
                  </w:r>
                </w:p>
              </w:tc>
              <w:tc>
                <w:tcPr>
                  <w:tcW w:w="1375" w:type="pct"/>
                  <w:tcBorders>
                    <w:tl2br w:val="nil"/>
                    <w:tr2bl w:val="nil"/>
                  </w:tcBorders>
                  <w:vAlign w:val="center"/>
                </w:tcPr>
                <w:p w14:paraId="04ABC50C">
                  <w:pPr>
                    <w:jc w:val="center"/>
                    <w:rPr>
                      <w:snapToGrid w:val="0"/>
                      <w:color w:val="auto"/>
                      <w:kern w:val="0"/>
                      <w:sz w:val="21"/>
                      <w:szCs w:val="21"/>
                    </w:rPr>
                  </w:pPr>
                  <w:r>
                    <w:rPr>
                      <w:rFonts w:hint="eastAsia"/>
                      <w:snapToGrid w:val="0"/>
                      <w:color w:val="auto"/>
                      <w:kern w:val="0"/>
                      <w:sz w:val="21"/>
                      <w:szCs w:val="21"/>
                    </w:rPr>
                    <w:t>生活垃圾</w:t>
                  </w:r>
                </w:p>
              </w:tc>
              <w:tc>
                <w:tcPr>
                  <w:tcW w:w="1621" w:type="pct"/>
                  <w:tcBorders>
                    <w:tl2br w:val="nil"/>
                    <w:tr2bl w:val="nil"/>
                  </w:tcBorders>
                  <w:vAlign w:val="center"/>
                </w:tcPr>
                <w:p w14:paraId="014ACACB">
                  <w:pPr>
                    <w:jc w:val="center"/>
                    <w:rPr>
                      <w:bCs/>
                      <w:color w:val="auto"/>
                      <w:sz w:val="21"/>
                      <w:szCs w:val="21"/>
                    </w:rPr>
                  </w:pPr>
                  <w:r>
                    <w:rPr>
                      <w:rFonts w:hint="eastAsia"/>
                      <w:bCs/>
                      <w:color w:val="auto"/>
                      <w:sz w:val="21"/>
                      <w:szCs w:val="21"/>
                    </w:rPr>
                    <w:t>垃圾桶、垃圾箱</w:t>
                  </w:r>
                </w:p>
              </w:tc>
              <w:tc>
                <w:tcPr>
                  <w:tcW w:w="757" w:type="pct"/>
                  <w:tcBorders>
                    <w:tl2br w:val="nil"/>
                    <w:tr2bl w:val="nil"/>
                  </w:tcBorders>
                  <w:vAlign w:val="center"/>
                </w:tcPr>
                <w:p w14:paraId="21CEC95B">
                  <w:pPr>
                    <w:jc w:val="center"/>
                    <w:rPr>
                      <w:color w:val="auto"/>
                      <w:sz w:val="21"/>
                      <w:szCs w:val="21"/>
                    </w:rPr>
                  </w:pPr>
                  <w:r>
                    <w:rPr>
                      <w:rFonts w:hint="eastAsia"/>
                      <w:color w:val="auto"/>
                      <w:sz w:val="21"/>
                      <w:szCs w:val="21"/>
                    </w:rPr>
                    <w:t>0.5</w:t>
                  </w:r>
                </w:p>
              </w:tc>
            </w:tr>
            <w:tr w14:paraId="6470208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vMerge w:val="continue"/>
                  <w:tcBorders>
                    <w:tl2br w:val="nil"/>
                    <w:tr2bl w:val="nil"/>
                  </w:tcBorders>
                  <w:vAlign w:val="center"/>
                </w:tcPr>
                <w:p w14:paraId="5956C396">
                  <w:pPr>
                    <w:jc w:val="center"/>
                    <w:rPr>
                      <w:rFonts w:hint="eastAsia"/>
                      <w:color w:val="auto"/>
                      <w:sz w:val="21"/>
                      <w:szCs w:val="21"/>
                    </w:rPr>
                  </w:pPr>
                </w:p>
              </w:tc>
              <w:tc>
                <w:tcPr>
                  <w:tcW w:w="804" w:type="pct"/>
                  <w:vMerge w:val="continue"/>
                  <w:tcBorders>
                    <w:tl2br w:val="nil"/>
                    <w:tr2bl w:val="nil"/>
                  </w:tcBorders>
                  <w:vAlign w:val="center"/>
                </w:tcPr>
                <w:p w14:paraId="5CD2687D">
                  <w:pPr>
                    <w:jc w:val="center"/>
                    <w:rPr>
                      <w:rFonts w:hint="eastAsia"/>
                      <w:color w:val="auto"/>
                      <w:sz w:val="21"/>
                      <w:szCs w:val="21"/>
                    </w:rPr>
                  </w:pPr>
                </w:p>
              </w:tc>
              <w:tc>
                <w:tcPr>
                  <w:tcW w:w="1375" w:type="pct"/>
                  <w:tcBorders>
                    <w:tl2br w:val="nil"/>
                    <w:tr2bl w:val="nil"/>
                  </w:tcBorders>
                  <w:vAlign w:val="center"/>
                </w:tcPr>
                <w:p w14:paraId="5A046E92">
                  <w:pPr>
                    <w:spacing w:line="240" w:lineRule="auto"/>
                    <w:jc w:val="center"/>
                    <w:rPr>
                      <w:rFonts w:hint="eastAsia" w:eastAsia="宋体"/>
                      <w:snapToGrid w:val="0"/>
                      <w:color w:val="auto"/>
                      <w:kern w:val="0"/>
                      <w:sz w:val="21"/>
                      <w:szCs w:val="21"/>
                      <w:lang w:val="en-US" w:eastAsia="zh-CN"/>
                    </w:rPr>
                  </w:pPr>
                  <w:r>
                    <w:rPr>
                      <w:rFonts w:hint="eastAsia"/>
                      <w:snapToGrid w:val="0"/>
                      <w:color w:val="auto"/>
                      <w:kern w:val="0"/>
                      <w:sz w:val="21"/>
                      <w:szCs w:val="21"/>
                      <w:lang w:val="en-US" w:eastAsia="zh-CN"/>
                    </w:rPr>
                    <w:t>污泥</w:t>
                  </w:r>
                </w:p>
              </w:tc>
              <w:tc>
                <w:tcPr>
                  <w:tcW w:w="1621" w:type="pct"/>
                  <w:tcBorders>
                    <w:tl2br w:val="nil"/>
                    <w:tr2bl w:val="nil"/>
                  </w:tcBorders>
                  <w:vAlign w:val="center"/>
                </w:tcPr>
                <w:p w14:paraId="11D96BA1">
                  <w:pPr>
                    <w:pStyle w:val="71"/>
                    <w:spacing w:line="240" w:lineRule="auto"/>
                    <w:ind w:left="0" w:leftChars="0" w:firstLine="0" w:firstLineChars="0"/>
                    <w:jc w:val="center"/>
                    <w:rPr>
                      <w:rFonts w:hint="default" w:eastAsia="宋体"/>
                      <w:bCs/>
                      <w:color w:val="auto"/>
                      <w:sz w:val="21"/>
                      <w:szCs w:val="21"/>
                      <w:lang w:val="en-US" w:eastAsia="zh-CN"/>
                    </w:rPr>
                  </w:pPr>
                  <w:r>
                    <w:rPr>
                      <w:rFonts w:hint="eastAsia" w:ascii="Times New Roman" w:hAnsi="Times New Roman" w:eastAsia="宋体" w:cs="Times New Roman"/>
                      <w:snapToGrid/>
                      <w:color w:val="auto"/>
                      <w:kern w:val="2"/>
                      <w:sz w:val="21"/>
                      <w:szCs w:val="21"/>
                      <w:lang w:val="en-US" w:eastAsia="zh-CN" w:bidi="ar-SA"/>
                    </w:rPr>
                    <w:t>定期将</w:t>
                  </w:r>
                  <w:r>
                    <w:rPr>
                      <w:rFonts w:hint="default" w:ascii="Times New Roman" w:hAnsi="Times New Roman" w:eastAsia="宋体" w:cs="Times New Roman"/>
                      <w:snapToGrid/>
                      <w:color w:val="auto"/>
                      <w:kern w:val="2"/>
                      <w:sz w:val="21"/>
                      <w:szCs w:val="21"/>
                      <w:lang w:val="en-US" w:eastAsia="zh-CN" w:bidi="ar-SA"/>
                    </w:rPr>
                    <w:t>污泥拉运至生活垃圾填埋场处置</w:t>
                  </w:r>
                </w:p>
              </w:tc>
              <w:tc>
                <w:tcPr>
                  <w:tcW w:w="757" w:type="pct"/>
                  <w:tcBorders>
                    <w:tl2br w:val="nil"/>
                    <w:tr2bl w:val="nil"/>
                  </w:tcBorders>
                  <w:vAlign w:val="center"/>
                </w:tcPr>
                <w:p w14:paraId="613E49B0">
                  <w:pPr>
                    <w:jc w:val="center"/>
                    <w:rPr>
                      <w:rFonts w:hint="default" w:eastAsia="宋体"/>
                      <w:color w:val="auto"/>
                      <w:sz w:val="21"/>
                      <w:szCs w:val="21"/>
                      <w:lang w:val="en-US" w:eastAsia="zh-CN"/>
                    </w:rPr>
                  </w:pPr>
                  <w:r>
                    <w:rPr>
                      <w:rFonts w:hint="eastAsia"/>
                      <w:color w:val="auto"/>
                      <w:sz w:val="21"/>
                      <w:szCs w:val="21"/>
                      <w:lang w:val="en-US" w:eastAsia="zh-CN"/>
                    </w:rPr>
                    <w:t>0.5</w:t>
                  </w:r>
                </w:p>
              </w:tc>
            </w:tr>
            <w:tr w14:paraId="44024E3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vMerge w:val="continue"/>
                  <w:tcBorders>
                    <w:tl2br w:val="nil"/>
                    <w:tr2bl w:val="nil"/>
                  </w:tcBorders>
                  <w:vAlign w:val="center"/>
                </w:tcPr>
                <w:p w14:paraId="3834ACBB">
                  <w:pPr>
                    <w:jc w:val="center"/>
                    <w:rPr>
                      <w:color w:val="auto"/>
                      <w:sz w:val="21"/>
                      <w:szCs w:val="21"/>
                    </w:rPr>
                  </w:pPr>
                </w:p>
              </w:tc>
              <w:tc>
                <w:tcPr>
                  <w:tcW w:w="804" w:type="pct"/>
                  <w:vMerge w:val="continue"/>
                  <w:tcBorders>
                    <w:tl2br w:val="nil"/>
                    <w:tr2bl w:val="nil"/>
                  </w:tcBorders>
                  <w:vAlign w:val="center"/>
                </w:tcPr>
                <w:p w14:paraId="490A56FF">
                  <w:pPr>
                    <w:jc w:val="center"/>
                    <w:rPr>
                      <w:color w:val="auto"/>
                      <w:sz w:val="21"/>
                      <w:szCs w:val="21"/>
                    </w:rPr>
                  </w:pPr>
                </w:p>
              </w:tc>
              <w:tc>
                <w:tcPr>
                  <w:tcW w:w="1375" w:type="pct"/>
                  <w:tcBorders>
                    <w:tl2br w:val="nil"/>
                    <w:tr2bl w:val="nil"/>
                  </w:tcBorders>
                  <w:vAlign w:val="center"/>
                </w:tcPr>
                <w:p w14:paraId="29891192">
                  <w:pPr>
                    <w:jc w:val="center"/>
                    <w:rPr>
                      <w:snapToGrid w:val="0"/>
                      <w:color w:val="auto"/>
                      <w:kern w:val="0"/>
                      <w:sz w:val="21"/>
                      <w:szCs w:val="21"/>
                    </w:rPr>
                  </w:pPr>
                  <w:r>
                    <w:rPr>
                      <w:rFonts w:hint="eastAsia"/>
                      <w:snapToGrid w:val="0"/>
                      <w:color w:val="auto"/>
                      <w:kern w:val="0"/>
                      <w:sz w:val="21"/>
                      <w:szCs w:val="21"/>
                    </w:rPr>
                    <w:t>不合格混凝土</w:t>
                  </w:r>
                </w:p>
              </w:tc>
              <w:tc>
                <w:tcPr>
                  <w:tcW w:w="1621" w:type="pct"/>
                  <w:vMerge w:val="restart"/>
                  <w:tcBorders>
                    <w:tl2br w:val="nil"/>
                    <w:tr2bl w:val="nil"/>
                  </w:tcBorders>
                  <w:vAlign w:val="center"/>
                </w:tcPr>
                <w:p w14:paraId="700FAED6">
                  <w:pPr>
                    <w:jc w:val="center"/>
                    <w:rPr>
                      <w:bCs/>
                      <w:color w:val="auto"/>
                      <w:sz w:val="21"/>
                      <w:szCs w:val="21"/>
                    </w:rPr>
                  </w:pPr>
                  <w:r>
                    <w:rPr>
                      <w:rFonts w:hint="eastAsia"/>
                      <w:bCs/>
                      <w:color w:val="auto"/>
                      <w:sz w:val="21"/>
                      <w:szCs w:val="21"/>
                      <w:lang w:val="en-US" w:eastAsia="zh-CN"/>
                    </w:rPr>
                    <w:t>集中收集后回用于生产</w:t>
                  </w:r>
                </w:p>
              </w:tc>
              <w:tc>
                <w:tcPr>
                  <w:tcW w:w="757" w:type="pct"/>
                  <w:vMerge w:val="restart"/>
                  <w:tcBorders>
                    <w:tl2br w:val="nil"/>
                    <w:tr2bl w:val="nil"/>
                  </w:tcBorders>
                  <w:vAlign w:val="center"/>
                </w:tcPr>
                <w:p w14:paraId="7DC8BCF4">
                  <w:pPr>
                    <w:jc w:val="center"/>
                    <w:rPr>
                      <w:color w:val="auto"/>
                      <w:sz w:val="21"/>
                      <w:szCs w:val="21"/>
                    </w:rPr>
                  </w:pPr>
                  <w:r>
                    <w:rPr>
                      <w:rFonts w:hint="eastAsia"/>
                      <w:color w:val="auto"/>
                      <w:sz w:val="21"/>
                      <w:szCs w:val="21"/>
                    </w:rPr>
                    <w:t>1</w:t>
                  </w:r>
                </w:p>
              </w:tc>
            </w:tr>
            <w:tr w14:paraId="7D2ADD1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vMerge w:val="continue"/>
                  <w:tcBorders>
                    <w:tl2br w:val="nil"/>
                    <w:tr2bl w:val="nil"/>
                  </w:tcBorders>
                  <w:vAlign w:val="center"/>
                </w:tcPr>
                <w:p w14:paraId="3F79BE0E">
                  <w:pPr>
                    <w:jc w:val="center"/>
                    <w:rPr>
                      <w:color w:val="auto"/>
                      <w:sz w:val="21"/>
                      <w:szCs w:val="21"/>
                    </w:rPr>
                  </w:pPr>
                </w:p>
              </w:tc>
              <w:tc>
                <w:tcPr>
                  <w:tcW w:w="804" w:type="pct"/>
                  <w:vMerge w:val="continue"/>
                  <w:tcBorders>
                    <w:tl2br w:val="nil"/>
                    <w:tr2bl w:val="nil"/>
                  </w:tcBorders>
                  <w:vAlign w:val="center"/>
                </w:tcPr>
                <w:p w14:paraId="33A2F7B7">
                  <w:pPr>
                    <w:jc w:val="center"/>
                    <w:rPr>
                      <w:color w:val="auto"/>
                      <w:sz w:val="21"/>
                      <w:szCs w:val="21"/>
                    </w:rPr>
                  </w:pPr>
                </w:p>
              </w:tc>
              <w:tc>
                <w:tcPr>
                  <w:tcW w:w="1375" w:type="pct"/>
                  <w:tcBorders>
                    <w:tl2br w:val="nil"/>
                    <w:tr2bl w:val="nil"/>
                  </w:tcBorders>
                  <w:vAlign w:val="center"/>
                </w:tcPr>
                <w:p w14:paraId="0EC600D6">
                  <w:pPr>
                    <w:jc w:val="center"/>
                    <w:rPr>
                      <w:rFonts w:hint="eastAsia" w:eastAsia="宋体"/>
                      <w:snapToGrid w:val="0"/>
                      <w:color w:val="auto"/>
                      <w:kern w:val="0"/>
                      <w:sz w:val="21"/>
                      <w:szCs w:val="21"/>
                      <w:lang w:eastAsia="zh-CN"/>
                    </w:rPr>
                  </w:pPr>
                  <w:r>
                    <w:rPr>
                      <w:rFonts w:hint="eastAsia"/>
                      <w:snapToGrid w:val="0"/>
                      <w:color w:val="auto"/>
                      <w:kern w:val="0"/>
                      <w:sz w:val="21"/>
                      <w:szCs w:val="21"/>
                      <w:lang w:eastAsia="zh-CN"/>
                    </w:rPr>
                    <w:t>布袋除尘器收集的粉尘</w:t>
                  </w:r>
                </w:p>
              </w:tc>
              <w:tc>
                <w:tcPr>
                  <w:tcW w:w="1621" w:type="pct"/>
                  <w:vMerge w:val="continue"/>
                  <w:tcBorders>
                    <w:tl2br w:val="nil"/>
                    <w:tr2bl w:val="nil"/>
                  </w:tcBorders>
                  <w:vAlign w:val="center"/>
                </w:tcPr>
                <w:p w14:paraId="6C043EEB">
                  <w:pPr>
                    <w:jc w:val="center"/>
                    <w:rPr>
                      <w:bCs/>
                      <w:color w:val="auto"/>
                      <w:sz w:val="21"/>
                      <w:szCs w:val="21"/>
                    </w:rPr>
                  </w:pPr>
                </w:p>
              </w:tc>
              <w:tc>
                <w:tcPr>
                  <w:tcW w:w="757" w:type="pct"/>
                  <w:vMerge w:val="continue"/>
                  <w:tcBorders>
                    <w:tl2br w:val="nil"/>
                    <w:tr2bl w:val="nil"/>
                  </w:tcBorders>
                  <w:vAlign w:val="center"/>
                </w:tcPr>
                <w:p w14:paraId="0099F8DE">
                  <w:pPr>
                    <w:jc w:val="center"/>
                    <w:rPr>
                      <w:color w:val="auto"/>
                      <w:sz w:val="21"/>
                      <w:szCs w:val="21"/>
                    </w:rPr>
                  </w:pPr>
                </w:p>
              </w:tc>
            </w:tr>
            <w:tr w14:paraId="743539C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vMerge w:val="continue"/>
                  <w:tcBorders>
                    <w:tl2br w:val="nil"/>
                    <w:tr2bl w:val="nil"/>
                  </w:tcBorders>
                  <w:vAlign w:val="center"/>
                </w:tcPr>
                <w:p w14:paraId="00A4729D">
                  <w:pPr>
                    <w:jc w:val="center"/>
                    <w:rPr>
                      <w:color w:val="auto"/>
                      <w:sz w:val="21"/>
                      <w:szCs w:val="21"/>
                    </w:rPr>
                  </w:pPr>
                </w:p>
              </w:tc>
              <w:tc>
                <w:tcPr>
                  <w:tcW w:w="804" w:type="pct"/>
                  <w:vMerge w:val="continue"/>
                  <w:tcBorders>
                    <w:tl2br w:val="nil"/>
                    <w:tr2bl w:val="nil"/>
                  </w:tcBorders>
                  <w:vAlign w:val="center"/>
                </w:tcPr>
                <w:p w14:paraId="4E3A4B21">
                  <w:pPr>
                    <w:jc w:val="center"/>
                    <w:rPr>
                      <w:color w:val="auto"/>
                      <w:sz w:val="21"/>
                      <w:szCs w:val="21"/>
                    </w:rPr>
                  </w:pPr>
                </w:p>
              </w:tc>
              <w:tc>
                <w:tcPr>
                  <w:tcW w:w="1375" w:type="pct"/>
                  <w:tcBorders>
                    <w:tl2br w:val="nil"/>
                    <w:tr2bl w:val="nil"/>
                  </w:tcBorders>
                  <w:vAlign w:val="center"/>
                </w:tcPr>
                <w:p w14:paraId="2D9AB68E">
                  <w:pPr>
                    <w:jc w:val="center"/>
                    <w:rPr>
                      <w:rFonts w:hint="eastAsia" w:eastAsia="宋体"/>
                      <w:snapToGrid w:val="0"/>
                      <w:color w:val="auto"/>
                      <w:kern w:val="0"/>
                      <w:sz w:val="21"/>
                      <w:szCs w:val="21"/>
                      <w:lang w:eastAsia="zh-CN"/>
                    </w:rPr>
                  </w:pPr>
                  <w:r>
                    <w:rPr>
                      <w:rFonts w:hint="eastAsia"/>
                      <w:snapToGrid w:val="0"/>
                      <w:color w:val="auto"/>
                      <w:kern w:val="0"/>
                      <w:sz w:val="21"/>
                      <w:szCs w:val="21"/>
                      <w:lang w:eastAsia="zh-CN"/>
                    </w:rPr>
                    <w:t>沉淀池沉淀物</w:t>
                  </w:r>
                </w:p>
              </w:tc>
              <w:tc>
                <w:tcPr>
                  <w:tcW w:w="1621" w:type="pct"/>
                  <w:vMerge w:val="continue"/>
                  <w:tcBorders>
                    <w:tl2br w:val="nil"/>
                    <w:tr2bl w:val="nil"/>
                  </w:tcBorders>
                  <w:vAlign w:val="center"/>
                </w:tcPr>
                <w:p w14:paraId="06C40DA5">
                  <w:pPr>
                    <w:jc w:val="center"/>
                    <w:rPr>
                      <w:bCs/>
                      <w:color w:val="auto"/>
                      <w:sz w:val="21"/>
                      <w:szCs w:val="21"/>
                    </w:rPr>
                  </w:pPr>
                </w:p>
              </w:tc>
              <w:tc>
                <w:tcPr>
                  <w:tcW w:w="757" w:type="pct"/>
                  <w:vMerge w:val="continue"/>
                  <w:tcBorders>
                    <w:tl2br w:val="nil"/>
                    <w:tr2bl w:val="nil"/>
                  </w:tcBorders>
                  <w:vAlign w:val="center"/>
                </w:tcPr>
                <w:p w14:paraId="13A7E47A">
                  <w:pPr>
                    <w:jc w:val="center"/>
                    <w:rPr>
                      <w:color w:val="auto"/>
                      <w:sz w:val="21"/>
                      <w:szCs w:val="21"/>
                    </w:rPr>
                  </w:pPr>
                </w:p>
              </w:tc>
            </w:tr>
            <w:tr w14:paraId="0468AEB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vMerge w:val="continue"/>
                  <w:tcBorders>
                    <w:tl2br w:val="nil"/>
                    <w:tr2bl w:val="nil"/>
                  </w:tcBorders>
                  <w:vAlign w:val="center"/>
                </w:tcPr>
                <w:p w14:paraId="201DFB59">
                  <w:pPr>
                    <w:jc w:val="center"/>
                    <w:rPr>
                      <w:color w:val="auto"/>
                      <w:sz w:val="21"/>
                      <w:szCs w:val="21"/>
                    </w:rPr>
                  </w:pPr>
                </w:p>
              </w:tc>
              <w:tc>
                <w:tcPr>
                  <w:tcW w:w="804" w:type="pct"/>
                  <w:vMerge w:val="continue"/>
                  <w:tcBorders>
                    <w:tl2br w:val="nil"/>
                    <w:tr2bl w:val="nil"/>
                  </w:tcBorders>
                  <w:vAlign w:val="center"/>
                </w:tcPr>
                <w:p w14:paraId="2FC6B07E">
                  <w:pPr>
                    <w:jc w:val="center"/>
                    <w:rPr>
                      <w:color w:val="auto"/>
                      <w:sz w:val="21"/>
                      <w:szCs w:val="21"/>
                    </w:rPr>
                  </w:pPr>
                </w:p>
              </w:tc>
              <w:tc>
                <w:tcPr>
                  <w:tcW w:w="1375" w:type="pct"/>
                  <w:tcBorders>
                    <w:tl2br w:val="nil"/>
                    <w:tr2bl w:val="nil"/>
                  </w:tcBorders>
                  <w:vAlign w:val="center"/>
                </w:tcPr>
                <w:p w14:paraId="5F3B289E">
                  <w:pPr>
                    <w:jc w:val="center"/>
                    <w:rPr>
                      <w:snapToGrid w:val="0"/>
                      <w:color w:val="auto"/>
                      <w:kern w:val="0"/>
                      <w:sz w:val="21"/>
                      <w:szCs w:val="21"/>
                    </w:rPr>
                  </w:pPr>
                  <w:r>
                    <w:rPr>
                      <w:rFonts w:hint="eastAsia"/>
                      <w:snapToGrid w:val="0"/>
                      <w:color w:val="auto"/>
                      <w:kern w:val="0"/>
                      <w:sz w:val="21"/>
                      <w:szCs w:val="21"/>
                    </w:rPr>
                    <w:t>废机油</w:t>
                  </w:r>
                </w:p>
              </w:tc>
              <w:tc>
                <w:tcPr>
                  <w:tcW w:w="1621" w:type="pct"/>
                  <w:tcBorders>
                    <w:tl2br w:val="nil"/>
                    <w:tr2bl w:val="nil"/>
                  </w:tcBorders>
                  <w:vAlign w:val="center"/>
                </w:tcPr>
                <w:p w14:paraId="139B425B">
                  <w:pPr>
                    <w:jc w:val="center"/>
                    <w:rPr>
                      <w:bCs/>
                      <w:color w:val="auto"/>
                      <w:sz w:val="21"/>
                      <w:szCs w:val="21"/>
                    </w:rPr>
                  </w:pPr>
                  <w:r>
                    <w:rPr>
                      <w:rFonts w:hint="eastAsia"/>
                      <w:bCs/>
                      <w:color w:val="auto"/>
                      <w:sz w:val="21"/>
                      <w:szCs w:val="21"/>
                    </w:rPr>
                    <w:t>10m</w:t>
                  </w:r>
                  <w:r>
                    <w:rPr>
                      <w:rFonts w:hint="eastAsia"/>
                      <w:bCs/>
                      <w:color w:val="auto"/>
                      <w:sz w:val="21"/>
                      <w:szCs w:val="21"/>
                      <w:vertAlign w:val="superscript"/>
                    </w:rPr>
                    <w:t>3</w:t>
                  </w:r>
                  <w:r>
                    <w:rPr>
                      <w:rFonts w:hint="eastAsia"/>
                      <w:bCs/>
                      <w:color w:val="auto"/>
                      <w:sz w:val="21"/>
                      <w:szCs w:val="21"/>
                    </w:rPr>
                    <w:t>危废暂存间</w:t>
                  </w:r>
                </w:p>
              </w:tc>
              <w:tc>
                <w:tcPr>
                  <w:tcW w:w="757" w:type="pct"/>
                  <w:tcBorders>
                    <w:tl2br w:val="nil"/>
                    <w:tr2bl w:val="nil"/>
                  </w:tcBorders>
                  <w:vAlign w:val="center"/>
                </w:tcPr>
                <w:p w14:paraId="15EE0674">
                  <w:pPr>
                    <w:jc w:val="center"/>
                    <w:rPr>
                      <w:rFonts w:hint="default" w:eastAsia="宋体"/>
                      <w:color w:val="auto"/>
                      <w:sz w:val="21"/>
                      <w:szCs w:val="21"/>
                      <w:lang w:val="en-US" w:eastAsia="zh-CN"/>
                    </w:rPr>
                  </w:pPr>
                  <w:r>
                    <w:rPr>
                      <w:rFonts w:hint="eastAsia"/>
                      <w:color w:val="auto"/>
                      <w:sz w:val="21"/>
                      <w:szCs w:val="21"/>
                      <w:lang w:val="en-US" w:eastAsia="zh-CN"/>
                    </w:rPr>
                    <w:t>2</w:t>
                  </w:r>
                </w:p>
              </w:tc>
            </w:tr>
            <w:tr w14:paraId="40000E4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tcBorders>
                    <w:tl2br w:val="nil"/>
                    <w:tr2bl w:val="nil"/>
                  </w:tcBorders>
                  <w:vAlign w:val="center"/>
                </w:tcPr>
                <w:p w14:paraId="53889A78">
                  <w:pPr>
                    <w:jc w:val="center"/>
                    <w:rPr>
                      <w:rFonts w:hint="eastAsia" w:eastAsia="宋体"/>
                      <w:color w:val="auto"/>
                      <w:sz w:val="21"/>
                      <w:szCs w:val="21"/>
                      <w:lang w:val="en-US" w:eastAsia="zh-CN"/>
                    </w:rPr>
                  </w:pPr>
                  <w:r>
                    <w:rPr>
                      <w:rFonts w:hint="eastAsia"/>
                      <w:color w:val="auto"/>
                      <w:sz w:val="21"/>
                      <w:szCs w:val="21"/>
                      <w:lang w:val="en-US" w:eastAsia="zh-CN"/>
                    </w:rPr>
                    <w:t>5</w:t>
                  </w:r>
                </w:p>
              </w:tc>
              <w:tc>
                <w:tcPr>
                  <w:tcW w:w="804" w:type="pct"/>
                  <w:vMerge w:val="restart"/>
                  <w:tcBorders>
                    <w:tl2br w:val="nil"/>
                    <w:tr2bl w:val="nil"/>
                  </w:tcBorders>
                  <w:vAlign w:val="center"/>
                </w:tcPr>
                <w:p w14:paraId="217E07C9">
                  <w:pPr>
                    <w:jc w:val="center"/>
                    <w:rPr>
                      <w:rFonts w:hint="eastAsia" w:eastAsia="宋体"/>
                      <w:color w:val="auto"/>
                      <w:sz w:val="21"/>
                      <w:szCs w:val="21"/>
                      <w:lang w:val="en-US" w:eastAsia="zh-CN"/>
                    </w:rPr>
                  </w:pPr>
                  <w:r>
                    <w:rPr>
                      <w:rFonts w:hint="eastAsia"/>
                      <w:color w:val="auto"/>
                      <w:sz w:val="21"/>
                      <w:szCs w:val="21"/>
                      <w:lang w:val="en-US" w:eastAsia="zh-CN"/>
                    </w:rPr>
                    <w:t>生态环境</w:t>
                  </w:r>
                </w:p>
              </w:tc>
              <w:tc>
                <w:tcPr>
                  <w:tcW w:w="1375" w:type="pct"/>
                  <w:tcBorders>
                    <w:tl2br w:val="nil"/>
                    <w:tr2bl w:val="nil"/>
                  </w:tcBorders>
                  <w:vAlign w:val="center"/>
                </w:tcPr>
                <w:p w14:paraId="78324076">
                  <w:pPr>
                    <w:jc w:val="center"/>
                    <w:rPr>
                      <w:rFonts w:hint="default" w:eastAsia="宋体"/>
                      <w:snapToGrid w:val="0"/>
                      <w:color w:val="auto"/>
                      <w:kern w:val="0"/>
                      <w:sz w:val="21"/>
                      <w:szCs w:val="21"/>
                      <w:lang w:val="en-US" w:eastAsia="zh-CN"/>
                    </w:rPr>
                  </w:pPr>
                  <w:r>
                    <w:rPr>
                      <w:rFonts w:hint="eastAsia"/>
                      <w:snapToGrid w:val="0"/>
                      <w:color w:val="auto"/>
                      <w:kern w:val="0"/>
                      <w:sz w:val="21"/>
                      <w:szCs w:val="21"/>
                      <w:lang w:val="en-US" w:eastAsia="zh-CN"/>
                    </w:rPr>
                    <w:t>厂区绿化</w:t>
                  </w:r>
                </w:p>
              </w:tc>
              <w:tc>
                <w:tcPr>
                  <w:tcW w:w="1621" w:type="pct"/>
                  <w:tcBorders>
                    <w:tl2br w:val="nil"/>
                    <w:tr2bl w:val="nil"/>
                  </w:tcBorders>
                  <w:vAlign w:val="center"/>
                </w:tcPr>
                <w:p w14:paraId="4CDAB2E3">
                  <w:pPr>
                    <w:jc w:val="center"/>
                    <w:rPr>
                      <w:rFonts w:hint="default" w:eastAsia="宋体"/>
                      <w:bCs/>
                      <w:color w:val="auto"/>
                      <w:sz w:val="21"/>
                      <w:szCs w:val="21"/>
                      <w:lang w:val="en-US" w:eastAsia="zh-CN"/>
                    </w:rPr>
                  </w:pPr>
                  <w:r>
                    <w:rPr>
                      <w:rFonts w:hint="eastAsia"/>
                      <w:bCs/>
                      <w:color w:val="auto"/>
                      <w:sz w:val="21"/>
                      <w:szCs w:val="21"/>
                      <w:lang w:val="en-US" w:eastAsia="zh-CN"/>
                    </w:rPr>
                    <w:t>绿化区域种植植被、树木</w:t>
                  </w:r>
                </w:p>
              </w:tc>
              <w:tc>
                <w:tcPr>
                  <w:tcW w:w="757" w:type="pct"/>
                  <w:tcBorders>
                    <w:tl2br w:val="nil"/>
                    <w:tr2bl w:val="nil"/>
                  </w:tcBorders>
                  <w:vAlign w:val="center"/>
                </w:tcPr>
                <w:p w14:paraId="1EFDD47D">
                  <w:pPr>
                    <w:jc w:val="center"/>
                    <w:rPr>
                      <w:rFonts w:hint="default"/>
                      <w:color w:val="auto"/>
                      <w:sz w:val="21"/>
                      <w:szCs w:val="21"/>
                      <w:lang w:val="en-US" w:eastAsia="zh-CN"/>
                    </w:rPr>
                  </w:pPr>
                  <w:r>
                    <w:rPr>
                      <w:rFonts w:hint="eastAsia"/>
                      <w:color w:val="auto"/>
                      <w:sz w:val="21"/>
                      <w:szCs w:val="21"/>
                      <w:lang w:val="en-US" w:eastAsia="zh-CN"/>
                    </w:rPr>
                    <w:t>10</w:t>
                  </w:r>
                </w:p>
              </w:tc>
            </w:tr>
            <w:tr w14:paraId="2BB06B1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tcBorders>
                    <w:tl2br w:val="nil"/>
                    <w:tr2bl w:val="nil"/>
                  </w:tcBorders>
                  <w:vAlign w:val="center"/>
                </w:tcPr>
                <w:p w14:paraId="2408F056">
                  <w:pPr>
                    <w:jc w:val="center"/>
                    <w:rPr>
                      <w:rFonts w:hint="default"/>
                      <w:color w:val="auto"/>
                      <w:sz w:val="21"/>
                      <w:szCs w:val="21"/>
                      <w:lang w:val="en-US" w:eastAsia="zh-CN"/>
                    </w:rPr>
                  </w:pPr>
                  <w:r>
                    <w:rPr>
                      <w:rFonts w:hint="eastAsia"/>
                      <w:color w:val="auto"/>
                      <w:sz w:val="21"/>
                      <w:szCs w:val="21"/>
                      <w:lang w:val="en-US" w:eastAsia="zh-CN"/>
                    </w:rPr>
                    <w:t>6</w:t>
                  </w:r>
                </w:p>
              </w:tc>
              <w:tc>
                <w:tcPr>
                  <w:tcW w:w="804" w:type="pct"/>
                  <w:vMerge w:val="continue"/>
                  <w:tcBorders>
                    <w:tl2br w:val="nil"/>
                    <w:tr2bl w:val="nil"/>
                  </w:tcBorders>
                  <w:vAlign w:val="center"/>
                </w:tcPr>
                <w:p w14:paraId="43DA4C97">
                  <w:pPr>
                    <w:jc w:val="center"/>
                    <w:rPr>
                      <w:rFonts w:hint="eastAsia"/>
                      <w:color w:val="auto"/>
                      <w:sz w:val="21"/>
                      <w:szCs w:val="21"/>
                      <w:lang w:val="en-US" w:eastAsia="zh-CN"/>
                    </w:rPr>
                  </w:pPr>
                </w:p>
              </w:tc>
              <w:tc>
                <w:tcPr>
                  <w:tcW w:w="1375" w:type="pct"/>
                  <w:tcBorders>
                    <w:tl2br w:val="nil"/>
                    <w:tr2bl w:val="nil"/>
                  </w:tcBorders>
                  <w:vAlign w:val="center"/>
                </w:tcPr>
                <w:p w14:paraId="6EB9DD5C">
                  <w:pPr>
                    <w:jc w:val="center"/>
                    <w:rPr>
                      <w:rFonts w:hint="default" w:ascii="Times New Roman" w:hAnsi="Times New Roman" w:eastAsia="宋体" w:cs="Times New Roman"/>
                      <w:snapToGrid w:val="0"/>
                      <w:color w:val="auto"/>
                      <w:kern w:val="0"/>
                      <w:sz w:val="21"/>
                      <w:szCs w:val="21"/>
                      <w:highlight w:val="none"/>
                      <w:lang w:val="en-US" w:eastAsia="zh-CN" w:bidi="ar-SA"/>
                    </w:rPr>
                  </w:pPr>
                  <w:r>
                    <w:rPr>
                      <w:rFonts w:hint="eastAsia"/>
                      <w:snapToGrid w:val="0"/>
                      <w:color w:val="auto"/>
                      <w:kern w:val="0"/>
                      <w:sz w:val="21"/>
                      <w:szCs w:val="21"/>
                      <w:highlight w:val="none"/>
                      <w:lang w:val="en-US" w:eastAsia="zh-CN"/>
                    </w:rPr>
                    <w:t>草原安置补助费</w:t>
                  </w:r>
                </w:p>
              </w:tc>
              <w:tc>
                <w:tcPr>
                  <w:tcW w:w="1621" w:type="pct"/>
                  <w:tcBorders>
                    <w:tl2br w:val="nil"/>
                    <w:tr2bl w:val="nil"/>
                  </w:tcBorders>
                  <w:vAlign w:val="center"/>
                </w:tcPr>
                <w:p w14:paraId="79E349BF">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bCs/>
                      <w:color w:val="auto"/>
                      <w:sz w:val="21"/>
                      <w:szCs w:val="21"/>
                      <w:highlight w:val="none"/>
                      <w:lang w:val="en-US" w:eastAsia="zh-CN"/>
                    </w:rPr>
                    <w:t>工程措施施工费</w:t>
                  </w:r>
                </w:p>
              </w:tc>
              <w:tc>
                <w:tcPr>
                  <w:tcW w:w="757" w:type="pct"/>
                  <w:tcBorders>
                    <w:tl2br w:val="nil"/>
                    <w:tr2bl w:val="nil"/>
                  </w:tcBorders>
                  <w:vAlign w:val="center"/>
                </w:tcPr>
                <w:p w14:paraId="4700E6DA">
                  <w:pPr>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9.7</w:t>
                  </w:r>
                </w:p>
              </w:tc>
            </w:tr>
            <w:tr w14:paraId="07429D0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0" w:type="pct"/>
                  <w:tcBorders>
                    <w:tl2br w:val="nil"/>
                    <w:tr2bl w:val="nil"/>
                  </w:tcBorders>
                  <w:vAlign w:val="center"/>
                </w:tcPr>
                <w:p w14:paraId="6670EB1F">
                  <w:pPr>
                    <w:jc w:val="center"/>
                    <w:rPr>
                      <w:color w:val="auto"/>
                      <w:sz w:val="21"/>
                      <w:szCs w:val="21"/>
                    </w:rPr>
                  </w:pPr>
                  <w:r>
                    <w:rPr>
                      <w:rFonts w:hint="eastAsia"/>
                      <w:color w:val="auto"/>
                      <w:sz w:val="21"/>
                      <w:szCs w:val="21"/>
                    </w:rPr>
                    <w:t>合计</w:t>
                  </w:r>
                </w:p>
              </w:tc>
              <w:tc>
                <w:tcPr>
                  <w:tcW w:w="3801" w:type="pct"/>
                  <w:gridSpan w:val="3"/>
                  <w:tcBorders>
                    <w:tl2br w:val="nil"/>
                    <w:tr2bl w:val="nil"/>
                  </w:tcBorders>
                  <w:vAlign w:val="center"/>
                </w:tcPr>
                <w:p w14:paraId="51B0C097">
                  <w:pPr>
                    <w:jc w:val="center"/>
                    <w:rPr>
                      <w:bCs/>
                      <w:color w:val="auto"/>
                      <w:sz w:val="21"/>
                      <w:szCs w:val="21"/>
                    </w:rPr>
                  </w:pPr>
                  <w:r>
                    <w:rPr>
                      <w:rFonts w:hint="eastAsia"/>
                      <w:bCs/>
                      <w:color w:val="auto"/>
                      <w:sz w:val="21"/>
                      <w:szCs w:val="21"/>
                    </w:rPr>
                    <w:t>/</w:t>
                  </w:r>
                </w:p>
              </w:tc>
              <w:tc>
                <w:tcPr>
                  <w:tcW w:w="757" w:type="pct"/>
                  <w:tcBorders>
                    <w:tl2br w:val="nil"/>
                    <w:tr2bl w:val="nil"/>
                  </w:tcBorders>
                  <w:vAlign w:val="center"/>
                </w:tcPr>
                <w:p w14:paraId="45BC2E12">
                  <w:pPr>
                    <w:jc w:val="center"/>
                    <w:rPr>
                      <w:rFonts w:hint="default" w:eastAsia="宋体"/>
                      <w:color w:val="auto"/>
                      <w:sz w:val="21"/>
                      <w:szCs w:val="21"/>
                      <w:lang w:val="en-US" w:eastAsia="zh-CN"/>
                    </w:rPr>
                  </w:pPr>
                  <w:r>
                    <w:rPr>
                      <w:rFonts w:hint="eastAsia"/>
                      <w:color w:val="auto"/>
                      <w:sz w:val="21"/>
                      <w:szCs w:val="21"/>
                      <w:highlight w:val="none"/>
                      <w:lang w:val="en-US" w:eastAsia="zh-CN"/>
                    </w:rPr>
                    <w:t>81.7</w:t>
                  </w:r>
                </w:p>
              </w:tc>
            </w:tr>
          </w:tbl>
          <w:p w14:paraId="5447524F">
            <w:pPr>
              <w:spacing w:line="360" w:lineRule="auto"/>
              <w:rPr>
                <w:b/>
                <w:bCs/>
                <w:color w:val="auto"/>
                <w:sz w:val="24"/>
                <w:highlight w:val="none"/>
              </w:rPr>
            </w:pPr>
            <w:r>
              <w:rPr>
                <w:b/>
                <w:bCs/>
                <w:color w:val="auto"/>
                <w:sz w:val="24"/>
                <w:highlight w:val="none"/>
              </w:rPr>
              <w:t>9</w:t>
            </w:r>
            <w:r>
              <w:rPr>
                <w:rFonts w:hint="eastAsia"/>
                <w:b/>
                <w:bCs/>
                <w:color w:val="auto"/>
                <w:sz w:val="24"/>
                <w:highlight w:val="none"/>
                <w:lang w:val="en-US" w:eastAsia="zh-CN"/>
              </w:rPr>
              <w:t>.</w:t>
            </w:r>
            <w:r>
              <w:rPr>
                <w:b/>
                <w:bCs/>
                <w:color w:val="auto"/>
                <w:sz w:val="24"/>
                <w:highlight w:val="none"/>
              </w:rPr>
              <w:t>建设项目竣工环保验收</w:t>
            </w:r>
          </w:p>
          <w:p w14:paraId="2974EDA1">
            <w:pPr>
              <w:topLinePunct/>
              <w:adjustRightInd w:val="0"/>
              <w:snapToGrid w:val="0"/>
              <w:spacing w:line="360" w:lineRule="auto"/>
              <w:ind w:firstLine="480" w:firstLineChars="200"/>
              <w:jc w:val="left"/>
              <w:rPr>
                <w:color w:val="auto"/>
                <w:sz w:val="21"/>
                <w:szCs w:val="21"/>
                <w:highlight w:val="none"/>
              </w:rPr>
            </w:pPr>
            <w:r>
              <w:rPr>
                <w:color w:val="auto"/>
                <w:kern w:val="0"/>
                <w:sz w:val="24"/>
                <w:highlight w:val="none"/>
              </w:rPr>
              <w:t>建设项目竣工环保“三同时”验收内容具体见表</w:t>
            </w:r>
            <w:r>
              <w:rPr>
                <w:rFonts w:hint="eastAsia"/>
                <w:color w:val="auto"/>
                <w:kern w:val="0"/>
                <w:sz w:val="24"/>
                <w:highlight w:val="none"/>
                <w:lang w:val="en-US" w:eastAsia="zh-CN"/>
              </w:rPr>
              <w:t>4-19</w:t>
            </w:r>
            <w:r>
              <w:rPr>
                <w:color w:val="auto"/>
                <w:kern w:val="0"/>
                <w:sz w:val="24"/>
                <w:highlight w:val="none"/>
              </w:rPr>
              <w:t>。</w:t>
            </w:r>
          </w:p>
          <w:p w14:paraId="3F7E95CC">
            <w:pPr>
              <w:pStyle w:val="6"/>
              <w:spacing w:line="240" w:lineRule="auto"/>
              <w:rPr>
                <w:color w:val="auto"/>
                <w:sz w:val="21"/>
                <w:szCs w:val="21"/>
                <w:highlight w:val="none"/>
              </w:rPr>
            </w:pPr>
            <w:r>
              <w:rPr>
                <w:color w:val="auto"/>
                <w:sz w:val="21"/>
                <w:szCs w:val="21"/>
                <w:highlight w:val="none"/>
              </w:rPr>
              <w:t>表</w:t>
            </w:r>
            <w:r>
              <w:rPr>
                <w:rFonts w:hint="eastAsia"/>
                <w:color w:val="auto"/>
                <w:sz w:val="21"/>
                <w:szCs w:val="21"/>
                <w:highlight w:val="none"/>
                <w:lang w:val="en-US" w:eastAsia="zh-CN"/>
              </w:rPr>
              <w:t>4-19</w:t>
            </w:r>
            <w:r>
              <w:rPr>
                <w:color w:val="auto"/>
                <w:sz w:val="21"/>
                <w:szCs w:val="21"/>
                <w:highlight w:val="none"/>
              </w:rPr>
              <w:t xml:space="preserve">  环保“三同时”验收一览表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074"/>
              <w:gridCol w:w="974"/>
              <w:gridCol w:w="1968"/>
              <w:gridCol w:w="2571"/>
              <w:gridCol w:w="1459"/>
            </w:tblGrid>
            <w:tr w14:paraId="75AC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 w:type="pct"/>
                  <w:vAlign w:val="center"/>
                </w:tcPr>
                <w:p w14:paraId="42D0D9A6">
                  <w:pPr>
                    <w:pStyle w:val="55"/>
                    <w:spacing w:line="240" w:lineRule="auto"/>
                    <w:rPr>
                      <w:b/>
                      <w:bCs/>
                      <w:color w:val="auto"/>
                      <w:highlight w:val="none"/>
                    </w:rPr>
                  </w:pPr>
                  <w:r>
                    <w:rPr>
                      <w:b/>
                      <w:bCs/>
                      <w:color w:val="auto"/>
                      <w:highlight w:val="none"/>
                    </w:rPr>
                    <w:t>序号</w:t>
                  </w:r>
                </w:p>
              </w:tc>
              <w:tc>
                <w:tcPr>
                  <w:tcW w:w="642" w:type="pct"/>
                  <w:vAlign w:val="center"/>
                </w:tcPr>
                <w:p w14:paraId="3B66B1F4">
                  <w:pPr>
                    <w:pStyle w:val="55"/>
                    <w:spacing w:line="240" w:lineRule="auto"/>
                    <w:rPr>
                      <w:b/>
                      <w:bCs/>
                      <w:color w:val="auto"/>
                      <w:highlight w:val="none"/>
                    </w:rPr>
                  </w:pPr>
                  <w:r>
                    <w:rPr>
                      <w:b/>
                      <w:bCs/>
                      <w:color w:val="auto"/>
                      <w:spacing w:val="-6"/>
                      <w:highlight w:val="none"/>
                    </w:rPr>
                    <w:t>污染源分类</w:t>
                  </w:r>
                </w:p>
              </w:tc>
              <w:tc>
                <w:tcPr>
                  <w:tcW w:w="518" w:type="pct"/>
                  <w:vAlign w:val="center"/>
                </w:tcPr>
                <w:p w14:paraId="10EF5604">
                  <w:pPr>
                    <w:pStyle w:val="55"/>
                    <w:spacing w:line="240" w:lineRule="auto"/>
                    <w:rPr>
                      <w:b/>
                      <w:bCs/>
                      <w:color w:val="auto"/>
                      <w:highlight w:val="none"/>
                    </w:rPr>
                  </w:pPr>
                  <w:r>
                    <w:rPr>
                      <w:b/>
                      <w:bCs/>
                      <w:color w:val="auto"/>
                      <w:highlight w:val="none"/>
                    </w:rPr>
                    <w:t>验收监测因子</w:t>
                  </w:r>
                </w:p>
              </w:tc>
              <w:tc>
                <w:tcPr>
                  <w:tcW w:w="1166" w:type="pct"/>
                  <w:vAlign w:val="center"/>
                </w:tcPr>
                <w:p w14:paraId="3A9C438B">
                  <w:pPr>
                    <w:pStyle w:val="55"/>
                    <w:spacing w:line="240" w:lineRule="auto"/>
                    <w:rPr>
                      <w:b/>
                      <w:bCs/>
                      <w:color w:val="auto"/>
                      <w:highlight w:val="none"/>
                    </w:rPr>
                  </w:pPr>
                  <w:r>
                    <w:rPr>
                      <w:b/>
                      <w:bCs/>
                      <w:color w:val="auto"/>
                      <w:highlight w:val="none"/>
                    </w:rPr>
                    <w:t>环保措施</w:t>
                  </w:r>
                </w:p>
              </w:tc>
              <w:tc>
                <w:tcPr>
                  <w:tcW w:w="1520" w:type="pct"/>
                  <w:vAlign w:val="center"/>
                </w:tcPr>
                <w:p w14:paraId="7AC13244">
                  <w:pPr>
                    <w:pStyle w:val="55"/>
                    <w:spacing w:line="240" w:lineRule="auto"/>
                    <w:rPr>
                      <w:rFonts w:hint="eastAsia" w:eastAsia="宋体"/>
                      <w:b/>
                      <w:bCs/>
                      <w:color w:val="auto"/>
                      <w:highlight w:val="none"/>
                      <w:lang w:eastAsia="zh-CN"/>
                    </w:rPr>
                  </w:pPr>
                  <w:r>
                    <w:rPr>
                      <w:rFonts w:hint="eastAsia"/>
                      <w:b/>
                      <w:bCs/>
                      <w:color w:val="auto"/>
                      <w:highlight w:val="none"/>
                      <w:lang w:val="en-US" w:eastAsia="zh-CN"/>
                    </w:rPr>
                    <w:t>执行标准</w:t>
                  </w:r>
                </w:p>
              </w:tc>
              <w:tc>
                <w:tcPr>
                  <w:tcW w:w="867" w:type="pct"/>
                  <w:vAlign w:val="center"/>
                </w:tcPr>
                <w:p w14:paraId="08256F70">
                  <w:pPr>
                    <w:pStyle w:val="55"/>
                    <w:spacing w:line="240" w:lineRule="auto"/>
                    <w:rPr>
                      <w:rFonts w:hint="eastAsia" w:eastAsia="宋体"/>
                      <w:b/>
                      <w:bCs/>
                      <w:color w:val="auto"/>
                      <w:highlight w:val="none"/>
                      <w:lang w:val="en-US" w:eastAsia="zh-CN"/>
                    </w:rPr>
                  </w:pPr>
                  <w:r>
                    <w:rPr>
                      <w:rFonts w:hint="eastAsia"/>
                      <w:b/>
                      <w:bCs/>
                      <w:color w:val="auto"/>
                      <w:highlight w:val="none"/>
                      <w:lang w:val="en-US" w:eastAsia="zh-CN"/>
                    </w:rPr>
                    <w:t>排放限值</w:t>
                  </w:r>
                </w:p>
              </w:tc>
            </w:tr>
            <w:tr w14:paraId="3533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 w:type="pct"/>
                  <w:vMerge w:val="restart"/>
                  <w:vAlign w:val="center"/>
                </w:tcPr>
                <w:p w14:paraId="42875E2D">
                  <w:pPr>
                    <w:pStyle w:val="55"/>
                    <w:spacing w:line="240" w:lineRule="auto"/>
                    <w:rPr>
                      <w:color w:val="auto"/>
                      <w:highlight w:val="none"/>
                    </w:rPr>
                  </w:pPr>
                  <w:r>
                    <w:rPr>
                      <w:color w:val="auto"/>
                      <w:highlight w:val="none"/>
                    </w:rPr>
                    <w:t>1</w:t>
                  </w:r>
                </w:p>
              </w:tc>
              <w:tc>
                <w:tcPr>
                  <w:tcW w:w="642" w:type="pct"/>
                  <w:vAlign w:val="center"/>
                </w:tcPr>
                <w:p w14:paraId="09C6A5B5">
                  <w:pPr>
                    <w:pStyle w:val="55"/>
                    <w:spacing w:line="240" w:lineRule="auto"/>
                    <w:rPr>
                      <w:rFonts w:hint="default" w:eastAsia="宋体"/>
                      <w:color w:val="auto"/>
                      <w:highlight w:val="none"/>
                      <w:lang w:val="en-US" w:eastAsia="zh-CN"/>
                    </w:rPr>
                  </w:pPr>
                  <w:r>
                    <w:rPr>
                      <w:rFonts w:hint="eastAsia"/>
                      <w:color w:val="auto"/>
                      <w:highlight w:val="none"/>
                      <w:lang w:val="en-US" w:eastAsia="zh-CN"/>
                    </w:rPr>
                    <w:t>搅拌粉尘</w:t>
                  </w:r>
                </w:p>
              </w:tc>
              <w:tc>
                <w:tcPr>
                  <w:tcW w:w="518" w:type="pct"/>
                  <w:vMerge w:val="restart"/>
                  <w:vAlign w:val="center"/>
                </w:tcPr>
                <w:p w14:paraId="73D7E6DE">
                  <w:pPr>
                    <w:pStyle w:val="55"/>
                    <w:spacing w:line="240" w:lineRule="auto"/>
                    <w:rPr>
                      <w:rFonts w:hint="eastAsia" w:ascii="Times New Roman" w:hAnsi="Times New Roman" w:eastAsia="宋体" w:cs="Times New Roman"/>
                      <w:snapToGrid w:val="0"/>
                      <w:color w:val="auto"/>
                      <w:kern w:val="2"/>
                      <w:sz w:val="21"/>
                      <w:szCs w:val="21"/>
                      <w:highlight w:val="none"/>
                      <w:lang w:val="en-US" w:eastAsia="zh-CN" w:bidi="ar-SA"/>
                    </w:rPr>
                  </w:pPr>
                  <w:r>
                    <w:rPr>
                      <w:rFonts w:hint="eastAsia"/>
                      <w:color w:val="auto"/>
                      <w:highlight w:val="none"/>
                      <w:lang w:val="en-US" w:eastAsia="zh-CN"/>
                    </w:rPr>
                    <w:t>颗粒物</w:t>
                  </w:r>
                </w:p>
              </w:tc>
              <w:tc>
                <w:tcPr>
                  <w:tcW w:w="1166" w:type="pct"/>
                  <w:vAlign w:val="center"/>
                </w:tcPr>
                <w:p w14:paraId="3CF979A0">
                  <w:pPr>
                    <w:pStyle w:val="55"/>
                    <w:spacing w:line="240" w:lineRule="auto"/>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cs="Times New Roman"/>
                      <w:color w:val="auto"/>
                      <w:szCs w:val="21"/>
                      <w:highlight w:val="none"/>
                    </w:rPr>
                    <w:t>+</w:t>
                  </w:r>
                  <w:r>
                    <w:rPr>
                      <w:rFonts w:hint="eastAsia" w:eastAsia="宋体" w:cs="Times New Roman"/>
                      <w:color w:val="auto"/>
                      <w:szCs w:val="21"/>
                      <w:highlight w:val="none"/>
                      <w:lang w:val="en-US" w:eastAsia="zh-CN"/>
                    </w:rPr>
                    <w:t>脉冲</w:t>
                  </w:r>
                  <w:r>
                    <w:rPr>
                      <w:rFonts w:hint="default" w:ascii="Times New Roman" w:hAnsi="Times New Roman" w:cs="Times New Roman"/>
                      <w:color w:val="auto"/>
                      <w:szCs w:val="21"/>
                      <w:highlight w:val="none"/>
                    </w:rPr>
                    <w:t>布袋除尘+15m排气筒</w:t>
                  </w:r>
                  <w:r>
                    <w:rPr>
                      <w:rFonts w:hint="eastAsia" w:cs="Times New Roman"/>
                      <w:color w:val="auto"/>
                      <w:szCs w:val="21"/>
                      <w:highlight w:val="none"/>
                      <w:lang w:val="en-US" w:eastAsia="zh-CN"/>
                    </w:rPr>
                    <w:t>(DA001)</w:t>
                  </w:r>
                </w:p>
              </w:tc>
              <w:tc>
                <w:tcPr>
                  <w:tcW w:w="1520" w:type="pct"/>
                  <w:vAlign w:val="center"/>
                </w:tcPr>
                <w:p w14:paraId="370981E5">
                  <w:pPr>
                    <w:adjustRightInd w:val="0"/>
                    <w:snapToGrid w:val="0"/>
                    <w:spacing w:line="240" w:lineRule="auto"/>
                    <w:jc w:val="center"/>
                    <w:rPr>
                      <w:rFonts w:ascii="Times New Roman" w:hAnsi="Times New Roman" w:eastAsia="宋体" w:cs="Times New Roman"/>
                      <w:snapToGrid w:val="0"/>
                      <w:color w:val="auto"/>
                      <w:kern w:val="2"/>
                      <w:sz w:val="21"/>
                      <w:szCs w:val="21"/>
                      <w:highlight w:val="none"/>
                      <w:lang w:val="en-US" w:eastAsia="zh-CN" w:bidi="ar-SA"/>
                    </w:rPr>
                  </w:pPr>
                  <w:r>
                    <w:rPr>
                      <w:rFonts w:hint="eastAsia"/>
                      <w:color w:val="auto"/>
                      <w:spacing w:val="0"/>
                      <w:sz w:val="21"/>
                      <w:szCs w:val="21"/>
                    </w:rPr>
                    <w:t>《水泥工业大气污染物排放标准》（GB4915-2013）表</w:t>
                  </w:r>
                  <w:r>
                    <w:rPr>
                      <w:rFonts w:hint="eastAsia"/>
                      <w:color w:val="auto"/>
                      <w:spacing w:val="0"/>
                      <w:sz w:val="21"/>
                      <w:szCs w:val="21"/>
                      <w:lang w:val="en-US" w:eastAsia="zh-CN"/>
                    </w:rPr>
                    <w:t>1</w:t>
                  </w:r>
                  <w:r>
                    <w:rPr>
                      <w:rFonts w:hint="eastAsia"/>
                      <w:color w:val="auto"/>
                      <w:spacing w:val="0"/>
                      <w:sz w:val="21"/>
                      <w:szCs w:val="21"/>
                    </w:rPr>
                    <w:t>大气污染物排放限值</w:t>
                  </w:r>
                </w:p>
              </w:tc>
              <w:tc>
                <w:tcPr>
                  <w:tcW w:w="867" w:type="pct"/>
                  <w:vAlign w:val="center"/>
                </w:tcPr>
                <w:p w14:paraId="2491969A">
                  <w:pPr>
                    <w:adjustRightInd w:val="0"/>
                    <w:snapToGrid w:val="0"/>
                    <w:spacing w:line="240" w:lineRule="auto"/>
                    <w:jc w:val="center"/>
                    <w:rPr>
                      <w:rFonts w:hint="default" w:ascii="Times New Roman" w:hAnsi="Times New Roman" w:cs="Times New Roman"/>
                      <w:snapToGrid w:val="0"/>
                      <w:color w:val="auto"/>
                      <w:kern w:val="0"/>
                      <w:szCs w:val="21"/>
                      <w:highlight w:val="none"/>
                    </w:rPr>
                  </w:pPr>
                  <w:r>
                    <w:rPr>
                      <w:rFonts w:hint="eastAsia" w:ascii="TimesNewRomanPSMT" w:hAnsi="TimesNewRomanPSMT" w:eastAsia="宋体" w:cs="TimesNewRomanPSMT"/>
                      <w:b w:val="0"/>
                      <w:bCs w:val="0"/>
                      <w:color w:val="000000"/>
                      <w:sz w:val="20"/>
                      <w:szCs w:val="20"/>
                      <w:lang w:val="en-US" w:eastAsia="zh-CN"/>
                    </w:rPr>
                    <w:t>20</w:t>
                  </w:r>
                  <w:r>
                    <w:rPr>
                      <w:rFonts w:ascii="TimesNewRomanPSMT" w:hAnsi="TimesNewRomanPSMT" w:eastAsia="TimesNewRomanPSMT" w:cs="TimesNewRomanPSMT"/>
                      <w:b w:val="0"/>
                      <w:bCs w:val="0"/>
                      <w:color w:val="000000"/>
                      <w:sz w:val="20"/>
                      <w:szCs w:val="20"/>
                    </w:rPr>
                    <w:t>mg/m</w:t>
                  </w:r>
                  <w:r>
                    <w:rPr>
                      <w:rFonts w:hint="default" w:ascii="TimesNewRomanPSMT" w:hAnsi="TimesNewRomanPSMT" w:eastAsia="TimesNewRomanPSMT" w:cs="TimesNewRomanPSMT"/>
                      <w:b w:val="0"/>
                      <w:bCs w:val="0"/>
                      <w:color w:val="000000"/>
                      <w:sz w:val="18"/>
                      <w:szCs w:val="18"/>
                      <w:vertAlign w:val="superscript"/>
                    </w:rPr>
                    <w:t>3</w:t>
                  </w:r>
                  <w:r>
                    <w:rPr>
                      <w:rFonts w:hint="default" w:ascii="TimesNewRomanPSMT" w:hAnsi="TimesNewRomanPSMT" w:eastAsia="TimesNewRomanPSMT" w:cs="TimesNewRomanPSMT"/>
                      <w:b w:val="0"/>
                      <w:bCs w:val="0"/>
                      <w:color w:val="000000"/>
                      <w:sz w:val="18"/>
                      <w:szCs w:val="18"/>
                    </w:rPr>
                    <w:t xml:space="preserve"> </w:t>
                  </w:r>
                </w:p>
              </w:tc>
            </w:tr>
            <w:tr w14:paraId="620B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 w:type="pct"/>
                  <w:vMerge w:val="continue"/>
                  <w:vAlign w:val="center"/>
                </w:tcPr>
                <w:p w14:paraId="13542102">
                  <w:pPr>
                    <w:pStyle w:val="55"/>
                    <w:spacing w:line="240" w:lineRule="auto"/>
                    <w:rPr>
                      <w:color w:val="auto"/>
                      <w:highlight w:val="none"/>
                    </w:rPr>
                  </w:pPr>
                </w:p>
              </w:tc>
              <w:tc>
                <w:tcPr>
                  <w:tcW w:w="642" w:type="pct"/>
                  <w:vAlign w:val="center"/>
                </w:tcPr>
                <w:p w14:paraId="43B8F086">
                  <w:pPr>
                    <w:pStyle w:val="55"/>
                    <w:spacing w:line="240" w:lineRule="auto"/>
                    <w:rPr>
                      <w:rFonts w:hint="default" w:eastAsia="宋体"/>
                      <w:color w:val="auto"/>
                      <w:highlight w:val="none"/>
                      <w:lang w:val="en-US" w:eastAsia="zh-CN"/>
                    </w:rPr>
                  </w:pPr>
                  <w:r>
                    <w:rPr>
                      <w:rFonts w:hint="eastAsia"/>
                      <w:color w:val="auto"/>
                      <w:highlight w:val="none"/>
                      <w:lang w:val="en-US" w:eastAsia="zh-CN"/>
                    </w:rPr>
                    <w:t>筒仓粉尘</w:t>
                  </w:r>
                </w:p>
              </w:tc>
              <w:tc>
                <w:tcPr>
                  <w:tcW w:w="518" w:type="pct"/>
                  <w:vMerge w:val="continue"/>
                  <w:vAlign w:val="center"/>
                </w:tcPr>
                <w:p w14:paraId="7794A563">
                  <w:pPr>
                    <w:pStyle w:val="55"/>
                    <w:spacing w:line="240" w:lineRule="auto"/>
                    <w:rPr>
                      <w:rFonts w:hint="default"/>
                      <w:color w:val="auto"/>
                      <w:highlight w:val="none"/>
                      <w:lang w:val="en-US" w:eastAsia="zh-CN"/>
                    </w:rPr>
                  </w:pPr>
                </w:p>
              </w:tc>
              <w:tc>
                <w:tcPr>
                  <w:tcW w:w="1166" w:type="pct"/>
                  <w:vAlign w:val="center"/>
                </w:tcPr>
                <w:p w14:paraId="191A7DEA">
                  <w:pPr>
                    <w:pStyle w:val="55"/>
                    <w:spacing w:line="240" w:lineRule="auto"/>
                    <w:rPr>
                      <w:rFonts w:hint="default" w:cs="Times New Roman"/>
                      <w:color w:val="auto"/>
                      <w:szCs w:val="21"/>
                      <w:highlight w:val="none"/>
                      <w:lang w:val="en-US" w:eastAsia="zh-CN"/>
                    </w:rPr>
                  </w:pPr>
                  <w:r>
                    <w:rPr>
                      <w:rFonts w:hint="eastAsia" w:cs="Times New Roman"/>
                      <w:color w:val="auto"/>
                      <w:szCs w:val="21"/>
                      <w:highlight w:val="none"/>
                      <w:lang w:val="en-US" w:eastAsia="zh-CN"/>
                    </w:rPr>
                    <w:t>设备自带脉冲布袋除尘器</w:t>
                  </w:r>
                </w:p>
              </w:tc>
              <w:tc>
                <w:tcPr>
                  <w:tcW w:w="1520" w:type="pct"/>
                  <w:vMerge w:val="restart"/>
                  <w:vAlign w:val="center"/>
                </w:tcPr>
                <w:p w14:paraId="5C141DD4">
                  <w:pPr>
                    <w:adjustRightInd w:val="0"/>
                    <w:snapToGrid w:val="0"/>
                    <w:spacing w:line="240" w:lineRule="auto"/>
                    <w:jc w:val="center"/>
                    <w:rPr>
                      <w:rFonts w:hint="eastAsia" w:ascii="Times New Roman" w:hAnsi="Times New Roman" w:eastAsia="宋体" w:cs="Times New Roman"/>
                      <w:snapToGrid w:val="0"/>
                      <w:color w:val="auto"/>
                      <w:kern w:val="0"/>
                      <w:szCs w:val="21"/>
                      <w:highlight w:val="none"/>
                      <w:lang w:val="en-US" w:eastAsia="zh-CN"/>
                    </w:rPr>
                  </w:pPr>
                  <w:r>
                    <w:rPr>
                      <w:rFonts w:hint="eastAsia"/>
                      <w:color w:val="auto"/>
                      <w:spacing w:val="0"/>
                      <w:sz w:val="21"/>
                      <w:szCs w:val="21"/>
                    </w:rPr>
                    <w:t>《水泥工业大气污染物排放标准》（GB4915-2013）表3大气污染物无组织排放限值</w:t>
                  </w:r>
                </w:p>
              </w:tc>
              <w:tc>
                <w:tcPr>
                  <w:tcW w:w="867" w:type="pct"/>
                  <w:vMerge w:val="restart"/>
                  <w:vAlign w:val="center"/>
                </w:tcPr>
                <w:p w14:paraId="2F8DBC90">
                  <w:pPr>
                    <w:adjustRightInd w:val="0"/>
                    <w:snapToGrid w:val="0"/>
                    <w:spacing w:line="240" w:lineRule="auto"/>
                    <w:jc w:val="center"/>
                    <w:rPr>
                      <w:rFonts w:hint="default" w:ascii="TimesNewRomanPSMT" w:hAnsi="TimesNewRomanPSMT" w:eastAsia="宋体" w:cs="TimesNewRomanPSMT"/>
                      <w:b w:val="0"/>
                      <w:bCs w:val="0"/>
                      <w:color w:val="000000"/>
                      <w:sz w:val="20"/>
                      <w:szCs w:val="20"/>
                      <w:lang w:val="en-US" w:eastAsia="zh-CN"/>
                    </w:rPr>
                  </w:pPr>
                  <w:r>
                    <w:rPr>
                      <w:rFonts w:hint="eastAsia" w:ascii="TimesNewRomanPSMT" w:hAnsi="TimesNewRomanPSMT" w:cs="TimesNewRomanPSMT"/>
                      <w:b w:val="0"/>
                      <w:bCs w:val="0"/>
                      <w:color w:val="000000"/>
                      <w:sz w:val="20"/>
                      <w:szCs w:val="20"/>
                      <w:lang w:val="en-US" w:eastAsia="zh-CN"/>
                    </w:rPr>
                    <w:t>0.5</w:t>
                  </w:r>
                  <w:r>
                    <w:rPr>
                      <w:rFonts w:ascii="TimesNewRomanPSMT" w:hAnsi="TimesNewRomanPSMT" w:eastAsia="TimesNewRomanPSMT" w:cs="TimesNewRomanPSMT"/>
                      <w:b w:val="0"/>
                      <w:bCs w:val="0"/>
                      <w:color w:val="000000"/>
                      <w:sz w:val="20"/>
                      <w:szCs w:val="20"/>
                    </w:rPr>
                    <w:t>mg/m</w:t>
                  </w:r>
                  <w:r>
                    <w:rPr>
                      <w:rFonts w:hint="default" w:ascii="TimesNewRomanPSMT" w:hAnsi="TimesNewRomanPSMT" w:eastAsia="TimesNewRomanPSMT" w:cs="TimesNewRomanPSMT"/>
                      <w:b w:val="0"/>
                      <w:bCs w:val="0"/>
                      <w:color w:val="000000"/>
                      <w:sz w:val="18"/>
                      <w:szCs w:val="18"/>
                      <w:vertAlign w:val="superscript"/>
                    </w:rPr>
                    <w:t>3</w:t>
                  </w:r>
                </w:p>
              </w:tc>
            </w:tr>
            <w:tr w14:paraId="4A60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83" w:type="pct"/>
                  <w:vMerge w:val="continue"/>
                  <w:vAlign w:val="center"/>
                </w:tcPr>
                <w:p w14:paraId="224F2115">
                  <w:pPr>
                    <w:pStyle w:val="55"/>
                    <w:spacing w:line="240" w:lineRule="auto"/>
                    <w:rPr>
                      <w:color w:val="auto"/>
                      <w:highlight w:val="none"/>
                    </w:rPr>
                  </w:pPr>
                </w:p>
              </w:tc>
              <w:tc>
                <w:tcPr>
                  <w:tcW w:w="642" w:type="pct"/>
                  <w:vAlign w:val="center"/>
                </w:tcPr>
                <w:p w14:paraId="36010248">
                  <w:pPr>
                    <w:pStyle w:val="55"/>
                    <w:spacing w:line="240" w:lineRule="auto"/>
                    <w:rPr>
                      <w:rFonts w:hint="eastAsia"/>
                      <w:color w:val="auto"/>
                      <w:highlight w:val="none"/>
                      <w:lang w:val="en-US" w:eastAsia="zh-CN"/>
                    </w:rPr>
                  </w:pPr>
                  <w:r>
                    <w:rPr>
                      <w:rFonts w:hint="eastAsia"/>
                      <w:color w:val="auto"/>
                      <w:highlight w:val="none"/>
                      <w:lang w:val="en-US" w:eastAsia="zh-CN"/>
                    </w:rPr>
                    <w:t>料场扬尘及装卸扬尘</w:t>
                  </w:r>
                </w:p>
              </w:tc>
              <w:tc>
                <w:tcPr>
                  <w:tcW w:w="518" w:type="pct"/>
                  <w:vMerge w:val="continue"/>
                  <w:vAlign w:val="center"/>
                </w:tcPr>
                <w:p w14:paraId="11120E52">
                  <w:pPr>
                    <w:pStyle w:val="55"/>
                    <w:spacing w:line="240" w:lineRule="auto"/>
                    <w:rPr>
                      <w:rFonts w:hint="default"/>
                      <w:color w:val="auto"/>
                      <w:highlight w:val="none"/>
                      <w:lang w:val="en-US" w:eastAsia="zh-CN"/>
                    </w:rPr>
                  </w:pPr>
                </w:p>
              </w:tc>
              <w:tc>
                <w:tcPr>
                  <w:tcW w:w="1166" w:type="pct"/>
                  <w:vAlign w:val="center"/>
                </w:tcPr>
                <w:p w14:paraId="2FBF3BCD">
                  <w:pPr>
                    <w:pStyle w:val="55"/>
                    <w:spacing w:line="240" w:lineRule="auto"/>
                    <w:rPr>
                      <w:rFonts w:hint="eastAsia" w:cs="Times New Roman"/>
                      <w:color w:val="auto"/>
                      <w:szCs w:val="21"/>
                      <w:highlight w:val="none"/>
                      <w:lang w:val="en-US" w:eastAsia="zh-CN"/>
                    </w:rPr>
                  </w:pPr>
                  <w:r>
                    <w:rPr>
                      <w:rFonts w:hint="eastAsia"/>
                      <w:color w:val="auto"/>
                      <w:sz w:val="21"/>
                      <w:szCs w:val="21"/>
                      <w:lang w:val="en-US" w:eastAsia="zh-CN"/>
                    </w:rPr>
                    <w:t>半封闭式料场</w:t>
                  </w:r>
                  <w:r>
                    <w:rPr>
                      <w:rFonts w:hint="eastAsia"/>
                      <w:color w:val="auto"/>
                      <w:sz w:val="21"/>
                      <w:szCs w:val="21"/>
                    </w:rPr>
                    <w:t>，</w:t>
                  </w:r>
                  <w:r>
                    <w:rPr>
                      <w:rFonts w:hint="eastAsia"/>
                      <w:color w:val="auto"/>
                      <w:sz w:val="21"/>
                      <w:szCs w:val="21"/>
                      <w:lang w:val="en-US" w:eastAsia="zh-CN"/>
                    </w:rPr>
                    <w:t>篷布覆盖、</w:t>
                  </w:r>
                  <w:r>
                    <w:rPr>
                      <w:rFonts w:hint="eastAsia"/>
                      <w:color w:val="auto"/>
                      <w:sz w:val="21"/>
                      <w:szCs w:val="21"/>
                    </w:rPr>
                    <w:t>洒水降尘</w:t>
                  </w:r>
                </w:p>
              </w:tc>
              <w:tc>
                <w:tcPr>
                  <w:tcW w:w="1520" w:type="pct"/>
                  <w:vMerge w:val="continue"/>
                  <w:vAlign w:val="center"/>
                </w:tcPr>
                <w:p w14:paraId="34C713CC">
                  <w:pPr>
                    <w:adjustRightInd w:val="0"/>
                    <w:snapToGrid w:val="0"/>
                    <w:spacing w:line="240" w:lineRule="auto"/>
                    <w:jc w:val="center"/>
                    <w:rPr>
                      <w:rFonts w:hint="default" w:ascii="Times New Roman" w:hAnsi="Times New Roman" w:cs="Times New Roman"/>
                      <w:snapToGrid w:val="0"/>
                      <w:color w:val="auto"/>
                      <w:kern w:val="0"/>
                      <w:szCs w:val="21"/>
                      <w:highlight w:val="none"/>
                    </w:rPr>
                  </w:pPr>
                </w:p>
              </w:tc>
              <w:tc>
                <w:tcPr>
                  <w:tcW w:w="867" w:type="pct"/>
                  <w:vMerge w:val="continue"/>
                  <w:vAlign w:val="center"/>
                </w:tcPr>
                <w:p w14:paraId="00EDF3EC">
                  <w:pPr>
                    <w:adjustRightInd w:val="0"/>
                    <w:snapToGrid w:val="0"/>
                    <w:spacing w:line="240" w:lineRule="auto"/>
                    <w:jc w:val="center"/>
                    <w:rPr>
                      <w:rFonts w:hint="eastAsia" w:ascii="TimesNewRomanPSMT" w:hAnsi="TimesNewRomanPSMT" w:eastAsia="宋体" w:cs="TimesNewRomanPSMT"/>
                      <w:b w:val="0"/>
                      <w:bCs w:val="0"/>
                      <w:color w:val="000000"/>
                      <w:sz w:val="20"/>
                      <w:szCs w:val="20"/>
                      <w:lang w:val="en-US" w:eastAsia="zh-CN"/>
                    </w:rPr>
                  </w:pPr>
                </w:p>
              </w:tc>
            </w:tr>
            <w:tr w14:paraId="0AF3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83" w:type="pct"/>
                  <w:vMerge w:val="continue"/>
                  <w:vAlign w:val="center"/>
                </w:tcPr>
                <w:p w14:paraId="2C45E1C2">
                  <w:pPr>
                    <w:pStyle w:val="55"/>
                    <w:spacing w:line="240" w:lineRule="auto"/>
                    <w:rPr>
                      <w:color w:val="auto"/>
                      <w:highlight w:val="none"/>
                    </w:rPr>
                  </w:pPr>
                </w:p>
              </w:tc>
              <w:tc>
                <w:tcPr>
                  <w:tcW w:w="642" w:type="pct"/>
                  <w:vAlign w:val="center"/>
                </w:tcPr>
                <w:p w14:paraId="11F50B6C">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运输扬尘</w:t>
                  </w:r>
                </w:p>
              </w:tc>
              <w:tc>
                <w:tcPr>
                  <w:tcW w:w="518" w:type="pct"/>
                  <w:vMerge w:val="continue"/>
                  <w:vAlign w:val="center"/>
                </w:tcPr>
                <w:p w14:paraId="123AC75D">
                  <w:pPr>
                    <w:jc w:val="center"/>
                    <w:rPr>
                      <w:rFonts w:hint="eastAsia" w:ascii="Times New Roman" w:hAnsi="Times New Roman" w:eastAsia="宋体" w:cs="Times New Roman"/>
                      <w:color w:val="auto"/>
                      <w:kern w:val="2"/>
                      <w:sz w:val="21"/>
                      <w:szCs w:val="21"/>
                      <w:lang w:val="en-US" w:eastAsia="zh-CN" w:bidi="ar-SA"/>
                    </w:rPr>
                  </w:pPr>
                </w:p>
              </w:tc>
              <w:tc>
                <w:tcPr>
                  <w:tcW w:w="1166" w:type="pct"/>
                  <w:vAlign w:val="center"/>
                </w:tcPr>
                <w:p w14:paraId="11802105">
                  <w:pPr>
                    <w:pStyle w:val="55"/>
                    <w:spacing w:line="240" w:lineRule="auto"/>
                    <w:rPr>
                      <w:rFonts w:hint="eastAsia" w:cs="Times New Roman"/>
                      <w:color w:val="auto"/>
                      <w:szCs w:val="21"/>
                      <w:highlight w:val="none"/>
                      <w:lang w:val="en-US" w:eastAsia="zh-CN"/>
                    </w:rPr>
                  </w:pPr>
                  <w:r>
                    <w:rPr>
                      <w:rFonts w:hint="eastAsia"/>
                      <w:color w:val="auto"/>
                      <w:sz w:val="21"/>
                      <w:szCs w:val="21"/>
                    </w:rPr>
                    <w:t>运输车辆要封闭遮盖，粉料采用密闭罐车运输，车辆清洗，地面洒水降尘、及时清扫</w:t>
                  </w:r>
                </w:p>
              </w:tc>
              <w:tc>
                <w:tcPr>
                  <w:tcW w:w="1520" w:type="pct"/>
                  <w:vMerge w:val="continue"/>
                  <w:vAlign w:val="center"/>
                </w:tcPr>
                <w:p w14:paraId="5E1D3D0F">
                  <w:pPr>
                    <w:adjustRightInd w:val="0"/>
                    <w:snapToGrid w:val="0"/>
                    <w:spacing w:line="240" w:lineRule="auto"/>
                    <w:jc w:val="center"/>
                    <w:rPr>
                      <w:rFonts w:hint="default" w:ascii="Times New Roman" w:hAnsi="Times New Roman" w:cs="Times New Roman"/>
                      <w:snapToGrid w:val="0"/>
                      <w:color w:val="auto"/>
                      <w:kern w:val="0"/>
                      <w:szCs w:val="21"/>
                      <w:highlight w:val="none"/>
                    </w:rPr>
                  </w:pPr>
                </w:p>
              </w:tc>
              <w:tc>
                <w:tcPr>
                  <w:tcW w:w="867" w:type="pct"/>
                  <w:vMerge w:val="continue"/>
                  <w:vAlign w:val="center"/>
                </w:tcPr>
                <w:p w14:paraId="45E70529">
                  <w:pPr>
                    <w:adjustRightInd w:val="0"/>
                    <w:snapToGrid w:val="0"/>
                    <w:spacing w:line="240" w:lineRule="auto"/>
                    <w:jc w:val="center"/>
                    <w:rPr>
                      <w:rFonts w:hint="eastAsia" w:ascii="TimesNewRomanPSMT" w:hAnsi="TimesNewRomanPSMT" w:eastAsia="宋体" w:cs="TimesNewRomanPSMT"/>
                      <w:b w:val="0"/>
                      <w:bCs w:val="0"/>
                      <w:color w:val="000000"/>
                      <w:sz w:val="20"/>
                      <w:szCs w:val="20"/>
                      <w:lang w:val="en-US" w:eastAsia="zh-CN"/>
                    </w:rPr>
                  </w:pPr>
                </w:p>
              </w:tc>
            </w:tr>
            <w:tr w14:paraId="6E98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83" w:type="pct"/>
                  <w:vMerge w:val="continue"/>
                  <w:vAlign w:val="center"/>
                </w:tcPr>
                <w:p w14:paraId="7079C991">
                  <w:pPr>
                    <w:pStyle w:val="55"/>
                    <w:spacing w:line="240" w:lineRule="auto"/>
                    <w:rPr>
                      <w:color w:val="auto"/>
                      <w:highlight w:val="none"/>
                    </w:rPr>
                  </w:pPr>
                </w:p>
              </w:tc>
              <w:tc>
                <w:tcPr>
                  <w:tcW w:w="642" w:type="pct"/>
                  <w:vAlign w:val="center"/>
                </w:tcPr>
                <w:p w14:paraId="2E1B3679">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廊道运输</w:t>
                  </w:r>
                </w:p>
              </w:tc>
              <w:tc>
                <w:tcPr>
                  <w:tcW w:w="518" w:type="pct"/>
                  <w:vMerge w:val="continue"/>
                  <w:vAlign w:val="center"/>
                </w:tcPr>
                <w:p w14:paraId="42268845">
                  <w:pPr>
                    <w:jc w:val="center"/>
                    <w:rPr>
                      <w:rFonts w:hint="eastAsia" w:ascii="Times New Roman" w:hAnsi="Times New Roman" w:eastAsia="宋体" w:cs="Times New Roman"/>
                      <w:color w:val="auto"/>
                      <w:kern w:val="2"/>
                      <w:sz w:val="21"/>
                      <w:szCs w:val="21"/>
                      <w:lang w:val="en-US" w:eastAsia="zh-CN" w:bidi="ar-SA"/>
                    </w:rPr>
                  </w:pPr>
                </w:p>
              </w:tc>
              <w:tc>
                <w:tcPr>
                  <w:tcW w:w="1166" w:type="pct"/>
                  <w:vAlign w:val="center"/>
                </w:tcPr>
                <w:p w14:paraId="2F8028CF">
                  <w:pPr>
                    <w:pStyle w:val="55"/>
                    <w:spacing w:line="240" w:lineRule="auto"/>
                    <w:rPr>
                      <w:rFonts w:hint="eastAsia" w:cs="Times New Roman"/>
                      <w:color w:val="auto"/>
                      <w:szCs w:val="21"/>
                      <w:highlight w:val="none"/>
                      <w:lang w:val="en-US" w:eastAsia="zh-CN"/>
                    </w:rPr>
                  </w:pPr>
                  <w:r>
                    <w:rPr>
                      <w:rFonts w:hint="eastAsia"/>
                      <w:color w:val="auto"/>
                      <w:sz w:val="21"/>
                      <w:szCs w:val="21"/>
                    </w:rPr>
                    <w:t>廊道密闭</w:t>
                  </w:r>
                </w:p>
              </w:tc>
              <w:tc>
                <w:tcPr>
                  <w:tcW w:w="1520" w:type="pct"/>
                  <w:vMerge w:val="continue"/>
                  <w:vAlign w:val="center"/>
                </w:tcPr>
                <w:p w14:paraId="035471C2">
                  <w:pPr>
                    <w:adjustRightInd w:val="0"/>
                    <w:snapToGrid w:val="0"/>
                    <w:spacing w:line="240" w:lineRule="auto"/>
                    <w:jc w:val="center"/>
                    <w:rPr>
                      <w:rFonts w:hint="default" w:ascii="Times New Roman" w:hAnsi="Times New Roman" w:cs="Times New Roman"/>
                      <w:snapToGrid w:val="0"/>
                      <w:color w:val="auto"/>
                      <w:kern w:val="0"/>
                      <w:szCs w:val="21"/>
                      <w:highlight w:val="none"/>
                    </w:rPr>
                  </w:pPr>
                </w:p>
              </w:tc>
              <w:tc>
                <w:tcPr>
                  <w:tcW w:w="867" w:type="pct"/>
                  <w:vMerge w:val="continue"/>
                  <w:vAlign w:val="center"/>
                </w:tcPr>
                <w:p w14:paraId="5D04C3C8">
                  <w:pPr>
                    <w:adjustRightInd w:val="0"/>
                    <w:snapToGrid w:val="0"/>
                    <w:spacing w:line="240" w:lineRule="auto"/>
                    <w:jc w:val="center"/>
                    <w:rPr>
                      <w:rFonts w:hint="eastAsia" w:ascii="TimesNewRomanPSMT" w:hAnsi="TimesNewRomanPSMT" w:eastAsia="宋体" w:cs="TimesNewRomanPSMT"/>
                      <w:b w:val="0"/>
                      <w:bCs w:val="0"/>
                      <w:color w:val="000000"/>
                      <w:sz w:val="20"/>
                      <w:szCs w:val="20"/>
                      <w:lang w:val="en-US" w:eastAsia="zh-CN"/>
                    </w:rPr>
                  </w:pPr>
                </w:p>
              </w:tc>
            </w:tr>
            <w:tr w14:paraId="4867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 w:type="pct"/>
                  <w:vMerge w:val="continue"/>
                  <w:vAlign w:val="center"/>
                </w:tcPr>
                <w:p w14:paraId="2865218D">
                  <w:pPr>
                    <w:pStyle w:val="55"/>
                    <w:spacing w:line="240" w:lineRule="auto"/>
                    <w:rPr>
                      <w:color w:val="auto"/>
                      <w:highlight w:val="none"/>
                    </w:rPr>
                  </w:pPr>
                </w:p>
              </w:tc>
              <w:tc>
                <w:tcPr>
                  <w:tcW w:w="642" w:type="pct"/>
                  <w:vAlign w:val="center"/>
                </w:tcPr>
                <w:p w14:paraId="7B2EDA23">
                  <w:pPr>
                    <w:pStyle w:val="55"/>
                    <w:spacing w:line="240" w:lineRule="auto"/>
                    <w:rPr>
                      <w:rFonts w:hint="eastAsia" w:eastAsia="宋体"/>
                      <w:color w:val="auto"/>
                      <w:highlight w:val="none"/>
                      <w:lang w:val="en-US" w:eastAsia="zh-CN"/>
                    </w:rPr>
                  </w:pPr>
                  <w:r>
                    <w:rPr>
                      <w:rFonts w:hint="eastAsia"/>
                      <w:color w:val="auto"/>
                      <w:highlight w:val="none"/>
                      <w:lang w:val="en-US" w:eastAsia="zh-CN"/>
                    </w:rPr>
                    <w:t>食堂油烟</w:t>
                  </w:r>
                </w:p>
              </w:tc>
              <w:tc>
                <w:tcPr>
                  <w:tcW w:w="518" w:type="pct"/>
                  <w:vAlign w:val="center"/>
                </w:tcPr>
                <w:p w14:paraId="304723BF">
                  <w:pPr>
                    <w:pStyle w:val="55"/>
                    <w:spacing w:line="240" w:lineRule="auto"/>
                    <w:rPr>
                      <w:rFonts w:hint="default"/>
                      <w:color w:val="auto"/>
                      <w:highlight w:val="none"/>
                      <w:lang w:val="en-US" w:eastAsia="zh-CN"/>
                    </w:rPr>
                  </w:pPr>
                  <w:r>
                    <w:rPr>
                      <w:rFonts w:hint="eastAsia"/>
                      <w:color w:val="auto"/>
                      <w:highlight w:val="none"/>
                      <w:lang w:val="en-US" w:eastAsia="zh-CN"/>
                    </w:rPr>
                    <w:t>食堂油烟</w:t>
                  </w:r>
                </w:p>
              </w:tc>
              <w:tc>
                <w:tcPr>
                  <w:tcW w:w="1166" w:type="pct"/>
                  <w:vAlign w:val="center"/>
                </w:tcPr>
                <w:p w14:paraId="6760C4B9">
                  <w:pPr>
                    <w:pStyle w:val="55"/>
                    <w:spacing w:line="240" w:lineRule="auto"/>
                    <w:rPr>
                      <w:rFonts w:hint="default" w:cs="Times New Roman"/>
                      <w:color w:val="auto"/>
                      <w:szCs w:val="21"/>
                      <w:highlight w:val="none"/>
                      <w:lang w:val="en-US" w:eastAsia="zh-CN"/>
                    </w:rPr>
                  </w:pPr>
                  <w:r>
                    <w:rPr>
                      <w:rFonts w:hint="eastAsia" w:cs="Times New Roman"/>
                      <w:color w:val="auto"/>
                      <w:szCs w:val="21"/>
                      <w:highlight w:val="none"/>
                      <w:lang w:val="en-US" w:eastAsia="zh-CN"/>
                    </w:rPr>
                    <w:t>食堂油烟净化器+专用烟道</w:t>
                  </w:r>
                </w:p>
              </w:tc>
              <w:tc>
                <w:tcPr>
                  <w:tcW w:w="1520" w:type="pct"/>
                  <w:vAlign w:val="center"/>
                </w:tcPr>
                <w:p w14:paraId="644DCCBE">
                  <w:pPr>
                    <w:adjustRightInd w:val="0"/>
                    <w:snapToGrid w:val="0"/>
                    <w:spacing w:line="240" w:lineRule="auto"/>
                    <w:jc w:val="center"/>
                    <w:rPr>
                      <w:rFonts w:hint="eastAsia" w:ascii="Times New Roman" w:hAnsi="Times New Roman" w:eastAsia="宋体" w:cs="Times New Roman"/>
                      <w:snapToGrid w:val="0"/>
                      <w:color w:val="auto"/>
                      <w:kern w:val="0"/>
                      <w:szCs w:val="21"/>
                      <w:highlight w:val="none"/>
                      <w:lang w:eastAsia="zh-CN"/>
                    </w:rPr>
                  </w:pPr>
                  <w:r>
                    <w:rPr>
                      <w:rFonts w:hint="eastAsia" w:cs="Times New Roman"/>
                      <w:snapToGrid w:val="0"/>
                      <w:color w:val="auto"/>
                      <w:kern w:val="0"/>
                      <w:szCs w:val="21"/>
                      <w:highlight w:val="none"/>
                      <w:lang w:val="en-US" w:eastAsia="zh-CN"/>
                    </w:rPr>
                    <w:t>/</w:t>
                  </w:r>
                </w:p>
              </w:tc>
              <w:tc>
                <w:tcPr>
                  <w:tcW w:w="867" w:type="pct"/>
                  <w:vAlign w:val="center"/>
                </w:tcPr>
                <w:p w14:paraId="22C9D276">
                  <w:pPr>
                    <w:adjustRightInd w:val="0"/>
                    <w:snapToGrid w:val="0"/>
                    <w:spacing w:line="240" w:lineRule="auto"/>
                    <w:jc w:val="center"/>
                    <w:rPr>
                      <w:rFonts w:ascii="TimesNewRomanPSMT" w:hAnsi="TimesNewRomanPSMT" w:eastAsia="TimesNewRomanPSMT" w:cs="TimesNewRomanPSMT"/>
                      <w:b w:val="0"/>
                      <w:bCs w:val="0"/>
                      <w:color w:val="000000"/>
                      <w:sz w:val="20"/>
                      <w:szCs w:val="20"/>
                    </w:rPr>
                  </w:pPr>
                  <w:r>
                    <w:rPr>
                      <w:rFonts w:hint="eastAsia" w:ascii="TimesNewRomanPSMT" w:hAnsi="TimesNewRomanPSMT" w:cs="TimesNewRomanPSMT"/>
                      <w:b w:val="0"/>
                      <w:bCs w:val="0"/>
                      <w:color w:val="000000"/>
                      <w:sz w:val="20"/>
                      <w:szCs w:val="20"/>
                      <w:lang w:val="en-US" w:eastAsia="zh-CN"/>
                    </w:rPr>
                    <w:t>/</w:t>
                  </w:r>
                </w:p>
              </w:tc>
            </w:tr>
            <w:tr w14:paraId="47C0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 w:type="pct"/>
                  <w:vMerge w:val="restart"/>
                  <w:vAlign w:val="center"/>
                </w:tcPr>
                <w:p w14:paraId="000FD0BF">
                  <w:pPr>
                    <w:pStyle w:val="55"/>
                    <w:spacing w:line="240" w:lineRule="auto"/>
                    <w:rPr>
                      <w:color w:val="auto"/>
                      <w:highlight w:val="none"/>
                    </w:rPr>
                  </w:pPr>
                  <w:r>
                    <w:rPr>
                      <w:color w:val="auto"/>
                      <w:highlight w:val="none"/>
                    </w:rPr>
                    <w:t>2</w:t>
                  </w:r>
                </w:p>
              </w:tc>
              <w:tc>
                <w:tcPr>
                  <w:tcW w:w="642" w:type="pct"/>
                  <w:vMerge w:val="restart"/>
                  <w:vAlign w:val="center"/>
                </w:tcPr>
                <w:p w14:paraId="2EB3762C">
                  <w:pPr>
                    <w:pStyle w:val="55"/>
                    <w:spacing w:line="240" w:lineRule="auto"/>
                    <w:rPr>
                      <w:color w:val="auto"/>
                      <w:highlight w:val="none"/>
                    </w:rPr>
                  </w:pPr>
                  <w:r>
                    <w:rPr>
                      <w:color w:val="auto"/>
                      <w:highlight w:val="none"/>
                    </w:rPr>
                    <w:t>生活</w:t>
                  </w:r>
                  <w:r>
                    <w:rPr>
                      <w:rFonts w:hint="eastAsia"/>
                      <w:color w:val="auto"/>
                      <w:highlight w:val="none"/>
                      <w:lang w:val="en-US" w:eastAsia="zh-CN"/>
                    </w:rPr>
                    <w:t>废</w:t>
                  </w:r>
                  <w:r>
                    <w:rPr>
                      <w:color w:val="auto"/>
                      <w:highlight w:val="none"/>
                    </w:rPr>
                    <w:t>水</w:t>
                  </w:r>
                </w:p>
                <w:p w14:paraId="70FE67AC">
                  <w:pPr>
                    <w:pStyle w:val="55"/>
                    <w:spacing w:line="240" w:lineRule="auto"/>
                    <w:rPr>
                      <w:color w:val="auto"/>
                      <w:highlight w:val="none"/>
                    </w:rPr>
                  </w:pPr>
                </w:p>
              </w:tc>
              <w:tc>
                <w:tcPr>
                  <w:tcW w:w="518" w:type="pct"/>
                  <w:vAlign w:val="center"/>
                </w:tcPr>
                <w:p w14:paraId="5E5A1427">
                  <w:pPr>
                    <w:pStyle w:val="55"/>
                    <w:spacing w:line="240" w:lineRule="auto"/>
                    <w:rPr>
                      <w:rFonts w:hint="default" w:eastAsia="宋体"/>
                      <w:color w:val="auto"/>
                      <w:highlight w:val="none"/>
                      <w:lang w:val="en-US" w:eastAsia="zh-CN"/>
                    </w:rPr>
                  </w:pPr>
                  <w:r>
                    <w:rPr>
                      <w:rFonts w:hint="eastAsia"/>
                      <w:color w:val="auto"/>
                      <w:highlight w:val="none"/>
                      <w:lang w:val="en-US" w:eastAsia="zh-CN"/>
                    </w:rPr>
                    <w:t>COD</w:t>
                  </w:r>
                </w:p>
              </w:tc>
              <w:tc>
                <w:tcPr>
                  <w:tcW w:w="1166" w:type="pct"/>
                  <w:vMerge w:val="restart"/>
                  <w:vAlign w:val="center"/>
                </w:tcPr>
                <w:p w14:paraId="7BB0DF53">
                  <w:pPr>
                    <w:pStyle w:val="55"/>
                    <w:spacing w:line="240" w:lineRule="auto"/>
                    <w:rPr>
                      <w:rFonts w:hint="default" w:eastAsia="宋体"/>
                      <w:color w:val="auto"/>
                      <w:highlight w:val="none"/>
                      <w:lang w:val="en-US" w:eastAsia="zh-CN"/>
                    </w:rPr>
                  </w:pPr>
                  <w:r>
                    <w:rPr>
                      <w:rFonts w:hint="eastAsia" w:cs="Times New Roman"/>
                      <w:color w:val="000000"/>
                      <w:lang w:val="en-US" w:eastAsia="zh-CN"/>
                    </w:rPr>
                    <w:t>采用一体化污水处理设施，处理后用于厂区绿化及降尘</w:t>
                  </w:r>
                </w:p>
              </w:tc>
              <w:tc>
                <w:tcPr>
                  <w:tcW w:w="1520" w:type="pct"/>
                  <w:vMerge w:val="restart"/>
                  <w:vAlign w:val="center"/>
                </w:tcPr>
                <w:p w14:paraId="2C9BFA43">
                  <w:pPr>
                    <w:pStyle w:val="55"/>
                    <w:spacing w:line="240" w:lineRule="auto"/>
                    <w:rPr>
                      <w:color w:val="auto"/>
                      <w:highlight w:val="none"/>
                    </w:rPr>
                  </w:pPr>
                  <w:r>
                    <w:rPr>
                      <w:rFonts w:hint="eastAsia"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农村生活污水处理排放标准（发布稿）</w:t>
                  </w:r>
                  <w:r>
                    <w:rPr>
                      <w:rFonts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DB65/4275-2019</w:t>
                  </w:r>
                  <w:r>
                    <w:rPr>
                      <w:rFonts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表2中C级排放浓度限值</w:t>
                  </w:r>
                </w:p>
              </w:tc>
              <w:tc>
                <w:tcPr>
                  <w:tcW w:w="867" w:type="pct"/>
                  <w:vAlign w:val="center"/>
                </w:tcPr>
                <w:p w14:paraId="7803B334">
                  <w:pPr>
                    <w:pStyle w:val="55"/>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200mg/L</w:t>
                  </w:r>
                </w:p>
              </w:tc>
            </w:tr>
            <w:tr w14:paraId="48FD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 w:type="pct"/>
                  <w:vMerge w:val="continue"/>
                  <w:vAlign w:val="center"/>
                </w:tcPr>
                <w:p w14:paraId="40428C0A">
                  <w:pPr>
                    <w:pStyle w:val="55"/>
                    <w:spacing w:line="240" w:lineRule="auto"/>
                    <w:rPr>
                      <w:color w:val="auto"/>
                      <w:highlight w:val="none"/>
                    </w:rPr>
                  </w:pPr>
                </w:p>
              </w:tc>
              <w:tc>
                <w:tcPr>
                  <w:tcW w:w="642" w:type="pct"/>
                  <w:vMerge w:val="continue"/>
                  <w:vAlign w:val="center"/>
                </w:tcPr>
                <w:p w14:paraId="78291DFE">
                  <w:pPr>
                    <w:pStyle w:val="55"/>
                    <w:spacing w:line="240" w:lineRule="auto"/>
                    <w:rPr>
                      <w:color w:val="auto"/>
                      <w:highlight w:val="none"/>
                    </w:rPr>
                  </w:pPr>
                </w:p>
              </w:tc>
              <w:tc>
                <w:tcPr>
                  <w:tcW w:w="518" w:type="pct"/>
                  <w:vAlign w:val="center"/>
                </w:tcPr>
                <w:p w14:paraId="00E1C3E5">
                  <w:pPr>
                    <w:pStyle w:val="55"/>
                    <w:spacing w:line="240" w:lineRule="auto"/>
                    <w:rPr>
                      <w:rFonts w:hint="default" w:eastAsia="宋体"/>
                      <w:color w:val="auto"/>
                      <w:highlight w:val="none"/>
                      <w:lang w:val="en-US" w:eastAsia="zh-CN"/>
                    </w:rPr>
                  </w:pPr>
                  <w:r>
                    <w:rPr>
                      <w:rFonts w:hint="eastAsia"/>
                      <w:color w:val="auto"/>
                      <w:highlight w:val="none"/>
                      <w:lang w:val="en-US" w:eastAsia="zh-CN"/>
                    </w:rPr>
                    <w:t>BOD</w:t>
                  </w:r>
                </w:p>
              </w:tc>
              <w:tc>
                <w:tcPr>
                  <w:tcW w:w="1166" w:type="pct"/>
                  <w:vMerge w:val="continue"/>
                  <w:vAlign w:val="center"/>
                </w:tcPr>
                <w:p w14:paraId="549E8018">
                  <w:pPr>
                    <w:pStyle w:val="55"/>
                    <w:spacing w:line="240" w:lineRule="auto"/>
                    <w:rPr>
                      <w:rFonts w:hint="eastAsia" w:cs="Times New Roman"/>
                      <w:color w:val="000000"/>
                      <w:lang w:val="en-US" w:eastAsia="zh-CN"/>
                    </w:rPr>
                  </w:pPr>
                </w:p>
              </w:tc>
              <w:tc>
                <w:tcPr>
                  <w:tcW w:w="1520" w:type="pct"/>
                  <w:vMerge w:val="continue"/>
                  <w:vAlign w:val="center"/>
                </w:tcPr>
                <w:p w14:paraId="5ACEE254">
                  <w:pPr>
                    <w:pStyle w:val="55"/>
                    <w:spacing w:line="240" w:lineRule="auto"/>
                    <w:rPr>
                      <w:rFonts w:ascii="宋体" w:hAnsi="宋体" w:eastAsia="宋体" w:cs="宋体"/>
                      <w:b w:val="0"/>
                      <w:bCs w:val="0"/>
                      <w:color w:val="000000"/>
                      <w:sz w:val="20"/>
                      <w:szCs w:val="20"/>
                    </w:rPr>
                  </w:pPr>
                </w:p>
              </w:tc>
              <w:tc>
                <w:tcPr>
                  <w:tcW w:w="867" w:type="pct"/>
                  <w:vAlign w:val="center"/>
                </w:tcPr>
                <w:p w14:paraId="0E7CDCBE">
                  <w:pPr>
                    <w:pStyle w:val="55"/>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r>
            <w:tr w14:paraId="680D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 w:type="pct"/>
                  <w:vMerge w:val="continue"/>
                  <w:vAlign w:val="center"/>
                </w:tcPr>
                <w:p w14:paraId="314DF562">
                  <w:pPr>
                    <w:pStyle w:val="55"/>
                    <w:spacing w:line="240" w:lineRule="auto"/>
                    <w:rPr>
                      <w:color w:val="auto"/>
                      <w:highlight w:val="none"/>
                    </w:rPr>
                  </w:pPr>
                </w:p>
              </w:tc>
              <w:tc>
                <w:tcPr>
                  <w:tcW w:w="642" w:type="pct"/>
                  <w:vMerge w:val="continue"/>
                  <w:vAlign w:val="center"/>
                </w:tcPr>
                <w:p w14:paraId="583A7A74">
                  <w:pPr>
                    <w:pStyle w:val="55"/>
                    <w:spacing w:line="240" w:lineRule="auto"/>
                    <w:rPr>
                      <w:color w:val="auto"/>
                      <w:highlight w:val="none"/>
                    </w:rPr>
                  </w:pPr>
                </w:p>
              </w:tc>
              <w:tc>
                <w:tcPr>
                  <w:tcW w:w="518" w:type="pct"/>
                  <w:vAlign w:val="center"/>
                </w:tcPr>
                <w:p w14:paraId="33742910">
                  <w:pPr>
                    <w:pStyle w:val="55"/>
                    <w:spacing w:line="240" w:lineRule="auto"/>
                    <w:rPr>
                      <w:color w:val="auto"/>
                      <w:highlight w:val="none"/>
                    </w:rPr>
                  </w:pPr>
                  <w:r>
                    <w:rPr>
                      <w:rFonts w:hint="eastAsia"/>
                      <w:color w:val="auto"/>
                      <w:highlight w:val="none"/>
                      <w:lang w:val="en-US" w:eastAsia="zh-CN"/>
                    </w:rPr>
                    <w:t>SS</w:t>
                  </w:r>
                </w:p>
              </w:tc>
              <w:tc>
                <w:tcPr>
                  <w:tcW w:w="1166" w:type="pct"/>
                  <w:vMerge w:val="continue"/>
                  <w:vAlign w:val="center"/>
                </w:tcPr>
                <w:p w14:paraId="266BE7ED">
                  <w:pPr>
                    <w:pStyle w:val="55"/>
                    <w:spacing w:line="240" w:lineRule="auto"/>
                    <w:rPr>
                      <w:rFonts w:hint="default" w:eastAsia="宋体"/>
                      <w:color w:val="auto"/>
                      <w:highlight w:val="none"/>
                      <w:lang w:val="en-US" w:eastAsia="zh-CN"/>
                    </w:rPr>
                  </w:pPr>
                </w:p>
              </w:tc>
              <w:tc>
                <w:tcPr>
                  <w:tcW w:w="1520" w:type="pct"/>
                  <w:vMerge w:val="continue"/>
                  <w:vAlign w:val="center"/>
                </w:tcPr>
                <w:p w14:paraId="10F409B9">
                  <w:pPr>
                    <w:pStyle w:val="55"/>
                    <w:spacing w:line="240" w:lineRule="auto"/>
                    <w:rPr>
                      <w:color w:val="auto"/>
                      <w:highlight w:val="none"/>
                    </w:rPr>
                  </w:pPr>
                </w:p>
              </w:tc>
              <w:tc>
                <w:tcPr>
                  <w:tcW w:w="867" w:type="pct"/>
                  <w:vAlign w:val="center"/>
                </w:tcPr>
                <w:p w14:paraId="09285D21">
                  <w:pPr>
                    <w:pStyle w:val="55"/>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100mg/L</w:t>
                  </w:r>
                </w:p>
              </w:tc>
            </w:tr>
            <w:tr w14:paraId="2A04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 w:type="pct"/>
                  <w:vMerge w:val="continue"/>
                  <w:vAlign w:val="center"/>
                </w:tcPr>
                <w:p w14:paraId="5B21AA58">
                  <w:pPr>
                    <w:pStyle w:val="55"/>
                    <w:spacing w:line="240" w:lineRule="auto"/>
                    <w:rPr>
                      <w:color w:val="auto"/>
                      <w:highlight w:val="none"/>
                    </w:rPr>
                  </w:pPr>
                </w:p>
              </w:tc>
              <w:tc>
                <w:tcPr>
                  <w:tcW w:w="642" w:type="pct"/>
                  <w:vMerge w:val="continue"/>
                  <w:vAlign w:val="center"/>
                </w:tcPr>
                <w:p w14:paraId="560B2777">
                  <w:pPr>
                    <w:pStyle w:val="55"/>
                    <w:spacing w:line="240" w:lineRule="auto"/>
                    <w:rPr>
                      <w:color w:val="auto"/>
                      <w:highlight w:val="none"/>
                    </w:rPr>
                  </w:pPr>
                </w:p>
              </w:tc>
              <w:tc>
                <w:tcPr>
                  <w:tcW w:w="518" w:type="pct"/>
                  <w:vAlign w:val="center"/>
                </w:tcPr>
                <w:p w14:paraId="5E84C1C7">
                  <w:pPr>
                    <w:pStyle w:val="55"/>
                    <w:spacing w:line="240" w:lineRule="auto"/>
                    <w:rPr>
                      <w:rFonts w:hint="default" w:eastAsia="宋体"/>
                      <w:color w:val="auto"/>
                      <w:highlight w:val="none"/>
                      <w:lang w:val="en-US" w:eastAsia="zh-CN"/>
                    </w:rPr>
                  </w:pPr>
                  <w:r>
                    <w:rPr>
                      <w:rFonts w:hint="eastAsia"/>
                      <w:color w:val="auto"/>
                      <w:highlight w:val="none"/>
                      <w:lang w:val="en-US" w:eastAsia="zh-CN"/>
                    </w:rPr>
                    <w:t>NH</w:t>
                  </w:r>
                  <w:r>
                    <w:rPr>
                      <w:rFonts w:hint="eastAsia"/>
                      <w:color w:val="auto"/>
                      <w:highlight w:val="none"/>
                      <w:vertAlign w:val="subscript"/>
                      <w:lang w:val="en-US" w:eastAsia="zh-CN"/>
                    </w:rPr>
                    <w:t>3</w:t>
                  </w:r>
                  <w:r>
                    <w:rPr>
                      <w:rFonts w:hint="eastAsia"/>
                      <w:color w:val="auto"/>
                      <w:highlight w:val="none"/>
                      <w:lang w:val="en-US" w:eastAsia="zh-CN"/>
                    </w:rPr>
                    <w:t>-H</w:t>
                  </w:r>
                </w:p>
              </w:tc>
              <w:tc>
                <w:tcPr>
                  <w:tcW w:w="1166" w:type="pct"/>
                  <w:vMerge w:val="continue"/>
                  <w:vAlign w:val="center"/>
                </w:tcPr>
                <w:p w14:paraId="58366988">
                  <w:pPr>
                    <w:pStyle w:val="55"/>
                    <w:spacing w:line="240" w:lineRule="auto"/>
                    <w:rPr>
                      <w:rFonts w:hint="eastAsia" w:cs="Times New Roman"/>
                      <w:color w:val="000000"/>
                      <w:lang w:val="en-US" w:eastAsia="zh-CN"/>
                    </w:rPr>
                  </w:pPr>
                </w:p>
              </w:tc>
              <w:tc>
                <w:tcPr>
                  <w:tcW w:w="1520" w:type="pct"/>
                  <w:vMerge w:val="continue"/>
                  <w:vAlign w:val="center"/>
                </w:tcPr>
                <w:p w14:paraId="53976AC3">
                  <w:pPr>
                    <w:pStyle w:val="55"/>
                    <w:spacing w:line="240" w:lineRule="auto"/>
                    <w:rPr>
                      <w:rFonts w:ascii="宋体" w:hAnsi="宋体" w:eastAsia="宋体" w:cs="宋体"/>
                      <w:b w:val="0"/>
                      <w:bCs w:val="0"/>
                      <w:color w:val="000000"/>
                      <w:sz w:val="20"/>
                      <w:szCs w:val="20"/>
                    </w:rPr>
                  </w:pPr>
                </w:p>
              </w:tc>
              <w:tc>
                <w:tcPr>
                  <w:tcW w:w="867" w:type="pct"/>
                  <w:vAlign w:val="center"/>
                </w:tcPr>
                <w:p w14:paraId="7CFCFB3B">
                  <w:pPr>
                    <w:pStyle w:val="55"/>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r>
            <w:tr w14:paraId="3E4C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 w:type="pct"/>
                  <w:vAlign w:val="center"/>
                </w:tcPr>
                <w:p w14:paraId="3C6A5EB1">
                  <w:pPr>
                    <w:pStyle w:val="55"/>
                    <w:spacing w:line="240" w:lineRule="auto"/>
                    <w:rPr>
                      <w:color w:val="auto"/>
                      <w:highlight w:val="none"/>
                    </w:rPr>
                  </w:pPr>
                  <w:r>
                    <w:rPr>
                      <w:color w:val="auto"/>
                      <w:highlight w:val="none"/>
                    </w:rPr>
                    <w:t>3</w:t>
                  </w:r>
                </w:p>
              </w:tc>
              <w:tc>
                <w:tcPr>
                  <w:tcW w:w="642" w:type="pct"/>
                  <w:vAlign w:val="center"/>
                </w:tcPr>
                <w:p w14:paraId="045B5E7D">
                  <w:pPr>
                    <w:pStyle w:val="55"/>
                    <w:spacing w:line="240" w:lineRule="auto"/>
                    <w:rPr>
                      <w:color w:val="auto"/>
                      <w:highlight w:val="none"/>
                    </w:rPr>
                  </w:pPr>
                  <w:r>
                    <w:rPr>
                      <w:color w:val="auto"/>
                      <w:highlight w:val="none"/>
                    </w:rPr>
                    <w:t>噪声</w:t>
                  </w:r>
                </w:p>
              </w:tc>
              <w:tc>
                <w:tcPr>
                  <w:tcW w:w="518" w:type="pct"/>
                  <w:vAlign w:val="center"/>
                </w:tcPr>
                <w:p w14:paraId="7695AC69">
                  <w:pPr>
                    <w:pStyle w:val="55"/>
                    <w:spacing w:line="240" w:lineRule="auto"/>
                    <w:rPr>
                      <w:color w:val="auto"/>
                      <w:highlight w:val="none"/>
                    </w:rPr>
                  </w:pPr>
                  <w:r>
                    <w:rPr>
                      <w:color w:val="auto"/>
                      <w:highlight w:val="none"/>
                    </w:rPr>
                    <w:t>等效连续A声级(Leq(A))</w:t>
                  </w:r>
                </w:p>
              </w:tc>
              <w:tc>
                <w:tcPr>
                  <w:tcW w:w="1166" w:type="pct"/>
                  <w:vAlign w:val="center"/>
                </w:tcPr>
                <w:p w14:paraId="323E0427">
                  <w:pPr>
                    <w:pStyle w:val="55"/>
                    <w:spacing w:line="240" w:lineRule="auto"/>
                    <w:rPr>
                      <w:color w:val="auto"/>
                      <w:highlight w:val="none"/>
                    </w:rPr>
                  </w:pPr>
                  <w:r>
                    <w:rPr>
                      <w:rFonts w:hint="eastAsia" w:eastAsia="宋体"/>
                      <w:color w:val="auto"/>
                      <w:highlight w:val="none"/>
                      <w:lang w:val="en-US" w:eastAsia="zh-CN"/>
                    </w:rPr>
                    <w:t>优化设备，</w:t>
                  </w:r>
                  <w:r>
                    <w:rPr>
                      <w:color w:val="auto"/>
                      <w:highlight w:val="none"/>
                    </w:rPr>
                    <w:t>设备采取减振措施</w:t>
                  </w:r>
                </w:p>
              </w:tc>
              <w:tc>
                <w:tcPr>
                  <w:tcW w:w="1520" w:type="pct"/>
                  <w:vAlign w:val="center"/>
                </w:tcPr>
                <w:p w14:paraId="04EC8D60">
                  <w:pPr>
                    <w:pStyle w:val="55"/>
                    <w:spacing w:line="240" w:lineRule="auto"/>
                    <w:rPr>
                      <w:color w:val="auto"/>
                      <w:highlight w:val="none"/>
                    </w:rPr>
                  </w:pPr>
                  <w:r>
                    <w:rPr>
                      <w:color w:val="auto"/>
                      <w:highlight w:val="none"/>
                    </w:rPr>
                    <w:t>厂界噪声达《工业企业厂界环境噪声排放标准》（GB12348-2008）中的</w:t>
                  </w:r>
                  <w:r>
                    <w:rPr>
                      <w:rFonts w:hint="eastAsia" w:eastAsia="宋体"/>
                      <w:color w:val="auto"/>
                      <w:highlight w:val="none"/>
                      <w:lang w:val="en-US" w:eastAsia="zh-CN"/>
                    </w:rPr>
                    <w:t>2</w:t>
                  </w:r>
                  <w:r>
                    <w:rPr>
                      <w:color w:val="auto"/>
                      <w:highlight w:val="none"/>
                    </w:rPr>
                    <w:t>类标准</w:t>
                  </w:r>
                </w:p>
              </w:tc>
              <w:tc>
                <w:tcPr>
                  <w:tcW w:w="867" w:type="pct"/>
                  <w:vAlign w:val="center"/>
                </w:tcPr>
                <w:p w14:paraId="212AEBE2">
                  <w:pPr>
                    <w:pStyle w:val="55"/>
                    <w:spacing w:line="240" w:lineRule="auto"/>
                    <w:jc w:val="center"/>
                    <w:rPr>
                      <w:rFonts w:hint="eastAsia"/>
                      <w:color w:val="auto"/>
                      <w:highlight w:val="none"/>
                      <w:lang w:val="en-US" w:eastAsia="zh-CN"/>
                    </w:rPr>
                  </w:pPr>
                  <w:r>
                    <w:rPr>
                      <w:rFonts w:hint="eastAsia"/>
                      <w:color w:val="auto"/>
                      <w:highlight w:val="none"/>
                      <w:lang w:val="en-US" w:eastAsia="zh-CN"/>
                    </w:rPr>
                    <w:t>昼间：60dB（A）</w:t>
                  </w:r>
                </w:p>
                <w:p w14:paraId="4949DCC7">
                  <w:pPr>
                    <w:pStyle w:val="55"/>
                    <w:spacing w:line="240" w:lineRule="auto"/>
                    <w:jc w:val="center"/>
                    <w:rPr>
                      <w:rFonts w:hint="default" w:eastAsia="宋体"/>
                      <w:color w:val="auto"/>
                      <w:highlight w:val="none"/>
                      <w:lang w:val="en-US" w:eastAsia="zh-CN"/>
                    </w:rPr>
                  </w:pPr>
                  <w:r>
                    <w:rPr>
                      <w:rFonts w:hint="eastAsia"/>
                      <w:color w:val="auto"/>
                      <w:highlight w:val="none"/>
                      <w:lang w:val="en-US" w:eastAsia="zh-CN"/>
                    </w:rPr>
                    <w:t>夜间：50dB（A）</w:t>
                  </w:r>
                </w:p>
              </w:tc>
            </w:tr>
            <w:tr w14:paraId="62B3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 w:type="pct"/>
                  <w:vMerge w:val="restart"/>
                  <w:vAlign w:val="center"/>
                </w:tcPr>
                <w:p w14:paraId="51DDA356">
                  <w:pPr>
                    <w:pStyle w:val="55"/>
                    <w:spacing w:line="240" w:lineRule="auto"/>
                    <w:rPr>
                      <w:rFonts w:hint="eastAsia" w:eastAsia="宋体"/>
                      <w:color w:val="auto"/>
                      <w:highlight w:val="none"/>
                      <w:lang w:val="en-US" w:eastAsia="zh-CN"/>
                    </w:rPr>
                  </w:pPr>
                  <w:r>
                    <w:rPr>
                      <w:rFonts w:hint="eastAsia" w:eastAsia="宋体"/>
                      <w:color w:val="auto"/>
                      <w:highlight w:val="none"/>
                      <w:lang w:val="en-US" w:eastAsia="zh-CN"/>
                    </w:rPr>
                    <w:t>4</w:t>
                  </w:r>
                </w:p>
              </w:tc>
              <w:tc>
                <w:tcPr>
                  <w:tcW w:w="642" w:type="pct"/>
                  <w:vMerge w:val="restart"/>
                  <w:vAlign w:val="center"/>
                </w:tcPr>
                <w:p w14:paraId="6094DF40">
                  <w:pPr>
                    <w:pStyle w:val="55"/>
                    <w:spacing w:line="240" w:lineRule="auto"/>
                    <w:rPr>
                      <w:rFonts w:hint="eastAsia" w:eastAsia="宋体"/>
                      <w:color w:val="auto"/>
                      <w:highlight w:val="none"/>
                      <w:lang w:val="en-US" w:eastAsia="zh-CN"/>
                    </w:rPr>
                  </w:pPr>
                  <w:r>
                    <w:rPr>
                      <w:rFonts w:hint="eastAsia"/>
                      <w:color w:val="auto"/>
                      <w:highlight w:val="none"/>
                      <w:lang w:val="en-US" w:eastAsia="zh-CN"/>
                    </w:rPr>
                    <w:t>固废</w:t>
                  </w:r>
                </w:p>
              </w:tc>
              <w:tc>
                <w:tcPr>
                  <w:tcW w:w="518" w:type="pct"/>
                  <w:vAlign w:val="center"/>
                </w:tcPr>
                <w:p w14:paraId="58ABC1E2">
                  <w:pPr>
                    <w:jc w:val="center"/>
                    <w:rPr>
                      <w:rFonts w:hint="default" w:eastAsia="宋体"/>
                      <w:color w:val="auto"/>
                      <w:highlight w:val="none"/>
                      <w:lang w:val="en-US" w:eastAsia="zh-CN"/>
                    </w:rPr>
                  </w:pPr>
                  <w:r>
                    <w:rPr>
                      <w:rFonts w:hint="eastAsia"/>
                      <w:snapToGrid w:val="0"/>
                      <w:color w:val="auto"/>
                      <w:kern w:val="0"/>
                      <w:sz w:val="21"/>
                      <w:szCs w:val="21"/>
                    </w:rPr>
                    <w:t>生活垃圾</w:t>
                  </w:r>
                </w:p>
              </w:tc>
              <w:tc>
                <w:tcPr>
                  <w:tcW w:w="1166" w:type="pct"/>
                  <w:vAlign w:val="center"/>
                </w:tcPr>
                <w:p w14:paraId="7B5CB06B">
                  <w:pPr>
                    <w:adjustRightInd w:val="0"/>
                    <w:snapToGrid w:val="0"/>
                    <w:spacing w:line="240" w:lineRule="auto"/>
                    <w:jc w:val="center"/>
                    <w:rPr>
                      <w:rFonts w:hint="default" w:eastAsia="宋体"/>
                      <w:color w:val="auto"/>
                      <w:highlight w:val="none"/>
                      <w:lang w:val="en-US" w:eastAsia="zh-CN"/>
                    </w:rPr>
                  </w:pPr>
                  <w:r>
                    <w:rPr>
                      <w:rFonts w:hint="eastAsia" w:cs="Times New Roman"/>
                      <w:color w:val="auto"/>
                      <w:szCs w:val="21"/>
                      <w:highlight w:val="none"/>
                      <w:lang w:val="en-US" w:eastAsia="zh-CN"/>
                    </w:rPr>
                    <w:t>集中收集后</w:t>
                  </w:r>
                  <w:r>
                    <w:rPr>
                      <w:rFonts w:hint="default" w:ascii="Times New Roman" w:hAnsi="Times New Roman" w:cs="Times New Roman"/>
                      <w:color w:val="auto"/>
                      <w:szCs w:val="21"/>
                      <w:highlight w:val="none"/>
                    </w:rPr>
                    <w:t>交由环卫部门统一处置</w:t>
                  </w:r>
                </w:p>
              </w:tc>
              <w:tc>
                <w:tcPr>
                  <w:tcW w:w="1520" w:type="pct"/>
                  <w:vMerge w:val="restart"/>
                  <w:vAlign w:val="center"/>
                </w:tcPr>
                <w:p w14:paraId="3C633E46">
                  <w:pPr>
                    <w:pStyle w:val="55"/>
                    <w:spacing w:line="240" w:lineRule="auto"/>
                    <w:rPr>
                      <w:rFonts w:hint="default" w:eastAsia="宋体"/>
                      <w:color w:val="auto"/>
                      <w:highlight w:val="none"/>
                      <w:lang w:val="en-US" w:eastAsia="zh-CN"/>
                    </w:rPr>
                  </w:pPr>
                  <w:r>
                    <w:rPr>
                      <w:rFonts w:hint="default" w:ascii="Times New Roman" w:hAnsi="Times New Roman" w:cs="Times New Roman"/>
                      <w:szCs w:val="21"/>
                    </w:rPr>
                    <w:t>《一般工业固体废物贮存和填埋污染控制标准》（GB18599-2020）</w:t>
                  </w:r>
                </w:p>
              </w:tc>
              <w:tc>
                <w:tcPr>
                  <w:tcW w:w="867" w:type="pct"/>
                  <w:vAlign w:val="center"/>
                </w:tcPr>
                <w:p w14:paraId="1BA0DF69">
                  <w:pPr>
                    <w:adjustRightInd w:val="0"/>
                    <w:snapToGrid w:val="0"/>
                    <w:spacing w:line="240" w:lineRule="auto"/>
                    <w:jc w:val="center"/>
                    <w:rPr>
                      <w:rFonts w:hint="eastAsia" w:eastAsia="宋体"/>
                      <w:color w:val="auto"/>
                      <w:highlight w:val="yellow"/>
                      <w:lang w:val="en-US" w:eastAsia="zh-CN"/>
                    </w:rPr>
                  </w:pPr>
                  <w:r>
                    <w:rPr>
                      <w:rFonts w:hint="eastAsia" w:cs="Times New Roman"/>
                      <w:color w:val="auto"/>
                      <w:szCs w:val="21"/>
                      <w:highlight w:val="none"/>
                      <w:lang w:val="en-US" w:eastAsia="zh-CN"/>
                    </w:rPr>
                    <w:t>集中收集后</w:t>
                  </w:r>
                  <w:r>
                    <w:rPr>
                      <w:rFonts w:hint="default" w:ascii="Times New Roman" w:hAnsi="Times New Roman" w:cs="Times New Roman"/>
                      <w:color w:val="auto"/>
                      <w:szCs w:val="21"/>
                      <w:highlight w:val="none"/>
                    </w:rPr>
                    <w:t>交由环卫部门统一处置</w:t>
                  </w:r>
                </w:p>
              </w:tc>
            </w:tr>
            <w:tr w14:paraId="0248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 w:type="pct"/>
                  <w:vMerge w:val="continue"/>
                  <w:vAlign w:val="center"/>
                </w:tcPr>
                <w:p w14:paraId="30CC6D88">
                  <w:pPr>
                    <w:pStyle w:val="55"/>
                    <w:spacing w:line="240" w:lineRule="auto"/>
                    <w:rPr>
                      <w:color w:val="auto"/>
                      <w:highlight w:val="none"/>
                    </w:rPr>
                  </w:pPr>
                </w:p>
              </w:tc>
              <w:tc>
                <w:tcPr>
                  <w:tcW w:w="642" w:type="pct"/>
                  <w:vMerge w:val="continue"/>
                  <w:vAlign w:val="center"/>
                </w:tcPr>
                <w:p w14:paraId="2AC49C02">
                  <w:pPr>
                    <w:pStyle w:val="55"/>
                    <w:spacing w:line="240" w:lineRule="auto"/>
                    <w:rPr>
                      <w:color w:val="auto"/>
                      <w:highlight w:val="none"/>
                    </w:rPr>
                  </w:pPr>
                </w:p>
              </w:tc>
              <w:tc>
                <w:tcPr>
                  <w:tcW w:w="518" w:type="pct"/>
                  <w:vAlign w:val="center"/>
                </w:tcPr>
                <w:p w14:paraId="187E6E58">
                  <w:pPr>
                    <w:spacing w:line="240" w:lineRule="auto"/>
                    <w:jc w:val="center"/>
                    <w:rPr>
                      <w:rFonts w:hint="default" w:eastAsia="宋体"/>
                      <w:color w:val="auto"/>
                      <w:highlight w:val="none"/>
                      <w:lang w:val="en-US" w:eastAsia="zh-CN"/>
                    </w:rPr>
                  </w:pPr>
                  <w:r>
                    <w:rPr>
                      <w:rFonts w:hint="eastAsia"/>
                      <w:snapToGrid w:val="0"/>
                      <w:color w:val="auto"/>
                      <w:kern w:val="0"/>
                      <w:sz w:val="21"/>
                      <w:szCs w:val="21"/>
                      <w:lang w:val="en-US" w:eastAsia="zh-CN"/>
                    </w:rPr>
                    <w:t>污泥</w:t>
                  </w:r>
                </w:p>
              </w:tc>
              <w:tc>
                <w:tcPr>
                  <w:tcW w:w="1166" w:type="pct"/>
                  <w:vAlign w:val="center"/>
                </w:tcPr>
                <w:p w14:paraId="6272A7C4">
                  <w:pPr>
                    <w:pStyle w:val="55"/>
                    <w:spacing w:line="240" w:lineRule="auto"/>
                    <w:rPr>
                      <w:rFonts w:hint="eastAsia" w:eastAsia="宋体"/>
                      <w:color w:val="auto"/>
                      <w:highlight w:val="none"/>
                      <w:lang w:val="en-US" w:eastAsia="zh-CN"/>
                    </w:rPr>
                  </w:pPr>
                  <w:r>
                    <w:rPr>
                      <w:rFonts w:hint="eastAsia" w:ascii="Times New Roman" w:hAnsi="Times New Roman" w:eastAsia="宋体" w:cs="Times New Roman"/>
                      <w:snapToGrid/>
                      <w:color w:val="auto"/>
                      <w:kern w:val="2"/>
                      <w:sz w:val="21"/>
                      <w:szCs w:val="21"/>
                      <w:lang w:val="en-US" w:eastAsia="zh-CN" w:bidi="ar-SA"/>
                    </w:rPr>
                    <w:t>定期将</w:t>
                  </w:r>
                  <w:r>
                    <w:rPr>
                      <w:rFonts w:hint="default" w:ascii="Times New Roman" w:hAnsi="Times New Roman" w:eastAsia="宋体" w:cs="Times New Roman"/>
                      <w:snapToGrid/>
                      <w:color w:val="auto"/>
                      <w:kern w:val="2"/>
                      <w:sz w:val="21"/>
                      <w:szCs w:val="21"/>
                      <w:lang w:val="en-US" w:eastAsia="zh-CN" w:bidi="ar-SA"/>
                    </w:rPr>
                    <w:t>污泥拉运至生活垃圾填埋场处置</w:t>
                  </w:r>
                </w:p>
              </w:tc>
              <w:tc>
                <w:tcPr>
                  <w:tcW w:w="1520" w:type="pct"/>
                  <w:vMerge w:val="continue"/>
                  <w:vAlign w:val="center"/>
                </w:tcPr>
                <w:p w14:paraId="096C08E3">
                  <w:pPr>
                    <w:pStyle w:val="55"/>
                    <w:spacing w:line="240" w:lineRule="auto"/>
                    <w:rPr>
                      <w:color w:val="auto"/>
                      <w:highlight w:val="none"/>
                    </w:rPr>
                  </w:pPr>
                </w:p>
              </w:tc>
              <w:tc>
                <w:tcPr>
                  <w:tcW w:w="867" w:type="pct"/>
                  <w:vAlign w:val="center"/>
                </w:tcPr>
                <w:p w14:paraId="18980AE6">
                  <w:pPr>
                    <w:pStyle w:val="55"/>
                    <w:spacing w:line="240" w:lineRule="auto"/>
                    <w:jc w:val="center"/>
                    <w:rPr>
                      <w:rFonts w:hint="eastAsia" w:eastAsia="宋体"/>
                      <w:color w:val="auto"/>
                      <w:highlight w:val="yellow"/>
                      <w:lang w:val="en-US" w:eastAsia="zh-CN"/>
                    </w:rPr>
                  </w:pPr>
                  <w:r>
                    <w:rPr>
                      <w:rFonts w:hint="eastAsia" w:ascii="Times New Roman" w:hAnsi="Times New Roman" w:eastAsia="宋体" w:cs="Times New Roman"/>
                      <w:snapToGrid/>
                      <w:color w:val="auto"/>
                      <w:kern w:val="2"/>
                      <w:sz w:val="21"/>
                      <w:szCs w:val="21"/>
                      <w:lang w:val="en-US" w:eastAsia="zh-CN" w:bidi="ar-SA"/>
                    </w:rPr>
                    <w:t>定期将</w:t>
                  </w:r>
                  <w:r>
                    <w:rPr>
                      <w:rFonts w:hint="default" w:ascii="Times New Roman" w:hAnsi="Times New Roman" w:eastAsia="宋体" w:cs="Times New Roman"/>
                      <w:snapToGrid/>
                      <w:color w:val="auto"/>
                      <w:kern w:val="2"/>
                      <w:sz w:val="21"/>
                      <w:szCs w:val="21"/>
                      <w:lang w:val="en-US" w:eastAsia="zh-CN" w:bidi="ar-SA"/>
                    </w:rPr>
                    <w:t>污泥拉运至生活垃圾填埋场处置</w:t>
                  </w:r>
                </w:p>
              </w:tc>
            </w:tr>
            <w:tr w14:paraId="1A09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 w:type="pct"/>
                  <w:vMerge w:val="continue"/>
                  <w:vAlign w:val="center"/>
                </w:tcPr>
                <w:p w14:paraId="45F1D12B">
                  <w:pPr>
                    <w:pStyle w:val="55"/>
                    <w:spacing w:line="240" w:lineRule="auto"/>
                    <w:rPr>
                      <w:color w:val="auto"/>
                      <w:highlight w:val="none"/>
                    </w:rPr>
                  </w:pPr>
                </w:p>
              </w:tc>
              <w:tc>
                <w:tcPr>
                  <w:tcW w:w="642" w:type="pct"/>
                  <w:vMerge w:val="continue"/>
                  <w:vAlign w:val="center"/>
                </w:tcPr>
                <w:p w14:paraId="6ACEB033">
                  <w:pPr>
                    <w:pStyle w:val="55"/>
                    <w:spacing w:line="240" w:lineRule="auto"/>
                    <w:rPr>
                      <w:color w:val="auto"/>
                      <w:highlight w:val="none"/>
                    </w:rPr>
                  </w:pPr>
                </w:p>
              </w:tc>
              <w:tc>
                <w:tcPr>
                  <w:tcW w:w="518" w:type="pct"/>
                  <w:vAlign w:val="center"/>
                </w:tcPr>
                <w:p w14:paraId="0E17B818">
                  <w:pPr>
                    <w:jc w:val="center"/>
                    <w:rPr>
                      <w:rFonts w:hint="default" w:ascii="Times New Roman" w:hAnsi="Times New Roman" w:cs="Times New Roman"/>
                      <w:color w:val="auto"/>
                      <w:szCs w:val="21"/>
                      <w:highlight w:val="none"/>
                    </w:rPr>
                  </w:pPr>
                  <w:r>
                    <w:rPr>
                      <w:rFonts w:hint="eastAsia"/>
                      <w:snapToGrid w:val="0"/>
                      <w:color w:val="auto"/>
                      <w:kern w:val="0"/>
                      <w:sz w:val="21"/>
                      <w:szCs w:val="21"/>
                    </w:rPr>
                    <w:t>不合格混凝土</w:t>
                  </w:r>
                </w:p>
              </w:tc>
              <w:tc>
                <w:tcPr>
                  <w:tcW w:w="1166" w:type="pct"/>
                  <w:vMerge w:val="restart"/>
                  <w:vAlign w:val="center"/>
                </w:tcPr>
                <w:p w14:paraId="567492F5">
                  <w:pPr>
                    <w:pStyle w:val="55"/>
                    <w:spacing w:line="240" w:lineRule="auto"/>
                    <w:rPr>
                      <w:rFonts w:hint="default"/>
                      <w:color w:val="auto"/>
                      <w:highlight w:val="none"/>
                      <w:lang w:val="en-US" w:eastAsia="zh-CN"/>
                    </w:rPr>
                  </w:pPr>
                  <w:r>
                    <w:rPr>
                      <w:rFonts w:hint="eastAsia"/>
                      <w:bCs/>
                      <w:color w:val="auto"/>
                      <w:sz w:val="21"/>
                      <w:szCs w:val="21"/>
                      <w:lang w:val="en-US" w:eastAsia="zh-CN"/>
                    </w:rPr>
                    <w:t>集中收集后回用于生产</w:t>
                  </w:r>
                </w:p>
              </w:tc>
              <w:tc>
                <w:tcPr>
                  <w:tcW w:w="1520" w:type="pct"/>
                  <w:vMerge w:val="continue"/>
                  <w:vAlign w:val="center"/>
                </w:tcPr>
                <w:p w14:paraId="1AA87D76">
                  <w:pPr>
                    <w:pStyle w:val="55"/>
                    <w:spacing w:line="240" w:lineRule="auto"/>
                    <w:rPr>
                      <w:color w:val="auto"/>
                      <w:highlight w:val="none"/>
                    </w:rPr>
                  </w:pPr>
                </w:p>
              </w:tc>
              <w:tc>
                <w:tcPr>
                  <w:tcW w:w="867" w:type="pct"/>
                  <w:vMerge w:val="restart"/>
                  <w:vAlign w:val="center"/>
                </w:tcPr>
                <w:p w14:paraId="345C11F6">
                  <w:pPr>
                    <w:pStyle w:val="55"/>
                    <w:spacing w:line="240" w:lineRule="auto"/>
                    <w:jc w:val="center"/>
                    <w:rPr>
                      <w:rFonts w:hint="eastAsia"/>
                      <w:color w:val="auto"/>
                      <w:highlight w:val="none"/>
                      <w:lang w:val="en-US" w:eastAsia="zh-CN"/>
                    </w:rPr>
                  </w:pPr>
                  <w:r>
                    <w:rPr>
                      <w:rFonts w:hint="eastAsia"/>
                      <w:bCs/>
                      <w:color w:val="auto"/>
                      <w:sz w:val="21"/>
                      <w:szCs w:val="21"/>
                      <w:lang w:val="en-US" w:eastAsia="zh-CN"/>
                    </w:rPr>
                    <w:t>集中收集后回用于生产</w:t>
                  </w:r>
                </w:p>
              </w:tc>
            </w:tr>
            <w:tr w14:paraId="4B30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 w:type="pct"/>
                  <w:vMerge w:val="continue"/>
                  <w:vAlign w:val="center"/>
                </w:tcPr>
                <w:p w14:paraId="500838AC">
                  <w:pPr>
                    <w:pStyle w:val="55"/>
                    <w:spacing w:line="240" w:lineRule="auto"/>
                    <w:rPr>
                      <w:color w:val="auto"/>
                      <w:highlight w:val="none"/>
                    </w:rPr>
                  </w:pPr>
                </w:p>
              </w:tc>
              <w:tc>
                <w:tcPr>
                  <w:tcW w:w="642" w:type="pct"/>
                  <w:vMerge w:val="continue"/>
                  <w:vAlign w:val="center"/>
                </w:tcPr>
                <w:p w14:paraId="7E97F2E5">
                  <w:pPr>
                    <w:pStyle w:val="55"/>
                    <w:spacing w:line="240" w:lineRule="auto"/>
                    <w:rPr>
                      <w:color w:val="auto"/>
                      <w:highlight w:val="none"/>
                    </w:rPr>
                  </w:pPr>
                </w:p>
              </w:tc>
              <w:tc>
                <w:tcPr>
                  <w:tcW w:w="518" w:type="pct"/>
                  <w:vAlign w:val="center"/>
                </w:tcPr>
                <w:p w14:paraId="7D317461">
                  <w:pPr>
                    <w:jc w:val="center"/>
                    <w:rPr>
                      <w:rFonts w:hint="eastAsia" w:eastAsia="宋体"/>
                      <w:color w:val="auto"/>
                      <w:highlight w:val="none"/>
                      <w:lang w:eastAsia="zh-CN"/>
                    </w:rPr>
                  </w:pPr>
                  <w:r>
                    <w:rPr>
                      <w:rFonts w:hint="eastAsia"/>
                      <w:snapToGrid w:val="0"/>
                      <w:color w:val="auto"/>
                      <w:kern w:val="0"/>
                      <w:sz w:val="21"/>
                      <w:szCs w:val="21"/>
                      <w:lang w:eastAsia="zh-CN"/>
                    </w:rPr>
                    <w:t>布袋除尘器收集的粉尘</w:t>
                  </w:r>
                </w:p>
              </w:tc>
              <w:tc>
                <w:tcPr>
                  <w:tcW w:w="1166" w:type="pct"/>
                  <w:vMerge w:val="continue"/>
                  <w:vAlign w:val="center"/>
                </w:tcPr>
                <w:p w14:paraId="6A76E6F5">
                  <w:pPr>
                    <w:pStyle w:val="55"/>
                    <w:spacing w:line="240" w:lineRule="auto"/>
                    <w:rPr>
                      <w:color w:val="auto"/>
                      <w:highlight w:val="none"/>
                    </w:rPr>
                  </w:pPr>
                </w:p>
              </w:tc>
              <w:tc>
                <w:tcPr>
                  <w:tcW w:w="1520" w:type="pct"/>
                  <w:vMerge w:val="continue"/>
                  <w:vAlign w:val="center"/>
                </w:tcPr>
                <w:p w14:paraId="670A58F3">
                  <w:pPr>
                    <w:pStyle w:val="55"/>
                    <w:spacing w:line="240" w:lineRule="auto"/>
                    <w:rPr>
                      <w:color w:val="auto"/>
                      <w:highlight w:val="none"/>
                    </w:rPr>
                  </w:pPr>
                </w:p>
              </w:tc>
              <w:tc>
                <w:tcPr>
                  <w:tcW w:w="867" w:type="pct"/>
                  <w:vMerge w:val="continue"/>
                  <w:vAlign w:val="center"/>
                </w:tcPr>
                <w:p w14:paraId="42A34007">
                  <w:pPr>
                    <w:pStyle w:val="55"/>
                    <w:spacing w:line="240" w:lineRule="auto"/>
                    <w:jc w:val="center"/>
                    <w:rPr>
                      <w:rFonts w:hint="eastAsia" w:eastAsia="宋体"/>
                      <w:color w:val="auto"/>
                      <w:highlight w:val="yellow"/>
                      <w:lang w:val="en-US" w:eastAsia="zh-CN"/>
                    </w:rPr>
                  </w:pPr>
                </w:p>
              </w:tc>
            </w:tr>
            <w:tr w14:paraId="0682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 w:type="pct"/>
                  <w:vMerge w:val="continue"/>
                  <w:vAlign w:val="center"/>
                </w:tcPr>
                <w:p w14:paraId="2FC9EC5F">
                  <w:pPr>
                    <w:pStyle w:val="55"/>
                    <w:spacing w:line="240" w:lineRule="auto"/>
                    <w:rPr>
                      <w:color w:val="auto"/>
                      <w:highlight w:val="none"/>
                    </w:rPr>
                  </w:pPr>
                </w:p>
              </w:tc>
              <w:tc>
                <w:tcPr>
                  <w:tcW w:w="642" w:type="pct"/>
                  <w:vMerge w:val="continue"/>
                  <w:vAlign w:val="center"/>
                </w:tcPr>
                <w:p w14:paraId="5F8CE36C">
                  <w:pPr>
                    <w:pStyle w:val="55"/>
                    <w:spacing w:line="240" w:lineRule="auto"/>
                    <w:rPr>
                      <w:color w:val="auto"/>
                      <w:highlight w:val="none"/>
                    </w:rPr>
                  </w:pPr>
                </w:p>
              </w:tc>
              <w:tc>
                <w:tcPr>
                  <w:tcW w:w="518" w:type="pct"/>
                  <w:vAlign w:val="center"/>
                </w:tcPr>
                <w:p w14:paraId="2B415819">
                  <w:pPr>
                    <w:jc w:val="center"/>
                    <w:rPr>
                      <w:rFonts w:hint="default"/>
                      <w:color w:val="auto"/>
                      <w:highlight w:val="none"/>
                      <w:lang w:val="en-US" w:eastAsia="zh-CN"/>
                    </w:rPr>
                  </w:pPr>
                  <w:r>
                    <w:rPr>
                      <w:rFonts w:hint="eastAsia"/>
                      <w:snapToGrid w:val="0"/>
                      <w:color w:val="auto"/>
                      <w:kern w:val="0"/>
                      <w:sz w:val="21"/>
                      <w:szCs w:val="21"/>
                      <w:lang w:eastAsia="zh-CN"/>
                    </w:rPr>
                    <w:t>沉淀池沉淀物</w:t>
                  </w:r>
                </w:p>
              </w:tc>
              <w:tc>
                <w:tcPr>
                  <w:tcW w:w="1166" w:type="pct"/>
                  <w:vMerge w:val="continue"/>
                  <w:vAlign w:val="center"/>
                </w:tcPr>
                <w:p w14:paraId="0117A93A">
                  <w:pPr>
                    <w:adjustRightInd w:val="0"/>
                    <w:snapToGrid w:val="0"/>
                    <w:spacing w:line="240" w:lineRule="auto"/>
                    <w:jc w:val="center"/>
                    <w:rPr>
                      <w:color w:val="auto"/>
                      <w:highlight w:val="none"/>
                    </w:rPr>
                  </w:pPr>
                </w:p>
              </w:tc>
              <w:tc>
                <w:tcPr>
                  <w:tcW w:w="1520" w:type="pct"/>
                  <w:vMerge w:val="continue"/>
                  <w:vAlign w:val="center"/>
                </w:tcPr>
                <w:p w14:paraId="774139BB">
                  <w:pPr>
                    <w:pStyle w:val="55"/>
                    <w:spacing w:line="240" w:lineRule="auto"/>
                    <w:rPr>
                      <w:rFonts w:hint="eastAsia" w:eastAsia="宋体"/>
                      <w:color w:val="auto"/>
                      <w:highlight w:val="none"/>
                      <w:lang w:val="en-US" w:eastAsia="zh-CN"/>
                    </w:rPr>
                  </w:pPr>
                </w:p>
              </w:tc>
              <w:tc>
                <w:tcPr>
                  <w:tcW w:w="867" w:type="pct"/>
                  <w:vMerge w:val="continue"/>
                  <w:vAlign w:val="center"/>
                </w:tcPr>
                <w:p w14:paraId="5DE35CC6">
                  <w:pPr>
                    <w:adjustRightInd w:val="0"/>
                    <w:snapToGrid w:val="0"/>
                    <w:spacing w:line="240" w:lineRule="auto"/>
                    <w:jc w:val="center"/>
                    <w:rPr>
                      <w:rFonts w:hint="default"/>
                      <w:color w:val="auto"/>
                      <w:highlight w:val="yellow"/>
                      <w:lang w:val="en-US" w:eastAsia="zh-CN"/>
                    </w:rPr>
                  </w:pPr>
                </w:p>
              </w:tc>
            </w:tr>
            <w:tr w14:paraId="3757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 w:type="pct"/>
                  <w:vMerge w:val="continue"/>
                  <w:vAlign w:val="center"/>
                </w:tcPr>
                <w:p w14:paraId="4FA7AEE8">
                  <w:pPr>
                    <w:pStyle w:val="55"/>
                    <w:spacing w:line="240" w:lineRule="auto"/>
                    <w:rPr>
                      <w:color w:val="auto"/>
                      <w:highlight w:val="none"/>
                    </w:rPr>
                  </w:pPr>
                </w:p>
              </w:tc>
              <w:tc>
                <w:tcPr>
                  <w:tcW w:w="642" w:type="pct"/>
                  <w:vMerge w:val="continue"/>
                  <w:vAlign w:val="center"/>
                </w:tcPr>
                <w:p w14:paraId="23E86618">
                  <w:pPr>
                    <w:pStyle w:val="55"/>
                    <w:spacing w:line="240" w:lineRule="auto"/>
                    <w:rPr>
                      <w:color w:val="auto"/>
                      <w:highlight w:val="none"/>
                    </w:rPr>
                  </w:pPr>
                </w:p>
              </w:tc>
              <w:tc>
                <w:tcPr>
                  <w:tcW w:w="518" w:type="pct"/>
                  <w:vAlign w:val="center"/>
                </w:tcPr>
                <w:p w14:paraId="71AB2C1E">
                  <w:pPr>
                    <w:adjustRightInd w:val="0"/>
                    <w:snapToGrid w:val="0"/>
                    <w:spacing w:line="240" w:lineRule="auto"/>
                    <w:jc w:val="center"/>
                    <w:rPr>
                      <w:color w:val="auto"/>
                      <w:highlight w:val="none"/>
                    </w:rPr>
                  </w:pPr>
                  <w:r>
                    <w:rPr>
                      <w:rFonts w:hint="default" w:ascii="Times New Roman" w:hAnsi="Times New Roman" w:cs="Times New Roman"/>
                      <w:color w:val="auto"/>
                      <w:szCs w:val="21"/>
                      <w:highlight w:val="none"/>
                    </w:rPr>
                    <w:t>废机油</w:t>
                  </w:r>
                </w:p>
              </w:tc>
              <w:tc>
                <w:tcPr>
                  <w:tcW w:w="1166" w:type="pct"/>
                  <w:vAlign w:val="center"/>
                </w:tcPr>
                <w:p w14:paraId="02EF44DE">
                  <w:pPr>
                    <w:adjustRightInd w:val="0"/>
                    <w:snapToGrid w:val="0"/>
                    <w:spacing w:line="240" w:lineRule="auto"/>
                    <w:jc w:val="center"/>
                    <w:rPr>
                      <w:color w:val="auto"/>
                      <w:highlight w:val="none"/>
                    </w:rPr>
                  </w:pPr>
                  <w:r>
                    <w:rPr>
                      <w:rFonts w:hint="default" w:ascii="Times New Roman" w:hAnsi="Times New Roman" w:cs="Times New Roman"/>
                      <w:color w:val="auto"/>
                      <w:szCs w:val="21"/>
                      <w:highlight w:val="none"/>
                    </w:rPr>
                    <w:t>暂存于危废暂存间，委托具有处理资质的单位定期拉运处置</w:t>
                  </w:r>
                </w:p>
              </w:tc>
              <w:tc>
                <w:tcPr>
                  <w:tcW w:w="1520" w:type="pct"/>
                  <w:vAlign w:val="center"/>
                </w:tcPr>
                <w:p w14:paraId="1D843F92">
                  <w:pPr>
                    <w:pStyle w:val="55"/>
                    <w:spacing w:line="240" w:lineRule="auto"/>
                    <w:rPr>
                      <w:color w:val="auto"/>
                      <w:highlight w:val="none"/>
                    </w:rPr>
                  </w:pPr>
                  <w:r>
                    <w:rPr>
                      <w:color w:val="auto"/>
                      <w:highlight w:val="none"/>
                    </w:rPr>
                    <w:t>《危险废物贮存污染控制标准》（GB18597-20</w:t>
                  </w:r>
                  <w:r>
                    <w:rPr>
                      <w:rFonts w:hint="eastAsia"/>
                      <w:color w:val="auto"/>
                      <w:highlight w:val="none"/>
                      <w:lang w:val="en-US" w:eastAsia="zh-CN"/>
                    </w:rPr>
                    <w:t>23</w:t>
                  </w:r>
                  <w:r>
                    <w:rPr>
                      <w:color w:val="auto"/>
                      <w:highlight w:val="none"/>
                    </w:rPr>
                    <w:t>）相关要求</w:t>
                  </w:r>
                </w:p>
              </w:tc>
              <w:tc>
                <w:tcPr>
                  <w:tcW w:w="867" w:type="pct"/>
                  <w:vAlign w:val="center"/>
                </w:tcPr>
                <w:p w14:paraId="58346EBA">
                  <w:pPr>
                    <w:pStyle w:val="55"/>
                    <w:spacing w:line="240" w:lineRule="auto"/>
                    <w:jc w:val="center"/>
                    <w:rPr>
                      <w:rFonts w:hint="eastAsia" w:eastAsia="宋体"/>
                      <w:color w:val="auto"/>
                      <w:highlight w:val="none"/>
                      <w:lang w:val="en-US" w:eastAsia="zh-CN"/>
                    </w:rPr>
                  </w:pPr>
                  <w:r>
                    <w:rPr>
                      <w:rFonts w:hint="default" w:ascii="Times New Roman" w:hAnsi="Times New Roman" w:cs="Times New Roman"/>
                      <w:color w:val="auto"/>
                      <w:szCs w:val="21"/>
                      <w:highlight w:val="none"/>
                    </w:rPr>
                    <w:t>暂存于危废暂存间，委托具有处理资质的单位定期拉运处置</w:t>
                  </w:r>
                </w:p>
              </w:tc>
            </w:tr>
          </w:tbl>
          <w:p w14:paraId="12E9A8BB">
            <w:pPr>
              <w:adjustRightInd w:val="0"/>
              <w:snapToGrid w:val="0"/>
              <w:rPr>
                <w:rFonts w:ascii="宋体" w:hAnsi="宋体" w:cs="宋体"/>
                <w:bCs/>
                <w:color w:val="auto"/>
                <w:spacing w:val="-10"/>
                <w:szCs w:val="21"/>
              </w:rPr>
            </w:pPr>
          </w:p>
        </w:tc>
      </w:tr>
    </w:tbl>
    <w:p w14:paraId="321FE55D">
      <w:pPr>
        <w:adjustRightInd w:val="0"/>
        <w:snapToGrid w:val="0"/>
        <w:spacing w:line="360" w:lineRule="auto"/>
        <w:rPr>
          <w:rFonts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2C4CCBE9">
      <w:pPr>
        <w:pStyle w:val="24"/>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3" w:name="_Hlk54167917"/>
      <w:r>
        <w:rPr>
          <w:rFonts w:hint="eastAsia" w:ascii="黑体" w:hAnsi="黑体" w:eastAsia="黑体"/>
          <w:snapToGrid w:val="0"/>
          <w:color w:val="auto"/>
          <w:sz w:val="30"/>
          <w:szCs w:val="30"/>
        </w:rPr>
        <w:t>环境保护措施监督检查清单</w:t>
      </w:r>
      <w:bookmarkEnd w:id="3"/>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556"/>
        <w:gridCol w:w="1669"/>
        <w:gridCol w:w="2042"/>
      </w:tblGrid>
      <w:tr w14:paraId="00018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tcBorders>
              <w:tl2br w:val="single" w:color="auto" w:sz="4" w:space="0"/>
            </w:tcBorders>
            <w:vAlign w:val="center"/>
          </w:tcPr>
          <w:p w14:paraId="715350D4">
            <w:pPr>
              <w:adjustRightInd w:val="0"/>
              <w:snapToGrid w:val="0"/>
              <w:jc w:val="center"/>
              <w:rPr>
                <w:rFonts w:ascii="宋体" w:hAnsi="宋体" w:cs="宋体"/>
                <w:color w:val="auto"/>
                <w:szCs w:val="21"/>
              </w:rPr>
            </w:pPr>
            <w:r>
              <w:rPr>
                <w:rFonts w:hint="eastAsia" w:ascii="宋体" w:hAnsi="宋体" w:cs="宋体"/>
                <w:color w:val="auto"/>
                <w:szCs w:val="21"/>
              </w:rPr>
              <w:t>内容</w:t>
            </w:r>
          </w:p>
          <w:p w14:paraId="60BC33BC">
            <w:pPr>
              <w:adjustRightInd w:val="0"/>
              <w:snapToGrid w:val="0"/>
              <w:jc w:val="center"/>
              <w:rPr>
                <w:rFonts w:ascii="宋体" w:hAnsi="宋体" w:cs="宋体"/>
                <w:color w:val="auto"/>
                <w:szCs w:val="21"/>
              </w:rPr>
            </w:pPr>
            <w:r>
              <w:rPr>
                <w:rFonts w:hint="eastAsia" w:ascii="宋体" w:hAnsi="宋体" w:cs="宋体"/>
                <w:color w:val="auto"/>
                <w:szCs w:val="21"/>
              </w:rPr>
              <w:t>要素</w:t>
            </w:r>
          </w:p>
        </w:tc>
        <w:tc>
          <w:tcPr>
            <w:tcW w:w="1755" w:type="dxa"/>
            <w:vAlign w:val="center"/>
          </w:tcPr>
          <w:p w14:paraId="62582095">
            <w:pPr>
              <w:adjustRightInd w:val="0"/>
              <w:snapToGrid w:val="0"/>
              <w:jc w:val="center"/>
              <w:rPr>
                <w:rFonts w:ascii="宋体" w:hAnsi="宋体" w:cs="宋体"/>
                <w:color w:val="auto"/>
                <w:szCs w:val="21"/>
              </w:rPr>
            </w:pPr>
            <w:r>
              <w:rPr>
                <w:rFonts w:hint="eastAsia" w:ascii="宋体" w:hAnsi="宋体" w:cs="宋体"/>
                <w:color w:val="auto"/>
                <w:szCs w:val="21"/>
              </w:rPr>
              <w:t>排放口</w:t>
            </w:r>
            <w:r>
              <w:rPr>
                <w:rFonts w:hint="eastAsia" w:ascii="宋体" w:hAnsi="宋体" w:cs="宋体"/>
                <w:color w:val="auto"/>
                <w:szCs w:val="21"/>
                <w:lang w:eastAsia="zh-CN"/>
              </w:rPr>
              <w:t>（</w:t>
            </w:r>
            <w:r>
              <w:rPr>
                <w:rFonts w:hint="eastAsia" w:ascii="宋体" w:hAnsi="宋体" w:cs="宋体"/>
                <w:color w:val="auto"/>
                <w:szCs w:val="21"/>
              </w:rPr>
              <w:t>编号、</w:t>
            </w:r>
          </w:p>
          <w:p w14:paraId="459A7FC9">
            <w:pPr>
              <w:adjustRightInd w:val="0"/>
              <w:snapToGrid w:val="0"/>
              <w:jc w:val="center"/>
              <w:rPr>
                <w:rFonts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lang w:eastAsia="zh-CN"/>
              </w:rPr>
              <w:t>）</w:t>
            </w:r>
            <w:r>
              <w:rPr>
                <w:rFonts w:hint="eastAsia" w:ascii="宋体" w:hAnsi="宋体" w:cs="宋体"/>
                <w:color w:val="auto"/>
                <w:szCs w:val="21"/>
              </w:rPr>
              <w:t>/污染源</w:t>
            </w:r>
          </w:p>
        </w:tc>
        <w:tc>
          <w:tcPr>
            <w:tcW w:w="1556" w:type="dxa"/>
            <w:vAlign w:val="center"/>
          </w:tcPr>
          <w:p w14:paraId="1E6C79C6">
            <w:pPr>
              <w:adjustRightInd w:val="0"/>
              <w:snapToGrid w:val="0"/>
              <w:jc w:val="center"/>
              <w:rPr>
                <w:rFonts w:ascii="宋体" w:hAnsi="宋体" w:cs="宋体"/>
                <w:color w:val="auto"/>
                <w:szCs w:val="21"/>
              </w:rPr>
            </w:pPr>
            <w:r>
              <w:rPr>
                <w:rFonts w:hint="eastAsia" w:ascii="宋体" w:hAnsi="宋体" w:cs="宋体"/>
                <w:color w:val="auto"/>
                <w:szCs w:val="21"/>
              </w:rPr>
              <w:t>污染物项目</w:t>
            </w:r>
          </w:p>
        </w:tc>
        <w:tc>
          <w:tcPr>
            <w:tcW w:w="1669" w:type="dxa"/>
            <w:vAlign w:val="center"/>
          </w:tcPr>
          <w:p w14:paraId="27F1CEDD">
            <w:pPr>
              <w:adjustRightInd w:val="0"/>
              <w:snapToGrid w:val="0"/>
              <w:jc w:val="center"/>
              <w:rPr>
                <w:rFonts w:ascii="宋体" w:hAnsi="宋体" w:cs="宋体"/>
                <w:color w:val="auto"/>
                <w:szCs w:val="21"/>
              </w:rPr>
            </w:pPr>
            <w:r>
              <w:rPr>
                <w:rFonts w:hint="eastAsia" w:ascii="宋体" w:hAnsi="宋体" w:cs="宋体"/>
                <w:color w:val="auto"/>
                <w:szCs w:val="21"/>
              </w:rPr>
              <w:t>环境保护措施</w:t>
            </w:r>
          </w:p>
        </w:tc>
        <w:tc>
          <w:tcPr>
            <w:tcW w:w="2042" w:type="dxa"/>
            <w:vAlign w:val="center"/>
          </w:tcPr>
          <w:p w14:paraId="540955FE">
            <w:pPr>
              <w:adjustRightInd w:val="0"/>
              <w:snapToGrid w:val="0"/>
              <w:jc w:val="center"/>
              <w:rPr>
                <w:rFonts w:ascii="宋体" w:hAnsi="宋体" w:cs="宋体"/>
                <w:color w:val="auto"/>
                <w:szCs w:val="21"/>
              </w:rPr>
            </w:pPr>
            <w:r>
              <w:rPr>
                <w:rFonts w:hint="eastAsia" w:ascii="宋体" w:hAnsi="宋体" w:cs="宋体"/>
                <w:color w:val="auto"/>
                <w:szCs w:val="21"/>
              </w:rPr>
              <w:t>执行标准</w:t>
            </w:r>
          </w:p>
        </w:tc>
      </w:tr>
      <w:tr w14:paraId="592125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778" w:type="dxa"/>
            <w:vMerge w:val="restart"/>
            <w:vAlign w:val="center"/>
          </w:tcPr>
          <w:p w14:paraId="0F8D2CAA">
            <w:pPr>
              <w:adjustRightInd w:val="0"/>
              <w:snapToGrid w:val="0"/>
              <w:jc w:val="center"/>
              <w:rPr>
                <w:rFonts w:ascii="宋体" w:hAnsi="宋体" w:cs="宋体"/>
                <w:color w:val="auto"/>
                <w:szCs w:val="21"/>
              </w:rPr>
            </w:pPr>
            <w:r>
              <w:rPr>
                <w:rFonts w:hint="eastAsia" w:ascii="宋体" w:hAnsi="宋体" w:cs="宋体"/>
                <w:color w:val="auto"/>
                <w:szCs w:val="21"/>
              </w:rPr>
              <w:t>大气环境</w:t>
            </w:r>
          </w:p>
        </w:tc>
        <w:tc>
          <w:tcPr>
            <w:tcW w:w="1755" w:type="dxa"/>
            <w:vAlign w:val="center"/>
          </w:tcPr>
          <w:p w14:paraId="4BAED99D">
            <w:pPr>
              <w:jc w:val="center"/>
              <w:rPr>
                <w:rFonts w:ascii="宋体" w:hAnsi="宋体" w:cs="宋体"/>
                <w:color w:val="auto"/>
                <w:szCs w:val="21"/>
              </w:rPr>
            </w:pPr>
            <w:r>
              <w:rPr>
                <w:rFonts w:hint="eastAsia"/>
                <w:color w:val="auto"/>
                <w:szCs w:val="21"/>
              </w:rPr>
              <w:t>搅拌粉尘</w:t>
            </w:r>
          </w:p>
        </w:tc>
        <w:tc>
          <w:tcPr>
            <w:tcW w:w="1556" w:type="dxa"/>
            <w:vMerge w:val="restart"/>
            <w:vAlign w:val="center"/>
          </w:tcPr>
          <w:p w14:paraId="2BBC485C">
            <w:pPr>
              <w:adjustRightInd w:val="0"/>
              <w:snapToGrid w:val="0"/>
              <w:jc w:val="center"/>
              <w:rPr>
                <w:rFonts w:ascii="宋体" w:hAnsi="宋体" w:cs="宋体"/>
                <w:color w:val="auto"/>
                <w:szCs w:val="21"/>
              </w:rPr>
            </w:pPr>
            <w:r>
              <w:rPr>
                <w:rFonts w:hint="eastAsia" w:ascii="宋体" w:hAnsi="宋体" w:cs="宋体"/>
                <w:color w:val="auto"/>
                <w:szCs w:val="21"/>
              </w:rPr>
              <w:t>颗粒物</w:t>
            </w:r>
          </w:p>
        </w:tc>
        <w:tc>
          <w:tcPr>
            <w:tcW w:w="1669" w:type="dxa"/>
            <w:vAlign w:val="center"/>
          </w:tcPr>
          <w:p w14:paraId="6F14C71B">
            <w:pPr>
              <w:jc w:val="center"/>
              <w:rPr>
                <w:rFonts w:hint="default" w:ascii="宋体" w:hAnsi="宋体" w:eastAsia="宋体" w:cs="宋体"/>
                <w:color w:val="auto"/>
                <w:szCs w:val="21"/>
                <w:lang w:val="en-US" w:eastAsia="zh-CN"/>
              </w:rPr>
            </w:pPr>
            <w:r>
              <w:rPr>
                <w:rFonts w:hint="eastAsia"/>
                <w:color w:val="auto"/>
                <w:szCs w:val="21"/>
              </w:rPr>
              <w:t>搅拌楼密闭，</w:t>
            </w:r>
            <w:r>
              <w:rPr>
                <w:rFonts w:hint="eastAsia"/>
                <w:color w:val="auto"/>
                <w:szCs w:val="21"/>
                <w:lang w:val="en-US" w:eastAsia="zh-CN"/>
              </w:rPr>
              <w:t>设备自带的</w:t>
            </w:r>
            <w:r>
              <w:rPr>
                <w:rFonts w:hint="eastAsia"/>
                <w:color w:val="auto"/>
                <w:szCs w:val="21"/>
              </w:rPr>
              <w:t>脉冲布袋除尘器</w:t>
            </w:r>
            <w:r>
              <w:rPr>
                <w:rFonts w:hint="eastAsia"/>
                <w:color w:val="auto"/>
                <w:szCs w:val="21"/>
                <w:lang w:val="en-US" w:eastAsia="zh-CN"/>
              </w:rPr>
              <w:t>+15m高排气筒</w:t>
            </w:r>
          </w:p>
        </w:tc>
        <w:tc>
          <w:tcPr>
            <w:tcW w:w="2042" w:type="dxa"/>
            <w:vAlign w:val="center"/>
          </w:tcPr>
          <w:p w14:paraId="752B267C">
            <w:pPr>
              <w:adjustRightInd w:val="0"/>
              <w:snapToGrid w:val="0"/>
              <w:jc w:val="both"/>
              <w:rPr>
                <w:rFonts w:ascii="宋体" w:hAnsi="宋体" w:cs="宋体"/>
                <w:color w:val="auto"/>
                <w:szCs w:val="21"/>
              </w:rPr>
            </w:pPr>
            <w:r>
              <w:rPr>
                <w:rFonts w:hint="eastAsia"/>
                <w:color w:val="auto"/>
                <w:szCs w:val="21"/>
              </w:rPr>
              <w:t>《水泥工业大气污染物排放标准》（GB4915-2013）表</w:t>
            </w:r>
            <w:r>
              <w:rPr>
                <w:rFonts w:hint="eastAsia"/>
                <w:color w:val="auto"/>
                <w:szCs w:val="21"/>
                <w:lang w:val="en-US" w:eastAsia="zh-CN"/>
              </w:rPr>
              <w:t>1</w:t>
            </w:r>
            <w:r>
              <w:rPr>
                <w:rFonts w:hint="eastAsia"/>
                <w:color w:val="auto"/>
                <w:szCs w:val="21"/>
              </w:rPr>
              <w:t>大气污染物排放限值</w:t>
            </w:r>
          </w:p>
        </w:tc>
      </w:tr>
      <w:tr w14:paraId="6ADC8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2CF000CA">
            <w:pPr>
              <w:adjustRightInd w:val="0"/>
              <w:snapToGrid w:val="0"/>
              <w:jc w:val="center"/>
              <w:rPr>
                <w:rFonts w:ascii="宋体" w:hAnsi="宋体" w:cs="宋体"/>
                <w:color w:val="auto"/>
                <w:szCs w:val="21"/>
              </w:rPr>
            </w:pPr>
          </w:p>
        </w:tc>
        <w:tc>
          <w:tcPr>
            <w:tcW w:w="1755" w:type="dxa"/>
            <w:vAlign w:val="center"/>
          </w:tcPr>
          <w:p w14:paraId="324B4C7C">
            <w:pPr>
              <w:jc w:val="center"/>
              <w:rPr>
                <w:rFonts w:ascii="宋体" w:hAnsi="宋体" w:cs="宋体"/>
                <w:color w:val="auto"/>
                <w:szCs w:val="21"/>
              </w:rPr>
            </w:pPr>
            <w:r>
              <w:rPr>
                <w:rFonts w:hint="eastAsia"/>
                <w:color w:val="auto"/>
                <w:szCs w:val="21"/>
              </w:rPr>
              <w:t>筒仓粉尘</w:t>
            </w:r>
          </w:p>
        </w:tc>
        <w:tc>
          <w:tcPr>
            <w:tcW w:w="1556" w:type="dxa"/>
            <w:vMerge w:val="continue"/>
            <w:vAlign w:val="center"/>
          </w:tcPr>
          <w:p w14:paraId="03A09265">
            <w:pPr>
              <w:adjustRightInd w:val="0"/>
              <w:snapToGrid w:val="0"/>
              <w:jc w:val="center"/>
              <w:rPr>
                <w:rFonts w:ascii="宋体" w:hAnsi="宋体" w:cs="宋体"/>
                <w:color w:val="auto"/>
                <w:szCs w:val="21"/>
              </w:rPr>
            </w:pPr>
          </w:p>
        </w:tc>
        <w:tc>
          <w:tcPr>
            <w:tcW w:w="1669" w:type="dxa"/>
            <w:vAlign w:val="center"/>
          </w:tcPr>
          <w:p w14:paraId="4A6EEDD8">
            <w:pPr>
              <w:jc w:val="center"/>
              <w:rPr>
                <w:rFonts w:hint="default" w:ascii="宋体" w:hAnsi="宋体" w:eastAsia="宋体" w:cs="宋体"/>
                <w:color w:val="auto"/>
                <w:szCs w:val="21"/>
                <w:lang w:val="en-US" w:eastAsia="zh-CN"/>
              </w:rPr>
            </w:pPr>
            <w:r>
              <w:rPr>
                <w:rFonts w:hint="eastAsia"/>
                <w:color w:val="auto"/>
                <w:szCs w:val="21"/>
                <w:lang w:val="en-US" w:eastAsia="zh-CN"/>
              </w:rPr>
              <w:t>筒仓采用配套套脉冲布袋除尘器</w:t>
            </w:r>
          </w:p>
        </w:tc>
        <w:tc>
          <w:tcPr>
            <w:tcW w:w="2042" w:type="dxa"/>
            <w:vMerge w:val="restart"/>
            <w:vAlign w:val="center"/>
          </w:tcPr>
          <w:p w14:paraId="0ED91FB0">
            <w:pPr>
              <w:adjustRightInd w:val="0"/>
              <w:snapToGrid w:val="0"/>
              <w:spacing w:line="240" w:lineRule="auto"/>
              <w:rPr>
                <w:rFonts w:hint="eastAsia"/>
                <w:color w:val="auto"/>
                <w:spacing w:val="0"/>
                <w:sz w:val="21"/>
                <w:szCs w:val="21"/>
              </w:rPr>
            </w:pPr>
            <w:r>
              <w:rPr>
                <w:rFonts w:hint="eastAsia"/>
                <w:color w:val="auto"/>
                <w:spacing w:val="0"/>
                <w:sz w:val="21"/>
                <w:szCs w:val="21"/>
              </w:rPr>
              <w:t>《水泥工业大气污染物排放标准》（GB4915-2013）表</w:t>
            </w:r>
            <w:r>
              <w:rPr>
                <w:rFonts w:hint="eastAsia"/>
                <w:color w:val="auto"/>
                <w:spacing w:val="0"/>
                <w:sz w:val="21"/>
                <w:szCs w:val="21"/>
                <w:lang w:val="en-US" w:eastAsia="zh-CN"/>
              </w:rPr>
              <w:t>3</w:t>
            </w:r>
            <w:r>
              <w:rPr>
                <w:rFonts w:hint="eastAsia"/>
                <w:color w:val="auto"/>
                <w:spacing w:val="0"/>
                <w:sz w:val="21"/>
                <w:szCs w:val="21"/>
              </w:rPr>
              <w:t>大气污染物</w:t>
            </w:r>
            <w:r>
              <w:rPr>
                <w:rFonts w:hint="eastAsia"/>
                <w:color w:val="auto"/>
                <w:spacing w:val="0"/>
                <w:sz w:val="21"/>
                <w:szCs w:val="21"/>
                <w:lang w:val="en-US" w:eastAsia="zh-CN"/>
              </w:rPr>
              <w:t>无组织</w:t>
            </w:r>
            <w:r>
              <w:rPr>
                <w:rFonts w:hint="eastAsia"/>
                <w:color w:val="auto"/>
                <w:spacing w:val="0"/>
                <w:sz w:val="21"/>
                <w:szCs w:val="21"/>
              </w:rPr>
              <w:t>排放</w:t>
            </w:r>
            <w:r>
              <w:rPr>
                <w:rFonts w:hint="eastAsia"/>
                <w:color w:val="auto"/>
                <w:spacing w:val="0"/>
                <w:sz w:val="21"/>
                <w:szCs w:val="21"/>
                <w:lang w:val="en-US" w:eastAsia="zh-CN"/>
              </w:rPr>
              <w:t>浓度0.5mg/m3的</w:t>
            </w:r>
            <w:r>
              <w:rPr>
                <w:rFonts w:hint="eastAsia"/>
                <w:color w:val="auto"/>
                <w:spacing w:val="0"/>
                <w:sz w:val="21"/>
                <w:szCs w:val="21"/>
              </w:rPr>
              <w:t>限值</w:t>
            </w:r>
            <w:r>
              <w:rPr>
                <w:rFonts w:hint="eastAsia"/>
                <w:color w:val="auto"/>
                <w:spacing w:val="0"/>
                <w:sz w:val="21"/>
                <w:szCs w:val="21"/>
                <w:lang w:val="en-US" w:eastAsia="zh-CN"/>
              </w:rPr>
              <w:t>要求</w:t>
            </w:r>
          </w:p>
          <w:p w14:paraId="7ED7F4E6">
            <w:pPr>
              <w:adjustRightInd w:val="0"/>
              <w:snapToGrid w:val="0"/>
              <w:jc w:val="both"/>
              <w:rPr>
                <w:rFonts w:ascii="宋体" w:hAnsi="宋体" w:cs="宋体"/>
                <w:color w:val="auto"/>
                <w:szCs w:val="21"/>
              </w:rPr>
            </w:pPr>
          </w:p>
        </w:tc>
      </w:tr>
      <w:tr w14:paraId="20E7FB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6DE4F5C7">
            <w:pPr>
              <w:adjustRightInd w:val="0"/>
              <w:snapToGrid w:val="0"/>
              <w:jc w:val="center"/>
              <w:rPr>
                <w:rFonts w:ascii="宋体" w:hAnsi="宋体" w:cs="宋体"/>
                <w:color w:val="auto"/>
                <w:szCs w:val="21"/>
              </w:rPr>
            </w:pPr>
          </w:p>
        </w:tc>
        <w:tc>
          <w:tcPr>
            <w:tcW w:w="1755" w:type="dxa"/>
            <w:vAlign w:val="center"/>
          </w:tcPr>
          <w:p w14:paraId="66368868">
            <w:pPr>
              <w:adjustRightInd w:val="0"/>
              <w:snapToGrid w:val="0"/>
              <w:jc w:val="center"/>
              <w:rPr>
                <w:rFonts w:ascii="宋体" w:hAnsi="宋体" w:cs="宋体"/>
                <w:color w:val="auto"/>
                <w:szCs w:val="21"/>
              </w:rPr>
            </w:pPr>
            <w:r>
              <w:rPr>
                <w:rFonts w:hint="eastAsia"/>
                <w:color w:val="auto"/>
                <w:highlight w:val="none"/>
                <w:lang w:val="en-US" w:eastAsia="zh-CN"/>
              </w:rPr>
              <w:t>料场扬尘及装卸扬尘</w:t>
            </w:r>
          </w:p>
        </w:tc>
        <w:tc>
          <w:tcPr>
            <w:tcW w:w="1556" w:type="dxa"/>
            <w:vMerge w:val="continue"/>
            <w:vAlign w:val="center"/>
          </w:tcPr>
          <w:p w14:paraId="34322ABE">
            <w:pPr>
              <w:adjustRightInd w:val="0"/>
              <w:snapToGrid w:val="0"/>
              <w:jc w:val="center"/>
              <w:rPr>
                <w:rFonts w:ascii="宋体" w:hAnsi="宋体" w:cs="宋体"/>
                <w:color w:val="auto"/>
                <w:szCs w:val="21"/>
              </w:rPr>
            </w:pPr>
          </w:p>
        </w:tc>
        <w:tc>
          <w:tcPr>
            <w:tcW w:w="1669" w:type="dxa"/>
            <w:vAlign w:val="center"/>
          </w:tcPr>
          <w:p w14:paraId="1BF78B5B">
            <w:pPr>
              <w:jc w:val="center"/>
              <w:rPr>
                <w:rFonts w:ascii="宋体" w:hAnsi="宋体" w:cs="宋体"/>
                <w:color w:val="auto"/>
                <w:szCs w:val="21"/>
              </w:rPr>
            </w:pPr>
            <w:r>
              <w:rPr>
                <w:rFonts w:hint="eastAsia"/>
                <w:color w:val="auto"/>
                <w:szCs w:val="21"/>
              </w:rPr>
              <w:t>料场</w:t>
            </w:r>
            <w:r>
              <w:rPr>
                <w:rFonts w:hint="eastAsia"/>
                <w:color w:val="auto"/>
                <w:szCs w:val="21"/>
                <w:lang w:val="en-US" w:eastAsia="zh-CN"/>
              </w:rPr>
              <w:t>为半封闭式</w:t>
            </w:r>
            <w:r>
              <w:rPr>
                <w:rFonts w:hint="eastAsia"/>
                <w:color w:val="auto"/>
                <w:szCs w:val="21"/>
              </w:rPr>
              <w:t>，全覆盖</w:t>
            </w:r>
            <w:r>
              <w:rPr>
                <w:rFonts w:hint="eastAsia"/>
                <w:color w:val="auto"/>
                <w:szCs w:val="21"/>
                <w:lang w:val="en-US" w:eastAsia="zh-CN"/>
              </w:rPr>
              <w:t>且</w:t>
            </w:r>
            <w:r>
              <w:rPr>
                <w:rFonts w:hint="eastAsia"/>
                <w:color w:val="auto"/>
                <w:szCs w:val="21"/>
              </w:rPr>
              <w:t>洒水降尘</w:t>
            </w:r>
          </w:p>
        </w:tc>
        <w:tc>
          <w:tcPr>
            <w:tcW w:w="2042" w:type="dxa"/>
            <w:vMerge w:val="continue"/>
            <w:vAlign w:val="center"/>
          </w:tcPr>
          <w:p w14:paraId="1A8F6151">
            <w:pPr>
              <w:adjustRightInd w:val="0"/>
              <w:snapToGrid w:val="0"/>
              <w:jc w:val="both"/>
              <w:rPr>
                <w:rFonts w:ascii="宋体" w:hAnsi="宋体" w:cs="宋体"/>
                <w:color w:val="auto"/>
                <w:szCs w:val="21"/>
              </w:rPr>
            </w:pPr>
          </w:p>
        </w:tc>
      </w:tr>
      <w:tr w14:paraId="46FBB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1F780388">
            <w:pPr>
              <w:adjustRightInd w:val="0"/>
              <w:snapToGrid w:val="0"/>
              <w:jc w:val="center"/>
              <w:rPr>
                <w:rFonts w:ascii="宋体" w:hAnsi="宋体" w:cs="宋体"/>
                <w:color w:val="auto"/>
                <w:szCs w:val="21"/>
              </w:rPr>
            </w:pPr>
          </w:p>
        </w:tc>
        <w:tc>
          <w:tcPr>
            <w:tcW w:w="1755" w:type="dxa"/>
            <w:vAlign w:val="center"/>
          </w:tcPr>
          <w:p w14:paraId="069EF765">
            <w:pPr>
              <w:adjustRightInd w:val="0"/>
              <w:snapToGrid w:val="0"/>
              <w:jc w:val="center"/>
              <w:rPr>
                <w:rFonts w:ascii="宋体" w:hAnsi="宋体" w:cs="宋体"/>
                <w:color w:val="auto"/>
                <w:szCs w:val="21"/>
              </w:rPr>
            </w:pPr>
            <w:r>
              <w:rPr>
                <w:rFonts w:hint="eastAsia" w:ascii="宋体" w:hAnsi="宋体" w:cs="宋体"/>
                <w:color w:val="auto"/>
                <w:szCs w:val="21"/>
              </w:rPr>
              <w:t>运输粉尘</w:t>
            </w:r>
          </w:p>
        </w:tc>
        <w:tc>
          <w:tcPr>
            <w:tcW w:w="1556" w:type="dxa"/>
            <w:vMerge w:val="continue"/>
            <w:vAlign w:val="center"/>
          </w:tcPr>
          <w:p w14:paraId="0D8597EB">
            <w:pPr>
              <w:adjustRightInd w:val="0"/>
              <w:snapToGrid w:val="0"/>
              <w:jc w:val="center"/>
              <w:rPr>
                <w:rFonts w:ascii="宋体" w:hAnsi="宋体" w:cs="宋体"/>
                <w:color w:val="auto"/>
                <w:szCs w:val="21"/>
              </w:rPr>
            </w:pPr>
          </w:p>
        </w:tc>
        <w:tc>
          <w:tcPr>
            <w:tcW w:w="1669" w:type="dxa"/>
            <w:vAlign w:val="center"/>
          </w:tcPr>
          <w:p w14:paraId="5C9A9C90">
            <w:pPr>
              <w:jc w:val="center"/>
              <w:rPr>
                <w:rFonts w:ascii="宋体" w:hAnsi="宋体" w:cs="宋体"/>
                <w:color w:val="auto"/>
                <w:szCs w:val="21"/>
              </w:rPr>
            </w:pPr>
            <w:r>
              <w:rPr>
                <w:rFonts w:hint="eastAsia"/>
                <w:color w:val="auto"/>
                <w:szCs w:val="21"/>
              </w:rPr>
              <w:t>运输车辆要封闭遮盖，粉料采用密闭罐车运输，车辆清洗，地面洒水降尘、及时清扫</w:t>
            </w:r>
          </w:p>
        </w:tc>
        <w:tc>
          <w:tcPr>
            <w:tcW w:w="2042" w:type="dxa"/>
            <w:vMerge w:val="continue"/>
            <w:vAlign w:val="center"/>
          </w:tcPr>
          <w:p w14:paraId="2E88EE9E">
            <w:pPr>
              <w:adjustRightInd w:val="0"/>
              <w:snapToGrid w:val="0"/>
              <w:jc w:val="center"/>
              <w:rPr>
                <w:rFonts w:ascii="宋体" w:hAnsi="宋体" w:cs="宋体"/>
                <w:color w:val="auto"/>
                <w:szCs w:val="21"/>
              </w:rPr>
            </w:pPr>
          </w:p>
        </w:tc>
      </w:tr>
      <w:tr w14:paraId="11C11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45A68E38">
            <w:pPr>
              <w:adjustRightInd w:val="0"/>
              <w:snapToGrid w:val="0"/>
              <w:jc w:val="center"/>
              <w:rPr>
                <w:rFonts w:ascii="宋体" w:hAnsi="宋体" w:cs="宋体"/>
                <w:color w:val="auto"/>
                <w:szCs w:val="21"/>
              </w:rPr>
            </w:pPr>
          </w:p>
        </w:tc>
        <w:tc>
          <w:tcPr>
            <w:tcW w:w="1755" w:type="dxa"/>
            <w:vAlign w:val="center"/>
          </w:tcPr>
          <w:p w14:paraId="4720A0A7">
            <w:pPr>
              <w:adjustRightInd w:val="0"/>
              <w:snapToGrid w:val="0"/>
              <w:jc w:val="center"/>
              <w:rPr>
                <w:rFonts w:ascii="宋体" w:hAnsi="宋体" w:cs="宋体"/>
                <w:color w:val="auto"/>
                <w:szCs w:val="21"/>
              </w:rPr>
            </w:pPr>
            <w:r>
              <w:rPr>
                <w:rFonts w:hint="eastAsia" w:ascii="宋体" w:hAnsi="宋体" w:cs="宋体"/>
                <w:color w:val="auto"/>
                <w:szCs w:val="21"/>
              </w:rPr>
              <w:t>廊道运输</w:t>
            </w:r>
          </w:p>
        </w:tc>
        <w:tc>
          <w:tcPr>
            <w:tcW w:w="1556" w:type="dxa"/>
            <w:vMerge w:val="continue"/>
            <w:vAlign w:val="center"/>
          </w:tcPr>
          <w:p w14:paraId="12F48324">
            <w:pPr>
              <w:adjustRightInd w:val="0"/>
              <w:snapToGrid w:val="0"/>
              <w:jc w:val="center"/>
              <w:rPr>
                <w:rFonts w:ascii="宋体" w:hAnsi="宋体" w:cs="宋体"/>
                <w:color w:val="auto"/>
                <w:szCs w:val="21"/>
              </w:rPr>
            </w:pPr>
          </w:p>
        </w:tc>
        <w:tc>
          <w:tcPr>
            <w:tcW w:w="1669" w:type="dxa"/>
            <w:vAlign w:val="center"/>
          </w:tcPr>
          <w:p w14:paraId="6370BE5B">
            <w:pPr>
              <w:jc w:val="center"/>
              <w:rPr>
                <w:rFonts w:ascii="宋体" w:hAnsi="宋体" w:cs="宋体"/>
                <w:color w:val="auto"/>
                <w:szCs w:val="21"/>
              </w:rPr>
            </w:pPr>
            <w:r>
              <w:rPr>
                <w:rFonts w:hint="eastAsia"/>
                <w:color w:val="auto"/>
                <w:szCs w:val="21"/>
              </w:rPr>
              <w:t>廊道密闭</w:t>
            </w:r>
          </w:p>
        </w:tc>
        <w:tc>
          <w:tcPr>
            <w:tcW w:w="2042" w:type="dxa"/>
            <w:vMerge w:val="continue"/>
            <w:vAlign w:val="center"/>
          </w:tcPr>
          <w:p w14:paraId="38405F39">
            <w:pPr>
              <w:adjustRightInd w:val="0"/>
              <w:snapToGrid w:val="0"/>
              <w:jc w:val="center"/>
              <w:rPr>
                <w:rFonts w:ascii="宋体" w:hAnsi="宋体" w:cs="宋体"/>
                <w:color w:val="auto"/>
                <w:szCs w:val="21"/>
              </w:rPr>
            </w:pPr>
          </w:p>
        </w:tc>
      </w:tr>
      <w:tr w14:paraId="1CEF40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1D8B4AA8">
            <w:pPr>
              <w:adjustRightInd w:val="0"/>
              <w:snapToGrid w:val="0"/>
              <w:jc w:val="center"/>
              <w:rPr>
                <w:rFonts w:ascii="宋体" w:hAnsi="宋体" w:cs="宋体"/>
                <w:color w:val="auto"/>
                <w:szCs w:val="21"/>
              </w:rPr>
            </w:pPr>
          </w:p>
        </w:tc>
        <w:tc>
          <w:tcPr>
            <w:tcW w:w="1755" w:type="dxa"/>
            <w:vAlign w:val="center"/>
          </w:tcPr>
          <w:p w14:paraId="021798B8">
            <w:pPr>
              <w:adjustRightInd w:val="0"/>
              <w:snapToGrid w:val="0"/>
              <w:jc w:val="center"/>
              <w:rPr>
                <w:rFonts w:ascii="宋体" w:hAnsi="宋体" w:cs="宋体"/>
                <w:color w:val="auto"/>
                <w:szCs w:val="21"/>
              </w:rPr>
            </w:pPr>
            <w:r>
              <w:rPr>
                <w:rFonts w:hint="eastAsia" w:ascii="宋体" w:hAnsi="宋体" w:cs="宋体"/>
                <w:color w:val="auto"/>
                <w:szCs w:val="21"/>
              </w:rPr>
              <w:t>食堂油烟</w:t>
            </w:r>
          </w:p>
        </w:tc>
        <w:tc>
          <w:tcPr>
            <w:tcW w:w="1556" w:type="dxa"/>
            <w:vAlign w:val="center"/>
          </w:tcPr>
          <w:p w14:paraId="63B2E229">
            <w:pPr>
              <w:adjustRightInd w:val="0"/>
              <w:snapToGrid w:val="0"/>
              <w:jc w:val="center"/>
              <w:rPr>
                <w:rFonts w:ascii="宋体" w:hAnsi="宋体" w:cs="宋体"/>
                <w:color w:val="auto"/>
                <w:szCs w:val="21"/>
              </w:rPr>
            </w:pPr>
            <w:r>
              <w:rPr>
                <w:rFonts w:hint="eastAsia" w:ascii="宋体" w:hAnsi="宋体" w:cs="宋体"/>
                <w:color w:val="auto"/>
                <w:szCs w:val="21"/>
              </w:rPr>
              <w:t>油烟</w:t>
            </w:r>
          </w:p>
        </w:tc>
        <w:tc>
          <w:tcPr>
            <w:tcW w:w="1669" w:type="dxa"/>
            <w:vAlign w:val="center"/>
          </w:tcPr>
          <w:p w14:paraId="3DD2A0F6">
            <w:pPr>
              <w:jc w:val="center"/>
              <w:rPr>
                <w:rFonts w:ascii="宋体" w:hAnsi="宋体" w:cs="宋体"/>
                <w:color w:val="auto"/>
                <w:szCs w:val="21"/>
              </w:rPr>
            </w:pPr>
            <w:r>
              <w:rPr>
                <w:rFonts w:hint="eastAsia"/>
                <w:color w:val="auto"/>
                <w:szCs w:val="21"/>
              </w:rPr>
              <w:t>油烟净化器+专用烟道</w:t>
            </w:r>
          </w:p>
        </w:tc>
        <w:tc>
          <w:tcPr>
            <w:tcW w:w="2042" w:type="dxa"/>
            <w:vAlign w:val="center"/>
          </w:tcPr>
          <w:p w14:paraId="291D5153">
            <w:pPr>
              <w:adjustRightInd w:val="0"/>
              <w:snapToGrid w:val="0"/>
              <w:jc w:val="center"/>
              <w:rPr>
                <w:rFonts w:hint="eastAsia" w:ascii="宋体" w:hAnsi="宋体" w:eastAsia="宋体" w:cs="宋体"/>
                <w:color w:val="auto"/>
                <w:szCs w:val="21"/>
                <w:lang w:eastAsia="zh-CN"/>
              </w:rPr>
            </w:pPr>
            <w:r>
              <w:rPr>
                <w:rFonts w:hint="eastAsia" w:cs="Times New Roman"/>
                <w:color w:val="auto"/>
                <w:szCs w:val="21"/>
                <w:lang w:val="en-US" w:eastAsia="zh-CN"/>
              </w:rPr>
              <w:t>/</w:t>
            </w:r>
          </w:p>
        </w:tc>
      </w:tr>
      <w:tr w14:paraId="0C31D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restart"/>
            <w:vAlign w:val="center"/>
          </w:tcPr>
          <w:p w14:paraId="2B215B32">
            <w:pPr>
              <w:adjustRightInd w:val="0"/>
              <w:snapToGrid w:val="0"/>
              <w:jc w:val="center"/>
              <w:rPr>
                <w:rFonts w:ascii="宋体" w:hAnsi="宋体" w:cs="宋体"/>
                <w:color w:val="auto"/>
                <w:szCs w:val="21"/>
              </w:rPr>
            </w:pPr>
            <w:r>
              <w:rPr>
                <w:rFonts w:hint="eastAsia" w:ascii="宋体" w:hAnsi="宋体" w:cs="宋体"/>
                <w:color w:val="auto"/>
                <w:szCs w:val="21"/>
              </w:rPr>
              <w:t>地表水环境</w:t>
            </w:r>
          </w:p>
        </w:tc>
        <w:tc>
          <w:tcPr>
            <w:tcW w:w="1755" w:type="dxa"/>
            <w:vAlign w:val="center"/>
          </w:tcPr>
          <w:p w14:paraId="1329B586">
            <w:pPr>
              <w:adjustRightInd w:val="0"/>
              <w:snapToGrid w:val="0"/>
              <w:jc w:val="center"/>
              <w:rPr>
                <w:rFonts w:ascii="宋体" w:hAnsi="宋体" w:cs="宋体"/>
                <w:color w:val="auto"/>
                <w:szCs w:val="21"/>
              </w:rPr>
            </w:pPr>
            <w:r>
              <w:rPr>
                <w:rFonts w:hint="eastAsia" w:ascii="宋体" w:hAnsi="宋体" w:cs="宋体"/>
                <w:color w:val="auto"/>
                <w:szCs w:val="21"/>
              </w:rPr>
              <w:t>生产废水</w:t>
            </w:r>
          </w:p>
        </w:tc>
        <w:tc>
          <w:tcPr>
            <w:tcW w:w="1556" w:type="dxa"/>
            <w:vAlign w:val="center"/>
          </w:tcPr>
          <w:p w14:paraId="59C86AEC">
            <w:pPr>
              <w:adjustRightInd w:val="0"/>
              <w:snapToGrid w:val="0"/>
              <w:jc w:val="center"/>
              <w:rPr>
                <w:rFonts w:ascii="宋体" w:hAnsi="宋体" w:cs="宋体"/>
                <w:color w:val="auto"/>
                <w:szCs w:val="21"/>
              </w:rPr>
            </w:pPr>
            <w:r>
              <w:rPr>
                <w:rFonts w:hint="eastAsia" w:ascii="宋体" w:hAnsi="宋体" w:cs="宋体"/>
                <w:color w:val="auto"/>
                <w:szCs w:val="21"/>
              </w:rPr>
              <w:t>/</w:t>
            </w:r>
          </w:p>
        </w:tc>
        <w:tc>
          <w:tcPr>
            <w:tcW w:w="1669" w:type="dxa"/>
            <w:vAlign w:val="center"/>
          </w:tcPr>
          <w:p w14:paraId="136C38AD">
            <w:pPr>
              <w:jc w:val="center"/>
              <w:rPr>
                <w:rFonts w:ascii="宋体" w:hAnsi="宋体" w:cs="宋体"/>
                <w:color w:val="auto"/>
                <w:szCs w:val="21"/>
              </w:rPr>
            </w:pPr>
            <w:r>
              <w:rPr>
                <w:rFonts w:hint="eastAsia"/>
                <w:color w:val="auto"/>
                <w:szCs w:val="21"/>
              </w:rPr>
              <w:t>三级沉淀池</w:t>
            </w:r>
          </w:p>
        </w:tc>
        <w:tc>
          <w:tcPr>
            <w:tcW w:w="2042" w:type="dxa"/>
            <w:vAlign w:val="center"/>
          </w:tcPr>
          <w:p w14:paraId="0B8E33A2">
            <w:pPr>
              <w:adjustRightInd w:val="0"/>
              <w:snapToGrid w:val="0"/>
              <w:jc w:val="center"/>
              <w:rPr>
                <w:rFonts w:ascii="宋体" w:hAnsi="宋体" w:cs="宋体"/>
                <w:color w:val="auto"/>
                <w:szCs w:val="21"/>
              </w:rPr>
            </w:pPr>
            <w:r>
              <w:rPr>
                <w:rFonts w:hint="eastAsia" w:ascii="宋体" w:hAnsi="宋体" w:cs="宋体"/>
                <w:color w:val="auto"/>
                <w:szCs w:val="21"/>
              </w:rPr>
              <w:t>/</w:t>
            </w:r>
          </w:p>
        </w:tc>
      </w:tr>
      <w:tr w14:paraId="63B7C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3E1FC642">
            <w:pPr>
              <w:adjustRightInd w:val="0"/>
              <w:snapToGrid w:val="0"/>
              <w:jc w:val="center"/>
              <w:rPr>
                <w:rFonts w:ascii="宋体" w:hAnsi="宋体" w:cs="宋体"/>
                <w:color w:val="auto"/>
                <w:szCs w:val="21"/>
              </w:rPr>
            </w:pPr>
          </w:p>
        </w:tc>
        <w:tc>
          <w:tcPr>
            <w:tcW w:w="1755" w:type="dxa"/>
            <w:vAlign w:val="center"/>
          </w:tcPr>
          <w:p w14:paraId="533FC15F">
            <w:pPr>
              <w:adjustRightInd w:val="0"/>
              <w:snapToGrid w:val="0"/>
              <w:jc w:val="center"/>
              <w:rPr>
                <w:rFonts w:ascii="宋体" w:hAnsi="宋体" w:cs="宋体"/>
                <w:color w:val="auto"/>
                <w:szCs w:val="21"/>
              </w:rPr>
            </w:pPr>
            <w:r>
              <w:rPr>
                <w:rFonts w:hint="eastAsia" w:ascii="宋体" w:hAnsi="宋体" w:cs="宋体"/>
                <w:color w:val="auto"/>
                <w:szCs w:val="21"/>
              </w:rPr>
              <w:t>生活污水</w:t>
            </w:r>
          </w:p>
        </w:tc>
        <w:tc>
          <w:tcPr>
            <w:tcW w:w="1556" w:type="dxa"/>
            <w:vAlign w:val="center"/>
          </w:tcPr>
          <w:p w14:paraId="13F5EBC0">
            <w:pPr>
              <w:pStyle w:val="33"/>
              <w:tabs>
                <w:tab w:val="left" w:pos="312"/>
                <w:tab w:val="clear" w:pos="1845"/>
              </w:tabs>
              <w:adjustRightInd/>
              <w:snapToGrid/>
              <w:spacing w:line="240" w:lineRule="auto"/>
              <w:rPr>
                <w:rFonts w:ascii="宋体" w:hAnsi="宋体" w:cs="宋体"/>
                <w:color w:val="auto"/>
                <w:szCs w:val="21"/>
              </w:rPr>
            </w:pPr>
            <w:r>
              <w:rPr>
                <w:rFonts w:hint="default" w:ascii="Times New Roman" w:hAnsi="Times New Roman"/>
                <w:b w:val="0"/>
                <w:bCs/>
                <w:color w:val="auto"/>
                <w:sz w:val="21"/>
              </w:rPr>
              <w:t>COD、</w:t>
            </w:r>
            <w:r>
              <w:rPr>
                <w:rFonts w:hint="eastAsia" w:ascii="Times New Roman" w:hAnsi="Times New Roman"/>
                <w:b w:val="0"/>
                <w:bCs/>
                <w:color w:val="auto"/>
                <w:sz w:val="21"/>
                <w:lang w:val="en-US" w:eastAsia="zh-CN"/>
              </w:rPr>
              <w:t>BOD、</w:t>
            </w:r>
            <w:r>
              <w:rPr>
                <w:rFonts w:hint="default" w:ascii="Times New Roman" w:hAnsi="Times New Roman"/>
                <w:b w:val="0"/>
                <w:bCs/>
                <w:color w:val="auto"/>
                <w:sz w:val="21"/>
              </w:rPr>
              <w:t>NH</w:t>
            </w:r>
            <w:r>
              <w:rPr>
                <w:rFonts w:hint="default" w:ascii="Times New Roman" w:hAnsi="Times New Roman"/>
                <w:b w:val="0"/>
                <w:bCs/>
                <w:color w:val="auto"/>
                <w:sz w:val="21"/>
                <w:vertAlign w:val="subscript"/>
              </w:rPr>
              <w:t>3</w:t>
            </w:r>
            <w:r>
              <w:rPr>
                <w:rFonts w:hint="default" w:ascii="Times New Roman" w:hAnsi="Times New Roman"/>
                <w:b w:val="0"/>
                <w:bCs/>
                <w:color w:val="auto"/>
                <w:sz w:val="21"/>
              </w:rPr>
              <w:t>-N、</w:t>
            </w:r>
            <w:r>
              <w:rPr>
                <w:b w:val="0"/>
                <w:bCs w:val="0"/>
                <w:color w:val="auto"/>
                <w:szCs w:val="21"/>
              </w:rPr>
              <w:t>SS</w:t>
            </w:r>
          </w:p>
        </w:tc>
        <w:tc>
          <w:tcPr>
            <w:tcW w:w="1669" w:type="dxa"/>
            <w:vAlign w:val="center"/>
          </w:tcPr>
          <w:p w14:paraId="3CF71D15">
            <w:pPr>
              <w:jc w:val="center"/>
              <w:rPr>
                <w:rFonts w:ascii="宋体" w:hAnsi="宋体" w:cs="宋体"/>
                <w:color w:val="auto"/>
                <w:szCs w:val="21"/>
              </w:rPr>
            </w:pPr>
            <w:r>
              <w:rPr>
                <w:rFonts w:hint="eastAsia"/>
                <w:color w:val="auto"/>
                <w:szCs w:val="21"/>
              </w:rPr>
              <w:t>地埋式污水处理系统</w:t>
            </w:r>
          </w:p>
        </w:tc>
        <w:tc>
          <w:tcPr>
            <w:tcW w:w="2042" w:type="dxa"/>
            <w:vAlign w:val="center"/>
          </w:tcPr>
          <w:p w14:paraId="1ED1903F">
            <w:pPr>
              <w:adjustRightInd w:val="0"/>
              <w:snapToGrid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农村生活污水处理排放标准（发布稿）</w:t>
            </w:r>
            <w:r>
              <w:rPr>
                <w:rFonts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DB65/4275-2019</w:t>
            </w:r>
            <w:r>
              <w:rPr>
                <w:rFonts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表2中C级排放浓度限值</w:t>
            </w:r>
          </w:p>
        </w:tc>
      </w:tr>
      <w:tr w14:paraId="6975C2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6FD586AC">
            <w:pPr>
              <w:adjustRightInd w:val="0"/>
              <w:snapToGrid w:val="0"/>
              <w:jc w:val="center"/>
              <w:rPr>
                <w:rFonts w:ascii="宋体" w:hAnsi="宋体" w:cs="宋体"/>
                <w:color w:val="auto"/>
                <w:szCs w:val="21"/>
              </w:rPr>
            </w:pPr>
            <w:r>
              <w:rPr>
                <w:rFonts w:hint="eastAsia" w:ascii="宋体" w:hAnsi="宋体" w:cs="宋体"/>
                <w:color w:val="auto"/>
                <w:szCs w:val="21"/>
              </w:rPr>
              <w:t>声环境</w:t>
            </w:r>
          </w:p>
        </w:tc>
        <w:tc>
          <w:tcPr>
            <w:tcW w:w="1755" w:type="dxa"/>
            <w:vAlign w:val="center"/>
          </w:tcPr>
          <w:p w14:paraId="2CA38861">
            <w:pPr>
              <w:adjustRightInd w:val="0"/>
              <w:snapToGrid w:val="0"/>
              <w:jc w:val="center"/>
              <w:rPr>
                <w:rFonts w:ascii="宋体" w:hAnsi="宋体" w:cs="宋体"/>
                <w:color w:val="auto"/>
                <w:szCs w:val="21"/>
              </w:rPr>
            </w:pPr>
            <w:r>
              <w:rPr>
                <w:rFonts w:hint="eastAsia" w:ascii="宋体" w:hAnsi="宋体" w:cs="宋体"/>
                <w:color w:val="auto"/>
                <w:szCs w:val="21"/>
              </w:rPr>
              <w:t>生产设备</w:t>
            </w:r>
          </w:p>
        </w:tc>
        <w:tc>
          <w:tcPr>
            <w:tcW w:w="1556" w:type="dxa"/>
            <w:vAlign w:val="center"/>
          </w:tcPr>
          <w:p w14:paraId="3F43B4C3">
            <w:pPr>
              <w:adjustRightInd w:val="0"/>
              <w:snapToGrid w:val="0"/>
              <w:jc w:val="center"/>
              <w:rPr>
                <w:rFonts w:ascii="宋体" w:hAnsi="宋体" w:cs="宋体"/>
                <w:color w:val="auto"/>
                <w:szCs w:val="21"/>
              </w:rPr>
            </w:pPr>
            <w:r>
              <w:rPr>
                <w:rFonts w:hint="eastAsia" w:ascii="宋体" w:hAnsi="宋体" w:cs="宋体"/>
                <w:color w:val="auto"/>
                <w:szCs w:val="21"/>
              </w:rPr>
              <w:t>机械噪声</w:t>
            </w:r>
          </w:p>
        </w:tc>
        <w:tc>
          <w:tcPr>
            <w:tcW w:w="1669" w:type="dxa"/>
            <w:vAlign w:val="center"/>
          </w:tcPr>
          <w:p w14:paraId="44E8EAEB">
            <w:pPr>
              <w:adjustRightInd w:val="0"/>
              <w:snapToGrid w:val="0"/>
              <w:jc w:val="center"/>
              <w:rPr>
                <w:rFonts w:ascii="宋体" w:hAnsi="宋体" w:cs="宋体"/>
                <w:color w:val="auto"/>
                <w:szCs w:val="21"/>
              </w:rPr>
            </w:pPr>
            <w:r>
              <w:rPr>
                <w:color w:val="auto"/>
                <w:szCs w:val="21"/>
              </w:rPr>
              <w:t>基础减震+厂房隔声+</w:t>
            </w:r>
            <w:r>
              <w:rPr>
                <w:rFonts w:hint="eastAsia"/>
                <w:color w:val="auto"/>
                <w:szCs w:val="21"/>
              </w:rPr>
              <w:t>设备</w:t>
            </w:r>
            <w:r>
              <w:rPr>
                <w:color w:val="auto"/>
                <w:szCs w:val="21"/>
              </w:rPr>
              <w:t>定期维护保养</w:t>
            </w:r>
          </w:p>
        </w:tc>
        <w:tc>
          <w:tcPr>
            <w:tcW w:w="2042" w:type="dxa"/>
            <w:vAlign w:val="center"/>
          </w:tcPr>
          <w:p w14:paraId="20653F39">
            <w:pPr>
              <w:adjustRightInd w:val="0"/>
              <w:snapToGrid w:val="0"/>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《工业企业厂界环境噪声排放标准》（GB12348-2008）中</w:t>
            </w:r>
            <w:r>
              <w:rPr>
                <w:rFonts w:hint="eastAsia" w:cs="Times New Roman"/>
                <w:color w:val="auto"/>
                <w:szCs w:val="21"/>
                <w:lang w:val="en-US" w:eastAsia="zh-CN"/>
              </w:rPr>
              <w:t>2</w:t>
            </w:r>
            <w:r>
              <w:rPr>
                <w:rFonts w:hint="eastAsia" w:ascii="Times New Roman" w:hAnsi="Times New Roman" w:eastAsia="宋体" w:cs="Times New Roman"/>
                <w:color w:val="auto"/>
                <w:szCs w:val="21"/>
              </w:rPr>
              <w:t>类标准</w:t>
            </w:r>
          </w:p>
        </w:tc>
      </w:tr>
      <w:tr w14:paraId="3BD263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6A82A227">
            <w:pPr>
              <w:adjustRightInd w:val="0"/>
              <w:snapToGrid w:val="0"/>
              <w:jc w:val="center"/>
              <w:rPr>
                <w:rFonts w:ascii="宋体" w:hAnsi="宋体" w:cs="宋体"/>
                <w:color w:val="auto"/>
                <w:szCs w:val="21"/>
              </w:rPr>
            </w:pPr>
            <w:r>
              <w:rPr>
                <w:rFonts w:hint="eastAsia" w:ascii="宋体" w:hAnsi="宋体" w:cs="宋体"/>
                <w:color w:val="auto"/>
                <w:szCs w:val="21"/>
              </w:rPr>
              <w:t>电磁辐射</w:t>
            </w:r>
          </w:p>
        </w:tc>
        <w:tc>
          <w:tcPr>
            <w:tcW w:w="7022" w:type="dxa"/>
            <w:gridSpan w:val="4"/>
            <w:vAlign w:val="center"/>
          </w:tcPr>
          <w:p w14:paraId="09335DFA">
            <w:pPr>
              <w:adjustRightInd w:val="0"/>
              <w:snapToGrid w:val="0"/>
              <w:jc w:val="center"/>
              <w:rPr>
                <w:rFonts w:ascii="宋体" w:hAnsi="宋体" w:cs="宋体"/>
                <w:color w:val="auto"/>
                <w:szCs w:val="21"/>
              </w:rPr>
            </w:pPr>
            <w:r>
              <w:rPr>
                <w:rFonts w:hint="eastAsia" w:ascii="宋体" w:hAnsi="宋体" w:cs="宋体"/>
                <w:color w:val="auto"/>
                <w:szCs w:val="21"/>
              </w:rPr>
              <w:t>/</w:t>
            </w:r>
          </w:p>
        </w:tc>
      </w:tr>
      <w:tr w14:paraId="63A0C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5E5A90EB">
            <w:pPr>
              <w:adjustRightInd w:val="0"/>
              <w:snapToGrid w:val="0"/>
              <w:jc w:val="center"/>
              <w:rPr>
                <w:rFonts w:ascii="宋体" w:hAnsi="宋体" w:cs="宋体"/>
                <w:color w:val="auto"/>
                <w:szCs w:val="21"/>
              </w:rPr>
            </w:pPr>
            <w:r>
              <w:rPr>
                <w:rFonts w:hint="eastAsia" w:ascii="宋体" w:hAnsi="宋体" w:cs="宋体"/>
                <w:color w:val="auto"/>
                <w:szCs w:val="21"/>
              </w:rPr>
              <w:t>固体废物</w:t>
            </w:r>
          </w:p>
        </w:tc>
        <w:tc>
          <w:tcPr>
            <w:tcW w:w="7022" w:type="dxa"/>
            <w:gridSpan w:val="4"/>
            <w:vAlign w:val="center"/>
          </w:tcPr>
          <w:p w14:paraId="1F1C0D68">
            <w:pPr>
              <w:adjustRightInd w:val="0"/>
              <w:snapToGrid w:val="0"/>
              <w:jc w:val="both"/>
              <w:rPr>
                <w:rFonts w:hint="default" w:ascii="宋体" w:hAnsi="宋体" w:eastAsia="宋体" w:cs="宋体"/>
                <w:color w:val="auto"/>
                <w:szCs w:val="21"/>
                <w:lang w:val="en-US" w:eastAsia="zh-CN"/>
              </w:rPr>
            </w:pPr>
            <w:r>
              <w:rPr>
                <w:rFonts w:hint="eastAsia" w:ascii="宋体" w:hAnsi="宋体" w:cs="宋体"/>
                <w:color w:val="auto"/>
                <w:szCs w:val="21"/>
              </w:rPr>
              <w:t>本项目生产废物全部回用于混凝土的生产过程；生活垃圾</w:t>
            </w:r>
            <w:r>
              <w:rPr>
                <w:rFonts w:hint="eastAsia"/>
                <w:color w:val="auto"/>
                <w:szCs w:val="21"/>
              </w:rPr>
              <w:t>集中收集于垃圾箱，集中收集后交由环卫部门统一清运，</w:t>
            </w:r>
            <w:r>
              <w:rPr>
                <w:rFonts w:hint="eastAsia"/>
                <w:color w:val="auto"/>
                <w:szCs w:val="21"/>
                <w:lang w:val="en-US" w:eastAsia="zh-CN"/>
              </w:rPr>
              <w:t>定</w:t>
            </w:r>
            <w:r>
              <w:rPr>
                <w:rFonts w:hint="eastAsia" w:ascii="Times New Roman" w:hAnsi="Times New Roman" w:cs="Times New Roman"/>
                <w:color w:val="auto"/>
                <w:highlight w:val="none"/>
                <w:lang w:val="en-US" w:eastAsia="zh-CN"/>
              </w:rPr>
              <w:t>期</w:t>
            </w:r>
            <w:r>
              <w:rPr>
                <w:rFonts w:hint="default" w:ascii="Times New Roman" w:hAnsi="Times New Roman" w:cs="Times New Roman"/>
                <w:color w:val="auto"/>
                <w:highlight w:val="none"/>
              </w:rPr>
              <w:t>将污泥拉运至生活垃圾填埋场处置</w:t>
            </w:r>
            <w:r>
              <w:rPr>
                <w:rFonts w:hint="eastAsia" w:cs="Times New Roman"/>
                <w:color w:val="auto"/>
                <w:highlight w:val="none"/>
                <w:lang w:eastAsia="zh-CN"/>
              </w:rPr>
              <w:t>，</w:t>
            </w:r>
            <w:r>
              <w:rPr>
                <w:color w:val="auto"/>
                <w:szCs w:val="21"/>
              </w:rPr>
              <w:t>一般固体废物满足《一般工业固体废物贮存和填埋污染控制标准》（GB18599-20</w:t>
            </w:r>
            <w:r>
              <w:rPr>
                <w:rFonts w:hint="eastAsia"/>
                <w:color w:val="auto"/>
                <w:szCs w:val="21"/>
              </w:rPr>
              <w:t>20</w:t>
            </w:r>
            <w:r>
              <w:rPr>
                <w:color w:val="auto"/>
                <w:szCs w:val="21"/>
              </w:rPr>
              <w:t>）</w:t>
            </w:r>
            <w:r>
              <w:rPr>
                <w:rFonts w:hint="eastAsia"/>
                <w:color w:val="auto"/>
                <w:szCs w:val="21"/>
                <w:lang w:val="en-US" w:eastAsia="zh-CN"/>
              </w:rPr>
              <w:t>,</w:t>
            </w:r>
            <w:r>
              <w:rPr>
                <w:rFonts w:hint="default"/>
                <w:color w:val="auto"/>
                <w:szCs w:val="21"/>
                <w:lang w:val="en-US" w:eastAsia="zh-CN"/>
              </w:rPr>
              <w:t>禁止随意倾倒不合格混凝土、罐车剩余</w:t>
            </w:r>
            <w:r>
              <w:rPr>
                <w:rFonts w:hint="eastAsia"/>
                <w:color w:val="auto"/>
                <w:szCs w:val="21"/>
                <w:lang w:val="en-US" w:eastAsia="zh-CN"/>
              </w:rPr>
              <w:t>混凝土</w:t>
            </w:r>
            <w:r>
              <w:rPr>
                <w:rFonts w:hint="eastAsia"/>
                <w:color w:val="auto"/>
                <w:szCs w:val="21"/>
              </w:rPr>
              <w:t>；危险废物暂存于10m</w:t>
            </w:r>
            <w:r>
              <w:rPr>
                <w:rFonts w:hint="eastAsia"/>
                <w:color w:val="auto"/>
                <w:szCs w:val="21"/>
                <w:vertAlign w:val="superscript"/>
              </w:rPr>
              <w:t>2</w:t>
            </w:r>
            <w:r>
              <w:rPr>
                <w:rFonts w:hint="eastAsia"/>
                <w:color w:val="auto"/>
                <w:szCs w:val="21"/>
              </w:rPr>
              <w:t>危废暂存间，定期交由有资质的单位进行处置，</w:t>
            </w:r>
            <w:r>
              <w:rPr>
                <w:rFonts w:hint="eastAsia"/>
                <w:bCs/>
                <w:color w:val="auto"/>
                <w:szCs w:val="21"/>
              </w:rPr>
              <w:t>危险废物执行</w:t>
            </w:r>
            <w:r>
              <w:rPr>
                <w:rFonts w:hint="eastAsia" w:hAnsi="宋体"/>
                <w:color w:val="auto"/>
                <w:szCs w:val="21"/>
              </w:rPr>
              <w:t>《危险废物贮存污染控制标准》（GB18597-</w:t>
            </w:r>
            <w:r>
              <w:rPr>
                <w:rFonts w:hint="eastAsia" w:hAnsi="宋体"/>
                <w:color w:val="auto"/>
                <w:szCs w:val="21"/>
                <w:lang w:val="en-US" w:eastAsia="zh-CN"/>
              </w:rPr>
              <w:t>2023）</w:t>
            </w:r>
          </w:p>
        </w:tc>
      </w:tr>
      <w:tr w14:paraId="23024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7D49B3BB">
            <w:pPr>
              <w:adjustRightInd w:val="0"/>
              <w:snapToGrid w:val="0"/>
              <w:jc w:val="center"/>
              <w:rPr>
                <w:rFonts w:ascii="宋体" w:hAnsi="宋体" w:cs="宋体"/>
                <w:color w:val="auto"/>
                <w:szCs w:val="21"/>
              </w:rPr>
            </w:pPr>
            <w:r>
              <w:rPr>
                <w:rFonts w:hint="eastAsia" w:ascii="宋体" w:hAnsi="宋体" w:cs="宋体"/>
                <w:color w:val="auto"/>
                <w:szCs w:val="21"/>
              </w:rPr>
              <w:t>土壤及地下水</w:t>
            </w:r>
          </w:p>
          <w:p w14:paraId="4EBD620D">
            <w:pPr>
              <w:adjustRightInd w:val="0"/>
              <w:snapToGrid w:val="0"/>
              <w:jc w:val="center"/>
              <w:rPr>
                <w:rFonts w:ascii="宋体" w:hAnsi="宋体" w:cs="宋体"/>
                <w:color w:val="auto"/>
                <w:szCs w:val="21"/>
              </w:rPr>
            </w:pPr>
            <w:r>
              <w:rPr>
                <w:rFonts w:hint="eastAsia" w:ascii="宋体" w:hAnsi="宋体" w:cs="宋体"/>
                <w:color w:val="auto"/>
                <w:szCs w:val="21"/>
              </w:rPr>
              <w:t>污染防治措施</w:t>
            </w:r>
          </w:p>
        </w:tc>
        <w:tc>
          <w:tcPr>
            <w:tcW w:w="7022" w:type="dxa"/>
            <w:gridSpan w:val="4"/>
            <w:vAlign w:val="center"/>
          </w:tcPr>
          <w:p w14:paraId="2785D7B3">
            <w:pPr>
              <w:adjustRightInd w:val="0"/>
              <w:snapToGrid w:val="0"/>
              <w:jc w:val="center"/>
              <w:rPr>
                <w:rFonts w:ascii="宋体" w:hAnsi="宋体" w:cs="宋体"/>
                <w:color w:val="auto"/>
                <w:szCs w:val="21"/>
              </w:rPr>
            </w:pPr>
            <w:r>
              <w:rPr>
                <w:rFonts w:hint="default" w:ascii="Times New Roman" w:hAnsi="Times New Roman" w:cs="Times New Roman"/>
                <w:szCs w:val="21"/>
              </w:rPr>
              <w:t>本项目</w:t>
            </w:r>
            <w:r>
              <w:rPr>
                <w:rFonts w:hint="eastAsia" w:cs="Times New Roman"/>
                <w:szCs w:val="21"/>
                <w:lang w:val="en-US" w:eastAsia="zh-CN"/>
              </w:rPr>
              <w:t>危废暂存间为重点防渗区，搅拌楼、三级沉淀池</w:t>
            </w:r>
            <w:r>
              <w:rPr>
                <w:rFonts w:hint="default" w:ascii="Times New Roman" w:hAnsi="Times New Roman" w:cs="Times New Roman"/>
                <w:szCs w:val="21"/>
              </w:rPr>
              <w:t>按照一般防渗区要求防护，其他区域按照非防渗区要求防护。</w:t>
            </w:r>
          </w:p>
        </w:tc>
      </w:tr>
      <w:tr w14:paraId="30655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4CC4622B">
            <w:pPr>
              <w:adjustRightInd w:val="0"/>
              <w:snapToGrid w:val="0"/>
              <w:jc w:val="center"/>
              <w:rPr>
                <w:rFonts w:ascii="宋体" w:hAnsi="宋体" w:cs="宋体"/>
                <w:color w:val="auto"/>
                <w:szCs w:val="21"/>
              </w:rPr>
            </w:pPr>
            <w:r>
              <w:rPr>
                <w:rFonts w:hint="eastAsia" w:ascii="宋体" w:hAnsi="宋体" w:cs="宋体"/>
                <w:color w:val="auto"/>
                <w:szCs w:val="21"/>
              </w:rPr>
              <w:t>生态保护措施</w:t>
            </w:r>
          </w:p>
        </w:tc>
        <w:tc>
          <w:tcPr>
            <w:tcW w:w="7022" w:type="dxa"/>
            <w:gridSpan w:val="4"/>
            <w:vAlign w:val="center"/>
          </w:tcPr>
          <w:p w14:paraId="07E5178B">
            <w:pPr>
              <w:adjustRightInd w:val="0"/>
              <w:snapToGrid w:val="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w:t>
            </w:r>
          </w:p>
        </w:tc>
      </w:tr>
      <w:tr w14:paraId="705086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073552DC">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环境风险</w:t>
            </w:r>
          </w:p>
          <w:p w14:paraId="22E15BAA">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防范措施</w:t>
            </w:r>
          </w:p>
        </w:tc>
        <w:tc>
          <w:tcPr>
            <w:tcW w:w="7022" w:type="dxa"/>
            <w:gridSpan w:val="4"/>
            <w:vAlign w:val="center"/>
          </w:tcPr>
          <w:p w14:paraId="4E7B8F0D">
            <w:pPr>
              <w:adjustRightInd w:val="0"/>
              <w:snapToGrid w:val="0"/>
              <w:jc w:val="left"/>
              <w:rPr>
                <w:rFonts w:ascii="宋体" w:hAnsi="宋体" w:cs="宋体"/>
                <w:color w:val="auto"/>
                <w:szCs w:val="21"/>
              </w:rPr>
            </w:pPr>
            <w:r>
              <w:rPr>
                <w:rFonts w:hint="eastAsia" w:ascii="宋体" w:hAnsi="宋体" w:cs="宋体"/>
                <w:color w:val="auto"/>
                <w:szCs w:val="21"/>
              </w:rPr>
              <w:t>①坚持“安全第一，预防为主”的基本原则</w:t>
            </w:r>
            <w:r>
              <w:rPr>
                <w:rFonts w:hint="eastAsia" w:ascii="宋体" w:hAnsi="宋体" w:cs="宋体"/>
                <w:color w:val="auto"/>
                <w:szCs w:val="21"/>
                <w:lang w:eastAsia="zh-CN"/>
              </w:rPr>
              <w:t>，</w:t>
            </w:r>
            <w:r>
              <w:rPr>
                <w:rFonts w:hint="eastAsia" w:ascii="宋体" w:hAnsi="宋体" w:cs="宋体"/>
                <w:color w:val="auto"/>
                <w:szCs w:val="21"/>
              </w:rPr>
              <w:t>加强员工的安全意识与知识教育，提高员工安全意识。</w:t>
            </w:r>
          </w:p>
          <w:p w14:paraId="1A118F3B">
            <w:pPr>
              <w:adjustRightInd w:val="0"/>
              <w:snapToGrid w:val="0"/>
              <w:jc w:val="left"/>
              <w:rPr>
                <w:rFonts w:ascii="宋体" w:hAnsi="宋体" w:cs="宋体"/>
                <w:color w:val="auto"/>
                <w:szCs w:val="21"/>
              </w:rPr>
            </w:pPr>
            <w:r>
              <w:rPr>
                <w:rFonts w:hint="eastAsia" w:ascii="宋体" w:hAnsi="宋体" w:cs="宋体"/>
                <w:color w:val="auto"/>
                <w:szCs w:val="21"/>
              </w:rPr>
              <w:t>②</w:t>
            </w:r>
            <w:r>
              <w:rPr>
                <w:rFonts w:hint="eastAsia"/>
                <w:color w:val="auto"/>
              </w:rPr>
              <w:t>要落实安全责任制，严格规章制度。</w:t>
            </w:r>
          </w:p>
          <w:p w14:paraId="5F4BB44C">
            <w:pPr>
              <w:adjustRightInd w:val="0"/>
              <w:snapToGrid w:val="0"/>
              <w:rPr>
                <w:rFonts w:ascii="宋体" w:hAnsi="宋体" w:cs="宋体"/>
                <w:color w:val="auto"/>
                <w:szCs w:val="21"/>
              </w:rPr>
            </w:pPr>
            <w:r>
              <w:rPr>
                <w:rFonts w:hint="eastAsia" w:ascii="宋体" w:hAnsi="宋体" w:cs="宋体"/>
                <w:color w:val="auto"/>
                <w:szCs w:val="21"/>
              </w:rPr>
              <w:t>③按照布袋使用期限，及时更换布袋，不允许袋收尘器布袋超期运行；按计划进行定期维护。</w:t>
            </w:r>
          </w:p>
          <w:p w14:paraId="14134C7E">
            <w:pPr>
              <w:adjustRightInd w:val="0"/>
              <w:snapToGrid w:val="0"/>
              <w:rPr>
                <w:rFonts w:ascii="宋体" w:hAnsi="宋体" w:cs="宋体"/>
                <w:color w:val="auto"/>
                <w:szCs w:val="21"/>
              </w:rPr>
            </w:pPr>
            <w:r>
              <w:rPr>
                <w:rFonts w:hint="eastAsia" w:ascii="宋体" w:hAnsi="宋体" w:cs="宋体"/>
                <w:color w:val="auto"/>
                <w:szCs w:val="21"/>
              </w:rPr>
              <w:t>④收尘器发生故障时，及时关闭相应的袋体进行维修更换。</w:t>
            </w:r>
          </w:p>
          <w:p w14:paraId="3DC7916E">
            <w:pPr>
              <w:adjustRightInd w:val="0"/>
              <w:snapToGrid w:val="0"/>
              <w:rPr>
                <w:rFonts w:ascii="宋体" w:hAnsi="宋体" w:cs="宋体"/>
                <w:color w:val="auto"/>
                <w:szCs w:val="21"/>
              </w:rPr>
            </w:pPr>
            <w:r>
              <w:rPr>
                <w:rFonts w:hint="eastAsia" w:ascii="宋体" w:hAnsi="宋体" w:cs="宋体"/>
                <w:color w:val="auto"/>
                <w:szCs w:val="21"/>
              </w:rPr>
              <w:t>⑤厂区内设置报警仪，防火、防爆、防静电安全装置等相关防护措施，并纳入日常安全生产管理制度中去。</w:t>
            </w:r>
          </w:p>
          <w:p w14:paraId="7E2AD5F8">
            <w:pPr>
              <w:adjustRightInd w:val="0"/>
              <w:snapToGrid w:val="0"/>
              <w:rPr>
                <w:rFonts w:ascii="宋体" w:hAnsi="宋体" w:cs="宋体"/>
                <w:color w:val="auto"/>
                <w:szCs w:val="21"/>
              </w:rPr>
            </w:pPr>
            <w:r>
              <w:rPr>
                <w:rFonts w:hint="eastAsia" w:ascii="宋体" w:hAnsi="宋体" w:cs="宋体"/>
                <w:color w:val="auto"/>
                <w:szCs w:val="21"/>
              </w:rPr>
              <w:t>⑥制定严格的环保制度，所有人员必须遵守环保制度，以制度对全厂环保实施进行管理，加强设备运行状态监控，发现问题及时处理。</w:t>
            </w:r>
          </w:p>
          <w:p w14:paraId="64A1AF1C">
            <w:pPr>
              <w:adjustRightInd w:val="0"/>
              <w:snapToGrid w:val="0"/>
              <w:rPr>
                <w:rFonts w:ascii="宋体" w:hAnsi="宋体" w:cs="宋体"/>
                <w:color w:val="auto"/>
                <w:szCs w:val="21"/>
              </w:rPr>
            </w:pPr>
            <w:r>
              <w:rPr>
                <w:rFonts w:hint="eastAsia" w:ascii="宋体" w:hAnsi="宋体" w:cs="宋体"/>
                <w:color w:val="auto"/>
                <w:szCs w:val="21"/>
              </w:rPr>
              <w:t>⑦完善全厂突发环境事件应急预案，定期开展应急演练和培训。</w:t>
            </w:r>
          </w:p>
        </w:tc>
      </w:tr>
      <w:tr w14:paraId="4E4812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2589EF06">
            <w:pPr>
              <w:adjustRightInd w:val="0"/>
              <w:snapToGrid w:val="0"/>
              <w:jc w:val="center"/>
              <w:rPr>
                <w:rFonts w:hint="default" w:ascii="Times New Roman" w:hAnsi="Times New Roman" w:cs="Times New Roman"/>
                <w:spacing w:val="-8"/>
                <w:sz w:val="21"/>
                <w:szCs w:val="21"/>
              </w:rPr>
            </w:pPr>
            <w:r>
              <w:rPr>
                <w:rFonts w:hint="default" w:ascii="Times New Roman" w:hAnsi="Times New Roman" w:cs="Times New Roman"/>
                <w:spacing w:val="-8"/>
                <w:sz w:val="21"/>
                <w:szCs w:val="21"/>
              </w:rPr>
              <w:t>其他环境</w:t>
            </w:r>
          </w:p>
          <w:p w14:paraId="5CA08EA6">
            <w:pPr>
              <w:adjustRightInd w:val="0"/>
              <w:snapToGrid w:val="0"/>
              <w:jc w:val="center"/>
              <w:rPr>
                <w:rFonts w:hint="eastAsia" w:ascii="宋体" w:hAnsi="宋体" w:cs="宋体"/>
                <w:color w:val="auto"/>
                <w:spacing w:val="-8"/>
                <w:szCs w:val="21"/>
              </w:rPr>
            </w:pPr>
            <w:r>
              <w:rPr>
                <w:rFonts w:hint="default" w:ascii="Times New Roman" w:hAnsi="Times New Roman" w:cs="Times New Roman"/>
                <w:spacing w:val="-8"/>
                <w:sz w:val="21"/>
                <w:szCs w:val="21"/>
              </w:rPr>
              <w:t>管理要求</w:t>
            </w:r>
          </w:p>
        </w:tc>
        <w:tc>
          <w:tcPr>
            <w:tcW w:w="7022" w:type="dxa"/>
            <w:gridSpan w:val="4"/>
            <w:vAlign w:val="center"/>
          </w:tcPr>
          <w:p w14:paraId="02AF0C8F">
            <w:pPr>
              <w:keepNext w:val="0"/>
              <w:keepLines w:val="0"/>
              <w:pageBreakBefore w:val="0"/>
              <w:kinsoku/>
              <w:wordWrap/>
              <w:overflowPunct/>
              <w:topLinePunct w:val="0"/>
              <w:autoSpaceDE/>
              <w:autoSpaceDN/>
              <w:bidi w:val="0"/>
              <w:adjustRightInd w:val="0"/>
              <w:snapToGrid w:val="0"/>
              <w:spacing w:line="360" w:lineRule="auto"/>
              <w:ind w:firstLine="482" w:firstLineChars="200"/>
              <w:jc w:val="both"/>
              <w:rPr>
                <w:rFonts w:hint="default" w:ascii="Times New Roman" w:hAnsi="Times New Roman" w:eastAsia="宋体" w:cs="Times New Roman"/>
                <w:b/>
                <w:bCs/>
                <w:sz w:val="24"/>
                <w:szCs w:val="32"/>
                <w:lang w:val="en-US" w:eastAsia="zh-CN"/>
              </w:rPr>
            </w:pPr>
            <w:r>
              <w:rPr>
                <w:rFonts w:hint="eastAsia" w:cs="Times New Roman"/>
                <w:b/>
                <w:bCs/>
                <w:sz w:val="24"/>
                <w:szCs w:val="32"/>
                <w:lang w:val="en-US" w:eastAsia="zh-CN"/>
              </w:rPr>
              <w:t>1.</w:t>
            </w:r>
            <w:r>
              <w:rPr>
                <w:rFonts w:hint="default" w:ascii="Times New Roman" w:hAnsi="Times New Roman" w:cs="Times New Roman"/>
                <w:b/>
                <w:bCs/>
                <w:sz w:val="24"/>
                <w:szCs w:val="32"/>
                <w:lang w:val="en-US" w:eastAsia="zh-CN"/>
              </w:rPr>
              <w:t>排污许可衔接</w:t>
            </w:r>
          </w:p>
          <w:p w14:paraId="0E796315">
            <w:pPr>
              <w:keepNext w:val="0"/>
              <w:keepLines w:val="0"/>
              <w:pageBreakBefore w:val="0"/>
              <w:kinsoku/>
              <w:wordWrap/>
              <w:overflowPunct/>
              <w:topLinePunct w:val="0"/>
              <w:autoSpaceDE/>
              <w:autoSpaceDN/>
              <w:bidi w:val="0"/>
              <w:adjustRightInd w:val="0"/>
              <w:snapToGrid w:val="0"/>
              <w:spacing w:line="360" w:lineRule="auto"/>
              <w:ind w:firstLine="480" w:firstLineChars="200"/>
              <w:jc w:val="both"/>
              <w:rPr>
                <w:rFonts w:hint="default" w:ascii="Times New Roman" w:hAnsi="Times New Roman" w:cs="Times New Roman"/>
                <w:sz w:val="24"/>
                <w:szCs w:val="32"/>
              </w:rPr>
            </w:pPr>
            <w:r>
              <w:rPr>
                <w:rFonts w:hint="default" w:ascii="Times New Roman" w:hAnsi="Times New Roman" w:cs="Times New Roman"/>
                <w:sz w:val="24"/>
                <w:szCs w:val="32"/>
              </w:rPr>
              <w:t>按照《一般工业固体废物管理台账制定指南（试行）》（生态环境部公告2021年第82号）要求，建立并规范运行工业固废利用台账。企业申请排污许可证，然后根据排污许可要求规范执行排污许可执行报告、台账、环境信息公开、监测计划。根据《固定污染源排污许可分类管理名录（2019年版）》，本项目属于“</w:t>
            </w:r>
            <w:r>
              <w:rPr>
                <w:rFonts w:hint="eastAsia" w:cs="Times New Roman"/>
                <w:sz w:val="24"/>
                <w:szCs w:val="32"/>
                <w:lang w:val="en-US" w:eastAsia="zh-CN"/>
              </w:rPr>
              <w:t>二十五</w:t>
            </w:r>
            <w:r>
              <w:rPr>
                <w:rFonts w:hint="default" w:ascii="Times New Roman" w:hAnsi="Times New Roman" w:cs="Times New Roman"/>
                <w:sz w:val="24"/>
                <w:szCs w:val="32"/>
              </w:rPr>
              <w:t>、</w:t>
            </w:r>
            <w:r>
              <w:rPr>
                <w:rFonts w:hint="eastAsia" w:cs="Times New Roman"/>
                <w:sz w:val="24"/>
                <w:szCs w:val="32"/>
                <w:lang w:val="en-US" w:eastAsia="zh-CN"/>
              </w:rPr>
              <w:t>非金属矿物制品业63</w:t>
            </w:r>
            <w:r>
              <w:rPr>
                <w:rFonts w:hint="default" w:ascii="Times New Roman" w:hAnsi="Times New Roman" w:cs="Times New Roman"/>
                <w:sz w:val="24"/>
                <w:szCs w:val="32"/>
              </w:rPr>
              <w:t>——</w:t>
            </w:r>
            <w:r>
              <w:rPr>
                <w:rFonts w:hint="eastAsia" w:cs="Times New Roman"/>
                <w:sz w:val="24"/>
                <w:szCs w:val="32"/>
                <w:lang w:val="en-US" w:eastAsia="zh-CN"/>
              </w:rPr>
              <w:t>石膏、水泥制品及类似制品制造302</w:t>
            </w:r>
            <w:r>
              <w:rPr>
                <w:rFonts w:hint="default" w:ascii="Times New Roman" w:hAnsi="Times New Roman" w:cs="Times New Roman"/>
                <w:sz w:val="24"/>
                <w:szCs w:val="32"/>
              </w:rPr>
              <w:t>——</w:t>
            </w:r>
            <w:r>
              <w:rPr>
                <w:rFonts w:hint="eastAsia" w:cs="Times New Roman"/>
                <w:sz w:val="24"/>
                <w:szCs w:val="32"/>
                <w:lang w:val="en-US" w:eastAsia="zh-CN"/>
              </w:rPr>
              <w:t>登记管理</w:t>
            </w:r>
            <w:r>
              <w:rPr>
                <w:rFonts w:hint="default" w:ascii="Times New Roman" w:hAnsi="Times New Roman" w:cs="Times New Roman"/>
                <w:sz w:val="24"/>
                <w:szCs w:val="32"/>
              </w:rPr>
              <w:t>”</w:t>
            </w:r>
            <w:r>
              <w:rPr>
                <w:rFonts w:hint="eastAsia" w:cs="Times New Roman"/>
                <w:sz w:val="24"/>
                <w:szCs w:val="32"/>
                <w:lang w:eastAsia="zh-CN"/>
              </w:rPr>
              <w:t>，</w:t>
            </w:r>
            <w:r>
              <w:rPr>
                <w:rFonts w:hint="default" w:ascii="Times New Roman" w:hAnsi="Times New Roman" w:cs="Times New Roman"/>
                <w:sz w:val="24"/>
                <w:szCs w:val="32"/>
              </w:rPr>
              <w:t>为</w:t>
            </w:r>
            <w:r>
              <w:rPr>
                <w:rFonts w:hint="eastAsia" w:cs="Times New Roman"/>
                <w:sz w:val="24"/>
                <w:szCs w:val="32"/>
                <w:lang w:val="en-US" w:eastAsia="zh-CN"/>
              </w:rPr>
              <w:t>登记</w:t>
            </w:r>
            <w:r>
              <w:rPr>
                <w:rFonts w:hint="default" w:ascii="Times New Roman" w:hAnsi="Times New Roman" w:cs="Times New Roman"/>
                <w:sz w:val="24"/>
                <w:szCs w:val="32"/>
              </w:rPr>
              <w:t>管理行业。</w:t>
            </w:r>
          </w:p>
          <w:p w14:paraId="00ADAC4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rPr>
                <w:rFonts w:hint="default" w:ascii="Times New Roman" w:hAnsi="Times New Roman" w:cs="Times New Roman"/>
                <w:b/>
                <w:bCs/>
                <w:sz w:val="24"/>
                <w:szCs w:val="24"/>
              </w:rPr>
            </w:pPr>
            <w:r>
              <w:rPr>
                <w:rFonts w:hint="eastAsia" w:cs="Times New Roman"/>
                <w:b/>
                <w:bCs/>
                <w:sz w:val="24"/>
                <w:szCs w:val="24"/>
                <w:lang w:val="en-US" w:eastAsia="zh-CN"/>
              </w:rPr>
              <w:t>2.</w:t>
            </w:r>
            <w:r>
              <w:rPr>
                <w:rFonts w:hint="default" w:ascii="Times New Roman" w:hAnsi="Times New Roman" w:cs="Times New Roman"/>
                <w:b/>
                <w:bCs/>
                <w:sz w:val="24"/>
                <w:szCs w:val="24"/>
              </w:rPr>
              <w:t>排污口规范化建设要求</w:t>
            </w:r>
          </w:p>
          <w:p w14:paraId="40E374F3">
            <w:pPr>
              <w:pStyle w:val="7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建设单位应在各排污口处设立较明显的排污口标志牌，对排放源及固体废物贮存场也应设立明显的标志牌。标志的设置应严格执行《环境保护图形</w:t>
            </w:r>
            <w:r>
              <w:rPr>
                <w:rFonts w:hint="default" w:ascii="Times New Roman" w:hAnsi="Times New Roman" w:cs="Times New Roman"/>
                <w:sz w:val="24"/>
                <w:szCs w:val="24"/>
                <w:highlight w:val="none"/>
              </w:rPr>
              <w:t>标志排放口（源）》（GB15562.1-1995）和《环境保护图形标志</w:t>
            </w:r>
            <w:r>
              <w:rPr>
                <w:rFonts w:hint="eastAsia" w:cs="Times New Roman"/>
                <w:sz w:val="24"/>
                <w:szCs w:val="24"/>
                <w:highlight w:val="none"/>
                <w:lang w:val="en-US" w:eastAsia="zh-CN"/>
              </w:rPr>
              <w:t>-</w:t>
            </w:r>
            <w:r>
              <w:rPr>
                <w:rFonts w:hint="default" w:ascii="Times New Roman" w:hAnsi="Times New Roman" w:cs="Times New Roman"/>
                <w:sz w:val="24"/>
                <w:szCs w:val="24"/>
                <w:highlight w:val="none"/>
              </w:rPr>
              <w:t>固体废物贮存（处置）场》（GB15562.2-1995）</w:t>
            </w:r>
            <w:r>
              <w:rPr>
                <w:rFonts w:hint="eastAsia" w:cs="Times New Roman"/>
                <w:sz w:val="24"/>
                <w:szCs w:val="24"/>
                <w:highlight w:val="none"/>
                <w:lang w:val="en-US" w:eastAsia="zh-CN"/>
              </w:rPr>
              <w:t>修改单</w:t>
            </w:r>
            <w:r>
              <w:rPr>
                <w:rFonts w:hint="default" w:ascii="Times New Roman" w:hAnsi="Times New Roman" w:cs="Times New Roman"/>
                <w:sz w:val="24"/>
                <w:szCs w:val="24"/>
              </w:rPr>
              <w:t>《危险废物贮存污染控制标准》（GB18597-2023）中有关规定。</w:t>
            </w:r>
          </w:p>
          <w:p w14:paraId="12925600">
            <w:pPr>
              <w:pStyle w:val="7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需按照《排污单位污染物排放口二维码标识技术规范》（HJ1297—2023）中唯一性原则、稳定性原则、便捷性原则设置排污口二维码。</w:t>
            </w:r>
          </w:p>
          <w:p w14:paraId="7A5D9B52">
            <w:pPr>
              <w:pStyle w:val="7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危险废物标签需按照《危险废物识别标志设置技术规范》（HJ1276—2022）进行管理，其中规定：危险废物标签的设置位置应明显可见且易读，不应被容器、包装物自身的任何部分或其他标签遮挡。对于盛装同一类危险废物的组合包装容器，应在组合包装容器的外表面设置危险废物标签。</w:t>
            </w:r>
          </w:p>
          <w:p w14:paraId="618F8F96">
            <w:pPr>
              <w:pStyle w:val="72"/>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baseline"/>
              <w:rPr>
                <w:rFonts w:hint="default" w:ascii="Times New Roman" w:hAnsi="Times New Roman" w:cs="Times New Roman"/>
                <w:sz w:val="21"/>
                <w:szCs w:val="21"/>
              </w:rPr>
            </w:pPr>
            <w:r>
              <w:rPr>
                <w:rFonts w:hint="eastAsia" w:ascii="Times New Roman" w:hAnsi="Times New Roman" w:eastAsia="宋体" w:cs="Times New Roman"/>
                <w:b/>
                <w:bCs/>
                <w:sz w:val="21"/>
                <w:szCs w:val="21"/>
                <w:lang w:val="en-US" w:eastAsia="zh-CN"/>
              </w:rPr>
              <w:t xml:space="preserve">表5-1 </w:t>
            </w:r>
            <w:r>
              <w:rPr>
                <w:rFonts w:hint="default" w:ascii="Times New Roman" w:hAnsi="Times New Roman" w:eastAsia="宋体" w:cs="Times New Roman"/>
                <w:b/>
                <w:bCs/>
                <w:sz w:val="21"/>
                <w:szCs w:val="21"/>
              </w:rPr>
              <w:t>各排污口环境保护图形标志</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533"/>
              <w:gridCol w:w="1132"/>
              <w:gridCol w:w="1067"/>
              <w:gridCol w:w="975"/>
            </w:tblGrid>
            <w:tr w14:paraId="004E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noWrap w:val="0"/>
                  <w:vAlign w:val="center"/>
                </w:tcPr>
                <w:p w14:paraId="3A1395E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排放口名称</w:t>
                  </w:r>
                </w:p>
              </w:tc>
              <w:tc>
                <w:tcPr>
                  <w:tcW w:w="1059" w:type="pct"/>
                  <w:tcBorders>
                    <w:left w:val="nil"/>
                  </w:tcBorders>
                  <w:noWrap w:val="0"/>
                  <w:vAlign w:val="center"/>
                </w:tcPr>
                <w:p w14:paraId="42EA2CBA">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图形符号</w:t>
                  </w:r>
                </w:p>
              </w:tc>
              <w:tc>
                <w:tcPr>
                  <w:tcW w:w="851" w:type="pct"/>
                  <w:tcBorders>
                    <w:left w:val="nil"/>
                  </w:tcBorders>
                  <w:noWrap w:val="0"/>
                  <w:vAlign w:val="center"/>
                </w:tcPr>
                <w:p w14:paraId="411695C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形状</w:t>
                  </w:r>
                </w:p>
              </w:tc>
              <w:tc>
                <w:tcPr>
                  <w:tcW w:w="802" w:type="pct"/>
                  <w:tcBorders>
                    <w:left w:val="nil"/>
                  </w:tcBorders>
                  <w:noWrap w:val="0"/>
                  <w:vAlign w:val="center"/>
                </w:tcPr>
                <w:p w14:paraId="7FCA15D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背景颜色</w:t>
                  </w:r>
                </w:p>
              </w:tc>
              <w:tc>
                <w:tcPr>
                  <w:tcW w:w="734" w:type="pct"/>
                  <w:tcBorders>
                    <w:left w:val="nil"/>
                    <w:right w:val="nil"/>
                  </w:tcBorders>
                  <w:noWrap w:val="0"/>
                  <w:vAlign w:val="center"/>
                </w:tcPr>
                <w:p w14:paraId="4CFB766C">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图形颜色</w:t>
                  </w:r>
                </w:p>
              </w:tc>
            </w:tr>
            <w:tr w14:paraId="3879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noWrap w:val="0"/>
                  <w:vAlign w:val="center"/>
                </w:tcPr>
                <w:p w14:paraId="3B891B98">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噪声源</w:t>
                  </w:r>
                </w:p>
              </w:tc>
              <w:tc>
                <w:tcPr>
                  <w:tcW w:w="1059" w:type="pct"/>
                  <w:tcBorders>
                    <w:left w:val="nil"/>
                  </w:tcBorders>
                  <w:noWrap w:val="0"/>
                  <w:vAlign w:val="center"/>
                </w:tcPr>
                <w:p w14:paraId="261229FB">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drawing>
                      <wp:inline distT="0" distB="0" distL="114300" distR="114300">
                        <wp:extent cx="752475" cy="752475"/>
                        <wp:effectExtent l="0" t="0" r="9525" b="952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5"/>
                                <a:stretch>
                                  <a:fillRect/>
                                </a:stretch>
                              </pic:blipFill>
                              <pic:spPr>
                                <a:xfrm>
                                  <a:off x="0" y="0"/>
                                  <a:ext cx="752475" cy="752475"/>
                                </a:xfrm>
                                <a:prstGeom prst="rect">
                                  <a:avLst/>
                                </a:prstGeom>
                                <a:noFill/>
                                <a:ln>
                                  <a:noFill/>
                                </a:ln>
                              </pic:spPr>
                            </pic:pic>
                          </a:graphicData>
                        </a:graphic>
                      </wp:inline>
                    </w:drawing>
                  </w:r>
                </w:p>
              </w:tc>
              <w:tc>
                <w:tcPr>
                  <w:tcW w:w="851" w:type="pct"/>
                  <w:tcBorders>
                    <w:left w:val="nil"/>
                  </w:tcBorders>
                  <w:noWrap w:val="0"/>
                  <w:vAlign w:val="center"/>
                </w:tcPr>
                <w:p w14:paraId="7B25882C">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正方形边框</w:t>
                  </w:r>
                </w:p>
              </w:tc>
              <w:tc>
                <w:tcPr>
                  <w:tcW w:w="802" w:type="pct"/>
                  <w:tcBorders>
                    <w:left w:val="nil"/>
                  </w:tcBorders>
                  <w:noWrap w:val="0"/>
                  <w:vAlign w:val="center"/>
                </w:tcPr>
                <w:p w14:paraId="7E7D93C8">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绿色</w:t>
                  </w:r>
                </w:p>
              </w:tc>
              <w:tc>
                <w:tcPr>
                  <w:tcW w:w="734" w:type="pct"/>
                  <w:tcBorders>
                    <w:left w:val="nil"/>
                    <w:right w:val="nil"/>
                  </w:tcBorders>
                  <w:noWrap w:val="0"/>
                  <w:vAlign w:val="center"/>
                </w:tcPr>
                <w:p w14:paraId="45E0D88C">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白色</w:t>
                  </w:r>
                </w:p>
              </w:tc>
            </w:tr>
            <w:tr w14:paraId="05CC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noWrap w:val="0"/>
                  <w:vAlign w:val="center"/>
                </w:tcPr>
                <w:p w14:paraId="6E2AD001">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废水</w:t>
                  </w:r>
                </w:p>
              </w:tc>
              <w:tc>
                <w:tcPr>
                  <w:tcW w:w="1059" w:type="pct"/>
                  <w:tcBorders>
                    <w:left w:val="nil"/>
                  </w:tcBorders>
                  <w:noWrap w:val="0"/>
                  <w:vAlign w:val="center"/>
                </w:tcPr>
                <w:p w14:paraId="6C7DE643">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drawing>
                      <wp:inline distT="0" distB="0" distL="114300" distR="114300">
                        <wp:extent cx="772795" cy="767715"/>
                        <wp:effectExtent l="0" t="0" r="4445" b="952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6"/>
                                <a:stretch>
                                  <a:fillRect/>
                                </a:stretch>
                              </pic:blipFill>
                              <pic:spPr>
                                <a:xfrm>
                                  <a:off x="0" y="0"/>
                                  <a:ext cx="772795" cy="767715"/>
                                </a:xfrm>
                                <a:prstGeom prst="rect">
                                  <a:avLst/>
                                </a:prstGeom>
                                <a:noFill/>
                                <a:ln>
                                  <a:noFill/>
                                </a:ln>
                              </pic:spPr>
                            </pic:pic>
                          </a:graphicData>
                        </a:graphic>
                      </wp:inline>
                    </w:drawing>
                  </w:r>
                </w:p>
              </w:tc>
              <w:tc>
                <w:tcPr>
                  <w:tcW w:w="851" w:type="pct"/>
                  <w:tcBorders>
                    <w:left w:val="nil"/>
                  </w:tcBorders>
                  <w:noWrap w:val="0"/>
                  <w:vAlign w:val="center"/>
                </w:tcPr>
                <w:p w14:paraId="797A337A">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三角形边框</w:t>
                  </w:r>
                </w:p>
              </w:tc>
              <w:tc>
                <w:tcPr>
                  <w:tcW w:w="802" w:type="pct"/>
                  <w:tcBorders>
                    <w:left w:val="nil"/>
                  </w:tcBorders>
                  <w:noWrap w:val="0"/>
                  <w:vAlign w:val="center"/>
                </w:tcPr>
                <w:p w14:paraId="70F43A3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黄色</w:t>
                  </w:r>
                </w:p>
              </w:tc>
              <w:tc>
                <w:tcPr>
                  <w:tcW w:w="734" w:type="pct"/>
                  <w:tcBorders>
                    <w:left w:val="nil"/>
                    <w:right w:val="nil"/>
                  </w:tcBorders>
                  <w:noWrap w:val="0"/>
                  <w:vAlign w:val="center"/>
                </w:tcPr>
                <w:p w14:paraId="2FC9879F">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黑色</w:t>
                  </w:r>
                </w:p>
              </w:tc>
            </w:tr>
            <w:tr w14:paraId="0511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noWrap w:val="0"/>
                  <w:vAlign w:val="center"/>
                </w:tcPr>
                <w:p w14:paraId="535EE5FF">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一般固体废物</w:t>
                  </w:r>
                </w:p>
              </w:tc>
              <w:tc>
                <w:tcPr>
                  <w:tcW w:w="1059" w:type="pct"/>
                  <w:tcBorders>
                    <w:left w:val="nil"/>
                  </w:tcBorders>
                  <w:noWrap w:val="0"/>
                  <w:vAlign w:val="center"/>
                </w:tcPr>
                <w:p w14:paraId="5831C229">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855345" cy="861060"/>
                        <wp:effectExtent l="0" t="0" r="13335" b="762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pic:cNvPicPr>
                              </pic:nvPicPr>
                              <pic:blipFill>
                                <a:blip r:embed="rId17"/>
                                <a:stretch>
                                  <a:fillRect/>
                                </a:stretch>
                              </pic:blipFill>
                              <pic:spPr>
                                <a:xfrm>
                                  <a:off x="0" y="0"/>
                                  <a:ext cx="855345" cy="861060"/>
                                </a:xfrm>
                                <a:prstGeom prst="rect">
                                  <a:avLst/>
                                </a:prstGeom>
                                <a:noFill/>
                                <a:ln>
                                  <a:noFill/>
                                </a:ln>
                              </pic:spPr>
                            </pic:pic>
                          </a:graphicData>
                        </a:graphic>
                      </wp:inline>
                    </w:drawing>
                  </w:r>
                </w:p>
              </w:tc>
              <w:tc>
                <w:tcPr>
                  <w:tcW w:w="851" w:type="pct"/>
                  <w:tcBorders>
                    <w:left w:val="nil"/>
                  </w:tcBorders>
                  <w:noWrap w:val="0"/>
                  <w:vAlign w:val="center"/>
                </w:tcPr>
                <w:p w14:paraId="0824591E">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正方形边框</w:t>
                  </w:r>
                </w:p>
              </w:tc>
              <w:tc>
                <w:tcPr>
                  <w:tcW w:w="802" w:type="pct"/>
                  <w:tcBorders>
                    <w:left w:val="nil"/>
                  </w:tcBorders>
                  <w:noWrap w:val="0"/>
                  <w:vAlign w:val="center"/>
                </w:tcPr>
                <w:p w14:paraId="4A4483BE">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绿色</w:t>
                  </w:r>
                </w:p>
              </w:tc>
              <w:tc>
                <w:tcPr>
                  <w:tcW w:w="734" w:type="pct"/>
                  <w:tcBorders>
                    <w:left w:val="nil"/>
                    <w:right w:val="nil"/>
                  </w:tcBorders>
                  <w:noWrap w:val="0"/>
                  <w:vAlign w:val="center"/>
                </w:tcPr>
                <w:p w14:paraId="37065F0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白色</w:t>
                  </w:r>
                </w:p>
              </w:tc>
            </w:tr>
            <w:tr w14:paraId="3C6D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noWrap w:val="0"/>
                  <w:vAlign w:val="center"/>
                </w:tcPr>
                <w:p w14:paraId="7A90B12B">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危险废物</w:t>
                  </w:r>
                </w:p>
              </w:tc>
              <w:tc>
                <w:tcPr>
                  <w:tcW w:w="1059" w:type="pct"/>
                  <w:tcBorders>
                    <w:left w:val="nil"/>
                  </w:tcBorders>
                  <w:noWrap w:val="0"/>
                  <w:vAlign w:val="center"/>
                </w:tcPr>
                <w:p w14:paraId="0F22B7CA">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rPr>
                    <w:drawing>
                      <wp:inline distT="0" distB="0" distL="114300" distR="114300">
                        <wp:extent cx="819150" cy="774700"/>
                        <wp:effectExtent l="0" t="0" r="3810" b="254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8"/>
                                <a:stretch>
                                  <a:fillRect/>
                                </a:stretch>
                              </pic:blipFill>
                              <pic:spPr>
                                <a:xfrm>
                                  <a:off x="0" y="0"/>
                                  <a:ext cx="819150" cy="774700"/>
                                </a:xfrm>
                                <a:prstGeom prst="rect">
                                  <a:avLst/>
                                </a:prstGeom>
                                <a:noFill/>
                                <a:ln>
                                  <a:noFill/>
                                </a:ln>
                              </pic:spPr>
                            </pic:pic>
                          </a:graphicData>
                        </a:graphic>
                      </wp:inline>
                    </w:drawing>
                  </w:r>
                </w:p>
              </w:tc>
              <w:tc>
                <w:tcPr>
                  <w:tcW w:w="851" w:type="pct"/>
                  <w:tcBorders>
                    <w:left w:val="nil"/>
                  </w:tcBorders>
                  <w:noWrap w:val="0"/>
                  <w:vAlign w:val="center"/>
                </w:tcPr>
                <w:p w14:paraId="1750D609">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三角形边框</w:t>
                  </w:r>
                </w:p>
              </w:tc>
              <w:tc>
                <w:tcPr>
                  <w:tcW w:w="802" w:type="pct"/>
                  <w:tcBorders>
                    <w:left w:val="nil"/>
                  </w:tcBorders>
                  <w:noWrap w:val="0"/>
                  <w:vAlign w:val="center"/>
                </w:tcPr>
                <w:p w14:paraId="2D837EB7">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黄色</w:t>
                  </w:r>
                </w:p>
              </w:tc>
              <w:tc>
                <w:tcPr>
                  <w:tcW w:w="734" w:type="pct"/>
                  <w:tcBorders>
                    <w:left w:val="nil"/>
                    <w:right w:val="nil"/>
                  </w:tcBorders>
                  <w:noWrap w:val="0"/>
                  <w:vAlign w:val="center"/>
                </w:tcPr>
                <w:p w14:paraId="73E7022A">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黑色</w:t>
                  </w:r>
                </w:p>
              </w:tc>
            </w:tr>
          </w:tbl>
          <w:p w14:paraId="2DE2EAA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rPr>
                <w:rFonts w:hint="default" w:ascii="Times New Roman" w:hAnsi="Times New Roman" w:cs="Times New Roman"/>
                <w:b/>
                <w:bCs/>
                <w:sz w:val="24"/>
                <w:szCs w:val="24"/>
              </w:rPr>
            </w:pPr>
            <w:r>
              <w:rPr>
                <w:rFonts w:hint="default" w:ascii="Times New Roman" w:hAnsi="Times New Roman" w:cs="Times New Roman"/>
                <w:b/>
                <w:bCs/>
                <w:sz w:val="24"/>
                <w:szCs w:val="24"/>
              </w:rPr>
              <w:t>竣工验收管理及要求</w:t>
            </w:r>
          </w:p>
          <w:p w14:paraId="72D704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鼓励建设单位委托具备相应技术条件的第三方机构开展建设期环境监理。建设项目在投入生产或者使用前，建设单位应当依据环评文件及其审批意见，委托第三方机构编制建设项目环境保护设施竣工验收报告，向社会公开并向</w:t>
            </w:r>
            <w:r>
              <w:rPr>
                <w:rFonts w:hint="default" w:ascii="Times New Roman" w:hAnsi="Times New Roman" w:cs="Times New Roman"/>
                <w:b w:val="0"/>
                <w:bCs w:val="0"/>
                <w:sz w:val="24"/>
                <w:szCs w:val="24"/>
                <w:lang w:val="en-US" w:eastAsia="zh-CN"/>
              </w:rPr>
              <w:t>生态环境</w:t>
            </w:r>
            <w:r>
              <w:rPr>
                <w:rFonts w:hint="default" w:ascii="Times New Roman" w:hAnsi="Times New Roman" w:cs="Times New Roman"/>
                <w:b w:val="0"/>
                <w:bCs w:val="0"/>
                <w:sz w:val="24"/>
                <w:szCs w:val="24"/>
              </w:rPr>
              <w:t>部门备案。</w:t>
            </w:r>
          </w:p>
          <w:p w14:paraId="3DFAAF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申请环境保护竣工验收条件为：</w:t>
            </w:r>
          </w:p>
          <w:p w14:paraId="3C27A6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（1）建设项目建设前期环境保护审查、审批手续完备，技术资料与环境保护档案齐全。</w:t>
            </w:r>
          </w:p>
          <w:p w14:paraId="63034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（2）环境保护设施按批准的环境影响报告书和设计要求建成，环境保护设施经负荷试车检测合格，其污染防治能力适应主体工程的需要。</w:t>
            </w:r>
          </w:p>
          <w:p w14:paraId="5F03AFC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b w:val="0"/>
                <w:bCs w:val="0"/>
                <w:sz w:val="21"/>
                <w:szCs w:val="21"/>
              </w:rPr>
            </w:pPr>
          </w:p>
          <w:p w14:paraId="716A209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b w:val="0"/>
                <w:bCs w:val="0"/>
                <w:sz w:val="21"/>
                <w:szCs w:val="21"/>
              </w:rPr>
            </w:pPr>
          </w:p>
          <w:p w14:paraId="6B4F700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b w:val="0"/>
                <w:bCs w:val="0"/>
                <w:sz w:val="21"/>
                <w:szCs w:val="21"/>
              </w:rPr>
            </w:pPr>
          </w:p>
          <w:p w14:paraId="064E382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b w:val="0"/>
                <w:bCs w:val="0"/>
                <w:sz w:val="21"/>
                <w:szCs w:val="21"/>
              </w:rPr>
            </w:pPr>
          </w:p>
          <w:p w14:paraId="0455DCD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b w:val="0"/>
                <w:bCs w:val="0"/>
                <w:sz w:val="21"/>
                <w:szCs w:val="21"/>
              </w:rPr>
            </w:pPr>
          </w:p>
          <w:p w14:paraId="351595A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b w:val="0"/>
                <w:bCs w:val="0"/>
                <w:sz w:val="21"/>
                <w:szCs w:val="21"/>
              </w:rPr>
            </w:pPr>
          </w:p>
          <w:p w14:paraId="0976B8E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b w:val="0"/>
                <w:bCs w:val="0"/>
                <w:sz w:val="21"/>
                <w:szCs w:val="21"/>
              </w:rPr>
            </w:pPr>
          </w:p>
          <w:p w14:paraId="1A90573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b w:val="0"/>
                <w:bCs w:val="0"/>
                <w:sz w:val="21"/>
                <w:szCs w:val="21"/>
              </w:rPr>
            </w:pPr>
          </w:p>
          <w:p w14:paraId="426CEA85">
            <w:pPr>
              <w:adjustRightInd w:val="0"/>
              <w:snapToGrid w:val="0"/>
              <w:rPr>
                <w:rFonts w:hint="eastAsia" w:ascii="宋体" w:hAnsi="宋体" w:cs="宋体"/>
                <w:color w:val="auto"/>
                <w:szCs w:val="21"/>
              </w:rPr>
            </w:pPr>
          </w:p>
        </w:tc>
      </w:tr>
    </w:tbl>
    <w:p w14:paraId="70161019">
      <w:pPr>
        <w:pStyle w:val="24"/>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38B00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7C45F8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rPr>
            </w:pPr>
            <w:r>
              <w:rPr>
                <w:rFonts w:hint="eastAsia" w:ascii="宋体" w:cs="宋体"/>
                <w:color w:val="auto"/>
                <w:sz w:val="24"/>
              </w:rPr>
              <w:t>综上所述，本项目的建设，符合国家有关产业政策，污染物经相应治理后能达标排放。建设单位必须在该项目的建设过程中切实落实本评价中提出的各项污染防治措施，使工程对环境的影响减小到最低程度，以达到经济、社会、环境效益三统一的效果。从环保角度看，本项目的选址、建设是可行的。</w:t>
            </w:r>
          </w:p>
        </w:tc>
      </w:tr>
    </w:tbl>
    <w:p w14:paraId="1ED5A169">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7BB9639E">
      <w:pPr>
        <w:pStyle w:val="24"/>
        <w:adjustRightInd w:val="0"/>
        <w:snapToGrid w:val="0"/>
        <w:spacing w:before="0" w:beforeAutospacing="0" w:after="0" w:afterAutospacing="0" w:line="360" w:lineRule="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14:paraId="59691FB2">
      <w:pPr>
        <w:pStyle w:val="24"/>
        <w:adjustRightInd w:val="0"/>
        <w:snapToGrid w:val="0"/>
        <w:spacing w:before="0" w:beforeAutospacing="0" w:after="0" w:afterAutospacing="0" w:line="240" w:lineRule="auto"/>
        <w:jc w:val="center"/>
        <w:outlineLvl w:val="0"/>
        <w:rPr>
          <w:rFonts w:hint="eastAsia" w:ascii="宋体" w:hAnsi="宋体" w:eastAsia="宋体" w:cs="宋体"/>
          <w:snapToGrid w:val="0"/>
          <w:color w:val="auto"/>
          <w:sz w:val="36"/>
          <w:szCs w:val="36"/>
        </w:rPr>
      </w:pPr>
      <w:r>
        <w:rPr>
          <w:rFonts w:hint="eastAsia" w:ascii="宋体" w:hAnsi="宋体" w:eastAsia="宋体" w:cs="宋体"/>
          <w:snapToGrid w:val="0"/>
          <w:color w:val="auto"/>
          <w:sz w:val="36"/>
          <w:szCs w:val="36"/>
        </w:rPr>
        <w:t>建设项目污染物排放量汇总表</w:t>
      </w:r>
    </w:p>
    <w:tbl>
      <w:tblPr>
        <w:tblStyle w:val="2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766"/>
        <w:gridCol w:w="1850"/>
        <w:gridCol w:w="916"/>
        <w:gridCol w:w="1713"/>
        <w:gridCol w:w="2010"/>
        <w:gridCol w:w="1221"/>
        <w:gridCol w:w="2085"/>
        <w:gridCol w:w="1116"/>
      </w:tblGrid>
      <w:tr w14:paraId="05A52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2" w:type="pct"/>
            <w:tcBorders>
              <w:tl2br w:val="single" w:color="auto" w:sz="4" w:space="0"/>
            </w:tcBorders>
            <w:tcMar>
              <w:left w:w="28" w:type="dxa"/>
              <w:right w:w="28" w:type="dxa"/>
            </w:tcMar>
            <w:vAlign w:val="center"/>
          </w:tcPr>
          <w:p w14:paraId="7F97F994">
            <w:pPr>
              <w:pStyle w:val="50"/>
              <w:spacing w:beforeLines="0" w:afterLines="0" w:line="240" w:lineRule="auto"/>
              <w:jc w:val="right"/>
              <w:rPr>
                <w:rFonts w:hint="eastAsia" w:ascii="宋体" w:hAnsi="宋体" w:eastAsia="宋体" w:cs="宋体"/>
                <w:snapToGrid w:val="0"/>
                <w:color w:val="auto"/>
                <w:spacing w:val="-6"/>
                <w:kern w:val="21"/>
                <w:szCs w:val="21"/>
              </w:rPr>
            </w:pPr>
            <w:r>
              <w:rPr>
                <w:rFonts w:hint="eastAsia" w:ascii="宋体" w:hAnsi="宋体" w:eastAsia="宋体" w:cs="宋体"/>
                <w:snapToGrid w:val="0"/>
                <w:color w:val="auto"/>
                <w:spacing w:val="-6"/>
                <w:kern w:val="21"/>
                <w:szCs w:val="21"/>
              </w:rPr>
              <w:t>项目</w:t>
            </w:r>
          </w:p>
          <w:p w14:paraId="1E8890A5">
            <w:pPr>
              <w:pStyle w:val="50"/>
              <w:spacing w:beforeLines="0" w:afterLines="0" w:line="240" w:lineRule="auto"/>
              <w:jc w:val="left"/>
              <w:rPr>
                <w:rFonts w:hint="eastAsia" w:ascii="宋体" w:hAnsi="宋体" w:eastAsia="宋体" w:cs="宋体"/>
                <w:snapToGrid w:val="0"/>
                <w:color w:val="auto"/>
                <w:spacing w:val="-6"/>
                <w:kern w:val="21"/>
                <w:szCs w:val="21"/>
              </w:rPr>
            </w:pPr>
            <w:r>
              <w:rPr>
                <w:rFonts w:hint="eastAsia" w:ascii="宋体" w:hAnsi="宋体" w:eastAsia="宋体" w:cs="宋体"/>
                <w:snapToGrid w:val="0"/>
                <w:color w:val="auto"/>
                <w:spacing w:val="-6"/>
                <w:kern w:val="21"/>
                <w:szCs w:val="21"/>
              </w:rPr>
              <w:t>分类</w:t>
            </w:r>
          </w:p>
        </w:tc>
        <w:tc>
          <w:tcPr>
            <w:tcW w:w="654" w:type="pct"/>
            <w:tcMar>
              <w:left w:w="28" w:type="dxa"/>
              <w:right w:w="28" w:type="dxa"/>
            </w:tcMar>
            <w:vAlign w:val="center"/>
          </w:tcPr>
          <w:p w14:paraId="4DD8FDC4">
            <w:pPr>
              <w:pStyle w:val="50"/>
              <w:spacing w:beforeLines="0" w:afterLines="0" w:line="240" w:lineRule="auto"/>
              <w:rPr>
                <w:rFonts w:hint="eastAsia" w:ascii="宋体" w:hAnsi="宋体" w:eastAsia="宋体" w:cs="宋体"/>
                <w:snapToGrid w:val="0"/>
                <w:color w:val="auto"/>
                <w:spacing w:val="-6"/>
                <w:kern w:val="21"/>
                <w:szCs w:val="21"/>
              </w:rPr>
            </w:pPr>
            <w:r>
              <w:rPr>
                <w:rFonts w:hint="eastAsia" w:ascii="宋体" w:hAnsi="宋体" w:eastAsia="宋体" w:cs="宋体"/>
                <w:snapToGrid w:val="0"/>
                <w:color w:val="auto"/>
                <w:spacing w:val="-6"/>
                <w:kern w:val="21"/>
                <w:szCs w:val="21"/>
              </w:rPr>
              <w:t>污染物名称</w:t>
            </w:r>
          </w:p>
        </w:tc>
        <w:tc>
          <w:tcPr>
            <w:tcW w:w="685" w:type="pct"/>
            <w:tcMar>
              <w:left w:w="28" w:type="dxa"/>
              <w:right w:w="28" w:type="dxa"/>
            </w:tcMar>
            <w:vAlign w:val="center"/>
          </w:tcPr>
          <w:p w14:paraId="27B0277F">
            <w:pPr>
              <w:pStyle w:val="50"/>
              <w:spacing w:beforeLines="0" w:afterLines="0" w:line="240" w:lineRule="auto"/>
              <w:rPr>
                <w:rFonts w:hint="eastAsia" w:ascii="宋体" w:hAnsi="宋体" w:eastAsia="宋体" w:cs="宋体"/>
                <w:snapToGrid w:val="0"/>
                <w:color w:val="auto"/>
                <w:spacing w:val="-6"/>
                <w:kern w:val="21"/>
                <w:szCs w:val="21"/>
              </w:rPr>
            </w:pPr>
            <w:r>
              <w:rPr>
                <w:rFonts w:hint="eastAsia" w:ascii="宋体" w:hAnsi="宋体" w:eastAsia="宋体" w:cs="宋体"/>
                <w:snapToGrid w:val="0"/>
                <w:color w:val="auto"/>
                <w:spacing w:val="-6"/>
                <w:kern w:val="21"/>
                <w:szCs w:val="21"/>
              </w:rPr>
              <w:t>现有工程</w:t>
            </w:r>
          </w:p>
          <w:p w14:paraId="431DCADA">
            <w:pPr>
              <w:pStyle w:val="50"/>
              <w:spacing w:beforeLines="0" w:afterLines="0" w:line="240" w:lineRule="auto"/>
              <w:rPr>
                <w:rFonts w:hint="eastAsia" w:ascii="宋体" w:hAnsi="宋体" w:eastAsia="宋体" w:cs="宋体"/>
                <w:snapToGrid w:val="0"/>
                <w:color w:val="auto"/>
                <w:spacing w:val="-6"/>
                <w:kern w:val="21"/>
                <w:szCs w:val="21"/>
              </w:rPr>
            </w:pPr>
            <w:r>
              <w:rPr>
                <w:rFonts w:hint="eastAsia" w:ascii="宋体" w:hAnsi="宋体" w:eastAsia="宋体" w:cs="宋体"/>
                <w:snapToGrid w:val="0"/>
                <w:color w:val="auto"/>
                <w:spacing w:val="-6"/>
                <w:kern w:val="21"/>
                <w:szCs w:val="21"/>
              </w:rPr>
              <w:t>排放量（固体废物产生量）</w:t>
            </w:r>
            <w:r>
              <w:rPr>
                <w:rFonts w:hint="eastAsia" w:ascii="宋体" w:hAnsi="宋体" w:eastAsia="宋体" w:cs="宋体"/>
                <w:snapToGrid w:val="0"/>
                <w:color w:val="auto"/>
                <w:spacing w:val="-6"/>
                <w:kern w:val="21"/>
                <w:szCs w:val="21"/>
              </w:rPr>
              <w:fldChar w:fldCharType="begin"/>
            </w:r>
            <w:r>
              <w:rPr>
                <w:rFonts w:hint="eastAsia" w:ascii="宋体" w:hAnsi="宋体" w:eastAsia="宋体" w:cs="宋体"/>
                <w:snapToGrid w:val="0"/>
                <w:color w:val="auto"/>
                <w:spacing w:val="-6"/>
                <w:kern w:val="21"/>
                <w:szCs w:val="21"/>
              </w:rPr>
              <w:instrText xml:space="preserve"> = 1 \* GB3 \* MERGEFORMAT </w:instrText>
            </w:r>
            <w:r>
              <w:rPr>
                <w:rFonts w:hint="eastAsia" w:ascii="宋体" w:hAnsi="宋体" w:eastAsia="宋体" w:cs="宋体"/>
                <w:snapToGrid w:val="0"/>
                <w:color w:val="auto"/>
                <w:spacing w:val="-6"/>
                <w:kern w:val="21"/>
                <w:szCs w:val="21"/>
              </w:rPr>
              <w:fldChar w:fldCharType="separate"/>
            </w:r>
            <w:r>
              <w:rPr>
                <w:rFonts w:hint="eastAsia" w:ascii="宋体" w:hAnsi="宋体" w:eastAsia="宋体" w:cs="宋体"/>
                <w:color w:val="auto"/>
                <w:kern w:val="2"/>
                <w:szCs w:val="21"/>
              </w:rPr>
              <w:t>①</w:t>
            </w:r>
            <w:r>
              <w:rPr>
                <w:rFonts w:hint="eastAsia" w:ascii="宋体" w:hAnsi="宋体" w:eastAsia="宋体" w:cs="宋体"/>
                <w:snapToGrid w:val="0"/>
                <w:color w:val="auto"/>
                <w:spacing w:val="-6"/>
                <w:kern w:val="21"/>
                <w:szCs w:val="21"/>
              </w:rPr>
              <w:fldChar w:fldCharType="end"/>
            </w:r>
          </w:p>
        </w:tc>
        <w:tc>
          <w:tcPr>
            <w:tcW w:w="339" w:type="pct"/>
            <w:tcMar>
              <w:left w:w="28" w:type="dxa"/>
              <w:right w:w="28" w:type="dxa"/>
            </w:tcMar>
            <w:vAlign w:val="center"/>
          </w:tcPr>
          <w:p w14:paraId="0FFF6CF9">
            <w:pPr>
              <w:pStyle w:val="50"/>
              <w:spacing w:beforeLines="0" w:afterLines="0" w:line="240" w:lineRule="auto"/>
              <w:rPr>
                <w:rFonts w:hint="eastAsia" w:ascii="宋体" w:hAnsi="宋体" w:eastAsia="宋体" w:cs="宋体"/>
                <w:snapToGrid w:val="0"/>
                <w:color w:val="auto"/>
                <w:spacing w:val="-6"/>
                <w:kern w:val="21"/>
                <w:szCs w:val="21"/>
              </w:rPr>
            </w:pPr>
            <w:r>
              <w:rPr>
                <w:rFonts w:hint="eastAsia" w:ascii="宋体" w:hAnsi="宋体" w:eastAsia="宋体" w:cs="宋体"/>
                <w:snapToGrid w:val="0"/>
                <w:color w:val="auto"/>
                <w:spacing w:val="-6"/>
                <w:kern w:val="21"/>
                <w:szCs w:val="21"/>
              </w:rPr>
              <w:t>现有工程</w:t>
            </w:r>
          </w:p>
          <w:p w14:paraId="41D5705C">
            <w:pPr>
              <w:pStyle w:val="50"/>
              <w:spacing w:beforeLines="0" w:afterLines="0" w:line="240" w:lineRule="auto"/>
              <w:rPr>
                <w:rFonts w:hint="eastAsia" w:ascii="宋体" w:hAnsi="宋体" w:eastAsia="宋体" w:cs="宋体"/>
                <w:snapToGrid w:val="0"/>
                <w:color w:val="auto"/>
                <w:spacing w:val="-6"/>
                <w:kern w:val="21"/>
                <w:szCs w:val="21"/>
              </w:rPr>
            </w:pPr>
            <w:r>
              <w:rPr>
                <w:rFonts w:hint="eastAsia" w:ascii="宋体" w:hAnsi="宋体" w:eastAsia="宋体" w:cs="宋体"/>
                <w:snapToGrid w:val="0"/>
                <w:color w:val="auto"/>
                <w:spacing w:val="-6"/>
                <w:kern w:val="21"/>
                <w:szCs w:val="21"/>
              </w:rPr>
              <w:t>许可排放量</w:t>
            </w:r>
          </w:p>
          <w:p w14:paraId="318C121B">
            <w:pPr>
              <w:pStyle w:val="50"/>
              <w:spacing w:beforeLines="0" w:afterLines="0" w:line="240" w:lineRule="auto"/>
              <w:rPr>
                <w:rFonts w:hint="eastAsia" w:ascii="宋体" w:hAnsi="宋体" w:eastAsia="宋体" w:cs="宋体"/>
                <w:snapToGrid w:val="0"/>
                <w:color w:val="auto"/>
                <w:spacing w:val="-6"/>
                <w:kern w:val="21"/>
                <w:szCs w:val="21"/>
              </w:rPr>
            </w:pPr>
            <w:r>
              <w:rPr>
                <w:rFonts w:hint="eastAsia" w:ascii="宋体" w:hAnsi="宋体" w:eastAsia="宋体" w:cs="宋体"/>
                <w:snapToGrid w:val="0"/>
                <w:color w:val="auto"/>
                <w:spacing w:val="-6"/>
                <w:kern w:val="21"/>
                <w:szCs w:val="21"/>
              </w:rPr>
              <w:fldChar w:fldCharType="begin"/>
            </w:r>
            <w:r>
              <w:rPr>
                <w:rFonts w:hint="eastAsia" w:ascii="宋体" w:hAnsi="宋体" w:eastAsia="宋体" w:cs="宋体"/>
                <w:snapToGrid w:val="0"/>
                <w:color w:val="auto"/>
                <w:spacing w:val="-6"/>
                <w:kern w:val="21"/>
                <w:szCs w:val="21"/>
              </w:rPr>
              <w:instrText xml:space="preserve"> = 2 \* GB3 \* MERGEFORMAT </w:instrText>
            </w:r>
            <w:r>
              <w:rPr>
                <w:rFonts w:hint="eastAsia" w:ascii="宋体" w:hAnsi="宋体" w:eastAsia="宋体" w:cs="宋体"/>
                <w:snapToGrid w:val="0"/>
                <w:color w:val="auto"/>
                <w:spacing w:val="-6"/>
                <w:kern w:val="21"/>
                <w:szCs w:val="21"/>
              </w:rPr>
              <w:fldChar w:fldCharType="separate"/>
            </w:r>
            <w:r>
              <w:rPr>
                <w:rFonts w:hint="eastAsia" w:ascii="宋体" w:hAnsi="宋体" w:eastAsia="宋体" w:cs="宋体"/>
                <w:snapToGrid w:val="0"/>
                <w:color w:val="auto"/>
                <w:spacing w:val="-6"/>
                <w:kern w:val="21"/>
                <w:szCs w:val="21"/>
              </w:rPr>
              <w:t>②</w:t>
            </w:r>
            <w:r>
              <w:rPr>
                <w:rFonts w:hint="eastAsia" w:ascii="宋体" w:hAnsi="宋体" w:eastAsia="宋体" w:cs="宋体"/>
                <w:snapToGrid w:val="0"/>
                <w:color w:val="auto"/>
                <w:spacing w:val="-6"/>
                <w:kern w:val="21"/>
                <w:szCs w:val="21"/>
              </w:rPr>
              <w:fldChar w:fldCharType="end"/>
            </w:r>
          </w:p>
        </w:tc>
        <w:tc>
          <w:tcPr>
            <w:tcW w:w="634" w:type="pct"/>
            <w:tcMar>
              <w:left w:w="28" w:type="dxa"/>
              <w:right w:w="28" w:type="dxa"/>
            </w:tcMar>
            <w:vAlign w:val="center"/>
          </w:tcPr>
          <w:p w14:paraId="71C09B9C">
            <w:pPr>
              <w:pStyle w:val="50"/>
              <w:spacing w:beforeLines="0" w:afterLines="0" w:line="240" w:lineRule="auto"/>
              <w:rPr>
                <w:rFonts w:hint="eastAsia" w:ascii="宋体" w:hAnsi="宋体" w:eastAsia="宋体" w:cs="宋体"/>
                <w:snapToGrid w:val="0"/>
                <w:color w:val="auto"/>
                <w:spacing w:val="-6"/>
                <w:kern w:val="21"/>
                <w:szCs w:val="21"/>
              </w:rPr>
            </w:pPr>
            <w:r>
              <w:rPr>
                <w:rFonts w:hint="eastAsia" w:ascii="宋体" w:hAnsi="宋体" w:eastAsia="宋体" w:cs="宋体"/>
                <w:snapToGrid w:val="0"/>
                <w:color w:val="auto"/>
                <w:spacing w:val="-6"/>
                <w:kern w:val="21"/>
                <w:szCs w:val="21"/>
              </w:rPr>
              <w:t>在建工程</w:t>
            </w:r>
          </w:p>
          <w:p w14:paraId="7C02337C">
            <w:pPr>
              <w:pStyle w:val="50"/>
              <w:spacing w:beforeLines="0" w:afterLines="0" w:line="240" w:lineRule="auto"/>
              <w:rPr>
                <w:rFonts w:hint="eastAsia" w:ascii="宋体" w:hAnsi="宋体" w:eastAsia="宋体" w:cs="宋体"/>
                <w:snapToGrid w:val="0"/>
                <w:color w:val="auto"/>
                <w:spacing w:val="-6"/>
                <w:kern w:val="21"/>
                <w:szCs w:val="21"/>
              </w:rPr>
            </w:pPr>
            <w:r>
              <w:rPr>
                <w:rFonts w:hint="eastAsia" w:ascii="宋体" w:hAnsi="宋体" w:eastAsia="宋体" w:cs="宋体"/>
                <w:snapToGrid w:val="0"/>
                <w:color w:val="auto"/>
                <w:spacing w:val="-6"/>
                <w:kern w:val="21"/>
                <w:szCs w:val="21"/>
              </w:rPr>
              <w:t>排放量（固体废物产生量）</w:t>
            </w:r>
            <w:r>
              <w:rPr>
                <w:rFonts w:hint="eastAsia" w:ascii="宋体" w:hAnsi="宋体" w:eastAsia="宋体" w:cs="宋体"/>
                <w:snapToGrid w:val="0"/>
                <w:color w:val="auto"/>
                <w:spacing w:val="-6"/>
                <w:kern w:val="21"/>
                <w:szCs w:val="21"/>
              </w:rPr>
              <w:fldChar w:fldCharType="begin"/>
            </w:r>
            <w:r>
              <w:rPr>
                <w:rFonts w:hint="eastAsia" w:ascii="宋体" w:hAnsi="宋体" w:eastAsia="宋体" w:cs="宋体"/>
                <w:snapToGrid w:val="0"/>
                <w:color w:val="auto"/>
                <w:spacing w:val="-6"/>
                <w:kern w:val="21"/>
                <w:szCs w:val="21"/>
              </w:rPr>
              <w:instrText xml:space="preserve"> = 3 \* GB3 \* MERGEFORMAT </w:instrText>
            </w:r>
            <w:r>
              <w:rPr>
                <w:rFonts w:hint="eastAsia" w:ascii="宋体" w:hAnsi="宋体" w:eastAsia="宋体" w:cs="宋体"/>
                <w:snapToGrid w:val="0"/>
                <w:color w:val="auto"/>
                <w:spacing w:val="-6"/>
                <w:kern w:val="21"/>
                <w:szCs w:val="21"/>
              </w:rPr>
              <w:fldChar w:fldCharType="separate"/>
            </w:r>
            <w:r>
              <w:rPr>
                <w:rFonts w:hint="eastAsia" w:ascii="宋体" w:hAnsi="宋体" w:eastAsia="宋体" w:cs="宋体"/>
                <w:color w:val="auto"/>
                <w:kern w:val="2"/>
                <w:szCs w:val="21"/>
              </w:rPr>
              <w:t>③</w:t>
            </w:r>
            <w:r>
              <w:rPr>
                <w:rFonts w:hint="eastAsia" w:ascii="宋体" w:hAnsi="宋体" w:eastAsia="宋体" w:cs="宋体"/>
                <w:snapToGrid w:val="0"/>
                <w:color w:val="auto"/>
                <w:spacing w:val="-6"/>
                <w:kern w:val="21"/>
                <w:szCs w:val="21"/>
              </w:rPr>
              <w:fldChar w:fldCharType="end"/>
            </w:r>
          </w:p>
        </w:tc>
        <w:tc>
          <w:tcPr>
            <w:tcW w:w="744" w:type="pct"/>
            <w:tcMar>
              <w:left w:w="28" w:type="dxa"/>
              <w:right w:w="28" w:type="dxa"/>
            </w:tcMar>
            <w:vAlign w:val="center"/>
          </w:tcPr>
          <w:p w14:paraId="41B47EB3">
            <w:pPr>
              <w:pStyle w:val="50"/>
              <w:spacing w:beforeLines="0" w:afterLines="0" w:line="240" w:lineRule="auto"/>
              <w:rPr>
                <w:rFonts w:hint="eastAsia" w:ascii="宋体" w:hAnsi="宋体" w:eastAsia="宋体" w:cs="宋体"/>
                <w:snapToGrid w:val="0"/>
                <w:color w:val="auto"/>
                <w:spacing w:val="-6"/>
                <w:kern w:val="21"/>
                <w:szCs w:val="21"/>
              </w:rPr>
            </w:pPr>
            <w:r>
              <w:rPr>
                <w:rFonts w:hint="eastAsia" w:ascii="宋体" w:hAnsi="宋体" w:eastAsia="宋体" w:cs="宋体"/>
                <w:snapToGrid w:val="0"/>
                <w:color w:val="auto"/>
                <w:spacing w:val="-6"/>
                <w:kern w:val="21"/>
                <w:szCs w:val="21"/>
              </w:rPr>
              <w:t>本项目</w:t>
            </w:r>
          </w:p>
          <w:p w14:paraId="62E250C8">
            <w:pPr>
              <w:pStyle w:val="50"/>
              <w:spacing w:beforeLines="0" w:afterLines="0" w:line="240" w:lineRule="auto"/>
              <w:rPr>
                <w:rFonts w:hint="eastAsia" w:ascii="宋体" w:hAnsi="宋体" w:eastAsia="宋体" w:cs="宋体"/>
                <w:snapToGrid w:val="0"/>
                <w:color w:val="auto"/>
                <w:spacing w:val="-6"/>
                <w:kern w:val="21"/>
                <w:szCs w:val="21"/>
              </w:rPr>
            </w:pPr>
            <w:r>
              <w:rPr>
                <w:rFonts w:hint="eastAsia" w:ascii="宋体" w:hAnsi="宋体" w:eastAsia="宋体" w:cs="宋体"/>
                <w:snapToGrid w:val="0"/>
                <w:color w:val="auto"/>
                <w:spacing w:val="-6"/>
                <w:kern w:val="21"/>
                <w:szCs w:val="21"/>
              </w:rPr>
              <w:t>排放量（固体废物产生量）</w:t>
            </w:r>
            <w:r>
              <w:rPr>
                <w:rFonts w:hint="eastAsia" w:ascii="宋体" w:hAnsi="宋体" w:eastAsia="宋体" w:cs="宋体"/>
                <w:snapToGrid w:val="0"/>
                <w:color w:val="auto"/>
                <w:spacing w:val="-6"/>
                <w:kern w:val="21"/>
                <w:szCs w:val="21"/>
              </w:rPr>
              <w:fldChar w:fldCharType="begin"/>
            </w:r>
            <w:r>
              <w:rPr>
                <w:rFonts w:hint="eastAsia" w:ascii="宋体" w:hAnsi="宋体" w:eastAsia="宋体" w:cs="宋体"/>
                <w:snapToGrid w:val="0"/>
                <w:color w:val="auto"/>
                <w:spacing w:val="-6"/>
                <w:kern w:val="21"/>
                <w:szCs w:val="21"/>
              </w:rPr>
              <w:instrText xml:space="preserve"> = 4 \* GB3 \* MERGEFORMAT </w:instrText>
            </w:r>
            <w:r>
              <w:rPr>
                <w:rFonts w:hint="eastAsia" w:ascii="宋体" w:hAnsi="宋体" w:eastAsia="宋体" w:cs="宋体"/>
                <w:snapToGrid w:val="0"/>
                <w:color w:val="auto"/>
                <w:spacing w:val="-6"/>
                <w:kern w:val="21"/>
                <w:szCs w:val="21"/>
              </w:rPr>
              <w:fldChar w:fldCharType="separate"/>
            </w:r>
            <w:r>
              <w:rPr>
                <w:rFonts w:hint="eastAsia" w:ascii="宋体" w:hAnsi="宋体" w:eastAsia="宋体" w:cs="宋体"/>
                <w:color w:val="auto"/>
                <w:kern w:val="2"/>
                <w:szCs w:val="21"/>
              </w:rPr>
              <w:t>④</w:t>
            </w:r>
            <w:r>
              <w:rPr>
                <w:rFonts w:hint="eastAsia" w:ascii="宋体" w:hAnsi="宋体" w:eastAsia="宋体" w:cs="宋体"/>
                <w:snapToGrid w:val="0"/>
                <w:color w:val="auto"/>
                <w:spacing w:val="-6"/>
                <w:kern w:val="21"/>
                <w:szCs w:val="21"/>
              </w:rPr>
              <w:fldChar w:fldCharType="end"/>
            </w:r>
          </w:p>
        </w:tc>
        <w:tc>
          <w:tcPr>
            <w:tcW w:w="452" w:type="pct"/>
            <w:tcMar>
              <w:left w:w="28" w:type="dxa"/>
              <w:right w:w="28" w:type="dxa"/>
            </w:tcMar>
            <w:vAlign w:val="center"/>
          </w:tcPr>
          <w:p w14:paraId="2913C4D0">
            <w:pPr>
              <w:pStyle w:val="50"/>
              <w:spacing w:beforeLines="0" w:afterLines="0" w:line="240" w:lineRule="auto"/>
              <w:rPr>
                <w:rFonts w:hint="eastAsia" w:ascii="宋体" w:hAnsi="宋体" w:eastAsia="宋体" w:cs="宋体"/>
                <w:snapToGrid w:val="0"/>
                <w:color w:val="auto"/>
                <w:spacing w:val="-16"/>
                <w:kern w:val="21"/>
                <w:szCs w:val="21"/>
              </w:rPr>
            </w:pPr>
            <w:r>
              <w:rPr>
                <w:rFonts w:hint="eastAsia" w:ascii="宋体" w:hAnsi="宋体" w:eastAsia="宋体" w:cs="宋体"/>
                <w:snapToGrid w:val="0"/>
                <w:color w:val="auto"/>
                <w:spacing w:val="-16"/>
                <w:kern w:val="21"/>
                <w:szCs w:val="21"/>
              </w:rPr>
              <w:t>以新带老削减量</w:t>
            </w:r>
          </w:p>
          <w:p w14:paraId="6E181384">
            <w:pPr>
              <w:pStyle w:val="50"/>
              <w:spacing w:beforeLines="0" w:afterLines="0" w:line="240" w:lineRule="auto"/>
              <w:rPr>
                <w:rFonts w:hint="eastAsia" w:ascii="宋体" w:hAnsi="宋体" w:eastAsia="宋体" w:cs="宋体"/>
                <w:snapToGrid w:val="0"/>
                <w:color w:val="auto"/>
                <w:spacing w:val="-16"/>
                <w:kern w:val="21"/>
                <w:szCs w:val="21"/>
              </w:rPr>
            </w:pPr>
            <w:r>
              <w:rPr>
                <w:rFonts w:hint="eastAsia" w:ascii="宋体" w:hAnsi="宋体" w:eastAsia="宋体" w:cs="宋体"/>
                <w:snapToGrid w:val="0"/>
                <w:color w:val="auto"/>
                <w:spacing w:val="-16"/>
                <w:kern w:val="21"/>
                <w:szCs w:val="21"/>
              </w:rPr>
              <w:t>（新建项目不填）</w:t>
            </w:r>
            <w:r>
              <w:rPr>
                <w:rFonts w:hint="eastAsia" w:ascii="宋体" w:hAnsi="宋体" w:eastAsia="宋体" w:cs="宋体"/>
                <w:snapToGrid w:val="0"/>
                <w:color w:val="auto"/>
                <w:spacing w:val="-16"/>
                <w:kern w:val="21"/>
                <w:szCs w:val="21"/>
              </w:rPr>
              <w:fldChar w:fldCharType="begin"/>
            </w:r>
            <w:r>
              <w:rPr>
                <w:rFonts w:hint="eastAsia" w:ascii="宋体" w:hAnsi="宋体" w:eastAsia="宋体" w:cs="宋体"/>
                <w:snapToGrid w:val="0"/>
                <w:color w:val="auto"/>
                <w:spacing w:val="-16"/>
                <w:kern w:val="21"/>
                <w:szCs w:val="21"/>
              </w:rPr>
              <w:instrText xml:space="preserve"> = 5 \* GB3 \* MERGEFORMAT </w:instrText>
            </w:r>
            <w:r>
              <w:rPr>
                <w:rFonts w:hint="eastAsia" w:ascii="宋体" w:hAnsi="宋体" w:eastAsia="宋体" w:cs="宋体"/>
                <w:snapToGrid w:val="0"/>
                <w:color w:val="auto"/>
                <w:spacing w:val="-16"/>
                <w:kern w:val="21"/>
                <w:szCs w:val="21"/>
              </w:rPr>
              <w:fldChar w:fldCharType="separate"/>
            </w:r>
            <w:r>
              <w:rPr>
                <w:rFonts w:hint="eastAsia" w:ascii="宋体" w:hAnsi="宋体" w:eastAsia="宋体" w:cs="宋体"/>
                <w:color w:val="auto"/>
                <w:kern w:val="2"/>
                <w:szCs w:val="21"/>
              </w:rPr>
              <w:t>⑤</w:t>
            </w:r>
            <w:r>
              <w:rPr>
                <w:rFonts w:hint="eastAsia" w:ascii="宋体" w:hAnsi="宋体" w:eastAsia="宋体" w:cs="宋体"/>
                <w:snapToGrid w:val="0"/>
                <w:color w:val="auto"/>
                <w:spacing w:val="-16"/>
                <w:kern w:val="21"/>
                <w:szCs w:val="21"/>
              </w:rPr>
              <w:fldChar w:fldCharType="end"/>
            </w:r>
          </w:p>
        </w:tc>
        <w:tc>
          <w:tcPr>
            <w:tcW w:w="772" w:type="pct"/>
            <w:tcMar>
              <w:left w:w="28" w:type="dxa"/>
              <w:right w:w="28" w:type="dxa"/>
            </w:tcMar>
            <w:vAlign w:val="center"/>
          </w:tcPr>
          <w:p w14:paraId="1F55200C">
            <w:pPr>
              <w:pStyle w:val="50"/>
              <w:spacing w:beforeLines="0" w:afterLines="0" w:line="240" w:lineRule="auto"/>
              <w:rPr>
                <w:rFonts w:hint="eastAsia" w:ascii="宋体" w:hAnsi="宋体" w:eastAsia="宋体" w:cs="宋体"/>
                <w:snapToGrid w:val="0"/>
                <w:color w:val="auto"/>
                <w:spacing w:val="-16"/>
                <w:kern w:val="21"/>
                <w:szCs w:val="21"/>
              </w:rPr>
            </w:pPr>
            <w:r>
              <w:rPr>
                <w:rFonts w:hint="eastAsia" w:ascii="宋体" w:hAnsi="宋体" w:eastAsia="宋体" w:cs="宋体"/>
                <w:snapToGrid w:val="0"/>
                <w:color w:val="auto"/>
                <w:spacing w:val="-16"/>
                <w:kern w:val="21"/>
                <w:szCs w:val="21"/>
              </w:rPr>
              <w:t>本项目建成后</w:t>
            </w:r>
          </w:p>
          <w:p w14:paraId="033EE353">
            <w:pPr>
              <w:pStyle w:val="50"/>
              <w:spacing w:beforeLines="0" w:afterLines="0" w:line="240" w:lineRule="auto"/>
              <w:rPr>
                <w:rFonts w:hint="eastAsia" w:ascii="宋体" w:hAnsi="宋体" w:eastAsia="宋体" w:cs="宋体"/>
                <w:snapToGrid w:val="0"/>
                <w:color w:val="auto"/>
                <w:spacing w:val="-16"/>
                <w:kern w:val="21"/>
                <w:szCs w:val="21"/>
              </w:rPr>
            </w:pPr>
            <w:r>
              <w:rPr>
                <w:rFonts w:hint="eastAsia" w:ascii="宋体" w:hAnsi="宋体" w:eastAsia="宋体" w:cs="宋体"/>
                <w:snapToGrid w:val="0"/>
                <w:color w:val="auto"/>
                <w:spacing w:val="-16"/>
                <w:kern w:val="21"/>
                <w:szCs w:val="21"/>
              </w:rPr>
              <w:t>全厂排放量（固体废物产生量）</w:t>
            </w:r>
            <w:r>
              <w:rPr>
                <w:rFonts w:hint="eastAsia" w:ascii="宋体" w:hAnsi="宋体" w:eastAsia="宋体" w:cs="宋体"/>
                <w:snapToGrid w:val="0"/>
                <w:color w:val="auto"/>
                <w:spacing w:val="-16"/>
                <w:kern w:val="21"/>
                <w:szCs w:val="21"/>
              </w:rPr>
              <w:fldChar w:fldCharType="begin"/>
            </w:r>
            <w:r>
              <w:rPr>
                <w:rFonts w:hint="eastAsia" w:ascii="宋体" w:hAnsi="宋体" w:eastAsia="宋体" w:cs="宋体"/>
                <w:snapToGrid w:val="0"/>
                <w:color w:val="auto"/>
                <w:spacing w:val="-16"/>
                <w:kern w:val="21"/>
                <w:szCs w:val="21"/>
              </w:rPr>
              <w:instrText xml:space="preserve"> = 6 \* GB3 \* MERGEFORMAT </w:instrText>
            </w:r>
            <w:r>
              <w:rPr>
                <w:rFonts w:hint="eastAsia" w:ascii="宋体" w:hAnsi="宋体" w:eastAsia="宋体" w:cs="宋体"/>
                <w:snapToGrid w:val="0"/>
                <w:color w:val="auto"/>
                <w:spacing w:val="-16"/>
                <w:kern w:val="21"/>
                <w:szCs w:val="21"/>
              </w:rPr>
              <w:fldChar w:fldCharType="separate"/>
            </w:r>
            <w:r>
              <w:rPr>
                <w:rFonts w:hint="eastAsia" w:ascii="宋体" w:hAnsi="宋体" w:eastAsia="宋体" w:cs="宋体"/>
                <w:color w:val="auto"/>
                <w:kern w:val="2"/>
                <w:szCs w:val="21"/>
              </w:rPr>
              <w:t>⑥</w:t>
            </w:r>
            <w:r>
              <w:rPr>
                <w:rFonts w:hint="eastAsia" w:ascii="宋体" w:hAnsi="宋体" w:eastAsia="宋体" w:cs="宋体"/>
                <w:snapToGrid w:val="0"/>
                <w:color w:val="auto"/>
                <w:spacing w:val="-16"/>
                <w:kern w:val="21"/>
                <w:szCs w:val="21"/>
              </w:rPr>
              <w:fldChar w:fldCharType="end"/>
            </w:r>
          </w:p>
        </w:tc>
        <w:tc>
          <w:tcPr>
            <w:tcW w:w="413" w:type="pct"/>
            <w:tcMar>
              <w:left w:w="28" w:type="dxa"/>
              <w:right w:w="28" w:type="dxa"/>
            </w:tcMar>
            <w:vAlign w:val="center"/>
          </w:tcPr>
          <w:p w14:paraId="569A1E65">
            <w:pPr>
              <w:pStyle w:val="50"/>
              <w:spacing w:beforeLines="0" w:afterLines="0" w:line="240" w:lineRule="auto"/>
              <w:rPr>
                <w:rFonts w:hint="eastAsia" w:ascii="宋体" w:hAnsi="宋体" w:eastAsia="宋体" w:cs="宋体"/>
                <w:snapToGrid w:val="0"/>
                <w:color w:val="auto"/>
                <w:spacing w:val="-6"/>
                <w:kern w:val="21"/>
                <w:szCs w:val="21"/>
              </w:rPr>
            </w:pPr>
            <w:r>
              <w:rPr>
                <w:rFonts w:hint="eastAsia" w:ascii="宋体" w:hAnsi="宋体" w:eastAsia="宋体" w:cs="宋体"/>
                <w:snapToGrid w:val="0"/>
                <w:color w:val="auto"/>
                <w:spacing w:val="-6"/>
                <w:kern w:val="21"/>
                <w:szCs w:val="21"/>
              </w:rPr>
              <w:t>变化量</w:t>
            </w:r>
          </w:p>
          <w:p w14:paraId="5A011CF7">
            <w:pPr>
              <w:pStyle w:val="50"/>
              <w:spacing w:beforeLines="0" w:afterLines="0" w:line="240" w:lineRule="auto"/>
              <w:rPr>
                <w:rFonts w:hint="eastAsia" w:ascii="宋体" w:hAnsi="宋体" w:eastAsia="宋体" w:cs="宋体"/>
                <w:snapToGrid w:val="0"/>
                <w:color w:val="auto"/>
                <w:spacing w:val="-6"/>
                <w:kern w:val="21"/>
                <w:szCs w:val="21"/>
              </w:rPr>
            </w:pPr>
            <w:r>
              <w:rPr>
                <w:rFonts w:hint="eastAsia" w:ascii="宋体" w:hAnsi="宋体" w:eastAsia="宋体" w:cs="宋体"/>
                <w:snapToGrid w:val="0"/>
                <w:color w:val="auto"/>
                <w:spacing w:val="-6"/>
                <w:kern w:val="21"/>
                <w:szCs w:val="21"/>
              </w:rPr>
              <w:fldChar w:fldCharType="begin"/>
            </w:r>
            <w:r>
              <w:rPr>
                <w:rFonts w:hint="eastAsia" w:ascii="宋体" w:hAnsi="宋体" w:eastAsia="宋体" w:cs="宋体"/>
                <w:snapToGrid w:val="0"/>
                <w:color w:val="auto"/>
                <w:spacing w:val="-6"/>
                <w:kern w:val="21"/>
                <w:szCs w:val="21"/>
              </w:rPr>
              <w:instrText xml:space="preserve"> = 7 \* GB3 \* MERGEFORMAT </w:instrText>
            </w:r>
            <w:r>
              <w:rPr>
                <w:rFonts w:hint="eastAsia" w:ascii="宋体" w:hAnsi="宋体" w:eastAsia="宋体" w:cs="宋体"/>
                <w:snapToGrid w:val="0"/>
                <w:color w:val="auto"/>
                <w:spacing w:val="-6"/>
                <w:kern w:val="21"/>
                <w:szCs w:val="21"/>
              </w:rPr>
              <w:fldChar w:fldCharType="separate"/>
            </w:r>
            <w:r>
              <w:rPr>
                <w:rFonts w:hint="eastAsia" w:ascii="宋体" w:hAnsi="宋体" w:eastAsia="宋体" w:cs="宋体"/>
                <w:color w:val="auto"/>
                <w:kern w:val="2"/>
                <w:szCs w:val="21"/>
              </w:rPr>
              <w:t>⑦</w:t>
            </w:r>
            <w:r>
              <w:rPr>
                <w:rFonts w:hint="eastAsia" w:ascii="宋体" w:hAnsi="宋体" w:eastAsia="宋体" w:cs="宋体"/>
                <w:snapToGrid w:val="0"/>
                <w:color w:val="auto"/>
                <w:spacing w:val="-6"/>
                <w:kern w:val="21"/>
                <w:szCs w:val="21"/>
              </w:rPr>
              <w:fldChar w:fldCharType="end"/>
            </w:r>
          </w:p>
        </w:tc>
      </w:tr>
      <w:tr w14:paraId="588FD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2" w:type="pct"/>
            <w:vMerge w:val="restart"/>
            <w:vAlign w:val="center"/>
          </w:tcPr>
          <w:p w14:paraId="6B919CAD">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废气</w:t>
            </w:r>
          </w:p>
        </w:tc>
        <w:tc>
          <w:tcPr>
            <w:tcW w:w="654" w:type="pct"/>
            <w:vAlign w:val="center"/>
          </w:tcPr>
          <w:p w14:paraId="4C8F619A">
            <w:pPr>
              <w:pStyle w:val="50"/>
              <w:spacing w:beforeLines="0" w:afterLines="0" w:line="240" w:lineRule="auto"/>
              <w:rPr>
                <w:rFonts w:hAnsi="宋体" w:cs="宋体"/>
                <w:snapToGrid w:val="0"/>
                <w:color w:val="auto"/>
                <w:kern w:val="21"/>
                <w:szCs w:val="21"/>
              </w:rPr>
            </w:pPr>
            <w:r>
              <w:rPr>
                <w:rFonts w:ascii="Times New Roman"/>
                <w:snapToGrid w:val="0"/>
                <w:color w:val="auto"/>
                <w:kern w:val="21"/>
                <w:szCs w:val="21"/>
              </w:rPr>
              <w:t>颗粒物</w:t>
            </w:r>
          </w:p>
        </w:tc>
        <w:tc>
          <w:tcPr>
            <w:tcW w:w="685" w:type="pct"/>
            <w:vAlign w:val="center"/>
          </w:tcPr>
          <w:p w14:paraId="3B98E360">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339" w:type="pct"/>
            <w:vAlign w:val="center"/>
          </w:tcPr>
          <w:p w14:paraId="3F777A9C">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634" w:type="pct"/>
            <w:vAlign w:val="center"/>
          </w:tcPr>
          <w:p w14:paraId="119A8242">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44" w:type="pct"/>
            <w:vAlign w:val="center"/>
          </w:tcPr>
          <w:p w14:paraId="37F867B7">
            <w:pPr>
              <w:pStyle w:val="50"/>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eastAsia="zh-CN"/>
              </w:rPr>
              <w:t>0.185</w:t>
            </w:r>
            <w:r>
              <w:rPr>
                <w:rFonts w:ascii="Times New Roman"/>
                <w:snapToGrid w:val="0"/>
                <w:color w:val="auto"/>
                <w:kern w:val="21"/>
                <w:szCs w:val="21"/>
              </w:rPr>
              <w:t>t/a</w:t>
            </w:r>
          </w:p>
        </w:tc>
        <w:tc>
          <w:tcPr>
            <w:tcW w:w="452" w:type="pct"/>
            <w:vAlign w:val="center"/>
          </w:tcPr>
          <w:p w14:paraId="5B338196">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72" w:type="pct"/>
            <w:vAlign w:val="center"/>
          </w:tcPr>
          <w:p w14:paraId="7907285B">
            <w:pPr>
              <w:pStyle w:val="50"/>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eastAsia="zh-CN"/>
              </w:rPr>
              <w:t>0.185</w:t>
            </w:r>
            <w:r>
              <w:rPr>
                <w:rFonts w:ascii="Times New Roman"/>
                <w:snapToGrid w:val="0"/>
                <w:color w:val="auto"/>
                <w:kern w:val="21"/>
                <w:szCs w:val="21"/>
              </w:rPr>
              <w:t>t/a</w:t>
            </w:r>
          </w:p>
        </w:tc>
        <w:tc>
          <w:tcPr>
            <w:tcW w:w="413" w:type="pct"/>
            <w:vAlign w:val="center"/>
          </w:tcPr>
          <w:p w14:paraId="7ACB84EF">
            <w:pPr>
              <w:pStyle w:val="50"/>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w:t>
            </w:r>
            <w:r>
              <w:rPr>
                <w:rFonts w:hint="eastAsia" w:ascii="Times New Roman"/>
                <w:snapToGrid w:val="0"/>
                <w:color w:val="auto"/>
                <w:kern w:val="21"/>
                <w:szCs w:val="21"/>
                <w:lang w:eastAsia="zh-CN"/>
              </w:rPr>
              <w:t>0.185</w:t>
            </w:r>
            <w:r>
              <w:rPr>
                <w:rFonts w:ascii="Times New Roman"/>
                <w:snapToGrid w:val="0"/>
                <w:color w:val="auto"/>
                <w:kern w:val="21"/>
                <w:szCs w:val="21"/>
              </w:rPr>
              <w:t>t/a</w:t>
            </w:r>
          </w:p>
        </w:tc>
      </w:tr>
      <w:tr w14:paraId="1068FB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2" w:type="pct"/>
            <w:vMerge w:val="continue"/>
            <w:vAlign w:val="center"/>
          </w:tcPr>
          <w:p w14:paraId="2C75AA3A">
            <w:pPr>
              <w:pStyle w:val="50"/>
              <w:spacing w:beforeLines="0" w:afterLines="0" w:line="240" w:lineRule="auto"/>
              <w:rPr>
                <w:rFonts w:hAnsi="宋体" w:cs="宋体"/>
                <w:snapToGrid w:val="0"/>
                <w:color w:val="auto"/>
                <w:kern w:val="21"/>
                <w:szCs w:val="21"/>
              </w:rPr>
            </w:pPr>
          </w:p>
        </w:tc>
        <w:tc>
          <w:tcPr>
            <w:tcW w:w="654" w:type="pct"/>
            <w:vAlign w:val="center"/>
          </w:tcPr>
          <w:p w14:paraId="45A7DFA3">
            <w:pPr>
              <w:pStyle w:val="50"/>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食堂</w:t>
            </w:r>
            <w:r>
              <w:rPr>
                <w:rFonts w:ascii="Times New Roman"/>
                <w:snapToGrid w:val="0"/>
                <w:color w:val="auto"/>
                <w:kern w:val="21"/>
                <w:szCs w:val="21"/>
              </w:rPr>
              <w:t>油烟</w:t>
            </w:r>
          </w:p>
        </w:tc>
        <w:tc>
          <w:tcPr>
            <w:tcW w:w="685" w:type="pct"/>
            <w:vAlign w:val="center"/>
          </w:tcPr>
          <w:p w14:paraId="5D0A5FED">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339" w:type="pct"/>
            <w:vAlign w:val="center"/>
          </w:tcPr>
          <w:p w14:paraId="22FA03F6">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634" w:type="pct"/>
            <w:vAlign w:val="center"/>
          </w:tcPr>
          <w:p w14:paraId="3A20E721">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44" w:type="pct"/>
            <w:vAlign w:val="center"/>
          </w:tcPr>
          <w:p w14:paraId="64227CDF">
            <w:pPr>
              <w:pStyle w:val="50"/>
              <w:spacing w:beforeLines="0" w:afterLines="0" w:line="240" w:lineRule="auto"/>
              <w:rPr>
                <w:rFonts w:hint="default" w:ascii="Times New Roman" w:eastAsia="宋体"/>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0.002t/a</w:t>
            </w:r>
          </w:p>
        </w:tc>
        <w:tc>
          <w:tcPr>
            <w:tcW w:w="452" w:type="pct"/>
            <w:vAlign w:val="center"/>
          </w:tcPr>
          <w:p w14:paraId="418EEA8E">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72" w:type="pct"/>
            <w:vAlign w:val="center"/>
          </w:tcPr>
          <w:p w14:paraId="12E17100">
            <w:pPr>
              <w:pStyle w:val="50"/>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0.002t/a</w:t>
            </w:r>
          </w:p>
        </w:tc>
        <w:tc>
          <w:tcPr>
            <w:tcW w:w="413" w:type="pct"/>
            <w:vAlign w:val="center"/>
          </w:tcPr>
          <w:p w14:paraId="1927DC00">
            <w:pPr>
              <w:pStyle w:val="50"/>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+0.002t/a</w:t>
            </w:r>
          </w:p>
        </w:tc>
      </w:tr>
      <w:tr w14:paraId="631CA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2" w:type="pct"/>
            <w:vMerge w:val="restart"/>
            <w:vAlign w:val="center"/>
          </w:tcPr>
          <w:p w14:paraId="427FBB5D">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废水</w:t>
            </w:r>
          </w:p>
        </w:tc>
        <w:tc>
          <w:tcPr>
            <w:tcW w:w="654" w:type="pct"/>
            <w:vAlign w:val="center"/>
          </w:tcPr>
          <w:p w14:paraId="0860FC50">
            <w:pPr>
              <w:pStyle w:val="50"/>
              <w:spacing w:beforeLines="0" w:afterLines="0" w:line="240" w:lineRule="auto"/>
              <w:rPr>
                <w:rFonts w:hAnsi="宋体" w:cs="宋体"/>
                <w:snapToGrid w:val="0"/>
                <w:color w:val="auto"/>
                <w:kern w:val="21"/>
                <w:szCs w:val="21"/>
              </w:rPr>
            </w:pPr>
            <w:r>
              <w:rPr>
                <w:rFonts w:ascii="Times New Roman"/>
                <w:snapToGrid w:val="0"/>
                <w:color w:val="auto"/>
                <w:kern w:val="21"/>
                <w:szCs w:val="21"/>
              </w:rPr>
              <w:t>COD</w:t>
            </w:r>
          </w:p>
        </w:tc>
        <w:tc>
          <w:tcPr>
            <w:tcW w:w="685" w:type="pct"/>
            <w:vAlign w:val="center"/>
          </w:tcPr>
          <w:p w14:paraId="7F41B0B0">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339" w:type="pct"/>
            <w:vAlign w:val="center"/>
          </w:tcPr>
          <w:p w14:paraId="4EC6A315">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634" w:type="pct"/>
            <w:vAlign w:val="center"/>
          </w:tcPr>
          <w:p w14:paraId="5BF2D2C2">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44" w:type="pct"/>
            <w:vAlign w:val="center"/>
          </w:tcPr>
          <w:p w14:paraId="7FDF070F">
            <w:pPr>
              <w:pStyle w:val="8"/>
              <w:spacing w:before="0" w:after="0" w:line="240" w:lineRule="auto"/>
              <w:ind w:right="0" w:rightChars="0"/>
              <w:jc w:val="center"/>
              <w:rPr>
                <w:rFonts w:ascii="Times New Roman"/>
                <w:snapToGrid w:val="0"/>
                <w:color w:val="auto"/>
                <w:kern w:val="21"/>
                <w:szCs w:val="21"/>
                <w:highlight w:val="none"/>
              </w:rPr>
            </w:pPr>
            <w:r>
              <w:rPr>
                <w:rFonts w:hint="eastAsia"/>
                <w:color w:val="auto"/>
                <w:sz w:val="21"/>
                <w:szCs w:val="21"/>
                <w:highlight w:val="none"/>
                <w:lang w:val="en-US" w:eastAsia="zh-CN"/>
              </w:rPr>
              <w:t>0.048</w:t>
            </w:r>
            <w:r>
              <w:rPr>
                <w:rFonts w:ascii="Times New Roman"/>
                <w:snapToGrid w:val="0"/>
                <w:color w:val="auto"/>
                <w:kern w:val="21"/>
                <w:szCs w:val="21"/>
                <w:highlight w:val="none"/>
              </w:rPr>
              <w:t>t/a</w:t>
            </w:r>
          </w:p>
        </w:tc>
        <w:tc>
          <w:tcPr>
            <w:tcW w:w="452" w:type="pct"/>
            <w:vAlign w:val="center"/>
          </w:tcPr>
          <w:p w14:paraId="7C3FACC0">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72" w:type="pct"/>
            <w:vAlign w:val="center"/>
          </w:tcPr>
          <w:p w14:paraId="247C8359">
            <w:pPr>
              <w:pStyle w:val="8"/>
              <w:spacing w:before="0" w:after="0" w:line="240" w:lineRule="auto"/>
              <w:ind w:right="0" w:rightChars="0"/>
              <w:jc w:val="center"/>
              <w:rPr>
                <w:rFonts w:hAnsi="宋体" w:cs="宋体"/>
                <w:snapToGrid w:val="0"/>
                <w:color w:val="auto"/>
                <w:kern w:val="21"/>
                <w:szCs w:val="21"/>
              </w:rPr>
            </w:pPr>
            <w:r>
              <w:rPr>
                <w:rFonts w:hint="eastAsia"/>
                <w:color w:val="auto"/>
                <w:sz w:val="21"/>
                <w:szCs w:val="21"/>
                <w:lang w:val="en-US" w:eastAsia="zh-CN"/>
              </w:rPr>
              <w:t>0.048</w:t>
            </w:r>
            <w:r>
              <w:rPr>
                <w:rFonts w:ascii="Times New Roman"/>
                <w:snapToGrid w:val="0"/>
                <w:color w:val="auto"/>
                <w:kern w:val="21"/>
                <w:szCs w:val="21"/>
              </w:rPr>
              <w:t>t/a</w:t>
            </w:r>
          </w:p>
        </w:tc>
        <w:tc>
          <w:tcPr>
            <w:tcW w:w="413" w:type="pct"/>
            <w:vAlign w:val="center"/>
          </w:tcPr>
          <w:p w14:paraId="42159E0E">
            <w:pPr>
              <w:pStyle w:val="8"/>
              <w:spacing w:before="0" w:after="0" w:line="240" w:lineRule="auto"/>
              <w:ind w:right="0" w:rightChars="0"/>
              <w:jc w:val="center"/>
              <w:rPr>
                <w:rFonts w:hAnsi="宋体" w:cs="宋体"/>
                <w:snapToGrid w:val="0"/>
                <w:color w:val="auto"/>
                <w:kern w:val="21"/>
                <w:szCs w:val="21"/>
              </w:rPr>
            </w:pPr>
            <w:r>
              <w:rPr>
                <w:rFonts w:hint="eastAsia"/>
                <w:color w:val="auto"/>
                <w:sz w:val="21"/>
                <w:szCs w:val="21"/>
                <w:lang w:val="en-US" w:eastAsia="zh-CN"/>
              </w:rPr>
              <w:t>+0.048</w:t>
            </w:r>
            <w:r>
              <w:rPr>
                <w:rFonts w:ascii="Times New Roman"/>
                <w:snapToGrid w:val="0"/>
                <w:color w:val="auto"/>
                <w:kern w:val="21"/>
                <w:szCs w:val="21"/>
              </w:rPr>
              <w:t>t/a</w:t>
            </w:r>
          </w:p>
        </w:tc>
      </w:tr>
      <w:tr w14:paraId="5CCB83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2" w:type="pct"/>
            <w:vMerge w:val="continue"/>
            <w:vAlign w:val="center"/>
          </w:tcPr>
          <w:p w14:paraId="472CF69E">
            <w:pPr>
              <w:pStyle w:val="50"/>
              <w:spacing w:beforeLines="0" w:afterLines="0" w:line="240" w:lineRule="auto"/>
              <w:rPr>
                <w:rFonts w:hint="eastAsia" w:hAnsi="宋体" w:cs="宋体"/>
                <w:snapToGrid w:val="0"/>
                <w:color w:val="auto"/>
                <w:kern w:val="21"/>
                <w:szCs w:val="21"/>
              </w:rPr>
            </w:pPr>
          </w:p>
        </w:tc>
        <w:tc>
          <w:tcPr>
            <w:tcW w:w="654" w:type="pct"/>
            <w:vAlign w:val="center"/>
          </w:tcPr>
          <w:p w14:paraId="3634E8EC">
            <w:pPr>
              <w:pStyle w:val="50"/>
              <w:spacing w:beforeLines="0" w:afterLines="0" w:line="240" w:lineRule="auto"/>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BOD</w:t>
            </w:r>
          </w:p>
        </w:tc>
        <w:tc>
          <w:tcPr>
            <w:tcW w:w="685" w:type="pct"/>
            <w:vAlign w:val="center"/>
          </w:tcPr>
          <w:p w14:paraId="293CE4ED">
            <w:pPr>
              <w:pStyle w:val="50"/>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339" w:type="pct"/>
            <w:vAlign w:val="center"/>
          </w:tcPr>
          <w:p w14:paraId="7177E23F">
            <w:pPr>
              <w:pStyle w:val="50"/>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34" w:type="pct"/>
            <w:vAlign w:val="center"/>
          </w:tcPr>
          <w:p w14:paraId="4C461968">
            <w:pPr>
              <w:pStyle w:val="50"/>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744" w:type="pct"/>
            <w:vAlign w:val="center"/>
          </w:tcPr>
          <w:p w14:paraId="7BFAEA1C">
            <w:pPr>
              <w:pStyle w:val="8"/>
              <w:spacing w:before="0" w:after="0" w:line="240" w:lineRule="auto"/>
              <w:ind w:right="0" w:rightChars="0"/>
              <w:jc w:val="center"/>
              <w:rPr>
                <w:rFonts w:hint="default"/>
                <w:color w:val="auto"/>
                <w:sz w:val="21"/>
                <w:szCs w:val="21"/>
                <w:highlight w:val="none"/>
                <w:lang w:val="en-US" w:eastAsia="zh-CN"/>
              </w:rPr>
            </w:pPr>
            <w:r>
              <w:rPr>
                <w:rFonts w:hint="eastAsia"/>
                <w:color w:val="auto"/>
                <w:sz w:val="21"/>
                <w:szCs w:val="21"/>
                <w:highlight w:val="none"/>
                <w:lang w:val="en-US" w:eastAsia="zh-CN"/>
              </w:rPr>
              <w:t>0.03</w:t>
            </w:r>
            <w:r>
              <w:rPr>
                <w:rFonts w:ascii="Times New Roman"/>
                <w:snapToGrid w:val="0"/>
                <w:color w:val="auto"/>
                <w:kern w:val="21"/>
                <w:szCs w:val="21"/>
                <w:highlight w:val="none"/>
              </w:rPr>
              <w:t>t/a</w:t>
            </w:r>
          </w:p>
        </w:tc>
        <w:tc>
          <w:tcPr>
            <w:tcW w:w="452" w:type="pct"/>
            <w:vAlign w:val="center"/>
          </w:tcPr>
          <w:p w14:paraId="00F7D3C1">
            <w:pPr>
              <w:pStyle w:val="50"/>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772" w:type="pct"/>
            <w:vAlign w:val="center"/>
          </w:tcPr>
          <w:p w14:paraId="26063370">
            <w:pPr>
              <w:pStyle w:val="8"/>
              <w:spacing w:before="0" w:after="0" w:line="240" w:lineRule="auto"/>
              <w:ind w:right="0" w:rightChars="0"/>
              <w:jc w:val="center"/>
              <w:rPr>
                <w:rFonts w:hint="eastAsia"/>
                <w:color w:val="auto"/>
                <w:sz w:val="21"/>
                <w:szCs w:val="21"/>
                <w:lang w:val="en-US" w:eastAsia="zh-CN"/>
              </w:rPr>
            </w:pPr>
            <w:r>
              <w:rPr>
                <w:rFonts w:hint="eastAsia"/>
                <w:color w:val="auto"/>
                <w:sz w:val="21"/>
                <w:szCs w:val="21"/>
                <w:lang w:val="en-US" w:eastAsia="zh-CN"/>
              </w:rPr>
              <w:t>0.03</w:t>
            </w:r>
            <w:r>
              <w:rPr>
                <w:rFonts w:ascii="Times New Roman"/>
                <w:snapToGrid w:val="0"/>
                <w:color w:val="auto"/>
                <w:kern w:val="21"/>
                <w:szCs w:val="21"/>
              </w:rPr>
              <w:t>t/a</w:t>
            </w:r>
          </w:p>
        </w:tc>
        <w:tc>
          <w:tcPr>
            <w:tcW w:w="413" w:type="pct"/>
            <w:vAlign w:val="center"/>
          </w:tcPr>
          <w:p w14:paraId="71013CC1">
            <w:pPr>
              <w:pStyle w:val="8"/>
              <w:spacing w:before="0" w:after="0" w:line="240" w:lineRule="auto"/>
              <w:ind w:right="0" w:rightChars="0"/>
              <w:jc w:val="center"/>
              <w:rPr>
                <w:rFonts w:hint="eastAsia"/>
                <w:color w:val="auto"/>
                <w:sz w:val="21"/>
                <w:szCs w:val="21"/>
                <w:lang w:val="en-US" w:eastAsia="zh-CN"/>
              </w:rPr>
            </w:pPr>
            <w:r>
              <w:rPr>
                <w:rFonts w:hint="eastAsia"/>
                <w:color w:val="auto"/>
                <w:sz w:val="21"/>
                <w:szCs w:val="21"/>
                <w:lang w:val="en-US" w:eastAsia="zh-CN"/>
              </w:rPr>
              <w:t>+0.03</w:t>
            </w:r>
            <w:r>
              <w:rPr>
                <w:rFonts w:ascii="Times New Roman"/>
                <w:snapToGrid w:val="0"/>
                <w:color w:val="auto"/>
                <w:kern w:val="21"/>
                <w:szCs w:val="21"/>
              </w:rPr>
              <w:t>t/a</w:t>
            </w:r>
          </w:p>
        </w:tc>
      </w:tr>
      <w:tr w14:paraId="7E041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2" w:type="pct"/>
            <w:vMerge w:val="continue"/>
            <w:vAlign w:val="center"/>
          </w:tcPr>
          <w:p w14:paraId="0DC24A99">
            <w:pPr>
              <w:pStyle w:val="50"/>
              <w:spacing w:beforeLines="0" w:afterLines="0" w:line="240" w:lineRule="auto"/>
              <w:rPr>
                <w:rFonts w:hAnsi="宋体" w:cs="宋体"/>
                <w:snapToGrid w:val="0"/>
                <w:color w:val="auto"/>
                <w:kern w:val="21"/>
                <w:szCs w:val="21"/>
              </w:rPr>
            </w:pPr>
          </w:p>
        </w:tc>
        <w:tc>
          <w:tcPr>
            <w:tcW w:w="654" w:type="pct"/>
            <w:vAlign w:val="center"/>
          </w:tcPr>
          <w:p w14:paraId="4FFE45FB">
            <w:pPr>
              <w:pStyle w:val="50"/>
              <w:spacing w:beforeLines="0" w:afterLines="0" w:line="240" w:lineRule="auto"/>
              <w:rPr>
                <w:rFonts w:hAnsi="宋体" w:cs="宋体"/>
                <w:snapToGrid w:val="0"/>
                <w:color w:val="auto"/>
                <w:kern w:val="21"/>
                <w:szCs w:val="21"/>
              </w:rPr>
            </w:pPr>
            <w:r>
              <w:rPr>
                <w:rFonts w:ascii="Times New Roman"/>
                <w:snapToGrid w:val="0"/>
                <w:color w:val="auto"/>
                <w:kern w:val="21"/>
                <w:szCs w:val="21"/>
              </w:rPr>
              <w:t>NH</w:t>
            </w:r>
            <w:r>
              <w:rPr>
                <w:rFonts w:ascii="Times New Roman"/>
                <w:snapToGrid w:val="0"/>
                <w:color w:val="auto"/>
                <w:kern w:val="21"/>
                <w:szCs w:val="21"/>
                <w:vertAlign w:val="subscript"/>
              </w:rPr>
              <w:t>3</w:t>
            </w:r>
            <w:r>
              <w:rPr>
                <w:rFonts w:ascii="Times New Roman"/>
                <w:snapToGrid w:val="0"/>
                <w:color w:val="auto"/>
                <w:kern w:val="21"/>
                <w:szCs w:val="21"/>
              </w:rPr>
              <w:t>-N</w:t>
            </w:r>
          </w:p>
        </w:tc>
        <w:tc>
          <w:tcPr>
            <w:tcW w:w="685" w:type="pct"/>
            <w:vAlign w:val="center"/>
          </w:tcPr>
          <w:p w14:paraId="48F6F614">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339" w:type="pct"/>
            <w:vAlign w:val="center"/>
          </w:tcPr>
          <w:p w14:paraId="38F3B6E5">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634" w:type="pct"/>
            <w:vAlign w:val="center"/>
          </w:tcPr>
          <w:p w14:paraId="137F2E84">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44" w:type="pct"/>
            <w:vAlign w:val="center"/>
          </w:tcPr>
          <w:p w14:paraId="25BBF646">
            <w:pPr>
              <w:pStyle w:val="8"/>
              <w:spacing w:before="0" w:after="0" w:line="240" w:lineRule="auto"/>
              <w:ind w:right="0" w:rightChars="0"/>
              <w:jc w:val="center"/>
              <w:rPr>
                <w:rFonts w:ascii="Times New Roman"/>
                <w:snapToGrid w:val="0"/>
                <w:color w:val="auto"/>
                <w:kern w:val="21"/>
                <w:szCs w:val="21"/>
                <w:highlight w:val="none"/>
              </w:rPr>
            </w:pPr>
            <w:r>
              <w:rPr>
                <w:rFonts w:hint="eastAsia"/>
                <w:color w:val="auto"/>
                <w:sz w:val="21"/>
                <w:szCs w:val="21"/>
                <w:highlight w:val="none"/>
                <w:lang w:val="en-US" w:eastAsia="zh-CN"/>
              </w:rPr>
              <w:t>0.006</w:t>
            </w:r>
            <w:r>
              <w:rPr>
                <w:rFonts w:ascii="Times New Roman"/>
                <w:snapToGrid w:val="0"/>
                <w:color w:val="auto"/>
                <w:kern w:val="21"/>
                <w:szCs w:val="21"/>
                <w:highlight w:val="none"/>
              </w:rPr>
              <w:t>t/a</w:t>
            </w:r>
          </w:p>
        </w:tc>
        <w:tc>
          <w:tcPr>
            <w:tcW w:w="452" w:type="pct"/>
            <w:vAlign w:val="center"/>
          </w:tcPr>
          <w:p w14:paraId="73C51945">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72" w:type="pct"/>
            <w:vAlign w:val="center"/>
          </w:tcPr>
          <w:p w14:paraId="7504C86F">
            <w:pPr>
              <w:pStyle w:val="8"/>
              <w:spacing w:before="0" w:after="0" w:line="240" w:lineRule="auto"/>
              <w:ind w:right="0" w:rightChars="0"/>
              <w:jc w:val="center"/>
              <w:rPr>
                <w:rFonts w:hAnsi="宋体" w:cs="宋体"/>
                <w:snapToGrid w:val="0"/>
                <w:color w:val="auto"/>
                <w:kern w:val="21"/>
                <w:szCs w:val="21"/>
              </w:rPr>
            </w:pPr>
            <w:r>
              <w:rPr>
                <w:rFonts w:hint="eastAsia"/>
                <w:color w:val="auto"/>
                <w:sz w:val="21"/>
                <w:szCs w:val="21"/>
                <w:lang w:val="en-US" w:eastAsia="zh-CN"/>
              </w:rPr>
              <w:t>0.006</w:t>
            </w:r>
            <w:r>
              <w:rPr>
                <w:rFonts w:ascii="Times New Roman"/>
                <w:snapToGrid w:val="0"/>
                <w:color w:val="auto"/>
                <w:kern w:val="21"/>
                <w:szCs w:val="21"/>
              </w:rPr>
              <w:t>t/a</w:t>
            </w:r>
          </w:p>
        </w:tc>
        <w:tc>
          <w:tcPr>
            <w:tcW w:w="413" w:type="pct"/>
            <w:vAlign w:val="center"/>
          </w:tcPr>
          <w:p w14:paraId="2B38E319">
            <w:pPr>
              <w:pStyle w:val="8"/>
              <w:spacing w:before="0" w:after="0" w:line="240" w:lineRule="auto"/>
              <w:ind w:right="0" w:rightChars="0"/>
              <w:jc w:val="center"/>
              <w:rPr>
                <w:rFonts w:hAnsi="宋体" w:cs="宋体"/>
                <w:snapToGrid w:val="0"/>
                <w:color w:val="auto"/>
                <w:kern w:val="21"/>
                <w:szCs w:val="21"/>
              </w:rPr>
            </w:pPr>
            <w:r>
              <w:rPr>
                <w:rFonts w:hint="eastAsia"/>
                <w:color w:val="auto"/>
                <w:sz w:val="21"/>
                <w:szCs w:val="21"/>
                <w:lang w:val="en-US" w:eastAsia="zh-CN"/>
              </w:rPr>
              <w:t>+0.006</w:t>
            </w:r>
            <w:r>
              <w:rPr>
                <w:rFonts w:ascii="Times New Roman"/>
                <w:snapToGrid w:val="0"/>
                <w:color w:val="auto"/>
                <w:kern w:val="21"/>
                <w:szCs w:val="21"/>
              </w:rPr>
              <w:t>t/a</w:t>
            </w:r>
          </w:p>
        </w:tc>
      </w:tr>
      <w:tr w14:paraId="2C12D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2" w:type="pct"/>
            <w:vMerge w:val="continue"/>
            <w:vAlign w:val="center"/>
          </w:tcPr>
          <w:p w14:paraId="6DA7D3F0">
            <w:pPr>
              <w:pStyle w:val="50"/>
              <w:spacing w:beforeLines="0" w:afterLines="0" w:line="240" w:lineRule="auto"/>
              <w:rPr>
                <w:rFonts w:hAnsi="宋体" w:cs="宋体"/>
                <w:snapToGrid w:val="0"/>
                <w:color w:val="auto"/>
                <w:kern w:val="21"/>
                <w:szCs w:val="21"/>
              </w:rPr>
            </w:pPr>
          </w:p>
        </w:tc>
        <w:tc>
          <w:tcPr>
            <w:tcW w:w="654" w:type="pct"/>
            <w:vAlign w:val="center"/>
          </w:tcPr>
          <w:p w14:paraId="101A253A">
            <w:pPr>
              <w:pStyle w:val="50"/>
              <w:spacing w:beforeLines="0" w:afterLines="0" w:line="240" w:lineRule="auto"/>
              <w:rPr>
                <w:rFonts w:hAnsi="宋体" w:cs="宋体"/>
                <w:snapToGrid w:val="0"/>
                <w:color w:val="auto"/>
                <w:kern w:val="21"/>
                <w:szCs w:val="21"/>
              </w:rPr>
            </w:pPr>
            <w:r>
              <w:rPr>
                <w:rFonts w:ascii="Times New Roman"/>
                <w:snapToGrid w:val="0"/>
                <w:color w:val="auto"/>
                <w:kern w:val="21"/>
                <w:szCs w:val="21"/>
              </w:rPr>
              <w:t>SS</w:t>
            </w:r>
          </w:p>
        </w:tc>
        <w:tc>
          <w:tcPr>
            <w:tcW w:w="685" w:type="pct"/>
            <w:vAlign w:val="center"/>
          </w:tcPr>
          <w:p w14:paraId="6C26E143">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339" w:type="pct"/>
            <w:vAlign w:val="center"/>
          </w:tcPr>
          <w:p w14:paraId="177EA7F8">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634" w:type="pct"/>
            <w:vAlign w:val="center"/>
          </w:tcPr>
          <w:p w14:paraId="1DCFE6D2">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44" w:type="pct"/>
            <w:vAlign w:val="center"/>
          </w:tcPr>
          <w:p w14:paraId="2926E024">
            <w:pPr>
              <w:pStyle w:val="8"/>
              <w:spacing w:before="0" w:after="0" w:line="240" w:lineRule="auto"/>
              <w:ind w:right="0" w:rightChars="0"/>
              <w:jc w:val="center"/>
              <w:rPr>
                <w:rFonts w:ascii="Times New Roman"/>
                <w:snapToGrid w:val="0"/>
                <w:color w:val="auto"/>
                <w:kern w:val="21"/>
                <w:szCs w:val="21"/>
                <w:highlight w:val="none"/>
              </w:rPr>
            </w:pPr>
            <w:r>
              <w:rPr>
                <w:rFonts w:hint="eastAsia"/>
                <w:color w:val="auto"/>
                <w:sz w:val="21"/>
                <w:szCs w:val="21"/>
                <w:highlight w:val="none"/>
                <w:lang w:val="en-US" w:eastAsia="zh-CN"/>
              </w:rPr>
              <w:t>0.03</w:t>
            </w:r>
            <w:r>
              <w:rPr>
                <w:rFonts w:ascii="Times New Roman"/>
                <w:snapToGrid w:val="0"/>
                <w:color w:val="auto"/>
                <w:kern w:val="21"/>
                <w:szCs w:val="21"/>
                <w:highlight w:val="none"/>
              </w:rPr>
              <w:t>t/a</w:t>
            </w:r>
          </w:p>
        </w:tc>
        <w:tc>
          <w:tcPr>
            <w:tcW w:w="452" w:type="pct"/>
            <w:vAlign w:val="center"/>
          </w:tcPr>
          <w:p w14:paraId="27F8B430">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72" w:type="pct"/>
            <w:vAlign w:val="center"/>
          </w:tcPr>
          <w:p w14:paraId="40C5685B">
            <w:pPr>
              <w:pStyle w:val="8"/>
              <w:spacing w:before="0" w:after="0" w:line="240" w:lineRule="auto"/>
              <w:ind w:right="0" w:rightChars="0"/>
              <w:jc w:val="center"/>
              <w:rPr>
                <w:rFonts w:hAnsi="宋体" w:cs="宋体"/>
                <w:snapToGrid w:val="0"/>
                <w:color w:val="auto"/>
                <w:kern w:val="21"/>
                <w:szCs w:val="21"/>
              </w:rPr>
            </w:pPr>
            <w:r>
              <w:rPr>
                <w:rFonts w:hint="eastAsia"/>
                <w:color w:val="auto"/>
                <w:sz w:val="21"/>
                <w:szCs w:val="21"/>
                <w:lang w:val="en-US" w:eastAsia="zh-CN"/>
              </w:rPr>
              <w:t>0.03</w:t>
            </w:r>
            <w:r>
              <w:rPr>
                <w:rFonts w:ascii="Times New Roman"/>
                <w:snapToGrid w:val="0"/>
                <w:color w:val="auto"/>
                <w:kern w:val="21"/>
                <w:szCs w:val="21"/>
              </w:rPr>
              <w:t>t/a</w:t>
            </w:r>
          </w:p>
        </w:tc>
        <w:tc>
          <w:tcPr>
            <w:tcW w:w="413" w:type="pct"/>
            <w:vAlign w:val="center"/>
          </w:tcPr>
          <w:p w14:paraId="7ADE08D4">
            <w:pPr>
              <w:pStyle w:val="8"/>
              <w:spacing w:before="0" w:after="0" w:line="240" w:lineRule="auto"/>
              <w:ind w:right="0" w:rightChars="0"/>
              <w:jc w:val="center"/>
              <w:rPr>
                <w:rFonts w:hAnsi="宋体" w:cs="宋体"/>
                <w:snapToGrid w:val="0"/>
                <w:color w:val="auto"/>
                <w:kern w:val="21"/>
                <w:szCs w:val="21"/>
              </w:rPr>
            </w:pPr>
            <w:r>
              <w:rPr>
                <w:rFonts w:hint="eastAsia"/>
                <w:color w:val="auto"/>
                <w:sz w:val="21"/>
                <w:szCs w:val="21"/>
                <w:lang w:val="en-US" w:eastAsia="zh-CN"/>
              </w:rPr>
              <w:t>+0.03</w:t>
            </w:r>
            <w:r>
              <w:rPr>
                <w:rFonts w:ascii="Times New Roman"/>
                <w:snapToGrid w:val="0"/>
                <w:color w:val="auto"/>
                <w:kern w:val="21"/>
                <w:szCs w:val="21"/>
              </w:rPr>
              <w:t>t/a</w:t>
            </w:r>
          </w:p>
        </w:tc>
      </w:tr>
      <w:tr w14:paraId="3004B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2" w:type="pct"/>
            <w:vMerge w:val="restart"/>
            <w:vAlign w:val="center"/>
          </w:tcPr>
          <w:p w14:paraId="0949CB9B">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一般工业</w:t>
            </w:r>
          </w:p>
          <w:p w14:paraId="18FF5F4D">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固体废物</w:t>
            </w:r>
          </w:p>
        </w:tc>
        <w:tc>
          <w:tcPr>
            <w:tcW w:w="654" w:type="pct"/>
            <w:vAlign w:val="center"/>
          </w:tcPr>
          <w:p w14:paraId="6A4C9F00">
            <w:pPr>
              <w:pStyle w:val="50"/>
              <w:spacing w:beforeLines="0" w:afterLines="0" w:line="240" w:lineRule="auto"/>
              <w:rPr>
                <w:rFonts w:hAnsi="宋体" w:cs="宋体"/>
                <w:snapToGrid w:val="0"/>
                <w:color w:val="auto"/>
                <w:kern w:val="21"/>
                <w:szCs w:val="21"/>
              </w:rPr>
            </w:pPr>
            <w:r>
              <w:rPr>
                <w:rFonts w:ascii="Times New Roman"/>
                <w:snapToGrid w:val="0"/>
                <w:color w:val="auto"/>
                <w:kern w:val="21"/>
                <w:szCs w:val="21"/>
              </w:rPr>
              <w:t>不合格混凝土</w:t>
            </w:r>
          </w:p>
        </w:tc>
        <w:tc>
          <w:tcPr>
            <w:tcW w:w="685" w:type="pct"/>
            <w:vAlign w:val="center"/>
          </w:tcPr>
          <w:p w14:paraId="16973873">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339" w:type="pct"/>
            <w:vAlign w:val="center"/>
          </w:tcPr>
          <w:p w14:paraId="3937559E">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634" w:type="pct"/>
            <w:vAlign w:val="center"/>
          </w:tcPr>
          <w:p w14:paraId="4B81848C">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44" w:type="pct"/>
            <w:vAlign w:val="center"/>
          </w:tcPr>
          <w:p w14:paraId="5ACFF4A0">
            <w:pPr>
              <w:pStyle w:val="50"/>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eastAsia="zh-CN"/>
              </w:rPr>
              <w:t>16.17</w:t>
            </w:r>
            <w:r>
              <w:rPr>
                <w:rFonts w:hint="eastAsia" w:ascii="Times New Roman"/>
                <w:snapToGrid w:val="0"/>
                <w:color w:val="auto"/>
                <w:kern w:val="21"/>
                <w:szCs w:val="21"/>
              </w:rPr>
              <w:t>t/a</w:t>
            </w:r>
          </w:p>
        </w:tc>
        <w:tc>
          <w:tcPr>
            <w:tcW w:w="452" w:type="pct"/>
            <w:vAlign w:val="center"/>
          </w:tcPr>
          <w:p w14:paraId="03EE52F2">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72" w:type="pct"/>
            <w:vAlign w:val="center"/>
          </w:tcPr>
          <w:p w14:paraId="473E00A2">
            <w:pPr>
              <w:pStyle w:val="50"/>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eastAsia="zh-CN"/>
              </w:rPr>
              <w:t>16.17</w:t>
            </w:r>
            <w:r>
              <w:rPr>
                <w:rFonts w:hint="eastAsia" w:ascii="Times New Roman"/>
                <w:snapToGrid w:val="0"/>
                <w:color w:val="auto"/>
                <w:kern w:val="21"/>
                <w:szCs w:val="21"/>
              </w:rPr>
              <w:t>t/a</w:t>
            </w:r>
          </w:p>
        </w:tc>
        <w:tc>
          <w:tcPr>
            <w:tcW w:w="413" w:type="pct"/>
            <w:vAlign w:val="center"/>
          </w:tcPr>
          <w:p w14:paraId="63727331">
            <w:pPr>
              <w:pStyle w:val="50"/>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w:t>
            </w:r>
            <w:r>
              <w:rPr>
                <w:rFonts w:hint="eastAsia" w:ascii="Times New Roman"/>
                <w:snapToGrid w:val="0"/>
                <w:color w:val="auto"/>
                <w:kern w:val="21"/>
                <w:szCs w:val="21"/>
                <w:lang w:eastAsia="zh-CN"/>
              </w:rPr>
              <w:t>16.17</w:t>
            </w:r>
            <w:r>
              <w:rPr>
                <w:rFonts w:hint="eastAsia" w:ascii="Times New Roman"/>
                <w:snapToGrid w:val="0"/>
                <w:color w:val="auto"/>
                <w:kern w:val="21"/>
                <w:szCs w:val="21"/>
              </w:rPr>
              <w:t>t/a</w:t>
            </w:r>
          </w:p>
        </w:tc>
      </w:tr>
      <w:tr w14:paraId="394BC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2" w:type="pct"/>
            <w:vMerge w:val="continue"/>
            <w:vAlign w:val="center"/>
          </w:tcPr>
          <w:p w14:paraId="6326FFB9">
            <w:pPr>
              <w:pStyle w:val="50"/>
              <w:spacing w:beforeLines="0" w:afterLines="0" w:line="240" w:lineRule="auto"/>
              <w:rPr>
                <w:rFonts w:hAnsi="宋体" w:cs="宋体"/>
                <w:snapToGrid w:val="0"/>
                <w:color w:val="auto"/>
                <w:kern w:val="21"/>
                <w:szCs w:val="21"/>
              </w:rPr>
            </w:pPr>
          </w:p>
        </w:tc>
        <w:tc>
          <w:tcPr>
            <w:tcW w:w="654" w:type="pct"/>
            <w:vAlign w:val="center"/>
          </w:tcPr>
          <w:p w14:paraId="7F5797DB">
            <w:pPr>
              <w:pStyle w:val="50"/>
              <w:spacing w:beforeLines="0" w:afterLines="0" w:line="240" w:lineRule="auto"/>
              <w:rPr>
                <w:rFonts w:hint="eastAsia" w:hAnsi="宋体" w:eastAsia="宋体" w:cs="宋体"/>
                <w:snapToGrid w:val="0"/>
                <w:color w:val="auto"/>
                <w:kern w:val="21"/>
                <w:szCs w:val="21"/>
                <w:lang w:eastAsia="zh-CN"/>
              </w:rPr>
            </w:pPr>
            <w:r>
              <w:rPr>
                <w:rFonts w:hint="eastAsia" w:ascii="Times New Roman"/>
                <w:snapToGrid w:val="0"/>
                <w:color w:val="auto"/>
                <w:kern w:val="21"/>
                <w:szCs w:val="21"/>
                <w:lang w:eastAsia="zh-CN"/>
              </w:rPr>
              <w:t>布袋除尘器收集的粉尘</w:t>
            </w:r>
          </w:p>
        </w:tc>
        <w:tc>
          <w:tcPr>
            <w:tcW w:w="685" w:type="pct"/>
            <w:vAlign w:val="center"/>
          </w:tcPr>
          <w:p w14:paraId="5B803F10">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339" w:type="pct"/>
            <w:vAlign w:val="center"/>
          </w:tcPr>
          <w:p w14:paraId="5C18048D">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634" w:type="pct"/>
            <w:vAlign w:val="center"/>
          </w:tcPr>
          <w:p w14:paraId="70952A0D">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44" w:type="pct"/>
            <w:vAlign w:val="center"/>
          </w:tcPr>
          <w:p w14:paraId="3BE8F6AC">
            <w:pPr>
              <w:pStyle w:val="50"/>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eastAsia="zh-CN"/>
              </w:rPr>
              <w:t>119.21</w:t>
            </w:r>
            <w:r>
              <w:rPr>
                <w:rFonts w:hint="eastAsia" w:ascii="Times New Roman"/>
                <w:snapToGrid w:val="0"/>
                <w:color w:val="auto"/>
                <w:kern w:val="21"/>
                <w:szCs w:val="21"/>
              </w:rPr>
              <w:t>t/a</w:t>
            </w:r>
          </w:p>
        </w:tc>
        <w:tc>
          <w:tcPr>
            <w:tcW w:w="452" w:type="pct"/>
            <w:vAlign w:val="center"/>
          </w:tcPr>
          <w:p w14:paraId="1F3A5F51">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72" w:type="pct"/>
            <w:vAlign w:val="center"/>
          </w:tcPr>
          <w:p w14:paraId="2E55E6F0">
            <w:pPr>
              <w:pStyle w:val="50"/>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eastAsia="zh-CN"/>
              </w:rPr>
              <w:t>119.21</w:t>
            </w:r>
            <w:r>
              <w:rPr>
                <w:rFonts w:hint="eastAsia" w:ascii="Times New Roman"/>
                <w:snapToGrid w:val="0"/>
                <w:color w:val="auto"/>
                <w:kern w:val="21"/>
                <w:szCs w:val="21"/>
              </w:rPr>
              <w:t>t/a</w:t>
            </w:r>
          </w:p>
        </w:tc>
        <w:tc>
          <w:tcPr>
            <w:tcW w:w="413" w:type="pct"/>
            <w:vAlign w:val="center"/>
          </w:tcPr>
          <w:p w14:paraId="2CC284FC">
            <w:pPr>
              <w:pStyle w:val="50"/>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w:t>
            </w:r>
            <w:r>
              <w:rPr>
                <w:rFonts w:hint="eastAsia" w:ascii="Times New Roman"/>
                <w:snapToGrid w:val="0"/>
                <w:color w:val="auto"/>
                <w:kern w:val="21"/>
                <w:szCs w:val="21"/>
                <w:lang w:eastAsia="zh-CN"/>
              </w:rPr>
              <w:t>119.21</w:t>
            </w:r>
            <w:r>
              <w:rPr>
                <w:rFonts w:hint="eastAsia" w:ascii="Times New Roman"/>
                <w:snapToGrid w:val="0"/>
                <w:color w:val="auto"/>
                <w:kern w:val="21"/>
                <w:szCs w:val="21"/>
              </w:rPr>
              <w:t>t/a</w:t>
            </w:r>
          </w:p>
        </w:tc>
      </w:tr>
      <w:tr w14:paraId="30F88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2" w:type="pct"/>
            <w:vMerge w:val="continue"/>
            <w:vAlign w:val="center"/>
          </w:tcPr>
          <w:p w14:paraId="5B53851C">
            <w:pPr>
              <w:pStyle w:val="50"/>
              <w:spacing w:beforeLines="0" w:afterLines="0" w:line="240" w:lineRule="auto"/>
              <w:rPr>
                <w:rFonts w:hAnsi="宋体" w:cs="宋体"/>
                <w:snapToGrid w:val="0"/>
                <w:color w:val="auto"/>
                <w:kern w:val="21"/>
                <w:szCs w:val="21"/>
              </w:rPr>
            </w:pPr>
          </w:p>
        </w:tc>
        <w:tc>
          <w:tcPr>
            <w:tcW w:w="654" w:type="pct"/>
            <w:vAlign w:val="center"/>
          </w:tcPr>
          <w:p w14:paraId="5F0FCD4B">
            <w:pPr>
              <w:pStyle w:val="50"/>
              <w:spacing w:beforeLines="0" w:afterLines="0" w:line="240" w:lineRule="auto"/>
              <w:rPr>
                <w:rFonts w:hint="eastAsia" w:hAnsi="宋体" w:eastAsia="宋体" w:cs="宋体"/>
                <w:snapToGrid w:val="0"/>
                <w:color w:val="auto"/>
                <w:kern w:val="21"/>
                <w:szCs w:val="21"/>
                <w:lang w:eastAsia="zh-CN"/>
              </w:rPr>
            </w:pPr>
            <w:r>
              <w:rPr>
                <w:rFonts w:hint="eastAsia" w:ascii="Times New Roman"/>
                <w:snapToGrid w:val="0"/>
                <w:color w:val="auto"/>
                <w:kern w:val="21"/>
                <w:szCs w:val="21"/>
                <w:lang w:eastAsia="zh-CN"/>
              </w:rPr>
              <w:t>沉淀池沉淀物</w:t>
            </w:r>
          </w:p>
        </w:tc>
        <w:tc>
          <w:tcPr>
            <w:tcW w:w="685" w:type="pct"/>
            <w:vAlign w:val="center"/>
          </w:tcPr>
          <w:p w14:paraId="435F489C">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339" w:type="pct"/>
            <w:vAlign w:val="center"/>
          </w:tcPr>
          <w:p w14:paraId="217425FC">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634" w:type="pct"/>
            <w:vAlign w:val="center"/>
          </w:tcPr>
          <w:p w14:paraId="7A78F457">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44" w:type="pct"/>
            <w:vAlign w:val="center"/>
          </w:tcPr>
          <w:p w14:paraId="768C14C6">
            <w:pPr>
              <w:pStyle w:val="50"/>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eastAsia="zh-CN"/>
              </w:rPr>
              <w:t>62.4</w:t>
            </w:r>
            <w:r>
              <w:rPr>
                <w:rFonts w:hint="eastAsia" w:ascii="Times New Roman"/>
                <w:snapToGrid w:val="0"/>
                <w:color w:val="auto"/>
                <w:kern w:val="21"/>
                <w:szCs w:val="21"/>
              </w:rPr>
              <w:t>t/a</w:t>
            </w:r>
          </w:p>
        </w:tc>
        <w:tc>
          <w:tcPr>
            <w:tcW w:w="452" w:type="pct"/>
            <w:vAlign w:val="center"/>
          </w:tcPr>
          <w:p w14:paraId="718CD8DD">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72" w:type="pct"/>
            <w:vAlign w:val="center"/>
          </w:tcPr>
          <w:p w14:paraId="4C266504">
            <w:pPr>
              <w:pStyle w:val="50"/>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eastAsia="zh-CN"/>
              </w:rPr>
              <w:t>62.4</w:t>
            </w:r>
            <w:r>
              <w:rPr>
                <w:rFonts w:hint="eastAsia" w:ascii="Times New Roman"/>
                <w:snapToGrid w:val="0"/>
                <w:color w:val="auto"/>
                <w:kern w:val="21"/>
                <w:szCs w:val="21"/>
              </w:rPr>
              <w:t>t/a</w:t>
            </w:r>
          </w:p>
        </w:tc>
        <w:tc>
          <w:tcPr>
            <w:tcW w:w="413" w:type="pct"/>
            <w:vAlign w:val="center"/>
          </w:tcPr>
          <w:p w14:paraId="5D74A570">
            <w:pPr>
              <w:pStyle w:val="50"/>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w:t>
            </w:r>
            <w:r>
              <w:rPr>
                <w:rFonts w:hint="eastAsia" w:ascii="Times New Roman"/>
                <w:snapToGrid w:val="0"/>
                <w:color w:val="auto"/>
                <w:kern w:val="21"/>
                <w:szCs w:val="21"/>
                <w:lang w:eastAsia="zh-CN"/>
              </w:rPr>
              <w:t>62.4</w:t>
            </w:r>
            <w:r>
              <w:rPr>
                <w:rFonts w:hint="eastAsia" w:ascii="Times New Roman"/>
                <w:snapToGrid w:val="0"/>
                <w:color w:val="auto"/>
                <w:kern w:val="21"/>
                <w:szCs w:val="21"/>
              </w:rPr>
              <w:t>t/a</w:t>
            </w:r>
          </w:p>
        </w:tc>
      </w:tr>
      <w:tr w14:paraId="5011F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2" w:type="pct"/>
            <w:vMerge w:val="continue"/>
            <w:vAlign w:val="center"/>
          </w:tcPr>
          <w:p w14:paraId="3FA9F4A5">
            <w:pPr>
              <w:pStyle w:val="50"/>
              <w:spacing w:beforeLines="0" w:afterLines="0" w:line="240" w:lineRule="auto"/>
              <w:rPr>
                <w:rFonts w:hAnsi="宋体" w:cs="宋体"/>
                <w:snapToGrid w:val="0"/>
                <w:color w:val="auto"/>
                <w:kern w:val="21"/>
                <w:szCs w:val="21"/>
              </w:rPr>
            </w:pPr>
          </w:p>
        </w:tc>
        <w:tc>
          <w:tcPr>
            <w:tcW w:w="654" w:type="pct"/>
            <w:vAlign w:val="center"/>
          </w:tcPr>
          <w:p w14:paraId="577E00FE">
            <w:pPr>
              <w:pStyle w:val="50"/>
              <w:spacing w:beforeLines="0" w:afterLines="0" w:line="240" w:lineRule="auto"/>
              <w:rPr>
                <w:rFonts w:hint="default" w:ascii="Times New Roman"/>
                <w:snapToGrid w:val="0"/>
                <w:color w:val="auto"/>
                <w:kern w:val="21"/>
                <w:szCs w:val="21"/>
                <w:lang w:val="en-US" w:eastAsia="zh-CN"/>
              </w:rPr>
            </w:pPr>
            <w:r>
              <w:rPr>
                <w:rFonts w:hint="eastAsia" w:ascii="Times New Roman"/>
                <w:snapToGrid w:val="0"/>
                <w:color w:val="auto"/>
                <w:kern w:val="21"/>
                <w:szCs w:val="21"/>
                <w:lang w:val="en-US" w:eastAsia="zh-CN"/>
              </w:rPr>
              <w:t>污泥</w:t>
            </w:r>
          </w:p>
        </w:tc>
        <w:tc>
          <w:tcPr>
            <w:tcW w:w="685" w:type="pct"/>
            <w:vAlign w:val="center"/>
          </w:tcPr>
          <w:p w14:paraId="32884930">
            <w:pPr>
              <w:pStyle w:val="50"/>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339" w:type="pct"/>
            <w:vAlign w:val="center"/>
          </w:tcPr>
          <w:p w14:paraId="374BDBF1">
            <w:pPr>
              <w:pStyle w:val="50"/>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34" w:type="pct"/>
            <w:vAlign w:val="center"/>
          </w:tcPr>
          <w:p w14:paraId="0D748D5D">
            <w:pPr>
              <w:pStyle w:val="50"/>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744" w:type="pct"/>
            <w:vAlign w:val="center"/>
          </w:tcPr>
          <w:p w14:paraId="4C931509">
            <w:pPr>
              <w:pStyle w:val="50"/>
              <w:spacing w:beforeLines="0" w:afterLines="0" w:line="240" w:lineRule="auto"/>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0.09</w:t>
            </w:r>
            <w:r>
              <w:rPr>
                <w:rFonts w:hint="eastAsia" w:ascii="Times New Roman"/>
                <w:snapToGrid w:val="0"/>
                <w:color w:val="auto"/>
                <w:kern w:val="21"/>
                <w:szCs w:val="21"/>
              </w:rPr>
              <w:t>t/a</w:t>
            </w:r>
          </w:p>
        </w:tc>
        <w:tc>
          <w:tcPr>
            <w:tcW w:w="452" w:type="pct"/>
            <w:vAlign w:val="center"/>
          </w:tcPr>
          <w:p w14:paraId="6F3D7EE5">
            <w:pPr>
              <w:pStyle w:val="50"/>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772" w:type="pct"/>
            <w:vAlign w:val="center"/>
          </w:tcPr>
          <w:p w14:paraId="14CBCBCB">
            <w:pPr>
              <w:pStyle w:val="50"/>
              <w:spacing w:beforeLines="0" w:afterLines="0" w:line="240" w:lineRule="auto"/>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0.09</w:t>
            </w:r>
            <w:r>
              <w:rPr>
                <w:rFonts w:hint="eastAsia" w:ascii="Times New Roman"/>
                <w:snapToGrid w:val="0"/>
                <w:color w:val="auto"/>
                <w:kern w:val="21"/>
                <w:szCs w:val="21"/>
              </w:rPr>
              <w:t>t/a</w:t>
            </w:r>
          </w:p>
        </w:tc>
        <w:tc>
          <w:tcPr>
            <w:tcW w:w="413" w:type="pct"/>
            <w:vAlign w:val="center"/>
          </w:tcPr>
          <w:p w14:paraId="3C5EF386">
            <w:pPr>
              <w:pStyle w:val="50"/>
              <w:spacing w:beforeLines="0" w:afterLines="0" w:line="240" w:lineRule="auto"/>
              <w:rPr>
                <w:rFonts w:hint="default" w:ascii="Times New Roman"/>
                <w:snapToGrid w:val="0"/>
                <w:color w:val="auto"/>
                <w:kern w:val="21"/>
                <w:szCs w:val="21"/>
                <w:lang w:val="en-US" w:eastAsia="zh-CN"/>
              </w:rPr>
            </w:pPr>
            <w:r>
              <w:rPr>
                <w:rFonts w:hint="eastAsia" w:ascii="Times New Roman"/>
                <w:snapToGrid w:val="0"/>
                <w:color w:val="auto"/>
                <w:kern w:val="21"/>
                <w:szCs w:val="21"/>
                <w:lang w:val="en-US" w:eastAsia="zh-CN"/>
              </w:rPr>
              <w:t>+0.09</w:t>
            </w:r>
            <w:r>
              <w:rPr>
                <w:rFonts w:hint="eastAsia" w:ascii="Times New Roman"/>
                <w:snapToGrid w:val="0"/>
                <w:color w:val="auto"/>
                <w:kern w:val="21"/>
                <w:szCs w:val="21"/>
              </w:rPr>
              <w:t>t/a</w:t>
            </w:r>
          </w:p>
        </w:tc>
      </w:tr>
      <w:tr w14:paraId="31D56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2" w:type="pct"/>
            <w:vMerge w:val="continue"/>
            <w:vAlign w:val="center"/>
          </w:tcPr>
          <w:p w14:paraId="72DA31AC">
            <w:pPr>
              <w:pStyle w:val="50"/>
              <w:spacing w:beforeLines="0" w:afterLines="0" w:line="240" w:lineRule="auto"/>
              <w:rPr>
                <w:rFonts w:hAnsi="宋体" w:cs="宋体"/>
                <w:snapToGrid w:val="0"/>
                <w:color w:val="auto"/>
                <w:kern w:val="21"/>
                <w:szCs w:val="21"/>
              </w:rPr>
            </w:pPr>
          </w:p>
        </w:tc>
        <w:tc>
          <w:tcPr>
            <w:tcW w:w="654" w:type="pct"/>
            <w:vAlign w:val="center"/>
          </w:tcPr>
          <w:p w14:paraId="07B672F9">
            <w:pPr>
              <w:pStyle w:val="50"/>
              <w:spacing w:beforeLines="0" w:afterLines="0" w:line="240" w:lineRule="auto"/>
              <w:rPr>
                <w:rFonts w:hint="default" w:ascii="Times New Roman"/>
                <w:snapToGrid w:val="0"/>
                <w:color w:val="auto"/>
                <w:kern w:val="21"/>
                <w:szCs w:val="21"/>
                <w:lang w:val="en-US" w:eastAsia="zh-CN"/>
              </w:rPr>
            </w:pPr>
            <w:r>
              <w:rPr>
                <w:rFonts w:hint="eastAsia" w:ascii="Times New Roman"/>
                <w:snapToGrid w:val="0"/>
                <w:color w:val="auto"/>
                <w:kern w:val="21"/>
                <w:szCs w:val="21"/>
                <w:lang w:val="en-US" w:eastAsia="zh-CN"/>
              </w:rPr>
              <w:t>生活垃圾</w:t>
            </w:r>
          </w:p>
        </w:tc>
        <w:tc>
          <w:tcPr>
            <w:tcW w:w="685" w:type="pct"/>
            <w:vAlign w:val="center"/>
          </w:tcPr>
          <w:p w14:paraId="5BAD2A91">
            <w:pPr>
              <w:pStyle w:val="50"/>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339" w:type="pct"/>
            <w:vAlign w:val="center"/>
          </w:tcPr>
          <w:p w14:paraId="68C0AB0B">
            <w:pPr>
              <w:pStyle w:val="50"/>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34" w:type="pct"/>
            <w:vAlign w:val="center"/>
          </w:tcPr>
          <w:p w14:paraId="112D753B">
            <w:pPr>
              <w:pStyle w:val="50"/>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744" w:type="pct"/>
            <w:vAlign w:val="center"/>
          </w:tcPr>
          <w:p w14:paraId="0DBF4144">
            <w:pPr>
              <w:pStyle w:val="50"/>
              <w:spacing w:beforeLines="0" w:afterLines="0" w:line="240" w:lineRule="auto"/>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10.8</w:t>
            </w:r>
            <w:r>
              <w:rPr>
                <w:rFonts w:hint="eastAsia" w:ascii="Times New Roman"/>
                <w:snapToGrid w:val="0"/>
                <w:color w:val="auto"/>
                <w:kern w:val="21"/>
                <w:szCs w:val="21"/>
              </w:rPr>
              <w:t>t/a</w:t>
            </w:r>
          </w:p>
        </w:tc>
        <w:tc>
          <w:tcPr>
            <w:tcW w:w="452" w:type="pct"/>
            <w:vAlign w:val="center"/>
          </w:tcPr>
          <w:p w14:paraId="5A23C4BC">
            <w:pPr>
              <w:pStyle w:val="50"/>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772" w:type="pct"/>
            <w:vAlign w:val="center"/>
          </w:tcPr>
          <w:p w14:paraId="164306A4">
            <w:pPr>
              <w:pStyle w:val="50"/>
              <w:spacing w:beforeLines="0" w:afterLines="0" w:line="240" w:lineRule="auto"/>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10.8</w:t>
            </w:r>
            <w:r>
              <w:rPr>
                <w:rFonts w:hint="eastAsia" w:ascii="Times New Roman"/>
                <w:snapToGrid w:val="0"/>
                <w:color w:val="auto"/>
                <w:kern w:val="21"/>
                <w:szCs w:val="21"/>
              </w:rPr>
              <w:t>t/a</w:t>
            </w:r>
          </w:p>
        </w:tc>
        <w:tc>
          <w:tcPr>
            <w:tcW w:w="413" w:type="pct"/>
            <w:vAlign w:val="center"/>
          </w:tcPr>
          <w:p w14:paraId="520D216E">
            <w:pPr>
              <w:pStyle w:val="50"/>
              <w:spacing w:beforeLines="0" w:afterLines="0" w:line="240" w:lineRule="auto"/>
              <w:rPr>
                <w:rFonts w:hint="default" w:ascii="Times New Roman"/>
                <w:snapToGrid w:val="0"/>
                <w:color w:val="auto"/>
                <w:kern w:val="21"/>
                <w:szCs w:val="21"/>
                <w:lang w:val="en-US" w:eastAsia="zh-CN"/>
              </w:rPr>
            </w:pPr>
            <w:r>
              <w:rPr>
                <w:rFonts w:hint="eastAsia" w:ascii="Times New Roman"/>
                <w:snapToGrid w:val="0"/>
                <w:color w:val="auto"/>
                <w:kern w:val="21"/>
                <w:szCs w:val="21"/>
                <w:lang w:val="en-US" w:eastAsia="zh-CN"/>
              </w:rPr>
              <w:t>+10.8</w:t>
            </w:r>
            <w:r>
              <w:rPr>
                <w:rFonts w:hint="eastAsia" w:ascii="Times New Roman"/>
                <w:snapToGrid w:val="0"/>
                <w:color w:val="auto"/>
                <w:kern w:val="21"/>
                <w:szCs w:val="21"/>
              </w:rPr>
              <w:t>t/a</w:t>
            </w:r>
          </w:p>
        </w:tc>
      </w:tr>
      <w:tr w14:paraId="50967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2" w:type="pct"/>
            <w:vAlign w:val="center"/>
          </w:tcPr>
          <w:p w14:paraId="0F2B77E6">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危险废物</w:t>
            </w:r>
          </w:p>
        </w:tc>
        <w:tc>
          <w:tcPr>
            <w:tcW w:w="654" w:type="pct"/>
            <w:vAlign w:val="center"/>
          </w:tcPr>
          <w:p w14:paraId="53B8B0CB">
            <w:pPr>
              <w:pStyle w:val="50"/>
              <w:spacing w:beforeLines="0" w:afterLines="0" w:line="240" w:lineRule="auto"/>
              <w:rPr>
                <w:rFonts w:hAnsi="宋体" w:cs="宋体"/>
                <w:snapToGrid w:val="0"/>
                <w:color w:val="auto"/>
                <w:kern w:val="21"/>
                <w:szCs w:val="21"/>
              </w:rPr>
            </w:pPr>
            <w:r>
              <w:rPr>
                <w:rFonts w:hint="eastAsia" w:ascii="Times New Roman"/>
                <w:snapToGrid w:val="0"/>
                <w:color w:val="auto"/>
                <w:kern w:val="21"/>
                <w:szCs w:val="21"/>
              </w:rPr>
              <w:t>废机油</w:t>
            </w:r>
          </w:p>
        </w:tc>
        <w:tc>
          <w:tcPr>
            <w:tcW w:w="685" w:type="pct"/>
            <w:vAlign w:val="center"/>
          </w:tcPr>
          <w:p w14:paraId="2FF3B4D0">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339" w:type="pct"/>
            <w:vAlign w:val="center"/>
          </w:tcPr>
          <w:p w14:paraId="7C1AF5EE">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634" w:type="pct"/>
            <w:vAlign w:val="center"/>
          </w:tcPr>
          <w:p w14:paraId="5FAC52E0">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44" w:type="pct"/>
            <w:vAlign w:val="center"/>
          </w:tcPr>
          <w:p w14:paraId="28E1D5C7">
            <w:pPr>
              <w:pStyle w:val="50"/>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0.6t/a</w:t>
            </w:r>
          </w:p>
        </w:tc>
        <w:tc>
          <w:tcPr>
            <w:tcW w:w="452" w:type="pct"/>
            <w:vAlign w:val="center"/>
          </w:tcPr>
          <w:p w14:paraId="3E9105AE">
            <w:pPr>
              <w:pStyle w:val="5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772" w:type="pct"/>
            <w:vAlign w:val="center"/>
          </w:tcPr>
          <w:p w14:paraId="3737613A">
            <w:pPr>
              <w:pStyle w:val="50"/>
              <w:spacing w:beforeLines="0" w:afterLines="0" w:line="240" w:lineRule="auto"/>
              <w:rPr>
                <w:rFonts w:hAnsi="宋体" w:cs="宋体"/>
                <w:snapToGrid w:val="0"/>
                <w:color w:val="auto"/>
                <w:kern w:val="21"/>
                <w:szCs w:val="21"/>
              </w:rPr>
            </w:pPr>
            <w:r>
              <w:rPr>
                <w:rFonts w:hint="eastAsia" w:ascii="Times New Roman"/>
                <w:snapToGrid w:val="0"/>
                <w:color w:val="auto"/>
                <w:kern w:val="21"/>
                <w:szCs w:val="21"/>
              </w:rPr>
              <w:t>0.6t/a</w:t>
            </w:r>
          </w:p>
        </w:tc>
        <w:tc>
          <w:tcPr>
            <w:tcW w:w="413" w:type="pct"/>
            <w:vAlign w:val="center"/>
          </w:tcPr>
          <w:p w14:paraId="31C12A8E">
            <w:pPr>
              <w:pStyle w:val="50"/>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w:t>
            </w:r>
            <w:r>
              <w:rPr>
                <w:rFonts w:hint="eastAsia" w:ascii="Times New Roman"/>
                <w:snapToGrid w:val="0"/>
                <w:color w:val="auto"/>
                <w:kern w:val="21"/>
                <w:szCs w:val="21"/>
              </w:rPr>
              <w:t>0.6t/a</w:t>
            </w:r>
          </w:p>
        </w:tc>
      </w:tr>
    </w:tbl>
    <w:p w14:paraId="1AF2CF3C">
      <w:pPr>
        <w:pStyle w:val="50"/>
        <w:spacing w:before="192" w:beforeLines="80" w:after="24"/>
        <w:jc w:val="left"/>
        <w:rPr>
          <w:rFonts w:ascii="宋体" w:hAnsi="宋体" w:eastAsia="黑体"/>
          <w:color w:val="auto"/>
        </w:rPr>
        <w:sectPr>
          <w:footerReference r:id="rId5"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14:paraId="281DE255">
      <w:pPr>
        <w:pStyle w:val="21"/>
        <w:jc w:val="both"/>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0"/>
    <w:family w:val="auto"/>
    <w:pitch w:val="default"/>
    <w:sig w:usb0="00000000" w:usb1="00000000" w:usb2="00000010" w:usb3="00000000" w:csb0="0002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E9294">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C227C">
    <w:pPr>
      <w:pStyle w:val="1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0CB77">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D0CB77">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62DC">
    <w:pPr>
      <w:pStyle w:val="1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1F435">
                          <w:pPr>
                            <w:pStyle w:val="1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91F435">
                    <w:pPr>
                      <w:pStyle w:val="1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B521D"/>
    <w:multiLevelType w:val="singleLevel"/>
    <w:tmpl w:val="F59B521D"/>
    <w:lvl w:ilvl="0" w:tentative="0">
      <w:start w:val="2"/>
      <w:numFmt w:val="decimal"/>
      <w:suff w:val="space"/>
      <w:lvlText w:val="%1."/>
      <w:lvlJc w:val="left"/>
    </w:lvl>
  </w:abstractNum>
  <w:abstractNum w:abstractNumId="1">
    <w:nsid w:val="0B0FB21E"/>
    <w:multiLevelType w:val="singleLevel"/>
    <w:tmpl w:val="0B0FB21E"/>
    <w:lvl w:ilvl="0" w:tentative="0">
      <w:start w:val="8"/>
      <w:numFmt w:val="decimal"/>
      <w:lvlText w:val="%1."/>
      <w:lvlJc w:val="left"/>
      <w:pPr>
        <w:tabs>
          <w:tab w:val="left" w:pos="312"/>
        </w:tabs>
      </w:pPr>
    </w:lvl>
  </w:abstractNum>
  <w:abstractNum w:abstractNumId="2">
    <w:nsid w:val="370A6F07"/>
    <w:multiLevelType w:val="singleLevel"/>
    <w:tmpl w:val="370A6F07"/>
    <w:lvl w:ilvl="0" w:tentative="0">
      <w:start w:val="1"/>
      <w:numFmt w:val="decimal"/>
      <w:pStyle w:val="16"/>
      <w:lvlText w:val="%1."/>
      <w:lvlJc w:val="left"/>
      <w:pPr>
        <w:tabs>
          <w:tab w:val="left" w:pos="2040"/>
        </w:tabs>
        <w:ind w:left="20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MjA3ZTMwZjJhN2ZlYjFlMmJiMzFhMTVkMjc2OGI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368F"/>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6F40A3"/>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6B71"/>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0FE3054"/>
    <w:rsid w:val="01290F7E"/>
    <w:rsid w:val="015D1E09"/>
    <w:rsid w:val="01EE52B2"/>
    <w:rsid w:val="02697903"/>
    <w:rsid w:val="02C42664"/>
    <w:rsid w:val="02F96569"/>
    <w:rsid w:val="03115E1A"/>
    <w:rsid w:val="03EA7B21"/>
    <w:rsid w:val="04F15CAC"/>
    <w:rsid w:val="05F83EAE"/>
    <w:rsid w:val="063E7D85"/>
    <w:rsid w:val="07293586"/>
    <w:rsid w:val="07295285"/>
    <w:rsid w:val="07497097"/>
    <w:rsid w:val="075B3452"/>
    <w:rsid w:val="07636392"/>
    <w:rsid w:val="07770C56"/>
    <w:rsid w:val="085E499F"/>
    <w:rsid w:val="092217DD"/>
    <w:rsid w:val="093A7294"/>
    <w:rsid w:val="0A263993"/>
    <w:rsid w:val="0A2D3AC2"/>
    <w:rsid w:val="0AA755DF"/>
    <w:rsid w:val="0B120D44"/>
    <w:rsid w:val="0BD27BF6"/>
    <w:rsid w:val="0C3B3C7D"/>
    <w:rsid w:val="0CAB2EAE"/>
    <w:rsid w:val="0CF64946"/>
    <w:rsid w:val="0D621C7D"/>
    <w:rsid w:val="0E73034D"/>
    <w:rsid w:val="0E7841B2"/>
    <w:rsid w:val="0E8C4E8B"/>
    <w:rsid w:val="0F13775A"/>
    <w:rsid w:val="0F5F45FE"/>
    <w:rsid w:val="0F9A112B"/>
    <w:rsid w:val="102C222D"/>
    <w:rsid w:val="106D2F64"/>
    <w:rsid w:val="10B3596B"/>
    <w:rsid w:val="10B63710"/>
    <w:rsid w:val="10F10820"/>
    <w:rsid w:val="111C2F7A"/>
    <w:rsid w:val="11665CA1"/>
    <w:rsid w:val="12954AC9"/>
    <w:rsid w:val="13951726"/>
    <w:rsid w:val="14396509"/>
    <w:rsid w:val="14DD2C3C"/>
    <w:rsid w:val="16087E1D"/>
    <w:rsid w:val="16E96E15"/>
    <w:rsid w:val="170A58D1"/>
    <w:rsid w:val="17701D14"/>
    <w:rsid w:val="17735226"/>
    <w:rsid w:val="17BF5EF1"/>
    <w:rsid w:val="1802237C"/>
    <w:rsid w:val="189F624C"/>
    <w:rsid w:val="18FE477D"/>
    <w:rsid w:val="1A1C66C0"/>
    <w:rsid w:val="1A42393B"/>
    <w:rsid w:val="1AAD45DE"/>
    <w:rsid w:val="1ABE5173"/>
    <w:rsid w:val="1B046F80"/>
    <w:rsid w:val="1B3267B5"/>
    <w:rsid w:val="1B40161D"/>
    <w:rsid w:val="1B441859"/>
    <w:rsid w:val="1B4E4FF6"/>
    <w:rsid w:val="1B5772E6"/>
    <w:rsid w:val="1B6606B1"/>
    <w:rsid w:val="1B8606E8"/>
    <w:rsid w:val="1BD276B4"/>
    <w:rsid w:val="1BFB6A5C"/>
    <w:rsid w:val="1C0D0793"/>
    <w:rsid w:val="1C5E7925"/>
    <w:rsid w:val="1C7D122A"/>
    <w:rsid w:val="1CFD070F"/>
    <w:rsid w:val="1D5F6196"/>
    <w:rsid w:val="1D6132A5"/>
    <w:rsid w:val="1D8E56D5"/>
    <w:rsid w:val="1E7A43DA"/>
    <w:rsid w:val="1EC60019"/>
    <w:rsid w:val="1F050927"/>
    <w:rsid w:val="1F2D02BF"/>
    <w:rsid w:val="1FE7539E"/>
    <w:rsid w:val="20671BE0"/>
    <w:rsid w:val="20963CB8"/>
    <w:rsid w:val="20A81A1B"/>
    <w:rsid w:val="20B07FB6"/>
    <w:rsid w:val="20B646FB"/>
    <w:rsid w:val="213B74B1"/>
    <w:rsid w:val="215A2310"/>
    <w:rsid w:val="21DE318A"/>
    <w:rsid w:val="21EF5B80"/>
    <w:rsid w:val="22576990"/>
    <w:rsid w:val="22810181"/>
    <w:rsid w:val="22F47480"/>
    <w:rsid w:val="237C0A3E"/>
    <w:rsid w:val="238E19D2"/>
    <w:rsid w:val="23DE1C48"/>
    <w:rsid w:val="240210CD"/>
    <w:rsid w:val="2410718F"/>
    <w:rsid w:val="24653B3F"/>
    <w:rsid w:val="249C522D"/>
    <w:rsid w:val="24BF09F7"/>
    <w:rsid w:val="252D53FE"/>
    <w:rsid w:val="255C0ABF"/>
    <w:rsid w:val="25EA0C94"/>
    <w:rsid w:val="25EC2D81"/>
    <w:rsid w:val="26820A62"/>
    <w:rsid w:val="26AA1AA0"/>
    <w:rsid w:val="2709465A"/>
    <w:rsid w:val="27277A12"/>
    <w:rsid w:val="277057A2"/>
    <w:rsid w:val="27737237"/>
    <w:rsid w:val="27CC51C1"/>
    <w:rsid w:val="282F5FD5"/>
    <w:rsid w:val="29206EB8"/>
    <w:rsid w:val="294423CE"/>
    <w:rsid w:val="29552F9F"/>
    <w:rsid w:val="29595666"/>
    <w:rsid w:val="29874881"/>
    <w:rsid w:val="29E325E0"/>
    <w:rsid w:val="29F3375E"/>
    <w:rsid w:val="2A452503"/>
    <w:rsid w:val="2A7B19B5"/>
    <w:rsid w:val="2BA936A8"/>
    <w:rsid w:val="2C315A5A"/>
    <w:rsid w:val="2C4B1C25"/>
    <w:rsid w:val="2D511A52"/>
    <w:rsid w:val="2D9E56F5"/>
    <w:rsid w:val="2E667F96"/>
    <w:rsid w:val="2E8226AB"/>
    <w:rsid w:val="2F410C7F"/>
    <w:rsid w:val="2F824299"/>
    <w:rsid w:val="2FD065E6"/>
    <w:rsid w:val="2FD96870"/>
    <w:rsid w:val="30580BC9"/>
    <w:rsid w:val="31112B6E"/>
    <w:rsid w:val="31181CFC"/>
    <w:rsid w:val="311E2ED7"/>
    <w:rsid w:val="315619EE"/>
    <w:rsid w:val="315C449C"/>
    <w:rsid w:val="31842BAA"/>
    <w:rsid w:val="31B82709"/>
    <w:rsid w:val="31D05482"/>
    <w:rsid w:val="31EC5809"/>
    <w:rsid w:val="32400B34"/>
    <w:rsid w:val="329E6876"/>
    <w:rsid w:val="333015F2"/>
    <w:rsid w:val="334B6320"/>
    <w:rsid w:val="33D934D4"/>
    <w:rsid w:val="33E34843"/>
    <w:rsid w:val="33FE2F6A"/>
    <w:rsid w:val="340E07E5"/>
    <w:rsid w:val="34115999"/>
    <w:rsid w:val="34235BF7"/>
    <w:rsid w:val="346953B0"/>
    <w:rsid w:val="358C5FA8"/>
    <w:rsid w:val="35C15DF1"/>
    <w:rsid w:val="36074A7F"/>
    <w:rsid w:val="36923549"/>
    <w:rsid w:val="36B75FBF"/>
    <w:rsid w:val="36BD0C45"/>
    <w:rsid w:val="37E00298"/>
    <w:rsid w:val="38B302F9"/>
    <w:rsid w:val="38F12CD3"/>
    <w:rsid w:val="38F94775"/>
    <w:rsid w:val="392971ED"/>
    <w:rsid w:val="39325651"/>
    <w:rsid w:val="3A407BCE"/>
    <w:rsid w:val="3A872856"/>
    <w:rsid w:val="3A8A114E"/>
    <w:rsid w:val="3AB22257"/>
    <w:rsid w:val="3ABE2FE9"/>
    <w:rsid w:val="3B3763D1"/>
    <w:rsid w:val="3C2F6E1E"/>
    <w:rsid w:val="3C4F64BA"/>
    <w:rsid w:val="3CDA245A"/>
    <w:rsid w:val="3CE566F8"/>
    <w:rsid w:val="3D1E06B7"/>
    <w:rsid w:val="3E3C527C"/>
    <w:rsid w:val="3EDA0523"/>
    <w:rsid w:val="3F544847"/>
    <w:rsid w:val="400F0277"/>
    <w:rsid w:val="407A6407"/>
    <w:rsid w:val="41C77778"/>
    <w:rsid w:val="4200449D"/>
    <w:rsid w:val="42092942"/>
    <w:rsid w:val="423A3BCC"/>
    <w:rsid w:val="424E57D2"/>
    <w:rsid w:val="42B26C49"/>
    <w:rsid w:val="433A6FE6"/>
    <w:rsid w:val="43480868"/>
    <w:rsid w:val="4350713C"/>
    <w:rsid w:val="436653E0"/>
    <w:rsid w:val="43C4431A"/>
    <w:rsid w:val="44A407E6"/>
    <w:rsid w:val="44B951CC"/>
    <w:rsid w:val="44CD14E0"/>
    <w:rsid w:val="44F20B0B"/>
    <w:rsid w:val="452E5F4C"/>
    <w:rsid w:val="45612018"/>
    <w:rsid w:val="458946E9"/>
    <w:rsid w:val="45A47C0E"/>
    <w:rsid w:val="46577FD6"/>
    <w:rsid w:val="46D955A7"/>
    <w:rsid w:val="47133957"/>
    <w:rsid w:val="47A07E0C"/>
    <w:rsid w:val="482F0947"/>
    <w:rsid w:val="4870272E"/>
    <w:rsid w:val="498328EF"/>
    <w:rsid w:val="49C5237E"/>
    <w:rsid w:val="49DC7715"/>
    <w:rsid w:val="4A023139"/>
    <w:rsid w:val="4A6E1E44"/>
    <w:rsid w:val="4A7B576F"/>
    <w:rsid w:val="4AF561A9"/>
    <w:rsid w:val="4C405F26"/>
    <w:rsid w:val="4C4A0649"/>
    <w:rsid w:val="4C7E5ECA"/>
    <w:rsid w:val="4C876AA5"/>
    <w:rsid w:val="4D0E00FB"/>
    <w:rsid w:val="4D176606"/>
    <w:rsid w:val="4DEC4FB0"/>
    <w:rsid w:val="4DF36D08"/>
    <w:rsid w:val="4E075D8A"/>
    <w:rsid w:val="4EC00FAD"/>
    <w:rsid w:val="4F9843DC"/>
    <w:rsid w:val="4FC62A8C"/>
    <w:rsid w:val="4FE20F0D"/>
    <w:rsid w:val="4FE51552"/>
    <w:rsid w:val="4FF4109F"/>
    <w:rsid w:val="50504C4B"/>
    <w:rsid w:val="509C6E7C"/>
    <w:rsid w:val="50B97894"/>
    <w:rsid w:val="515253ED"/>
    <w:rsid w:val="5162104E"/>
    <w:rsid w:val="52495D62"/>
    <w:rsid w:val="53A039CC"/>
    <w:rsid w:val="53A1505A"/>
    <w:rsid w:val="54063E08"/>
    <w:rsid w:val="543437E8"/>
    <w:rsid w:val="54C01BD2"/>
    <w:rsid w:val="54F679CD"/>
    <w:rsid w:val="54F73313"/>
    <w:rsid w:val="54F80955"/>
    <w:rsid w:val="555170A7"/>
    <w:rsid w:val="5587536D"/>
    <w:rsid w:val="559B174B"/>
    <w:rsid w:val="55CE0CF4"/>
    <w:rsid w:val="55E67661"/>
    <w:rsid w:val="567F30DD"/>
    <w:rsid w:val="56B22A9C"/>
    <w:rsid w:val="57244AEA"/>
    <w:rsid w:val="57924AB8"/>
    <w:rsid w:val="57A51F72"/>
    <w:rsid w:val="57B72A76"/>
    <w:rsid w:val="57C3426C"/>
    <w:rsid w:val="57CE1F93"/>
    <w:rsid w:val="588743D1"/>
    <w:rsid w:val="5887701A"/>
    <w:rsid w:val="5989742A"/>
    <w:rsid w:val="59C0439F"/>
    <w:rsid w:val="5A2B6323"/>
    <w:rsid w:val="5ABE2233"/>
    <w:rsid w:val="5B1B334A"/>
    <w:rsid w:val="5B8F7149"/>
    <w:rsid w:val="5BB31D00"/>
    <w:rsid w:val="5BDF5D95"/>
    <w:rsid w:val="5BFE7528"/>
    <w:rsid w:val="5D5E6B65"/>
    <w:rsid w:val="5E2467F1"/>
    <w:rsid w:val="5F1A2B43"/>
    <w:rsid w:val="5F6114F9"/>
    <w:rsid w:val="5FB837BB"/>
    <w:rsid w:val="604E5940"/>
    <w:rsid w:val="607949C5"/>
    <w:rsid w:val="60CC405A"/>
    <w:rsid w:val="61C2296E"/>
    <w:rsid w:val="61E215D8"/>
    <w:rsid w:val="621B3775"/>
    <w:rsid w:val="62364782"/>
    <w:rsid w:val="628D6854"/>
    <w:rsid w:val="636E4500"/>
    <w:rsid w:val="6394356A"/>
    <w:rsid w:val="63C61B2C"/>
    <w:rsid w:val="63D40BE9"/>
    <w:rsid w:val="64102431"/>
    <w:rsid w:val="649B0521"/>
    <w:rsid w:val="64A5243A"/>
    <w:rsid w:val="64F531DE"/>
    <w:rsid w:val="65373578"/>
    <w:rsid w:val="671F124A"/>
    <w:rsid w:val="67435F66"/>
    <w:rsid w:val="677A33C6"/>
    <w:rsid w:val="681F6961"/>
    <w:rsid w:val="68610A2F"/>
    <w:rsid w:val="68805514"/>
    <w:rsid w:val="69316E2F"/>
    <w:rsid w:val="694E2071"/>
    <w:rsid w:val="69766163"/>
    <w:rsid w:val="697A3B33"/>
    <w:rsid w:val="69D44760"/>
    <w:rsid w:val="6A2E1C41"/>
    <w:rsid w:val="6A520EC7"/>
    <w:rsid w:val="6AAB61AF"/>
    <w:rsid w:val="6AE91EE2"/>
    <w:rsid w:val="6AF87E20"/>
    <w:rsid w:val="6B322639"/>
    <w:rsid w:val="6BE566A3"/>
    <w:rsid w:val="6BF86F2C"/>
    <w:rsid w:val="6C636C38"/>
    <w:rsid w:val="6C692E30"/>
    <w:rsid w:val="6CB425BF"/>
    <w:rsid w:val="6D7531B0"/>
    <w:rsid w:val="6DB34098"/>
    <w:rsid w:val="6DB545B6"/>
    <w:rsid w:val="6DE02FB4"/>
    <w:rsid w:val="6E514CED"/>
    <w:rsid w:val="6E762269"/>
    <w:rsid w:val="6EB563D5"/>
    <w:rsid w:val="6ED92677"/>
    <w:rsid w:val="6F225983"/>
    <w:rsid w:val="6FD1344B"/>
    <w:rsid w:val="6FFC5590"/>
    <w:rsid w:val="706D1DD0"/>
    <w:rsid w:val="707F1C65"/>
    <w:rsid w:val="70856B87"/>
    <w:rsid w:val="70D527EE"/>
    <w:rsid w:val="715B5300"/>
    <w:rsid w:val="71D27F8A"/>
    <w:rsid w:val="72553024"/>
    <w:rsid w:val="73122968"/>
    <w:rsid w:val="731F5D5E"/>
    <w:rsid w:val="738E13CF"/>
    <w:rsid w:val="73C51AD5"/>
    <w:rsid w:val="741E793C"/>
    <w:rsid w:val="745E3944"/>
    <w:rsid w:val="749B6C07"/>
    <w:rsid w:val="75AE3D7B"/>
    <w:rsid w:val="7635099D"/>
    <w:rsid w:val="771E19A0"/>
    <w:rsid w:val="77762421"/>
    <w:rsid w:val="77B56B1F"/>
    <w:rsid w:val="780F09F4"/>
    <w:rsid w:val="7845256A"/>
    <w:rsid w:val="78A90480"/>
    <w:rsid w:val="7A364017"/>
    <w:rsid w:val="7A3A1FA2"/>
    <w:rsid w:val="7A8265E1"/>
    <w:rsid w:val="7B686D42"/>
    <w:rsid w:val="7B841746"/>
    <w:rsid w:val="7C6C5AC7"/>
    <w:rsid w:val="7CC6544B"/>
    <w:rsid w:val="7D0239FF"/>
    <w:rsid w:val="7D490772"/>
    <w:rsid w:val="7D5E40CD"/>
    <w:rsid w:val="7DCD56F2"/>
    <w:rsid w:val="7DEE129C"/>
    <w:rsid w:val="7E9605A4"/>
    <w:rsid w:val="7EA42AB2"/>
    <w:rsid w:val="7F001CE7"/>
    <w:rsid w:val="7F8C4205"/>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qFormat="1"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iPriority="99"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autoRedefine/>
    <w:qFormat/>
    <w:locked/>
    <w:uiPriority w:val="0"/>
    <w:pPr>
      <w:keepNext/>
      <w:keepLines/>
      <w:spacing w:line="360" w:lineRule="auto"/>
      <w:outlineLvl w:val="1"/>
    </w:pPr>
    <w:rPr>
      <w:b/>
      <w:bCs/>
      <w:kern w:val="0"/>
      <w:sz w:val="24"/>
      <w:szCs w:val="32"/>
    </w:rPr>
  </w:style>
  <w:style w:type="paragraph" w:styleId="4">
    <w:name w:val="heading 3"/>
    <w:basedOn w:val="1"/>
    <w:next w:val="1"/>
    <w:autoRedefine/>
    <w:qFormat/>
    <w:locked/>
    <w:uiPriority w:val="0"/>
    <w:pPr>
      <w:keepNext/>
      <w:keepLines/>
      <w:spacing w:line="360" w:lineRule="auto"/>
      <w:outlineLvl w:val="2"/>
    </w:pPr>
    <w:rPr>
      <w:b/>
      <w:bCs/>
      <w:sz w:val="24"/>
      <w:szCs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locked/>
    <w:uiPriority w:val="0"/>
    <w:pPr>
      <w:ind w:firstLine="420"/>
    </w:pPr>
  </w:style>
  <w:style w:type="paragraph" w:styleId="6">
    <w:name w:val="caption"/>
    <w:basedOn w:val="1"/>
    <w:next w:val="1"/>
    <w:autoRedefine/>
    <w:qFormat/>
    <w:locked/>
    <w:uiPriority w:val="35"/>
    <w:pPr>
      <w:spacing w:line="360" w:lineRule="auto"/>
      <w:jc w:val="center"/>
    </w:pPr>
    <w:rPr>
      <w:b/>
      <w:sz w:val="24"/>
      <w:szCs w:val="20"/>
    </w:rPr>
  </w:style>
  <w:style w:type="paragraph" w:styleId="7">
    <w:name w:val="annotation text"/>
    <w:basedOn w:val="1"/>
    <w:link w:val="38"/>
    <w:autoRedefine/>
    <w:semiHidden/>
    <w:qFormat/>
    <w:uiPriority w:val="0"/>
    <w:pPr>
      <w:jc w:val="left"/>
    </w:pPr>
    <w:rPr>
      <w:kern w:val="0"/>
      <w:sz w:val="24"/>
      <w:szCs w:val="20"/>
    </w:rPr>
  </w:style>
  <w:style w:type="paragraph" w:styleId="8">
    <w:name w:val="Body Text"/>
    <w:basedOn w:val="1"/>
    <w:next w:val="9"/>
    <w:link w:val="39"/>
    <w:autoRedefine/>
    <w:qFormat/>
    <w:uiPriority w:val="0"/>
    <w:pPr>
      <w:widowControl/>
      <w:snapToGrid w:val="0"/>
      <w:spacing w:before="60" w:after="160" w:line="259" w:lineRule="auto"/>
      <w:ind w:right="113"/>
    </w:pPr>
    <w:rPr>
      <w:kern w:val="0"/>
      <w:sz w:val="18"/>
      <w:szCs w:val="20"/>
    </w:rPr>
  </w:style>
  <w:style w:type="paragraph" w:customStyle="1" w:styleId="9">
    <w:name w:val="正文首行缩进 21"/>
    <w:basedOn w:val="10"/>
    <w:next w:val="8"/>
    <w:autoRedefine/>
    <w:qFormat/>
    <w:uiPriority w:val="0"/>
    <w:pPr>
      <w:spacing w:after="120"/>
      <w:ind w:left="420" w:leftChars="200" w:firstLine="420" w:firstLineChars="200"/>
    </w:pPr>
    <w:rPr>
      <w:sz w:val="21"/>
    </w:rPr>
  </w:style>
  <w:style w:type="paragraph" w:customStyle="1" w:styleId="10">
    <w:name w:val="正文文本缩进1"/>
    <w:basedOn w:val="1"/>
    <w:autoRedefine/>
    <w:qFormat/>
    <w:uiPriority w:val="0"/>
    <w:pPr>
      <w:ind w:firstLine="538" w:firstLineChars="192"/>
    </w:pPr>
    <w:rPr>
      <w:kern w:val="0"/>
      <w:sz w:val="28"/>
    </w:rPr>
  </w:style>
  <w:style w:type="paragraph" w:styleId="11">
    <w:name w:val="Body Text Indent"/>
    <w:basedOn w:val="1"/>
    <w:next w:val="12"/>
    <w:link w:val="37"/>
    <w:autoRedefine/>
    <w:qFormat/>
    <w:uiPriority w:val="0"/>
    <w:pPr>
      <w:spacing w:after="120"/>
      <w:ind w:left="420" w:leftChars="200"/>
    </w:pPr>
    <w:rPr>
      <w:kern w:val="0"/>
      <w:sz w:val="24"/>
      <w:szCs w:val="20"/>
    </w:rPr>
  </w:style>
  <w:style w:type="paragraph" w:styleId="12">
    <w:name w:val="Body Text Indent 2"/>
    <w:basedOn w:val="1"/>
    <w:next w:val="13"/>
    <w:autoRedefine/>
    <w:qFormat/>
    <w:locked/>
    <w:uiPriority w:val="0"/>
    <w:pPr>
      <w:ind w:firstLine="560"/>
    </w:pPr>
    <w:rPr>
      <w:rFonts w:ascii="宋体"/>
      <w:color w:val="FF0000"/>
      <w:kern w:val="0"/>
      <w:sz w:val="28"/>
      <w:szCs w:val="28"/>
    </w:rPr>
  </w:style>
  <w:style w:type="paragraph" w:customStyle="1" w:styleId="13">
    <w:name w:val="表格文字"/>
    <w:basedOn w:val="1"/>
    <w:autoRedefine/>
    <w:qFormat/>
    <w:uiPriority w:val="0"/>
    <w:pPr>
      <w:spacing w:line="300" w:lineRule="exact"/>
      <w:jc w:val="center"/>
    </w:pPr>
    <w:rPr>
      <w:rFonts w:ascii="宋体"/>
      <w:kern w:val="0"/>
      <w:szCs w:val="32"/>
    </w:rPr>
  </w:style>
  <w:style w:type="paragraph" w:styleId="14">
    <w:name w:val="Block Text"/>
    <w:basedOn w:val="1"/>
    <w:autoRedefine/>
    <w:qFormat/>
    <w:locked/>
    <w:uiPriority w:val="0"/>
    <w:pPr>
      <w:spacing w:after="120"/>
      <w:ind w:left="1440" w:leftChars="700" w:right="700" w:rightChars="700"/>
    </w:pPr>
  </w:style>
  <w:style w:type="paragraph" w:styleId="15">
    <w:name w:val="Plain Text"/>
    <w:basedOn w:val="1"/>
    <w:next w:val="16"/>
    <w:autoRedefine/>
    <w:qFormat/>
    <w:locked/>
    <w:uiPriority w:val="99"/>
    <w:rPr>
      <w:rFonts w:ascii="宋体" w:hAnsi="Courier New" w:eastAsia="仿宋_GB2312"/>
      <w:sz w:val="28"/>
    </w:rPr>
  </w:style>
  <w:style w:type="paragraph" w:styleId="16">
    <w:name w:val="List Number 5"/>
    <w:basedOn w:val="1"/>
    <w:autoRedefine/>
    <w:qFormat/>
    <w:locked/>
    <w:uiPriority w:val="0"/>
    <w:pPr>
      <w:numPr>
        <w:ilvl w:val="0"/>
        <w:numId w:val="1"/>
      </w:numPr>
    </w:pPr>
  </w:style>
  <w:style w:type="paragraph" w:styleId="17">
    <w:name w:val="Date"/>
    <w:basedOn w:val="1"/>
    <w:next w:val="1"/>
    <w:link w:val="41"/>
    <w:autoRedefine/>
    <w:qFormat/>
    <w:uiPriority w:val="0"/>
    <w:pPr>
      <w:ind w:left="100" w:leftChars="2500"/>
    </w:pPr>
    <w:rPr>
      <w:kern w:val="0"/>
      <w:sz w:val="24"/>
      <w:szCs w:val="20"/>
    </w:rPr>
  </w:style>
  <w:style w:type="paragraph" w:styleId="18">
    <w:name w:val="Balloon Text"/>
    <w:basedOn w:val="1"/>
    <w:link w:val="42"/>
    <w:autoRedefine/>
    <w:semiHidden/>
    <w:qFormat/>
    <w:uiPriority w:val="0"/>
    <w:rPr>
      <w:kern w:val="0"/>
      <w:sz w:val="18"/>
      <w:szCs w:val="20"/>
    </w:rPr>
  </w:style>
  <w:style w:type="paragraph" w:styleId="19">
    <w:name w:val="footer"/>
    <w:basedOn w:val="1"/>
    <w:next w:val="1"/>
    <w:link w:val="43"/>
    <w:autoRedefine/>
    <w:qFormat/>
    <w:uiPriority w:val="99"/>
    <w:pPr>
      <w:tabs>
        <w:tab w:val="center" w:pos="4153"/>
        <w:tab w:val="right" w:pos="8306"/>
      </w:tabs>
      <w:snapToGrid w:val="0"/>
      <w:jc w:val="left"/>
    </w:pPr>
    <w:rPr>
      <w:kern w:val="0"/>
      <w:sz w:val="18"/>
      <w:szCs w:val="20"/>
    </w:rPr>
  </w:style>
  <w:style w:type="paragraph" w:styleId="20">
    <w:name w:val="header"/>
    <w:basedOn w:val="1"/>
    <w:link w:val="44"/>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List"/>
    <w:basedOn w:val="1"/>
    <w:autoRedefine/>
    <w:qFormat/>
    <w:locked/>
    <w:uiPriority w:val="0"/>
    <w:pPr>
      <w:jc w:val="center"/>
    </w:pPr>
    <w:rPr>
      <w:rFonts w:ascii="宋体"/>
      <w:sz w:val="24"/>
      <w:szCs w:val="24"/>
    </w:rPr>
  </w:style>
  <w:style w:type="paragraph" w:styleId="22">
    <w:name w:val="table of figures"/>
    <w:basedOn w:val="1"/>
    <w:next w:val="1"/>
    <w:autoRedefine/>
    <w:qFormat/>
    <w:locked/>
    <w:uiPriority w:val="0"/>
    <w:pPr>
      <w:ind w:left="200" w:leftChars="200" w:hanging="200" w:hangingChars="200"/>
    </w:pPr>
    <w:rPr>
      <w:rFonts w:ascii="Calibri" w:hAnsi="Calibri"/>
      <w:szCs w:val="22"/>
    </w:rPr>
  </w:style>
  <w:style w:type="paragraph" w:styleId="23">
    <w:name w:val="Body Text 2"/>
    <w:basedOn w:val="1"/>
    <w:autoRedefine/>
    <w:unhideWhenUsed/>
    <w:qFormat/>
    <w:locked/>
    <w:uiPriority w:val="99"/>
    <w:pPr>
      <w:spacing w:after="120" w:line="480" w:lineRule="auto"/>
    </w:pPr>
  </w:style>
  <w:style w:type="paragraph" w:styleId="24">
    <w:name w:val="Normal (Web)"/>
    <w:basedOn w:val="1"/>
    <w:link w:val="45"/>
    <w:autoRedefine/>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7"/>
    <w:next w:val="7"/>
    <w:link w:val="46"/>
    <w:autoRedefine/>
    <w:semiHidden/>
    <w:qFormat/>
    <w:uiPriority w:val="0"/>
    <w:rPr>
      <w:b/>
    </w:rPr>
  </w:style>
  <w:style w:type="paragraph" w:styleId="26">
    <w:name w:val="Body Text First Indent 2"/>
    <w:basedOn w:val="11"/>
    <w:next w:val="1"/>
    <w:autoRedefine/>
    <w:qFormat/>
    <w:locked/>
    <w:uiPriority w:val="0"/>
    <w:pPr>
      <w:ind w:firstLine="420" w:firstLineChars="200"/>
    </w:p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locked/>
    <w:uiPriority w:val="0"/>
  </w:style>
  <w:style w:type="character" w:styleId="31">
    <w:name w:val="annotation reference"/>
    <w:autoRedefine/>
    <w:semiHidden/>
    <w:qFormat/>
    <w:uiPriority w:val="0"/>
    <w:rPr>
      <w:sz w:val="21"/>
    </w:rPr>
  </w:style>
  <w:style w:type="paragraph" w:customStyle="1" w:styleId="32">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33">
    <w:name w:val="Default"/>
    <w:basedOn w:val="34"/>
    <w:next w:val="1"/>
    <w:autoRedefine/>
    <w:unhideWhenUsed/>
    <w:qFormat/>
    <w:uiPriority w:val="99"/>
    <w:pPr>
      <w:tabs>
        <w:tab w:val="left" w:pos="1845"/>
      </w:tabs>
      <w:autoSpaceDE w:val="0"/>
      <w:autoSpaceDN w:val="0"/>
      <w:spacing w:line="240" w:lineRule="exact"/>
    </w:pPr>
    <w:rPr>
      <w:rFonts w:hint="eastAsia" w:ascii="宋体" w:hAnsi="宋体"/>
      <w:sz w:val="24"/>
    </w:rPr>
  </w:style>
  <w:style w:type="paragraph" w:customStyle="1" w:styleId="34">
    <w:name w:val="1 表头"/>
    <w:basedOn w:val="1"/>
    <w:autoRedefine/>
    <w:qFormat/>
    <w:uiPriority w:val="0"/>
    <w:pPr>
      <w:adjustRightInd w:val="0"/>
      <w:snapToGrid w:val="0"/>
      <w:jc w:val="center"/>
    </w:pPr>
    <w:rPr>
      <w:b/>
      <w:color w:val="000000"/>
      <w:szCs w:val="21"/>
    </w:rPr>
  </w:style>
  <w:style w:type="paragraph" w:customStyle="1" w:styleId="35">
    <w:name w:val="纯文本1"/>
    <w:basedOn w:val="1"/>
    <w:autoRedefine/>
    <w:qFormat/>
    <w:uiPriority w:val="0"/>
    <w:pPr>
      <w:adjustRightInd w:val="0"/>
      <w:textAlignment w:val="baseline"/>
    </w:pPr>
    <w:rPr>
      <w:rFonts w:ascii="宋体" w:hAnsi="Courier New"/>
      <w:szCs w:val="20"/>
    </w:rPr>
  </w:style>
  <w:style w:type="paragraph" w:customStyle="1" w:styleId="36">
    <w:name w:val="Char Char Char Char Char Char Char Char Char1 Char"/>
    <w:basedOn w:val="1"/>
    <w:autoRedefine/>
    <w:qFormat/>
    <w:uiPriority w:val="0"/>
    <w:pPr>
      <w:spacing w:line="360" w:lineRule="auto"/>
      <w:ind w:firstLine="200" w:firstLineChars="200"/>
    </w:pPr>
    <w:rPr>
      <w:rFonts w:hAnsi="宋体" w:cs="宋体"/>
      <w:sz w:val="24"/>
    </w:rPr>
  </w:style>
  <w:style w:type="character" w:customStyle="1" w:styleId="37">
    <w:name w:val="正文文本缩进 Char"/>
    <w:link w:val="11"/>
    <w:autoRedefine/>
    <w:semiHidden/>
    <w:qFormat/>
    <w:locked/>
    <w:uiPriority w:val="0"/>
    <w:rPr>
      <w:rFonts w:ascii="Times New Roman" w:hAnsi="Times New Roman" w:eastAsia="宋体"/>
      <w:sz w:val="24"/>
    </w:rPr>
  </w:style>
  <w:style w:type="character" w:customStyle="1" w:styleId="38">
    <w:name w:val="批注文字 Char"/>
    <w:link w:val="7"/>
    <w:autoRedefine/>
    <w:qFormat/>
    <w:locked/>
    <w:uiPriority w:val="0"/>
    <w:rPr>
      <w:rFonts w:ascii="Times New Roman" w:hAnsi="Times New Roman" w:eastAsia="宋体"/>
      <w:sz w:val="24"/>
    </w:rPr>
  </w:style>
  <w:style w:type="character" w:customStyle="1" w:styleId="39">
    <w:name w:val="正文文本 Char"/>
    <w:link w:val="8"/>
    <w:autoRedefine/>
    <w:qFormat/>
    <w:locked/>
    <w:uiPriority w:val="0"/>
    <w:rPr>
      <w:sz w:val="18"/>
    </w:rPr>
  </w:style>
  <w:style w:type="paragraph" w:customStyle="1" w:styleId="40">
    <w:name w:val="Body Text 21"/>
    <w:basedOn w:val="1"/>
    <w:autoRedefine/>
    <w:qFormat/>
    <w:uiPriority w:val="0"/>
    <w:pPr>
      <w:spacing w:after="120" w:line="480" w:lineRule="auto"/>
    </w:pPr>
  </w:style>
  <w:style w:type="character" w:customStyle="1" w:styleId="41">
    <w:name w:val="日期 Char"/>
    <w:link w:val="17"/>
    <w:autoRedefine/>
    <w:qFormat/>
    <w:locked/>
    <w:uiPriority w:val="0"/>
    <w:rPr>
      <w:rFonts w:ascii="Times New Roman" w:hAnsi="Times New Roman" w:eastAsia="宋体"/>
      <w:sz w:val="24"/>
    </w:rPr>
  </w:style>
  <w:style w:type="character" w:customStyle="1" w:styleId="42">
    <w:name w:val="批注框文本 Char"/>
    <w:link w:val="18"/>
    <w:autoRedefine/>
    <w:semiHidden/>
    <w:qFormat/>
    <w:locked/>
    <w:uiPriority w:val="0"/>
    <w:rPr>
      <w:rFonts w:ascii="Times New Roman" w:hAnsi="Times New Roman" w:eastAsia="宋体"/>
      <w:sz w:val="18"/>
    </w:rPr>
  </w:style>
  <w:style w:type="character" w:customStyle="1" w:styleId="43">
    <w:name w:val="页脚 Char"/>
    <w:link w:val="19"/>
    <w:autoRedefine/>
    <w:qFormat/>
    <w:locked/>
    <w:uiPriority w:val="99"/>
    <w:rPr>
      <w:sz w:val="18"/>
    </w:rPr>
  </w:style>
  <w:style w:type="character" w:customStyle="1" w:styleId="44">
    <w:name w:val="页眉 Char"/>
    <w:link w:val="20"/>
    <w:autoRedefine/>
    <w:qFormat/>
    <w:locked/>
    <w:uiPriority w:val="0"/>
    <w:rPr>
      <w:sz w:val="18"/>
    </w:rPr>
  </w:style>
  <w:style w:type="character" w:customStyle="1" w:styleId="45">
    <w:name w:val="普通(网站) Char"/>
    <w:link w:val="24"/>
    <w:autoRedefine/>
    <w:qFormat/>
    <w:locked/>
    <w:uiPriority w:val="0"/>
    <w:rPr>
      <w:rFonts w:ascii="宋体" w:hAnsi="宋体" w:eastAsia="宋体"/>
      <w:sz w:val="24"/>
    </w:rPr>
  </w:style>
  <w:style w:type="character" w:customStyle="1" w:styleId="46">
    <w:name w:val="批注主题 Char"/>
    <w:link w:val="25"/>
    <w:autoRedefine/>
    <w:semiHidden/>
    <w:qFormat/>
    <w:locked/>
    <w:uiPriority w:val="0"/>
    <w:rPr>
      <w:rFonts w:ascii="Times New Roman" w:hAnsi="Times New Roman" w:eastAsia="宋体"/>
      <w:b/>
      <w:kern w:val="2"/>
      <w:sz w:val="24"/>
    </w:rPr>
  </w:style>
  <w:style w:type="character" w:customStyle="1" w:styleId="47">
    <w:name w:val="页脚 字符"/>
    <w:basedOn w:val="29"/>
    <w:autoRedefine/>
    <w:qFormat/>
    <w:uiPriority w:val="99"/>
  </w:style>
  <w:style w:type="character" w:customStyle="1" w:styleId="48">
    <w:name w:val="正文文本 字符1"/>
    <w:autoRedefine/>
    <w:semiHidden/>
    <w:qFormat/>
    <w:uiPriority w:val="0"/>
    <w:rPr>
      <w:rFonts w:ascii="Times New Roman" w:hAnsi="Times New Roman" w:eastAsia="宋体"/>
      <w:sz w:val="24"/>
    </w:rPr>
  </w:style>
  <w:style w:type="character" w:customStyle="1" w:styleId="49">
    <w:name w:val="表格 Char"/>
    <w:link w:val="50"/>
    <w:autoRedefine/>
    <w:qFormat/>
    <w:locked/>
    <w:uiPriority w:val="0"/>
    <w:rPr>
      <w:rFonts w:ascii="宋体"/>
      <w:sz w:val="21"/>
    </w:rPr>
  </w:style>
  <w:style w:type="paragraph" w:customStyle="1" w:styleId="50">
    <w:name w:val="表格"/>
    <w:basedOn w:val="1"/>
    <w:next w:val="1"/>
    <w:link w:val="49"/>
    <w:autoRedefine/>
    <w:qFormat/>
    <w:uiPriority w:val="0"/>
    <w:pPr>
      <w:adjustRightInd w:val="0"/>
      <w:snapToGrid w:val="0"/>
      <w:spacing w:beforeLines="10" w:afterLines="10" w:line="259" w:lineRule="auto"/>
      <w:jc w:val="center"/>
    </w:pPr>
    <w:rPr>
      <w:rFonts w:ascii="宋体"/>
      <w:kern w:val="0"/>
      <w:szCs w:val="20"/>
    </w:rPr>
  </w:style>
  <w:style w:type="character" w:customStyle="1" w:styleId="51">
    <w:name w:val="日期 字符"/>
    <w:autoRedefine/>
    <w:semiHidden/>
    <w:qFormat/>
    <w:uiPriority w:val="0"/>
    <w:rPr>
      <w:rFonts w:ascii="Times New Roman" w:hAnsi="Times New Roman" w:eastAsia="宋体"/>
      <w:sz w:val="24"/>
    </w:rPr>
  </w:style>
  <w:style w:type="character" w:customStyle="1" w:styleId="52">
    <w:name w:val="批注文字 字符1"/>
    <w:autoRedefine/>
    <w:semiHidden/>
    <w:qFormat/>
    <w:uiPriority w:val="0"/>
    <w:rPr>
      <w:rFonts w:ascii="Times New Roman" w:hAnsi="Times New Roman" w:eastAsia="宋体"/>
      <w:sz w:val="24"/>
    </w:rPr>
  </w:style>
  <w:style w:type="paragraph" w:customStyle="1" w:styleId="53">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55">
    <w:name w:val="表格内"/>
    <w:basedOn w:val="1"/>
    <w:autoRedefine/>
    <w:qFormat/>
    <w:uiPriority w:val="0"/>
    <w:pPr>
      <w:adjustRightInd w:val="0"/>
      <w:snapToGrid w:val="0"/>
      <w:spacing w:line="360" w:lineRule="exact"/>
      <w:jc w:val="center"/>
    </w:pPr>
    <w:rPr>
      <w:rFonts w:eastAsia="Times New Roman"/>
      <w:snapToGrid w:val="0"/>
      <w:kern w:val="0"/>
      <w:szCs w:val="21"/>
    </w:rPr>
  </w:style>
  <w:style w:type="paragraph" w:customStyle="1" w:styleId="56">
    <w:name w:val="环评正文"/>
    <w:autoRedefine/>
    <w:qFormat/>
    <w:uiPriority w:val="0"/>
    <w:rPr>
      <w:rFonts w:ascii="Times New Roman" w:hAnsi="Times New Roman" w:eastAsia="宋体" w:cs="Times New Roman"/>
      <w:sz w:val="24"/>
      <w:lang w:val="en-US" w:eastAsia="zh-CN" w:bidi="ar-SA"/>
    </w:rPr>
  </w:style>
  <w:style w:type="paragraph" w:customStyle="1" w:styleId="57">
    <w:name w:val="环评标题"/>
    <w:basedOn w:val="56"/>
    <w:autoRedefine/>
    <w:qFormat/>
    <w:uiPriority w:val="0"/>
    <w:rPr>
      <w:b/>
    </w:rPr>
  </w:style>
  <w:style w:type="paragraph" w:customStyle="1" w:styleId="58">
    <w:name w:val="表格标题"/>
    <w:basedOn w:val="59"/>
    <w:autoRedefine/>
    <w:qFormat/>
    <w:uiPriority w:val="0"/>
    <w:pPr>
      <w:ind w:firstLine="480"/>
    </w:pPr>
    <w:rPr>
      <w:rFonts w:hint="default"/>
    </w:rPr>
  </w:style>
  <w:style w:type="paragraph" w:customStyle="1" w:styleId="59">
    <w:name w:val="表头"/>
    <w:basedOn w:val="5"/>
    <w:next w:val="1"/>
    <w:autoRedefine/>
    <w:qFormat/>
    <w:uiPriority w:val="0"/>
    <w:pPr>
      <w:jc w:val="center"/>
    </w:pPr>
    <w:rPr>
      <w:rFonts w:hint="eastAsia"/>
      <w:b/>
      <w:bCs/>
      <w:szCs w:val="21"/>
    </w:rPr>
  </w:style>
  <w:style w:type="paragraph" w:customStyle="1" w:styleId="60">
    <w:name w:val="表格正文"/>
    <w:basedOn w:val="58"/>
    <w:autoRedefine/>
    <w:qFormat/>
    <w:uiPriority w:val="0"/>
    <w:pPr>
      <w:ind w:firstLine="0"/>
    </w:pPr>
    <w:rPr>
      <w:b w:val="0"/>
    </w:rPr>
  </w:style>
  <w:style w:type="paragraph" w:customStyle="1" w:styleId="61">
    <w:name w:val="表格字体"/>
    <w:basedOn w:val="1"/>
    <w:autoRedefine/>
    <w:qFormat/>
    <w:uiPriority w:val="0"/>
    <w:pPr>
      <w:jc w:val="center"/>
    </w:pPr>
  </w:style>
  <w:style w:type="paragraph" w:styleId="62">
    <w:name w:val="List Paragraph"/>
    <w:basedOn w:val="1"/>
    <w:autoRedefine/>
    <w:qFormat/>
    <w:uiPriority w:val="99"/>
    <w:pPr>
      <w:ind w:firstLine="420" w:firstLineChars="200"/>
    </w:pPr>
  </w:style>
  <w:style w:type="paragraph" w:customStyle="1" w:styleId="63">
    <w:name w:val="表格内容"/>
    <w:basedOn w:val="1"/>
    <w:autoRedefine/>
    <w:qFormat/>
    <w:uiPriority w:val="0"/>
    <w:pPr>
      <w:jc w:val="center"/>
    </w:pPr>
  </w:style>
  <w:style w:type="paragraph" w:customStyle="1" w:styleId="64">
    <w:name w:val="样式 正文缩进正文缩进2正文缩进 Char Char正文缩进 Char Char Char Char正文缩进 Char ..."/>
    <w:basedOn w:val="5"/>
    <w:autoRedefine/>
    <w:qFormat/>
    <w:uiPriority w:val="0"/>
    <w:pPr>
      <w:spacing w:line="360" w:lineRule="auto"/>
      <w:ind w:firstLine="200" w:firstLineChars="200"/>
    </w:pPr>
    <w:rPr>
      <w:rFonts w:cs="宋体"/>
      <w:sz w:val="24"/>
    </w:rPr>
  </w:style>
  <w:style w:type="paragraph" w:customStyle="1" w:styleId="65">
    <w:name w:val="Table Paragraph"/>
    <w:basedOn w:val="1"/>
    <w:autoRedefine/>
    <w:qFormat/>
    <w:uiPriority w:val="1"/>
    <w:pPr>
      <w:jc w:val="left"/>
    </w:pPr>
    <w:rPr>
      <w:kern w:val="0"/>
      <w:sz w:val="22"/>
      <w:szCs w:val="22"/>
      <w:lang w:eastAsia="en-US"/>
    </w:rPr>
  </w:style>
  <w:style w:type="character" w:customStyle="1" w:styleId="66">
    <w:name w:val="textbig1"/>
    <w:basedOn w:val="29"/>
    <w:autoRedefine/>
    <w:qFormat/>
    <w:uiPriority w:val="0"/>
    <w:rPr>
      <w:sz w:val="18"/>
      <w:szCs w:val="18"/>
    </w:rPr>
  </w:style>
  <w:style w:type="paragraph" w:customStyle="1" w:styleId="67">
    <w:name w:val="德源报告表表格"/>
    <w:autoRedefine/>
    <w:qFormat/>
    <w:uiPriority w:val="0"/>
    <w:pPr>
      <w:adjustRightInd w:val="0"/>
      <w:snapToGrid w:val="0"/>
      <w:spacing w:line="360" w:lineRule="exact"/>
      <w:jc w:val="center"/>
    </w:pPr>
    <w:rPr>
      <w:rFonts w:ascii="Times New Roman" w:hAnsi="Times New Roman" w:eastAsia="宋体" w:cs="Times New Roman"/>
      <w:snapToGrid w:val="0"/>
      <w:sz w:val="21"/>
      <w:szCs w:val="21"/>
      <w:lang w:val="en-US" w:eastAsia="zh-CN" w:bidi="ar-SA"/>
    </w:rPr>
  </w:style>
  <w:style w:type="character" w:customStyle="1" w:styleId="68">
    <w:name w:val="fontstyle21"/>
    <w:basedOn w:val="29"/>
    <w:autoRedefine/>
    <w:qFormat/>
    <w:uiPriority w:val="0"/>
    <w:rPr>
      <w:rFonts w:ascii="仿宋" w:hAnsi="仿宋" w:cs="Times New Roman"/>
      <w:color w:val="000000"/>
      <w:sz w:val="24"/>
      <w:szCs w:val="24"/>
    </w:rPr>
  </w:style>
  <w:style w:type="character" w:customStyle="1" w:styleId="69">
    <w:name w:val="fontstyle01"/>
    <w:basedOn w:val="29"/>
    <w:autoRedefine/>
    <w:qFormat/>
    <w:uiPriority w:val="0"/>
    <w:rPr>
      <w:rFonts w:ascii="TimesNewRomanPSMT" w:hAnsi="TimesNewRomanPSMT" w:cs="Times New Roman"/>
      <w:color w:val="000000"/>
      <w:sz w:val="24"/>
      <w:szCs w:val="24"/>
    </w:rPr>
  </w:style>
  <w:style w:type="paragraph" w:customStyle="1" w:styleId="70">
    <w:name w:val="表头字体"/>
    <w:basedOn w:val="1"/>
    <w:autoRedefine/>
    <w:qFormat/>
    <w:uiPriority w:val="0"/>
    <w:pPr>
      <w:spacing w:line="360" w:lineRule="auto"/>
      <w:jc w:val="center"/>
    </w:pPr>
  </w:style>
  <w:style w:type="paragraph" w:customStyle="1" w:styleId="71">
    <w:name w:val="正文26-5.21"/>
    <w:basedOn w:val="1"/>
    <w:autoRedefine/>
    <w:qFormat/>
    <w:uiPriority w:val="0"/>
    <w:pPr>
      <w:adjustRightInd w:val="0"/>
      <w:snapToGrid w:val="0"/>
      <w:spacing w:line="520" w:lineRule="exact"/>
      <w:ind w:firstLine="480" w:firstLineChars="200"/>
      <w:textAlignment w:val="baseline"/>
    </w:pPr>
    <w:rPr>
      <w:rFonts w:cs="宋体"/>
      <w:snapToGrid w:val="0"/>
      <w:sz w:val="24"/>
    </w:rPr>
  </w:style>
  <w:style w:type="paragraph" w:customStyle="1" w:styleId="72">
    <w:name w:val="表格标题5.21"/>
    <w:basedOn w:val="1"/>
    <w:autoRedefine/>
    <w:qFormat/>
    <w:uiPriority w:val="0"/>
    <w:pPr>
      <w:adjustRightInd w:val="0"/>
      <w:snapToGrid w:val="0"/>
      <w:spacing w:line="520" w:lineRule="exact"/>
      <w:jc w:val="center"/>
      <w:textAlignment w:val="baseline"/>
    </w:pPr>
    <w:rPr>
      <w:rFonts w:ascii="黑体" w:hAnsi="黑体" w:eastAsia="黑体" w:cs="宋体"/>
      <w:snapToGrid w:val="0"/>
      <w:kern w:val="0"/>
      <w:sz w:val="24"/>
    </w:rPr>
  </w:style>
  <w:style w:type="paragraph" w:customStyle="1" w:styleId="73">
    <w:name w:val="正文26-模板"/>
    <w:basedOn w:val="1"/>
    <w:autoRedefine/>
    <w:qFormat/>
    <w:uiPriority w:val="0"/>
    <w:pPr>
      <w:adjustRightInd w:val="0"/>
      <w:snapToGrid w:val="0"/>
      <w:spacing w:line="520" w:lineRule="exact"/>
      <w:ind w:firstLine="480" w:firstLineChars="200"/>
      <w:textAlignment w:val="baseline"/>
    </w:pPr>
    <w:rPr>
      <w:snapToGrid w:val="0"/>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g3NjQwMDU2MjM4IiwKCSJHcm91cElkIiA6ICI4MDY3MTg3MjQiLAoJIkltYWdlIiA6ICJpVkJPUncwS0dnb0FBQUFOU1VoRVVnQUFCVllBQUFYbENBWUFBQURxWjRQSkFBQUFBWE5TUjBJQXJzNGM2UUFBSUFCSlJFRlVlSnpzM1hsOFZOWDkvL0gzdVROWkNCQjJwQUthWWdRTkVPWk9xcUxXMXQxK3JWYXFWbHFoMVZwclZlcSsxTFd0RzVaYXQ1OUxvU2ppMWxiQnRXajkxdUtLWDdTU21jbEN3aElSSlNCbzJDSDczUFA3STVrMFpDT1RiUkJlejhmREI1bDd6ejMzTTBPaTdUdWZlNDRF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PaVorVC9YMWNPSjVhTnIvQUFBQUFCSlJVNUVya0pnZ2c9PSIsCgkiVGhlbWUiIDogIiIsCgkiVHlwZSIgOiAiZmxvdyIsCgkiVXNlcklkIiA6ICI3MzE4Njc0MzMiLAoJIlZlcnNpb24iIDogIjQ4Igp9Cg=="/>
    </extobj>
    <extobj name="ECB019B1-382A-4266-B25C-5B523AA43C14-2">
      <extobjdata type="ECB019B1-382A-4266-B25C-5B523AA43C14" data="ewoJIkZpbGVJZCIgOiAiMjg4NzE0NjQ5NzU1IiwKCSJHcm91cElkIiA6ICI4MDY3MTg3MjQiLAoJIkltYWdlIiA6ICJpVkJPUncwS0dnb0FBQUFOU1VoRVVnQUFCTEVBQUFPQ0NBWUFBQUNJOWtEWkFBQUFBWE5TUjBJQXJzNGM2UUFBSUFCSlJFRlVlSnpzM1hsOGpOZitCL0RQbVNXYkNDVktTZEhhVXlJemxpNW90YjJYYTJ1UlcxdFZkNnFxOWxadmEvdXB2VzZ0UldscDBXcGF5clZURkszWWtobEJGRUVVRVhzMk1wUE1QT2YzUnpMVFRHWW1tV3d5NnZOK3ZieWFQTXQ1VGpSZnp6emY1NXp2QV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MEQvOWYyTmdSVnFwcDVBc0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71</Pages>
  <Words>11868</Words>
  <Characters>12513</Characters>
  <Lines>218</Lines>
  <Paragraphs>61</Paragraphs>
  <TotalTime>127</TotalTime>
  <ScaleCrop>false</ScaleCrop>
  <LinksUpToDate>false</LinksUpToDate>
  <CharactersWithSpaces>12626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小麦啾</cp:lastModifiedBy>
  <cp:lastPrinted>2025-05-16T02:53:00Z</cp:lastPrinted>
  <dcterms:modified xsi:type="dcterms:W3CDTF">2025-06-03T04:24:09Z</dcterms:modified>
  <dc:title>附件2</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A46AAAB135A24632ADDE78F362029570_13</vt:lpwstr>
  </property>
  <property fmtid="{D5CDD505-2E9C-101B-9397-08002B2CF9AE}" pid="4" name="KSOTemplateDocerSaveRecord">
    <vt:lpwstr>eyJoZGlkIjoiMzcxN2Q5OGY0MzIxMzQ2YTVkNjkyNjY4OTc0MzQwMDIiLCJ1c2VySWQiOiIzMjQ5NjUzODcifQ==</vt:lpwstr>
  </property>
</Properties>
</file>