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AA12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0"/>
        <w:rPr>
          <w:rFonts w:hint="default" w:ascii="Times New Roman" w:hAnsi="Times New Roman" w:eastAsia="黑体" w:cs="Times New Roman"/>
          <w:snapToGrid w:val="0"/>
          <w:color w:val="auto"/>
          <w:sz w:val="30"/>
          <w:szCs w:val="30"/>
        </w:rPr>
      </w:pPr>
      <w:bookmarkStart w:id="11" w:name="_GoBack"/>
      <w:bookmarkEnd w:id="11"/>
      <w:r>
        <w:rPr>
          <w:rFonts w:hint="default" w:ascii="Times New Roman" w:hAnsi="Times New Roman" w:eastAsia="黑体" w:cs="Times New Roman"/>
          <w:snapToGrid w:val="0"/>
          <w:color w:val="auto"/>
          <w:sz w:val="30"/>
          <w:szCs w:val="30"/>
        </w:rPr>
        <w:t>一、建设项目基本情况</w:t>
      </w:r>
    </w:p>
    <w:tbl>
      <w:tblPr>
        <w:tblStyle w:val="20"/>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70"/>
        <w:gridCol w:w="2100"/>
        <w:gridCol w:w="1980"/>
        <w:gridCol w:w="2920"/>
      </w:tblGrid>
      <w:tr w14:paraId="40F6D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70" w:type="dxa"/>
            <w:tcMar>
              <w:top w:w="16" w:type="dxa"/>
              <w:left w:w="16" w:type="dxa"/>
              <w:right w:w="16" w:type="dxa"/>
            </w:tcMar>
            <w:vAlign w:val="center"/>
          </w:tcPr>
          <w:p w14:paraId="70006B85">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建设项目名称</w:t>
            </w:r>
          </w:p>
        </w:tc>
        <w:tc>
          <w:tcPr>
            <w:tcW w:w="7000" w:type="dxa"/>
            <w:gridSpan w:val="3"/>
            <w:vAlign w:val="center"/>
          </w:tcPr>
          <w:p w14:paraId="5BD433DE">
            <w:pPr>
              <w:pStyle w:val="36"/>
              <w:rPr>
                <w:rFonts w:hint="default" w:ascii="Times New Roman" w:hAnsi="Times New Roman" w:cs="Times New Roman"/>
                <w:color w:val="auto"/>
                <w:sz w:val="21"/>
                <w:szCs w:val="21"/>
                <w:lang w:eastAsia="zh-CN"/>
              </w:rPr>
            </w:pPr>
            <w:r>
              <w:rPr>
                <w:rFonts w:hint="eastAsia" w:cs="Times New Roman"/>
                <w:color w:val="auto"/>
                <w:sz w:val="21"/>
                <w:szCs w:val="21"/>
                <w:lang w:val="en-US" w:eastAsia="zh-CN"/>
              </w:rPr>
              <w:t>新疆驼能乳业有限公司建设昌吉州呼图壁县驼奶产业基地项目</w:t>
            </w:r>
          </w:p>
        </w:tc>
      </w:tr>
      <w:tr w14:paraId="2A9BA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70" w:type="dxa"/>
            <w:tcMar>
              <w:top w:w="16" w:type="dxa"/>
              <w:left w:w="16" w:type="dxa"/>
              <w:right w:w="16" w:type="dxa"/>
            </w:tcMar>
            <w:vAlign w:val="center"/>
          </w:tcPr>
          <w:p w14:paraId="14310ED8">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项目代码</w:t>
            </w:r>
          </w:p>
        </w:tc>
        <w:tc>
          <w:tcPr>
            <w:tcW w:w="7000" w:type="dxa"/>
            <w:gridSpan w:val="3"/>
            <w:vAlign w:val="center"/>
          </w:tcPr>
          <w:p w14:paraId="085AA2DC">
            <w:pPr>
              <w:pStyle w:val="36"/>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r>
              <w:rPr>
                <w:rFonts w:hint="eastAsia" w:cs="Times New Roman"/>
                <w:color w:val="auto"/>
                <w:sz w:val="21"/>
                <w:szCs w:val="21"/>
                <w:lang w:val="en-US" w:eastAsia="zh-CN"/>
              </w:rPr>
              <w:t>4</w:t>
            </w:r>
            <w:r>
              <w:rPr>
                <w:rFonts w:hint="default" w:ascii="Times New Roman" w:hAnsi="Times New Roman" w:cs="Times New Roman"/>
                <w:color w:val="auto"/>
                <w:sz w:val="21"/>
                <w:szCs w:val="21"/>
                <w:lang w:val="en-US" w:eastAsia="zh-CN"/>
              </w:rPr>
              <w:t>0</w:t>
            </w:r>
            <w:r>
              <w:rPr>
                <w:rFonts w:hint="eastAsia" w:cs="Times New Roman"/>
                <w:color w:val="auto"/>
                <w:sz w:val="21"/>
                <w:szCs w:val="21"/>
                <w:lang w:val="en-US" w:eastAsia="zh-CN"/>
              </w:rPr>
              <w:t>7</w:t>
            </w:r>
            <w:r>
              <w:rPr>
                <w:rFonts w:hint="default" w:ascii="Times New Roman" w:hAnsi="Times New Roman" w:cs="Times New Roman"/>
                <w:color w:val="auto"/>
                <w:sz w:val="21"/>
                <w:szCs w:val="21"/>
                <w:lang w:val="en-US" w:eastAsia="zh-CN"/>
              </w:rPr>
              <w:t>-6</w:t>
            </w:r>
            <w:r>
              <w:rPr>
                <w:rFonts w:hint="eastAsia" w:cs="Times New Roman"/>
                <w:color w:val="auto"/>
                <w:sz w:val="21"/>
                <w:szCs w:val="21"/>
                <w:lang w:val="en-US" w:eastAsia="zh-CN"/>
              </w:rPr>
              <w:t>52323</w:t>
            </w:r>
            <w:r>
              <w:rPr>
                <w:rFonts w:hint="default" w:ascii="Times New Roman" w:hAnsi="Times New Roman" w:cs="Times New Roman"/>
                <w:color w:val="auto"/>
                <w:sz w:val="21"/>
                <w:szCs w:val="21"/>
                <w:lang w:val="en-US" w:eastAsia="zh-CN"/>
              </w:rPr>
              <w:t>-04-0</w:t>
            </w:r>
            <w:r>
              <w:rPr>
                <w:rFonts w:hint="eastAsia" w:cs="Times New Roman"/>
                <w:color w:val="auto"/>
                <w:sz w:val="21"/>
                <w:szCs w:val="21"/>
                <w:lang w:val="en-US" w:eastAsia="zh-CN"/>
              </w:rPr>
              <w:t>5</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903696</w:t>
            </w:r>
          </w:p>
        </w:tc>
      </w:tr>
      <w:tr w14:paraId="35436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70" w:type="dxa"/>
            <w:tcMar>
              <w:top w:w="16" w:type="dxa"/>
              <w:left w:w="16" w:type="dxa"/>
              <w:right w:w="16" w:type="dxa"/>
            </w:tcMar>
            <w:vAlign w:val="center"/>
          </w:tcPr>
          <w:p w14:paraId="2C2DB2B2">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建设单位联系人</w:t>
            </w:r>
          </w:p>
        </w:tc>
        <w:tc>
          <w:tcPr>
            <w:tcW w:w="2100" w:type="dxa"/>
            <w:vAlign w:val="center"/>
          </w:tcPr>
          <w:p w14:paraId="321F25DC">
            <w:pPr>
              <w:pStyle w:val="36"/>
              <w:rPr>
                <w:rFonts w:hint="default" w:ascii="Times New Roman" w:hAnsi="Times New Roman" w:eastAsia="宋体" w:cs="Times New Roman"/>
                <w:color w:val="auto"/>
                <w:sz w:val="21"/>
                <w:szCs w:val="21"/>
                <w:lang w:val="en-US" w:eastAsia="zh-CN"/>
              </w:rPr>
            </w:pPr>
          </w:p>
        </w:tc>
        <w:tc>
          <w:tcPr>
            <w:tcW w:w="1980" w:type="dxa"/>
            <w:vAlign w:val="center"/>
          </w:tcPr>
          <w:p w14:paraId="4E448DBC">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联系方式</w:t>
            </w:r>
          </w:p>
        </w:tc>
        <w:tc>
          <w:tcPr>
            <w:tcW w:w="2920" w:type="dxa"/>
            <w:vAlign w:val="center"/>
          </w:tcPr>
          <w:p w14:paraId="23DC6A8D">
            <w:pPr>
              <w:pStyle w:val="36"/>
              <w:rPr>
                <w:rFonts w:hint="default" w:ascii="Times New Roman" w:hAnsi="Times New Roman" w:eastAsia="宋体" w:cs="Times New Roman"/>
                <w:color w:val="auto"/>
                <w:sz w:val="21"/>
                <w:szCs w:val="21"/>
                <w:lang w:val="en-US" w:eastAsia="zh-CN"/>
              </w:rPr>
            </w:pPr>
          </w:p>
        </w:tc>
      </w:tr>
      <w:tr w14:paraId="65BA6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70" w:type="dxa"/>
            <w:tcMar>
              <w:top w:w="16" w:type="dxa"/>
              <w:left w:w="16" w:type="dxa"/>
              <w:right w:w="16" w:type="dxa"/>
            </w:tcMar>
            <w:vAlign w:val="center"/>
          </w:tcPr>
          <w:p w14:paraId="1B8100BE">
            <w:pPr>
              <w:pStyle w:val="36"/>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建设地点</w:t>
            </w:r>
          </w:p>
        </w:tc>
        <w:tc>
          <w:tcPr>
            <w:tcW w:w="7000" w:type="dxa"/>
            <w:gridSpan w:val="3"/>
            <w:vAlign w:val="center"/>
          </w:tcPr>
          <w:p w14:paraId="4E1BF32C">
            <w:pPr>
              <w:pStyle w:val="36"/>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新疆昌吉回族自治州</w:t>
            </w:r>
            <w:r>
              <w:rPr>
                <w:rFonts w:hint="eastAsia" w:cs="Times New Roman"/>
                <w:color w:val="auto"/>
                <w:sz w:val="21"/>
                <w:szCs w:val="21"/>
                <w:lang w:val="en-US" w:eastAsia="zh-CN"/>
              </w:rPr>
              <w:t>呼图壁县工业园区</w:t>
            </w:r>
            <w:r>
              <w:rPr>
                <w:rFonts w:hint="eastAsia"/>
                <w:color w:val="auto"/>
                <w:szCs w:val="24"/>
                <w:lang w:val="en-US" w:eastAsia="zh-CN"/>
              </w:rPr>
              <w:t>中区轻纺食品产业区</w:t>
            </w:r>
          </w:p>
        </w:tc>
      </w:tr>
      <w:tr w14:paraId="0C15F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70" w:type="dxa"/>
            <w:tcMar>
              <w:top w:w="16" w:type="dxa"/>
              <w:left w:w="16" w:type="dxa"/>
              <w:right w:w="16" w:type="dxa"/>
            </w:tcMar>
            <w:vAlign w:val="center"/>
          </w:tcPr>
          <w:p w14:paraId="35934993">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地理坐标</w:t>
            </w:r>
          </w:p>
        </w:tc>
        <w:tc>
          <w:tcPr>
            <w:tcW w:w="7000" w:type="dxa"/>
            <w:gridSpan w:val="3"/>
            <w:vAlign w:val="center"/>
          </w:tcPr>
          <w:p w14:paraId="2936D2BF">
            <w:pPr>
              <w:pStyle w:val="3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E8</w:t>
            </w:r>
            <w:r>
              <w:rPr>
                <w:rFonts w:hint="eastAsia" w:cs="Times New Roman"/>
                <w:color w:val="auto"/>
                <w:sz w:val="21"/>
                <w:szCs w:val="21"/>
                <w:lang w:val="en-US" w:eastAsia="zh-CN"/>
              </w:rPr>
              <w:t>6</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49</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33.738</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N4</w:t>
            </w:r>
            <w:r>
              <w:rPr>
                <w:rFonts w:hint="eastAsia" w:cs="Times New Roman"/>
                <w:color w:val="auto"/>
                <w:sz w:val="21"/>
                <w:szCs w:val="21"/>
                <w:lang w:val="en-US" w:eastAsia="zh-CN"/>
              </w:rPr>
              <w:t>4</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10</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48.585</w:t>
            </w:r>
            <w:r>
              <w:rPr>
                <w:rFonts w:hint="default" w:ascii="Times New Roman" w:hAnsi="Times New Roman" w:cs="Times New Roman"/>
                <w:color w:val="auto"/>
                <w:sz w:val="21"/>
                <w:szCs w:val="21"/>
                <w:lang w:val="en-US" w:eastAsia="zh-CN"/>
              </w:rPr>
              <w:t>″</w:t>
            </w:r>
          </w:p>
        </w:tc>
      </w:tr>
      <w:tr w14:paraId="1C621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70" w:type="dxa"/>
            <w:tcMar>
              <w:top w:w="16" w:type="dxa"/>
              <w:left w:w="16" w:type="dxa"/>
              <w:right w:w="16" w:type="dxa"/>
            </w:tcMar>
            <w:vAlign w:val="center"/>
          </w:tcPr>
          <w:p w14:paraId="762960E4">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国民经济</w:t>
            </w:r>
          </w:p>
          <w:p w14:paraId="61D61396">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行业类别</w:t>
            </w:r>
          </w:p>
        </w:tc>
        <w:tc>
          <w:tcPr>
            <w:tcW w:w="2100" w:type="dxa"/>
            <w:vAlign w:val="center"/>
          </w:tcPr>
          <w:p w14:paraId="2C84E941">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C</w:t>
            </w:r>
            <w:r>
              <w:rPr>
                <w:rFonts w:hint="eastAsia" w:cs="Times New Roman"/>
                <w:color w:val="auto"/>
                <w:sz w:val="21"/>
                <w:szCs w:val="21"/>
                <w:lang w:val="en-US" w:eastAsia="zh-CN"/>
              </w:rPr>
              <w:t>1441</w:t>
            </w:r>
          </w:p>
          <w:p w14:paraId="5B7EC586">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液体乳制造</w:t>
            </w:r>
          </w:p>
          <w:p w14:paraId="6D59ED29">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C</w:t>
            </w:r>
            <w:r>
              <w:rPr>
                <w:rFonts w:hint="eastAsia" w:cs="Times New Roman"/>
                <w:color w:val="auto"/>
                <w:sz w:val="21"/>
                <w:szCs w:val="21"/>
                <w:lang w:val="en-US" w:eastAsia="zh-CN"/>
              </w:rPr>
              <w:t>1442</w:t>
            </w:r>
          </w:p>
          <w:p w14:paraId="66109E63">
            <w:pPr>
              <w:pStyle w:val="36"/>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乳粉制造</w:t>
            </w:r>
          </w:p>
        </w:tc>
        <w:tc>
          <w:tcPr>
            <w:tcW w:w="1980" w:type="dxa"/>
            <w:vAlign w:val="center"/>
          </w:tcPr>
          <w:p w14:paraId="4DC066B1">
            <w:pPr>
              <w:pStyle w:val="36"/>
              <w:rPr>
                <w:rFonts w:hint="default" w:ascii="Times New Roman" w:hAnsi="Times New Roman" w:cs="Times New Roman"/>
                <w:color w:val="auto"/>
                <w:sz w:val="21"/>
                <w:szCs w:val="21"/>
              </w:rPr>
            </w:pPr>
            <w:bookmarkStart w:id="0" w:name="_Hlk49843745"/>
            <w:r>
              <w:rPr>
                <w:rFonts w:hint="default" w:ascii="Times New Roman" w:hAnsi="Times New Roman" w:cs="Times New Roman"/>
                <w:color w:val="auto"/>
                <w:sz w:val="21"/>
                <w:szCs w:val="21"/>
              </w:rPr>
              <w:t>建设项目</w:t>
            </w:r>
          </w:p>
          <w:p w14:paraId="3951D960">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行业类别</w:t>
            </w:r>
            <w:bookmarkEnd w:id="0"/>
          </w:p>
        </w:tc>
        <w:tc>
          <w:tcPr>
            <w:tcW w:w="2920" w:type="dxa"/>
            <w:vAlign w:val="center"/>
          </w:tcPr>
          <w:p w14:paraId="01D9E26F">
            <w:pPr>
              <w:pStyle w:val="36"/>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十一、食品制造业</w:t>
            </w:r>
            <w:r>
              <w:rPr>
                <w:rFonts w:hint="eastAsia" w:ascii="Times New Roman" w:hAnsi="Times New Roman" w:eastAsia="宋体" w:cs="Times New Roman"/>
                <w:color w:val="auto"/>
                <w:sz w:val="21"/>
                <w:szCs w:val="21"/>
                <w:lang w:val="en-US" w:eastAsia="zh-CN"/>
              </w:rPr>
              <w:t>14</w:t>
            </w:r>
          </w:p>
          <w:p w14:paraId="615AC726">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中的“</w:t>
            </w:r>
            <w:r>
              <w:rPr>
                <w:rFonts w:hint="eastAsia" w:ascii="Times New Roman" w:hAnsi="Times New Roman" w:eastAsia="宋体" w:cs="Times New Roman"/>
                <w:color w:val="auto"/>
                <w:sz w:val="21"/>
                <w:szCs w:val="21"/>
                <w:lang w:val="en-US" w:eastAsia="zh-CN"/>
              </w:rPr>
              <w:t>144</w:t>
            </w:r>
            <w:r>
              <w:rPr>
                <w:rFonts w:hint="eastAsia" w:ascii="Times New Roman" w:hAnsi="Times New Roman" w:eastAsia="宋体" w:cs="Times New Roman"/>
                <w:color w:val="auto"/>
                <w:sz w:val="21"/>
                <w:szCs w:val="21"/>
              </w:rPr>
              <w:t>除单纯分装外</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类别</w:t>
            </w:r>
          </w:p>
        </w:tc>
      </w:tr>
      <w:tr w14:paraId="7B5E6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70" w:type="dxa"/>
            <w:tcMar>
              <w:top w:w="16" w:type="dxa"/>
              <w:left w:w="16" w:type="dxa"/>
              <w:right w:w="16" w:type="dxa"/>
            </w:tcMar>
            <w:vAlign w:val="center"/>
          </w:tcPr>
          <w:p w14:paraId="44A6198E">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建设性质</w:t>
            </w:r>
          </w:p>
        </w:tc>
        <w:tc>
          <w:tcPr>
            <w:tcW w:w="2100" w:type="dxa"/>
            <w:vAlign w:val="center"/>
          </w:tcPr>
          <w:p w14:paraId="6AF58B37">
            <w:pPr>
              <w:pStyle w:val="36"/>
              <w:jc w:val="both"/>
              <w:rPr>
                <w:rFonts w:hint="default" w:ascii="Times New Roman" w:hAnsi="Times New Roman" w:cs="Times New Roman"/>
                <w:color w:val="auto"/>
                <w:sz w:val="21"/>
                <w:szCs w:val="21"/>
              </w:rPr>
            </w:pPr>
            <w:r>
              <w:rPr>
                <w:rFonts w:hint="eastAsia"/>
                <w:color w:val="auto"/>
              </w:rPr>
              <w:t>■</w:t>
            </w:r>
            <w:r>
              <w:rPr>
                <w:rFonts w:hint="default" w:ascii="Times New Roman" w:hAnsi="Times New Roman" w:cs="Times New Roman"/>
                <w:color w:val="auto"/>
                <w:sz w:val="21"/>
                <w:szCs w:val="21"/>
              </w:rPr>
              <w:t>新建（迁建）</w:t>
            </w:r>
          </w:p>
          <w:p w14:paraId="3D8C206B">
            <w:pPr>
              <w:pStyle w:val="36"/>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□改建</w:t>
            </w:r>
          </w:p>
          <w:p w14:paraId="3FAE0B83">
            <w:pPr>
              <w:pStyle w:val="36"/>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□扩建</w:t>
            </w:r>
          </w:p>
          <w:p w14:paraId="210639F6">
            <w:pPr>
              <w:pStyle w:val="36"/>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□技术改造</w:t>
            </w:r>
          </w:p>
        </w:tc>
        <w:tc>
          <w:tcPr>
            <w:tcW w:w="1980" w:type="dxa"/>
            <w:vAlign w:val="center"/>
          </w:tcPr>
          <w:p w14:paraId="79081168">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建设项目</w:t>
            </w:r>
          </w:p>
          <w:p w14:paraId="30EBC362">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申报情形</w:t>
            </w:r>
          </w:p>
        </w:tc>
        <w:tc>
          <w:tcPr>
            <w:tcW w:w="2920" w:type="dxa"/>
            <w:vAlign w:val="center"/>
          </w:tcPr>
          <w:p w14:paraId="2FDD5D27">
            <w:pPr>
              <w:pStyle w:val="36"/>
              <w:jc w:val="both"/>
              <w:rPr>
                <w:rFonts w:hint="default" w:ascii="Times New Roman" w:hAnsi="Times New Roman" w:cs="Times New Roman"/>
                <w:color w:val="auto"/>
                <w:sz w:val="21"/>
                <w:szCs w:val="21"/>
              </w:rPr>
            </w:pPr>
            <w:r>
              <w:rPr>
                <w:rFonts w:hint="eastAsia"/>
                <w:color w:val="auto"/>
              </w:rPr>
              <w:t>■</w:t>
            </w:r>
            <w:r>
              <w:rPr>
                <w:rFonts w:hint="default" w:ascii="Times New Roman" w:hAnsi="Times New Roman" w:cs="Times New Roman"/>
                <w:color w:val="auto"/>
                <w:sz w:val="21"/>
                <w:szCs w:val="21"/>
              </w:rPr>
              <w:t>首次申报项目</w:t>
            </w:r>
          </w:p>
          <w:p w14:paraId="01327E17">
            <w:pPr>
              <w:pStyle w:val="36"/>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□不予批准后再次申报项目</w:t>
            </w:r>
          </w:p>
          <w:p w14:paraId="3802F4F4">
            <w:pPr>
              <w:pStyle w:val="36"/>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□超五年重新审核项目</w:t>
            </w:r>
          </w:p>
          <w:p w14:paraId="6517A44E">
            <w:pPr>
              <w:pStyle w:val="36"/>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□重大变动重新报批项目</w:t>
            </w:r>
          </w:p>
        </w:tc>
      </w:tr>
      <w:tr w14:paraId="20347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70" w:type="dxa"/>
            <w:tcMar>
              <w:top w:w="16" w:type="dxa"/>
              <w:left w:w="16" w:type="dxa"/>
              <w:right w:w="16" w:type="dxa"/>
            </w:tcMar>
            <w:vAlign w:val="center"/>
          </w:tcPr>
          <w:p w14:paraId="6D603ED5">
            <w:pPr>
              <w:pStyle w:val="36"/>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项目审批（核准/</w:t>
            </w:r>
          </w:p>
          <w:p w14:paraId="2BEE8156">
            <w:pPr>
              <w:pStyle w:val="36"/>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备案）部门（选填）</w:t>
            </w:r>
          </w:p>
        </w:tc>
        <w:tc>
          <w:tcPr>
            <w:tcW w:w="2100" w:type="dxa"/>
            <w:vAlign w:val="center"/>
          </w:tcPr>
          <w:p w14:paraId="1B333B0E">
            <w:pPr>
              <w:pStyle w:val="36"/>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呼图壁县</w:t>
            </w:r>
            <w:r>
              <w:rPr>
                <w:rFonts w:hint="default" w:ascii="Times New Roman" w:hAnsi="Times New Roman" w:eastAsia="宋体" w:cs="Times New Roman"/>
                <w:color w:val="auto"/>
                <w:kern w:val="2"/>
                <w:sz w:val="21"/>
                <w:szCs w:val="21"/>
                <w:lang w:val="en-US" w:eastAsia="zh-CN" w:bidi="ar-SA"/>
              </w:rPr>
              <w:t>发展和改革委员会</w:t>
            </w:r>
          </w:p>
        </w:tc>
        <w:tc>
          <w:tcPr>
            <w:tcW w:w="1980" w:type="dxa"/>
            <w:vAlign w:val="center"/>
          </w:tcPr>
          <w:p w14:paraId="283C241E">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项目审批（核准/</w:t>
            </w:r>
          </w:p>
          <w:p w14:paraId="036324CD">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备案）文号（选填）</w:t>
            </w:r>
          </w:p>
        </w:tc>
        <w:tc>
          <w:tcPr>
            <w:tcW w:w="2920" w:type="dxa"/>
            <w:vAlign w:val="center"/>
          </w:tcPr>
          <w:p w14:paraId="4A8450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备案证编码HFG073-20240717-01</w:t>
            </w:r>
          </w:p>
        </w:tc>
      </w:tr>
      <w:tr w14:paraId="6E05FB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70" w:type="dxa"/>
            <w:tcMar>
              <w:top w:w="16" w:type="dxa"/>
              <w:left w:w="16" w:type="dxa"/>
              <w:right w:w="16" w:type="dxa"/>
            </w:tcMar>
            <w:vAlign w:val="center"/>
          </w:tcPr>
          <w:p w14:paraId="599B6017">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总投资（万元）</w:t>
            </w:r>
          </w:p>
        </w:tc>
        <w:tc>
          <w:tcPr>
            <w:tcW w:w="2100" w:type="dxa"/>
            <w:vAlign w:val="center"/>
          </w:tcPr>
          <w:p w14:paraId="4140EAA5">
            <w:pPr>
              <w:pStyle w:val="36"/>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5000</w:t>
            </w:r>
          </w:p>
        </w:tc>
        <w:tc>
          <w:tcPr>
            <w:tcW w:w="1980" w:type="dxa"/>
            <w:tcMar>
              <w:top w:w="16" w:type="dxa"/>
              <w:left w:w="16" w:type="dxa"/>
              <w:right w:w="16" w:type="dxa"/>
            </w:tcMar>
            <w:vAlign w:val="center"/>
          </w:tcPr>
          <w:p w14:paraId="260254DB">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环保投资（万元）</w:t>
            </w:r>
          </w:p>
        </w:tc>
        <w:tc>
          <w:tcPr>
            <w:tcW w:w="2920" w:type="dxa"/>
            <w:vAlign w:val="center"/>
          </w:tcPr>
          <w:p w14:paraId="14BDA48E">
            <w:pPr>
              <w:pStyle w:val="36"/>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r>
      <w:tr w14:paraId="670A45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70" w:type="dxa"/>
            <w:tcMar>
              <w:top w:w="16" w:type="dxa"/>
              <w:left w:w="16" w:type="dxa"/>
              <w:right w:w="16" w:type="dxa"/>
            </w:tcMar>
            <w:vAlign w:val="center"/>
          </w:tcPr>
          <w:p w14:paraId="4D2367AC">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环保投资占比（%）</w:t>
            </w:r>
          </w:p>
        </w:tc>
        <w:tc>
          <w:tcPr>
            <w:tcW w:w="2100" w:type="dxa"/>
            <w:vAlign w:val="center"/>
          </w:tcPr>
          <w:p w14:paraId="207B17FB">
            <w:pPr>
              <w:pStyle w:val="36"/>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1.2</w:t>
            </w:r>
          </w:p>
        </w:tc>
        <w:tc>
          <w:tcPr>
            <w:tcW w:w="1980" w:type="dxa"/>
            <w:tcMar>
              <w:top w:w="16" w:type="dxa"/>
              <w:left w:w="16" w:type="dxa"/>
              <w:right w:w="16" w:type="dxa"/>
            </w:tcMar>
            <w:vAlign w:val="center"/>
          </w:tcPr>
          <w:p w14:paraId="7BCAD313">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施工工期</w:t>
            </w:r>
          </w:p>
        </w:tc>
        <w:tc>
          <w:tcPr>
            <w:tcW w:w="2920" w:type="dxa"/>
            <w:vAlign w:val="center"/>
          </w:tcPr>
          <w:p w14:paraId="2DBA14C1">
            <w:pPr>
              <w:pStyle w:val="36"/>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5</w:t>
            </w:r>
            <w:r>
              <w:rPr>
                <w:rFonts w:hint="default" w:ascii="Times New Roman" w:hAnsi="Times New Roman" w:cs="Times New Roman"/>
                <w:color w:val="auto"/>
                <w:sz w:val="21"/>
                <w:szCs w:val="21"/>
                <w:lang w:val="en-US" w:eastAsia="zh-CN"/>
              </w:rPr>
              <w:t>个月</w:t>
            </w:r>
          </w:p>
        </w:tc>
      </w:tr>
      <w:tr w14:paraId="7F06B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70" w:type="dxa"/>
            <w:tcMar>
              <w:top w:w="16" w:type="dxa"/>
              <w:left w:w="16" w:type="dxa"/>
              <w:right w:w="16" w:type="dxa"/>
            </w:tcMar>
            <w:vAlign w:val="center"/>
          </w:tcPr>
          <w:p w14:paraId="06084F7B">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是否开工建设</w:t>
            </w:r>
          </w:p>
        </w:tc>
        <w:tc>
          <w:tcPr>
            <w:tcW w:w="2100" w:type="dxa"/>
            <w:vAlign w:val="center"/>
          </w:tcPr>
          <w:p w14:paraId="14FF11F0">
            <w:pPr>
              <w:pStyle w:val="36"/>
              <w:jc w:val="both"/>
              <w:rPr>
                <w:rFonts w:hint="default" w:ascii="Times New Roman" w:hAnsi="Times New Roman" w:cs="Times New Roman"/>
                <w:color w:val="auto"/>
                <w:sz w:val="21"/>
                <w:szCs w:val="21"/>
              </w:rPr>
            </w:pPr>
            <w:r>
              <w:rPr>
                <w:rFonts w:hint="eastAsia"/>
                <w:color w:val="auto"/>
              </w:rPr>
              <w:t>■</w:t>
            </w:r>
            <w:r>
              <w:rPr>
                <w:rFonts w:hint="default" w:ascii="Times New Roman" w:hAnsi="Times New Roman" w:cs="Times New Roman"/>
                <w:color w:val="auto"/>
                <w:sz w:val="21"/>
                <w:szCs w:val="21"/>
              </w:rPr>
              <w:t>否</w:t>
            </w:r>
          </w:p>
          <w:p w14:paraId="50A93B34">
            <w:pPr>
              <w:pStyle w:val="36"/>
              <w:jc w:val="both"/>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□是</w:t>
            </w:r>
          </w:p>
        </w:tc>
        <w:tc>
          <w:tcPr>
            <w:tcW w:w="1980" w:type="dxa"/>
            <w:tcMar>
              <w:top w:w="16" w:type="dxa"/>
              <w:left w:w="16" w:type="dxa"/>
              <w:right w:w="16" w:type="dxa"/>
            </w:tcMar>
            <w:vAlign w:val="center"/>
          </w:tcPr>
          <w:p w14:paraId="624FAA03">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用地（用海）面积（</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r>
              <w:rPr>
                <w:rFonts w:hint="default" w:ascii="Times New Roman" w:hAnsi="Times New Roman" w:cs="Times New Roman"/>
                <w:color w:val="auto"/>
                <w:sz w:val="21"/>
                <w:szCs w:val="21"/>
              </w:rPr>
              <w:t>）</w:t>
            </w:r>
          </w:p>
        </w:tc>
        <w:tc>
          <w:tcPr>
            <w:tcW w:w="2920" w:type="dxa"/>
            <w:vAlign w:val="center"/>
          </w:tcPr>
          <w:p w14:paraId="60972774">
            <w:pPr>
              <w:pStyle w:val="36"/>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20010</w:t>
            </w:r>
          </w:p>
        </w:tc>
      </w:tr>
      <w:tr w14:paraId="0DE48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0" w:type="dxa"/>
            <w:vAlign w:val="center"/>
          </w:tcPr>
          <w:p w14:paraId="06F24777">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专项评价设置情况</w:t>
            </w:r>
          </w:p>
        </w:tc>
        <w:tc>
          <w:tcPr>
            <w:tcW w:w="7000" w:type="dxa"/>
            <w:gridSpan w:val="3"/>
            <w:vAlign w:val="center"/>
          </w:tcPr>
          <w:p w14:paraId="13C47BC0">
            <w:pPr>
              <w:pStyle w:val="36"/>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无</w:t>
            </w:r>
          </w:p>
        </w:tc>
      </w:tr>
      <w:tr w14:paraId="35EC3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0" w:type="dxa"/>
            <w:vAlign w:val="center"/>
          </w:tcPr>
          <w:p w14:paraId="5E9AE9C1">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规划情况</w:t>
            </w:r>
          </w:p>
        </w:tc>
        <w:tc>
          <w:tcPr>
            <w:tcW w:w="7000" w:type="dxa"/>
            <w:gridSpan w:val="3"/>
            <w:vAlign w:val="center"/>
          </w:tcPr>
          <w:p w14:paraId="0E61E613">
            <w:pPr>
              <w:keepNext w:val="0"/>
              <w:keepLines w:val="0"/>
              <w:suppressLineNumbers w:val="0"/>
              <w:autoSpaceDE w:val="0"/>
              <w:autoSpaceDN w:val="0"/>
              <w:spacing w:before="0" w:beforeAutospacing="0" w:after="0" w:afterAutospacing="0"/>
              <w:ind w:left="0" w:right="0" w:firstLine="0" w:firstLineChars="0"/>
              <w:rPr>
                <w:rFonts w:hint="default"/>
                <w:color w:val="auto"/>
                <w:szCs w:val="24"/>
              </w:rPr>
            </w:pPr>
            <w:r>
              <w:rPr>
                <w:rFonts w:hint="eastAsia" w:cs="Times New Roman"/>
                <w:color w:val="auto"/>
                <w:kern w:val="0"/>
              </w:rPr>
              <w:t>规划名称：呼图壁工业园区总体</w:t>
            </w:r>
            <w:r>
              <w:rPr>
                <w:rFonts w:hint="eastAsia" w:cs="Times New Roman"/>
                <w:color w:val="auto"/>
                <w:kern w:val="0"/>
                <w:lang w:val="en-US" w:eastAsia="zh-CN"/>
              </w:rPr>
              <w:t>发展</w:t>
            </w:r>
            <w:r>
              <w:rPr>
                <w:rFonts w:hint="eastAsia" w:cs="Times New Roman"/>
                <w:color w:val="auto"/>
                <w:kern w:val="0"/>
              </w:rPr>
              <w:t>规划</w:t>
            </w:r>
            <w:r>
              <w:rPr>
                <w:rFonts w:hint="eastAsia"/>
                <w:color w:val="auto"/>
                <w:szCs w:val="24"/>
              </w:rPr>
              <w:t>(20</w:t>
            </w:r>
            <w:r>
              <w:rPr>
                <w:rFonts w:hint="eastAsia"/>
                <w:color w:val="auto"/>
                <w:szCs w:val="24"/>
                <w:lang w:val="en-US" w:eastAsia="zh-CN"/>
              </w:rPr>
              <w:t>21</w:t>
            </w:r>
            <w:r>
              <w:rPr>
                <w:rFonts w:hint="eastAsia"/>
                <w:color w:val="auto"/>
                <w:szCs w:val="24"/>
              </w:rPr>
              <w:t xml:space="preserve">-2035) </w:t>
            </w:r>
          </w:p>
          <w:p w14:paraId="7D2B9326">
            <w:pPr>
              <w:keepNext w:val="0"/>
              <w:keepLines w:val="0"/>
              <w:suppressLineNumbers w:val="0"/>
              <w:autoSpaceDE w:val="0"/>
              <w:autoSpaceDN w:val="0"/>
              <w:spacing w:before="0" w:beforeAutospacing="0" w:after="0" w:afterAutospacing="0"/>
              <w:ind w:left="0" w:right="0" w:firstLine="0" w:firstLineChars="0"/>
              <w:rPr>
                <w:rFonts w:hint="default" w:cs="Times New Roman"/>
                <w:color w:val="auto"/>
                <w:kern w:val="0"/>
              </w:rPr>
            </w:pPr>
            <w:r>
              <w:rPr>
                <w:rFonts w:hint="eastAsia"/>
                <w:color w:val="auto"/>
                <w:szCs w:val="24"/>
              </w:rPr>
              <w:t>审批机关：</w:t>
            </w:r>
            <w:r>
              <w:rPr>
                <w:rFonts w:hint="eastAsia" w:cs="Times New Roman"/>
                <w:color w:val="auto"/>
                <w:kern w:val="0"/>
              </w:rPr>
              <w:t>新疆维吾尔自治区人民政府</w:t>
            </w:r>
          </w:p>
          <w:p w14:paraId="2F202072">
            <w:pPr>
              <w:keepNext w:val="0"/>
              <w:keepLines w:val="0"/>
              <w:suppressLineNumbers w:val="0"/>
              <w:autoSpaceDE w:val="0"/>
              <w:autoSpaceDN w:val="0"/>
              <w:spacing w:before="0" w:beforeAutospacing="0" w:after="0" w:afterAutospacing="0"/>
              <w:ind w:left="0" w:leftChars="0" w:right="0" w:rightChars="0" w:firstLine="0" w:firstLineChars="0"/>
              <w:rPr>
                <w:rFonts w:hint="default" w:ascii="Times New Roman" w:hAnsi="Times New Roman" w:cs="Times New Roman"/>
                <w:color w:val="auto"/>
                <w:sz w:val="21"/>
                <w:szCs w:val="21"/>
                <w:lang w:val="en-US" w:eastAsia="zh-CN"/>
              </w:rPr>
            </w:pPr>
            <w:r>
              <w:rPr>
                <w:rFonts w:hint="eastAsia" w:cs="Times New Roman"/>
                <w:color w:val="auto"/>
                <w:kern w:val="0"/>
                <w:highlight w:val="none"/>
              </w:rPr>
              <w:t>审批文件名称及文号：</w:t>
            </w:r>
            <w:r>
              <w:rPr>
                <w:rFonts w:hint="eastAsia" w:cs="Times New Roman"/>
                <w:color w:val="auto"/>
                <w:kern w:val="0"/>
                <w:highlight w:val="none"/>
                <w:lang w:val="en-US" w:eastAsia="zh-CN"/>
              </w:rPr>
              <w:t>《</w:t>
            </w:r>
            <w:r>
              <w:rPr>
                <w:rFonts w:hint="eastAsia" w:cs="Times New Roman"/>
                <w:color w:val="auto"/>
                <w:kern w:val="0"/>
                <w:highlight w:val="none"/>
              </w:rPr>
              <w:t>呼图壁工业园区总体</w:t>
            </w:r>
            <w:r>
              <w:rPr>
                <w:rFonts w:hint="eastAsia" w:cs="Times New Roman"/>
                <w:color w:val="auto"/>
                <w:kern w:val="0"/>
                <w:highlight w:val="none"/>
                <w:lang w:val="en-US" w:eastAsia="zh-CN"/>
              </w:rPr>
              <w:t>发展</w:t>
            </w:r>
            <w:r>
              <w:rPr>
                <w:rFonts w:hint="eastAsia" w:cs="Times New Roman"/>
                <w:color w:val="auto"/>
                <w:kern w:val="0"/>
                <w:highlight w:val="none"/>
              </w:rPr>
              <w:t>规划</w:t>
            </w:r>
            <w:r>
              <w:rPr>
                <w:rFonts w:hint="eastAsia"/>
                <w:color w:val="auto"/>
                <w:szCs w:val="24"/>
                <w:highlight w:val="none"/>
              </w:rPr>
              <w:t>(20</w:t>
            </w:r>
            <w:r>
              <w:rPr>
                <w:rFonts w:hint="eastAsia"/>
                <w:color w:val="auto"/>
                <w:szCs w:val="24"/>
                <w:highlight w:val="none"/>
                <w:lang w:val="en-US" w:eastAsia="zh-CN"/>
              </w:rPr>
              <w:t>21</w:t>
            </w:r>
            <w:r>
              <w:rPr>
                <w:rFonts w:hint="eastAsia"/>
                <w:color w:val="auto"/>
                <w:szCs w:val="24"/>
                <w:highlight w:val="none"/>
              </w:rPr>
              <w:t xml:space="preserve">-2035) </w:t>
            </w:r>
            <w:r>
              <w:rPr>
                <w:rFonts w:hint="eastAsia" w:cs="Times New Roman"/>
                <w:color w:val="auto"/>
                <w:kern w:val="0"/>
                <w:highlight w:val="none"/>
                <w:lang w:val="en-US" w:eastAsia="zh-CN"/>
              </w:rPr>
              <w:t>》目前</w:t>
            </w:r>
            <w:r>
              <w:rPr>
                <w:rFonts w:hint="eastAsia"/>
                <w:color w:val="auto"/>
                <w:szCs w:val="24"/>
                <w:highlight w:val="none"/>
                <w:lang w:val="en-US" w:eastAsia="zh-CN"/>
              </w:rPr>
              <w:t>正在审查中</w:t>
            </w:r>
          </w:p>
        </w:tc>
      </w:tr>
      <w:tr w14:paraId="31544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0" w:type="dxa"/>
            <w:vAlign w:val="center"/>
          </w:tcPr>
          <w:p w14:paraId="5E8C78D2">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规划环境影响</w:t>
            </w:r>
          </w:p>
          <w:p w14:paraId="740C8C3E">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评价情况</w:t>
            </w:r>
          </w:p>
        </w:tc>
        <w:tc>
          <w:tcPr>
            <w:tcW w:w="7000" w:type="dxa"/>
            <w:gridSpan w:val="3"/>
            <w:vAlign w:val="center"/>
          </w:tcPr>
          <w:p w14:paraId="39E5EEB4">
            <w:pPr>
              <w:keepNext w:val="0"/>
              <w:keepLines w:val="0"/>
              <w:suppressLineNumbers w:val="0"/>
              <w:autoSpaceDE w:val="0"/>
              <w:autoSpaceDN w:val="0"/>
              <w:spacing w:before="0" w:beforeAutospacing="0" w:after="0" w:afterAutospacing="0"/>
              <w:ind w:left="0" w:right="0" w:firstLine="0" w:firstLineChars="0"/>
              <w:rPr>
                <w:rFonts w:hint="default"/>
                <w:color w:val="auto"/>
                <w:szCs w:val="24"/>
              </w:rPr>
            </w:pPr>
            <w:r>
              <w:rPr>
                <w:rFonts w:hint="eastAsia"/>
                <w:color w:val="auto"/>
                <w:szCs w:val="24"/>
              </w:rPr>
              <w:t>规划环评名称：呼图壁工业园区总体</w:t>
            </w:r>
            <w:r>
              <w:rPr>
                <w:rFonts w:hint="eastAsia"/>
                <w:color w:val="auto"/>
                <w:szCs w:val="24"/>
                <w:lang w:val="en-US" w:eastAsia="zh-CN"/>
              </w:rPr>
              <w:t>发展</w:t>
            </w:r>
            <w:r>
              <w:rPr>
                <w:rFonts w:hint="eastAsia"/>
                <w:color w:val="auto"/>
                <w:szCs w:val="24"/>
              </w:rPr>
              <w:t>规划(20</w:t>
            </w:r>
            <w:r>
              <w:rPr>
                <w:rFonts w:hint="eastAsia"/>
                <w:color w:val="auto"/>
                <w:szCs w:val="24"/>
                <w:lang w:val="en-US" w:eastAsia="zh-CN"/>
              </w:rPr>
              <w:t>21</w:t>
            </w:r>
            <w:r>
              <w:rPr>
                <w:rFonts w:hint="eastAsia"/>
                <w:color w:val="auto"/>
                <w:szCs w:val="24"/>
              </w:rPr>
              <w:t>-2035) 环境影响报告书</w:t>
            </w:r>
          </w:p>
          <w:p w14:paraId="1E04D360">
            <w:pPr>
              <w:keepNext w:val="0"/>
              <w:keepLines w:val="0"/>
              <w:suppressLineNumbers w:val="0"/>
              <w:autoSpaceDE w:val="0"/>
              <w:autoSpaceDN w:val="0"/>
              <w:spacing w:before="0" w:beforeAutospacing="0" w:after="0" w:afterAutospacing="0"/>
              <w:ind w:left="0" w:right="0" w:firstLine="0" w:firstLineChars="0"/>
              <w:rPr>
                <w:rFonts w:hint="default"/>
                <w:color w:val="auto"/>
                <w:szCs w:val="24"/>
              </w:rPr>
            </w:pPr>
            <w:r>
              <w:rPr>
                <w:rFonts w:hint="eastAsia"/>
                <w:color w:val="auto"/>
                <w:szCs w:val="24"/>
              </w:rPr>
              <w:t>召集审查机关：新疆维吾尔自治区生态环境厅</w:t>
            </w:r>
          </w:p>
          <w:p w14:paraId="35606577">
            <w:pPr>
              <w:keepNext w:val="0"/>
              <w:keepLines w:val="0"/>
              <w:suppressLineNumbers w:val="0"/>
              <w:autoSpaceDE w:val="0"/>
              <w:autoSpaceDN w:val="0"/>
              <w:spacing w:before="0" w:beforeAutospacing="0" w:after="0" w:afterAutospacing="0"/>
              <w:ind w:left="0" w:leftChars="0" w:right="0" w:rightChars="0" w:firstLine="0" w:firstLineChars="0"/>
              <w:rPr>
                <w:rFonts w:hint="default" w:ascii="Times New Roman" w:hAnsi="Times New Roman" w:cs="Times New Roman"/>
                <w:color w:val="auto"/>
                <w:sz w:val="21"/>
                <w:szCs w:val="21"/>
                <w:lang w:val="en-US" w:eastAsia="zh-CN"/>
              </w:rPr>
            </w:pPr>
            <w:r>
              <w:rPr>
                <w:rFonts w:hint="eastAsia"/>
                <w:color w:val="auto"/>
                <w:szCs w:val="24"/>
              </w:rPr>
              <w:t>审查文件名称及文号：关于</w:t>
            </w:r>
            <w:r>
              <w:rPr>
                <w:rFonts w:hint="eastAsia"/>
                <w:color w:val="auto"/>
                <w:szCs w:val="24"/>
                <w:lang w:eastAsia="zh-CN"/>
              </w:rPr>
              <w:t>《</w:t>
            </w:r>
            <w:r>
              <w:rPr>
                <w:rFonts w:hint="eastAsia"/>
                <w:color w:val="auto"/>
                <w:szCs w:val="24"/>
              </w:rPr>
              <w:t>呼图璧工业园区总体</w:t>
            </w:r>
            <w:r>
              <w:rPr>
                <w:rFonts w:hint="eastAsia"/>
                <w:color w:val="auto"/>
                <w:szCs w:val="24"/>
                <w:lang w:val="en-US" w:eastAsia="zh-CN"/>
              </w:rPr>
              <w:t>发展</w:t>
            </w:r>
            <w:r>
              <w:rPr>
                <w:rFonts w:hint="eastAsia"/>
                <w:color w:val="auto"/>
                <w:szCs w:val="24"/>
              </w:rPr>
              <w:t>规划( 20</w:t>
            </w:r>
            <w:r>
              <w:rPr>
                <w:rFonts w:hint="eastAsia"/>
                <w:color w:val="auto"/>
                <w:szCs w:val="24"/>
                <w:lang w:val="en-US" w:eastAsia="zh-CN"/>
              </w:rPr>
              <w:t>21</w:t>
            </w:r>
            <w:r>
              <w:rPr>
                <w:rFonts w:hint="eastAsia"/>
                <w:color w:val="auto"/>
                <w:szCs w:val="24"/>
              </w:rPr>
              <w:t>-2035 )环境影响报告书》的审查意见(新环</w:t>
            </w:r>
            <w:r>
              <w:rPr>
                <w:rFonts w:hint="eastAsia"/>
                <w:color w:val="auto"/>
                <w:szCs w:val="24"/>
                <w:lang w:val="en-US" w:eastAsia="zh-CN"/>
              </w:rPr>
              <w:t>审</w:t>
            </w:r>
            <w:r>
              <w:rPr>
                <w:rFonts w:hint="eastAsia" w:cs="Times New Roman"/>
                <w:color w:val="auto"/>
                <w:kern w:val="0"/>
              </w:rPr>
              <w:t>[20</w:t>
            </w:r>
            <w:r>
              <w:rPr>
                <w:rFonts w:hint="eastAsia" w:cs="Times New Roman"/>
                <w:color w:val="auto"/>
                <w:kern w:val="0"/>
                <w:lang w:val="en-US" w:eastAsia="zh-CN"/>
              </w:rPr>
              <w:t>23</w:t>
            </w:r>
            <w:r>
              <w:rPr>
                <w:rFonts w:hint="eastAsia" w:cs="Times New Roman"/>
                <w:color w:val="auto"/>
                <w:kern w:val="0"/>
              </w:rPr>
              <w:t>]</w:t>
            </w:r>
            <w:r>
              <w:rPr>
                <w:rFonts w:hint="eastAsia"/>
                <w:color w:val="auto"/>
                <w:szCs w:val="24"/>
                <w:lang w:val="en-US" w:eastAsia="zh-CN"/>
              </w:rPr>
              <w:t>30</w:t>
            </w:r>
            <w:r>
              <w:rPr>
                <w:rFonts w:hint="eastAsia"/>
                <w:color w:val="auto"/>
                <w:szCs w:val="24"/>
              </w:rPr>
              <w:t>4号)</w:t>
            </w:r>
          </w:p>
        </w:tc>
      </w:tr>
      <w:tr w14:paraId="40847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0" w:type="dxa"/>
            <w:vAlign w:val="center"/>
          </w:tcPr>
          <w:p w14:paraId="0428E32F">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规划及规划环境影响评价符合性分析</w:t>
            </w:r>
          </w:p>
        </w:tc>
        <w:tc>
          <w:tcPr>
            <w:tcW w:w="7000" w:type="dxa"/>
            <w:gridSpan w:val="3"/>
            <w:vAlign w:val="center"/>
          </w:tcPr>
          <w:p w14:paraId="5B56EC20">
            <w:pPr>
              <w:keepNext w:val="0"/>
              <w:keepLines w:val="0"/>
              <w:suppressLineNumbers w:val="0"/>
              <w:autoSpaceDE w:val="0"/>
              <w:autoSpaceDN w:val="0"/>
              <w:spacing w:before="0" w:beforeAutospacing="0" w:after="0" w:afterAutospacing="0"/>
              <w:ind w:left="0" w:right="0" w:firstLine="0" w:firstLineChars="0"/>
              <w:rPr>
                <w:rFonts w:hint="default" w:eastAsia="宋体"/>
                <w:b/>
                <w:bCs/>
                <w:color w:val="auto"/>
                <w:szCs w:val="24"/>
                <w:lang w:val="en-US" w:eastAsia="zh-CN"/>
              </w:rPr>
            </w:pPr>
            <w:r>
              <w:rPr>
                <w:rFonts w:hint="eastAsia" w:cs="Times New Roman"/>
                <w:b/>
                <w:bCs/>
                <w:color w:val="auto"/>
                <w:kern w:val="0"/>
                <w:lang w:val="en-US" w:eastAsia="zh-CN"/>
              </w:rPr>
              <w:t>1、与《</w:t>
            </w:r>
            <w:r>
              <w:rPr>
                <w:rFonts w:hint="eastAsia" w:cs="Times New Roman"/>
                <w:b/>
                <w:bCs/>
                <w:color w:val="auto"/>
                <w:kern w:val="0"/>
              </w:rPr>
              <w:t>呼图壁工业园区总体</w:t>
            </w:r>
            <w:r>
              <w:rPr>
                <w:rFonts w:hint="eastAsia" w:cs="Times New Roman"/>
                <w:b/>
                <w:bCs/>
                <w:color w:val="auto"/>
                <w:kern w:val="0"/>
                <w:lang w:val="en-US" w:eastAsia="zh-CN"/>
              </w:rPr>
              <w:t>发展</w:t>
            </w:r>
            <w:r>
              <w:rPr>
                <w:rFonts w:hint="eastAsia" w:cs="Times New Roman"/>
                <w:b/>
                <w:bCs/>
                <w:color w:val="auto"/>
                <w:kern w:val="0"/>
              </w:rPr>
              <w:t>规划</w:t>
            </w:r>
            <w:r>
              <w:rPr>
                <w:rFonts w:hint="eastAsia"/>
                <w:b/>
                <w:bCs/>
                <w:color w:val="auto"/>
                <w:szCs w:val="24"/>
              </w:rPr>
              <w:t>(20</w:t>
            </w:r>
            <w:r>
              <w:rPr>
                <w:rFonts w:hint="eastAsia"/>
                <w:b/>
                <w:bCs/>
                <w:color w:val="auto"/>
                <w:szCs w:val="24"/>
                <w:lang w:val="en-US" w:eastAsia="zh-CN"/>
              </w:rPr>
              <w:t>21</w:t>
            </w:r>
            <w:r>
              <w:rPr>
                <w:rFonts w:hint="eastAsia"/>
                <w:b/>
                <w:bCs/>
                <w:color w:val="auto"/>
                <w:szCs w:val="24"/>
              </w:rPr>
              <w:t>-2035)</w:t>
            </w:r>
            <w:r>
              <w:rPr>
                <w:rFonts w:hint="eastAsia" w:cs="Times New Roman"/>
                <w:b/>
                <w:bCs/>
                <w:color w:val="auto"/>
                <w:kern w:val="0"/>
                <w:lang w:val="en-US" w:eastAsia="zh-CN"/>
              </w:rPr>
              <w:t>》</w:t>
            </w:r>
            <w:r>
              <w:rPr>
                <w:rFonts w:hint="eastAsia"/>
                <w:b/>
                <w:bCs/>
                <w:color w:val="auto"/>
                <w:szCs w:val="24"/>
              </w:rPr>
              <w:t xml:space="preserve"> </w:t>
            </w:r>
            <w:r>
              <w:rPr>
                <w:rFonts w:hint="eastAsia"/>
                <w:b/>
                <w:bCs/>
                <w:color w:val="auto"/>
                <w:szCs w:val="24"/>
                <w:lang w:val="en-US" w:eastAsia="zh-CN"/>
              </w:rPr>
              <w:t xml:space="preserve">符合性分析 </w:t>
            </w:r>
          </w:p>
          <w:p w14:paraId="24A9EFB6">
            <w:pPr>
              <w:keepNext w:val="0"/>
              <w:keepLines w:val="0"/>
              <w:suppressLineNumbers w:val="0"/>
              <w:spacing w:before="0" w:beforeAutospacing="0" w:after="0" w:afterAutospacing="0"/>
              <w:ind w:left="0" w:right="0" w:firstLine="420"/>
              <w:rPr>
                <w:rFonts w:hint="eastAsia" w:eastAsia="宋体"/>
                <w:color w:val="auto"/>
                <w:szCs w:val="24"/>
                <w:lang w:val="en-US" w:eastAsia="zh-CN"/>
              </w:rPr>
            </w:pPr>
            <w:r>
              <w:rPr>
                <w:rFonts w:hint="eastAsia" w:eastAsia="宋体"/>
                <w:color w:val="auto"/>
                <w:szCs w:val="24"/>
                <w:lang w:val="en-US" w:eastAsia="zh-CN"/>
              </w:rPr>
              <w:t>呼图壁县工业园总体规划为一园三区，其中中区（轻工产业园）产业空间布局重点发展农副食品加工产业、纺织服装产业、生物医药产业可发展，物流仓储。</w:t>
            </w:r>
          </w:p>
          <w:p w14:paraId="7541E207">
            <w:pPr>
              <w:pStyle w:val="8"/>
              <w:rPr>
                <w:rFonts w:hint="default" w:eastAsia="宋体"/>
                <w:color w:val="auto"/>
                <w:szCs w:val="24"/>
                <w:lang w:val="en-US" w:eastAsia="zh-CN"/>
              </w:rPr>
            </w:pPr>
            <w:r>
              <w:rPr>
                <w:rFonts w:hint="eastAsia"/>
                <w:color w:val="auto"/>
                <w:highlight w:val="none"/>
                <w:lang w:val="en-US" w:eastAsia="zh-CN"/>
              </w:rPr>
              <w:t>本项目属于驼奶产业建设，由呼图壁县人民政府招商引资项目，其</w:t>
            </w:r>
            <w:r>
              <w:rPr>
                <w:rFonts w:hint="eastAsia" w:eastAsia="宋体"/>
                <w:color w:val="auto"/>
                <w:szCs w:val="24"/>
                <w:highlight w:val="none"/>
                <w:lang w:val="en-US" w:eastAsia="zh-CN"/>
              </w:rPr>
              <w:t>项目合同书</w:t>
            </w:r>
            <w:r>
              <w:rPr>
                <w:rFonts w:hint="eastAsia"/>
                <w:color w:val="auto"/>
                <w:szCs w:val="24"/>
                <w:highlight w:val="none"/>
                <w:lang w:val="en-US" w:eastAsia="zh-CN"/>
              </w:rPr>
              <w:t>中选址位于中区中的纺织服装区</w:t>
            </w:r>
            <w:r>
              <w:rPr>
                <w:rFonts w:hint="default" w:ascii="Times New Roman" w:hAnsi="Times New Roman" w:cs="Times New Roman"/>
                <w:color w:val="auto"/>
                <w:sz w:val="21"/>
                <w:szCs w:val="21"/>
                <w:highlight w:val="none"/>
                <w:lang w:val="en-US" w:eastAsia="zh-CN"/>
              </w:rPr>
              <w:t>缘琪纺织产业园食品区</w:t>
            </w:r>
            <w:r>
              <w:rPr>
                <w:rFonts w:hint="eastAsia" w:cs="Times New Roman"/>
                <w:color w:val="auto"/>
                <w:sz w:val="21"/>
                <w:szCs w:val="21"/>
                <w:highlight w:val="none"/>
                <w:lang w:val="en-US" w:eastAsia="zh-CN"/>
              </w:rPr>
              <w:t>，</w:t>
            </w:r>
            <w:r>
              <w:rPr>
                <w:rFonts w:hint="eastAsia" w:eastAsia="宋体"/>
                <w:color w:val="auto"/>
                <w:szCs w:val="24"/>
                <w:highlight w:val="none"/>
                <w:lang w:val="en-US" w:eastAsia="zh-CN"/>
              </w:rPr>
              <w:t>原则上不符合中区空间结构</w:t>
            </w:r>
            <w:r>
              <w:rPr>
                <w:rFonts w:hint="eastAsia"/>
                <w:color w:val="auto"/>
                <w:szCs w:val="24"/>
                <w:highlight w:val="none"/>
                <w:lang w:val="en-US" w:eastAsia="zh-CN"/>
              </w:rPr>
              <w:t>，建议优化调整，使其符合中区整体规划要求。</w:t>
            </w:r>
          </w:p>
          <w:p w14:paraId="36CC8F3D">
            <w:pPr>
              <w:keepNext w:val="0"/>
              <w:keepLines w:val="0"/>
              <w:numPr>
                <w:ilvl w:val="0"/>
                <w:numId w:val="0"/>
              </w:numPr>
              <w:suppressLineNumbers w:val="0"/>
              <w:spacing w:before="0" w:beforeAutospacing="0" w:after="0" w:afterAutospacing="0"/>
              <w:ind w:left="0" w:leftChars="0" w:right="0" w:rightChars="0"/>
              <w:rPr>
                <w:rFonts w:hint="eastAsia"/>
                <w:b/>
                <w:bCs/>
                <w:color w:val="auto"/>
                <w:szCs w:val="24"/>
                <w:lang w:val="en-US" w:eastAsia="zh-CN"/>
              </w:rPr>
            </w:pPr>
            <w:r>
              <w:rPr>
                <w:rFonts w:hint="eastAsia"/>
                <w:b/>
                <w:bCs/>
                <w:color w:val="auto"/>
                <w:szCs w:val="24"/>
                <w:lang w:val="en-US" w:eastAsia="zh-CN"/>
              </w:rPr>
              <w:t>2、与《</w:t>
            </w:r>
            <w:r>
              <w:rPr>
                <w:rFonts w:hint="eastAsia" w:cs="Times New Roman"/>
                <w:b/>
                <w:bCs/>
                <w:color w:val="auto"/>
                <w:kern w:val="0"/>
              </w:rPr>
              <w:t>呼图壁工业园区总体</w:t>
            </w:r>
            <w:r>
              <w:rPr>
                <w:rFonts w:hint="eastAsia" w:cs="Times New Roman"/>
                <w:b/>
                <w:bCs/>
                <w:color w:val="auto"/>
                <w:kern w:val="0"/>
                <w:lang w:val="en-US" w:eastAsia="zh-CN"/>
              </w:rPr>
              <w:t>发展</w:t>
            </w:r>
            <w:r>
              <w:rPr>
                <w:rFonts w:hint="eastAsia" w:cs="Times New Roman"/>
                <w:b/>
                <w:bCs/>
                <w:color w:val="auto"/>
                <w:kern w:val="0"/>
              </w:rPr>
              <w:t>规划</w:t>
            </w:r>
            <w:r>
              <w:rPr>
                <w:rFonts w:hint="eastAsia"/>
                <w:b/>
                <w:bCs/>
                <w:color w:val="auto"/>
                <w:szCs w:val="24"/>
              </w:rPr>
              <w:t>(20</w:t>
            </w:r>
            <w:r>
              <w:rPr>
                <w:rFonts w:hint="eastAsia"/>
                <w:b/>
                <w:bCs/>
                <w:color w:val="auto"/>
                <w:szCs w:val="24"/>
                <w:lang w:val="en-US" w:eastAsia="zh-CN"/>
              </w:rPr>
              <w:t>21</w:t>
            </w:r>
            <w:r>
              <w:rPr>
                <w:rFonts w:hint="eastAsia"/>
                <w:b/>
                <w:bCs/>
                <w:color w:val="auto"/>
                <w:szCs w:val="24"/>
              </w:rPr>
              <w:t>-2035)</w:t>
            </w:r>
            <w:r>
              <w:rPr>
                <w:rFonts w:hint="eastAsia"/>
                <w:b/>
                <w:bCs/>
                <w:color w:val="auto"/>
                <w:szCs w:val="24"/>
                <w:lang w:val="en-US" w:eastAsia="zh-CN"/>
              </w:rPr>
              <w:t>》规划环评及审查意见的符合性分析</w:t>
            </w:r>
          </w:p>
          <w:p w14:paraId="7BDB48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420" w:firstLineChars="200"/>
              <w:textAlignment w:val="auto"/>
              <w:rPr>
                <w:rFonts w:hint="eastAsia"/>
                <w:color w:val="auto"/>
                <w:szCs w:val="24"/>
                <w:lang w:val="en-US" w:eastAsia="zh-CN"/>
              </w:rPr>
            </w:pPr>
            <w:r>
              <w:rPr>
                <w:rFonts w:hint="eastAsia"/>
                <w:color w:val="auto"/>
                <w:szCs w:val="24"/>
                <w:lang w:val="en-US" w:eastAsia="zh-CN"/>
              </w:rPr>
              <w:t>项目与规划环评及审查意见的符合性分析详见下表。</w:t>
            </w:r>
          </w:p>
          <w:p w14:paraId="0D5814BE">
            <w:pPr>
              <w:pStyle w:val="33"/>
              <w:keepNext w:val="0"/>
              <w:keepLines w:val="0"/>
              <w:suppressLineNumbers w:val="0"/>
              <w:bidi w:val="0"/>
              <w:spacing w:before="0" w:beforeAutospacing="0" w:after="0" w:afterAutospacing="0"/>
              <w:ind w:left="0" w:right="0"/>
              <w:jc w:val="center"/>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表1</w:t>
            </w:r>
            <w:r>
              <w:rPr>
                <w:rFonts w:hint="eastAsia" w:cs="Times New Roman"/>
                <w:b/>
                <w:bCs/>
                <w:color w:val="auto"/>
                <w:kern w:val="2"/>
                <w:sz w:val="21"/>
                <w:szCs w:val="21"/>
                <w:lang w:val="en-US" w:eastAsia="zh-CN" w:bidi="ar-SA"/>
              </w:rPr>
              <w:t xml:space="preserve">-1  </w:t>
            </w:r>
            <w:r>
              <w:rPr>
                <w:rFonts w:hint="eastAsia" w:ascii="Times New Roman" w:hAnsi="Times New Roman" w:eastAsia="宋体" w:cs="Times New Roman"/>
                <w:b/>
                <w:bCs/>
                <w:color w:val="auto"/>
                <w:kern w:val="2"/>
                <w:sz w:val="21"/>
                <w:szCs w:val="21"/>
                <w:lang w:val="en-US" w:eastAsia="zh-CN" w:bidi="ar-SA"/>
              </w:rPr>
              <w:t>与规划环评及审查意见的符合性分析表</w:t>
            </w:r>
          </w:p>
          <w:tbl>
            <w:tblPr>
              <w:tblStyle w:val="20"/>
              <w:tblW w:w="678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3239"/>
            </w:tblGrid>
            <w:tr w14:paraId="2408FE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544" w:type="dxa"/>
                  <w:tcBorders>
                    <w:tl2br w:val="nil"/>
                    <w:tr2bl w:val="nil"/>
                  </w:tcBorders>
                  <w:vAlign w:val="center"/>
                </w:tcPr>
                <w:p w14:paraId="4C0DE301">
                  <w:pPr>
                    <w:pStyle w:val="36"/>
                    <w:keepNext w:val="0"/>
                    <w:keepLines w:val="0"/>
                    <w:suppressLineNumbers w:val="0"/>
                    <w:spacing w:before="0" w:beforeAutospacing="0" w:after="0" w:afterAutospacing="0"/>
                    <w:ind w:left="0" w:right="0"/>
                    <w:rPr>
                      <w:rFonts w:hint="default"/>
                      <w:color w:val="auto"/>
                    </w:rPr>
                  </w:pPr>
                  <w:r>
                    <w:rPr>
                      <w:rFonts w:hint="eastAsia"/>
                      <w:b w:val="0"/>
                      <w:bCs w:val="0"/>
                      <w:color w:val="auto"/>
                      <w:lang w:val="en-US" w:eastAsia="zh-CN"/>
                    </w:rPr>
                    <w:t>规划环评及</w:t>
                  </w:r>
                  <w:r>
                    <w:rPr>
                      <w:rFonts w:hint="eastAsia"/>
                      <w:b w:val="0"/>
                      <w:bCs w:val="0"/>
                      <w:color w:val="auto"/>
                    </w:rPr>
                    <w:t>审查意见</w:t>
                  </w:r>
                  <w:r>
                    <w:rPr>
                      <w:rFonts w:hint="eastAsia"/>
                      <w:b w:val="0"/>
                      <w:bCs w:val="0"/>
                      <w:color w:val="auto"/>
                      <w:lang w:val="en-US" w:eastAsia="zh-CN"/>
                    </w:rPr>
                    <w:t>具体</w:t>
                  </w:r>
                  <w:r>
                    <w:rPr>
                      <w:rFonts w:hint="eastAsia"/>
                      <w:color w:val="auto"/>
                    </w:rPr>
                    <w:t>要求</w:t>
                  </w:r>
                </w:p>
              </w:tc>
              <w:tc>
                <w:tcPr>
                  <w:tcW w:w="3239" w:type="dxa"/>
                  <w:tcBorders>
                    <w:tl2br w:val="nil"/>
                    <w:tr2bl w:val="nil"/>
                  </w:tcBorders>
                  <w:vAlign w:val="center"/>
                </w:tcPr>
                <w:p w14:paraId="6C877325">
                  <w:pPr>
                    <w:pStyle w:val="36"/>
                    <w:keepNext w:val="0"/>
                    <w:keepLines w:val="0"/>
                    <w:suppressLineNumbers w:val="0"/>
                    <w:spacing w:before="0" w:beforeAutospacing="0" w:after="0" w:afterAutospacing="0"/>
                    <w:ind w:left="0" w:right="0"/>
                    <w:rPr>
                      <w:rFonts w:hint="default"/>
                      <w:color w:val="auto"/>
                    </w:rPr>
                  </w:pPr>
                  <w:r>
                    <w:rPr>
                      <w:rFonts w:hint="eastAsia"/>
                      <w:color w:val="auto"/>
                    </w:rPr>
                    <w:t>本项目分析</w:t>
                  </w:r>
                </w:p>
              </w:tc>
            </w:tr>
            <w:tr w14:paraId="71B803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44" w:type="dxa"/>
                  <w:tcBorders>
                    <w:tl2br w:val="nil"/>
                    <w:tr2bl w:val="nil"/>
                  </w:tcBorders>
                  <w:vAlign w:val="center"/>
                </w:tcPr>
                <w:p w14:paraId="0231AAA8">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color w:val="auto"/>
                    </w:rPr>
                  </w:pPr>
                  <w:r>
                    <w:rPr>
                      <w:rFonts w:hint="default"/>
                      <w:color w:val="auto"/>
                      <w:lang w:val="en-US" w:eastAsia="zh-CN"/>
                    </w:rPr>
                    <w:t>坚持绿色发展，坚决遏制“两高”行业盲目发展，优化园区产业结构、规划布局和实施时序。</w:t>
                  </w:r>
                </w:p>
              </w:tc>
              <w:tc>
                <w:tcPr>
                  <w:tcW w:w="3239" w:type="dxa"/>
                  <w:tcBorders>
                    <w:tl2br w:val="nil"/>
                    <w:tr2bl w:val="nil"/>
                  </w:tcBorders>
                  <w:vAlign w:val="center"/>
                </w:tcPr>
                <w:p w14:paraId="0000E8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Times New Roman" w:hAnsi="Times New Roman" w:eastAsia="宋体" w:cstheme="minorBidi"/>
                      <w:color w:val="auto"/>
                      <w:kern w:val="0"/>
                      <w:sz w:val="21"/>
                      <w:szCs w:val="21"/>
                      <w:lang w:val="en-US" w:eastAsia="zh-CN" w:bidi="ar-SA"/>
                    </w:rPr>
                  </w:pPr>
                  <w:r>
                    <w:rPr>
                      <w:rFonts w:hint="eastAsia" w:ascii="Times New Roman" w:hAnsi="Times New Roman" w:eastAsia="宋体" w:cstheme="minorBidi"/>
                      <w:color w:val="auto"/>
                      <w:kern w:val="0"/>
                      <w:sz w:val="21"/>
                      <w:szCs w:val="21"/>
                      <w:lang w:val="en-US" w:eastAsia="zh-CN" w:bidi="ar-SA"/>
                    </w:rPr>
                    <w:t>本项目</w:t>
                  </w:r>
                  <w:r>
                    <w:rPr>
                      <w:rFonts w:hint="eastAsia" w:cstheme="minorBidi"/>
                      <w:color w:val="auto"/>
                      <w:kern w:val="0"/>
                      <w:sz w:val="21"/>
                      <w:szCs w:val="21"/>
                      <w:lang w:val="en-US" w:eastAsia="zh-CN" w:bidi="ar-SA"/>
                    </w:rPr>
                    <w:t>属于驼奶产业</w:t>
                  </w:r>
                  <w:r>
                    <w:rPr>
                      <w:rFonts w:hint="eastAsia" w:ascii="Times New Roman" w:hAnsi="Times New Roman" w:eastAsia="宋体" w:cstheme="minorBidi"/>
                      <w:color w:val="auto"/>
                      <w:kern w:val="0"/>
                      <w:sz w:val="21"/>
                      <w:szCs w:val="21"/>
                      <w:lang w:val="en-US" w:eastAsia="zh-CN" w:bidi="ar-SA"/>
                    </w:rPr>
                    <w:t>，属于</w:t>
                  </w:r>
                  <w:r>
                    <w:rPr>
                      <w:rFonts w:hint="eastAsia" w:cstheme="minorBidi"/>
                      <w:color w:val="auto"/>
                      <w:kern w:val="0"/>
                      <w:sz w:val="21"/>
                      <w:szCs w:val="21"/>
                      <w:lang w:val="en-US" w:eastAsia="zh-CN" w:bidi="ar-SA"/>
                    </w:rPr>
                    <w:t>呼图壁县工业园区中区</w:t>
                  </w:r>
                  <w:r>
                    <w:rPr>
                      <w:rFonts w:hint="eastAsia"/>
                      <w:color w:val="auto"/>
                      <w:szCs w:val="24"/>
                      <w:lang w:val="en-US" w:eastAsia="zh-CN"/>
                    </w:rPr>
                    <w:t>轻纺食品产业区</w:t>
                  </w:r>
                  <w:r>
                    <w:rPr>
                      <w:rFonts w:hint="eastAsia" w:ascii="Times New Roman" w:hAnsi="Times New Roman" w:eastAsia="宋体" w:cstheme="minorBidi"/>
                      <w:color w:val="auto"/>
                      <w:kern w:val="0"/>
                      <w:sz w:val="21"/>
                      <w:szCs w:val="21"/>
                      <w:lang w:val="en-US" w:eastAsia="zh-CN" w:bidi="ar-SA"/>
                    </w:rPr>
                    <w:t>，不属于“两高”项目，符合园区产业定位。</w:t>
                  </w:r>
                </w:p>
              </w:tc>
            </w:tr>
            <w:tr w14:paraId="30B35A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544" w:type="dxa"/>
                  <w:tcBorders>
                    <w:tl2br w:val="nil"/>
                    <w:tr2bl w:val="nil"/>
                  </w:tcBorders>
                  <w:vAlign w:val="center"/>
                </w:tcPr>
                <w:p w14:paraId="3731D3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color w:val="auto"/>
                    </w:rPr>
                  </w:pPr>
                  <w:r>
                    <w:rPr>
                      <w:rFonts w:hint="default"/>
                      <w:color w:val="auto"/>
                      <w:lang w:val="en-US" w:eastAsia="zh-CN"/>
                    </w:rPr>
                    <w:t>落实重点区域大气污染物“倍量替代”要求，严守生态保护红线及污染物总量控制</w:t>
                  </w:r>
                  <w:r>
                    <w:rPr>
                      <w:rFonts w:hint="eastAsia"/>
                      <w:color w:val="auto"/>
                      <w:lang w:val="en-US" w:eastAsia="zh-CN"/>
                    </w:rPr>
                    <w:t>，</w:t>
                  </w:r>
                  <w:r>
                    <w:rPr>
                      <w:rFonts w:hint="default"/>
                      <w:color w:val="auto"/>
                    </w:rPr>
                    <w:t>各类污染物排放须满足国家及自治区最新污染物排放标准要求。</w:t>
                  </w:r>
                </w:p>
                <w:p w14:paraId="4E882B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color w:val="auto"/>
                    </w:rPr>
                  </w:pPr>
                </w:p>
              </w:tc>
              <w:tc>
                <w:tcPr>
                  <w:tcW w:w="3239" w:type="dxa"/>
                  <w:tcBorders>
                    <w:tl2br w:val="nil"/>
                    <w:tr2bl w:val="nil"/>
                  </w:tcBorders>
                  <w:vAlign w:val="center"/>
                </w:tcPr>
                <w:p w14:paraId="0FB38E78">
                  <w:pPr>
                    <w:pStyle w:val="36"/>
                    <w:keepNext w:val="0"/>
                    <w:keepLines w:val="0"/>
                    <w:suppressLineNumbers w:val="0"/>
                    <w:spacing w:before="0" w:beforeAutospacing="0" w:after="0" w:afterAutospacing="0"/>
                    <w:ind w:left="0" w:right="0"/>
                    <w:jc w:val="both"/>
                    <w:rPr>
                      <w:rFonts w:hint="default" w:eastAsia="宋体"/>
                      <w:color w:val="auto"/>
                      <w:lang w:val="en-US" w:eastAsia="zh-CN"/>
                    </w:rPr>
                  </w:pPr>
                  <w:r>
                    <w:rPr>
                      <w:rFonts w:hint="eastAsia"/>
                      <w:color w:val="auto"/>
                      <w:lang w:val="en-US" w:eastAsia="zh-CN"/>
                    </w:rPr>
                    <w:t>本项目运营期无废气产生</w:t>
                  </w:r>
                  <w:r>
                    <w:rPr>
                      <w:rFonts w:hint="eastAsia"/>
                      <w:color w:val="auto"/>
                      <w:szCs w:val="24"/>
                      <w:lang w:val="en-US" w:eastAsia="zh-CN"/>
                    </w:rPr>
                    <w:t>，</w:t>
                  </w:r>
                  <w:r>
                    <w:rPr>
                      <w:rFonts w:hint="eastAsia" w:cs="Times New Roman"/>
                      <w:color w:val="auto"/>
                      <w:kern w:val="0"/>
                    </w:rPr>
                    <w:t>符合规划及规划环评的要求。</w:t>
                  </w:r>
                </w:p>
              </w:tc>
            </w:tr>
            <w:tr w14:paraId="7F8353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44" w:type="dxa"/>
                  <w:tcBorders>
                    <w:tl2br w:val="nil"/>
                    <w:tr2bl w:val="nil"/>
                  </w:tcBorders>
                  <w:vAlign w:val="center"/>
                </w:tcPr>
                <w:p w14:paraId="17B0E54C">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color w:val="auto"/>
                    </w:rPr>
                  </w:pPr>
                  <w:r>
                    <w:rPr>
                      <w:rFonts w:hint="default"/>
                      <w:color w:val="auto"/>
                      <w:lang w:val="en-US" w:eastAsia="zh-CN"/>
                    </w:rPr>
                    <w:t>严格入园产业项目准入</w:t>
                  </w:r>
                  <w:r>
                    <w:rPr>
                      <w:rFonts w:hint="eastAsia"/>
                      <w:color w:val="auto"/>
                      <w:lang w:val="en-US" w:eastAsia="zh-CN"/>
                    </w:rPr>
                    <w:t>，</w:t>
                  </w:r>
                  <w:r>
                    <w:rPr>
                      <w:rFonts w:hint="default"/>
                      <w:color w:val="auto"/>
                      <w:lang w:val="en-US" w:eastAsia="zh-CN"/>
                    </w:rPr>
                    <w:t>不符合产业政策、行业准入条件、生态环境准入清单及国家、自治区明令禁止的项目一律不得入驻园区。</w:t>
                  </w:r>
                </w:p>
              </w:tc>
              <w:tc>
                <w:tcPr>
                  <w:tcW w:w="3239" w:type="dxa"/>
                  <w:tcBorders>
                    <w:tl2br w:val="nil"/>
                    <w:tr2bl w:val="nil"/>
                  </w:tcBorders>
                  <w:vAlign w:val="center"/>
                </w:tcPr>
                <w:p w14:paraId="6B1EB3CF">
                  <w:pPr>
                    <w:pStyle w:val="36"/>
                    <w:keepNext w:val="0"/>
                    <w:keepLines w:val="0"/>
                    <w:suppressLineNumbers w:val="0"/>
                    <w:spacing w:before="0" w:beforeAutospacing="0" w:after="0" w:afterAutospacing="0"/>
                    <w:ind w:left="0" w:right="0"/>
                    <w:jc w:val="both"/>
                    <w:rPr>
                      <w:rFonts w:hint="default"/>
                      <w:color w:val="auto"/>
                    </w:rPr>
                  </w:pPr>
                  <w:r>
                    <w:rPr>
                      <w:rFonts w:hint="eastAsia"/>
                      <w:color w:val="auto"/>
                    </w:rPr>
                    <w:t>企业</w:t>
                  </w:r>
                  <w:r>
                    <w:rPr>
                      <w:rFonts w:hint="eastAsia"/>
                      <w:color w:val="auto"/>
                      <w:lang w:val="en-US" w:eastAsia="zh-CN"/>
                    </w:rPr>
                    <w:t>在呼图壁县发展和改革委员会进行项目备案，符合产业政策及准入要求。</w:t>
                  </w:r>
                </w:p>
              </w:tc>
            </w:tr>
            <w:tr w14:paraId="634F98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544" w:type="dxa"/>
                  <w:tcBorders>
                    <w:tl2br w:val="nil"/>
                    <w:tr2bl w:val="nil"/>
                  </w:tcBorders>
                  <w:vAlign w:val="center"/>
                </w:tcPr>
                <w:p w14:paraId="22DF1992">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color w:val="auto"/>
                    </w:rPr>
                  </w:pPr>
                  <w:r>
                    <w:rPr>
                      <w:rFonts w:hint="default"/>
                      <w:color w:val="auto"/>
                    </w:rPr>
                    <w:t>加快完善园区环境基础设施建设，推进区域环境质量持续改善和提升。按照“清污分流”、“污污分治”原则规划、设计和建设园区内排水系统、再生水系统，逐步建成完整的污水处理和中水回用体系，提高再生水（中水）回用率。根据园区发展实际，制定切实可行的一般固体废物综合利用方案，严格按照国家有关规定，依法、合规处理处置危险废物。充分考虑资源能源综合利用、循环经济产业发展要求，进一步优化中水回用、固体废物资源化利用和处理处置配套设施规划。</w:t>
                  </w:r>
                </w:p>
              </w:tc>
              <w:tc>
                <w:tcPr>
                  <w:tcW w:w="3239" w:type="dxa"/>
                  <w:tcBorders>
                    <w:tl2br w:val="nil"/>
                    <w:tr2bl w:val="nil"/>
                  </w:tcBorders>
                  <w:vAlign w:val="center"/>
                </w:tcPr>
                <w:p w14:paraId="5F3AA477">
                  <w:pPr>
                    <w:keepNext w:val="0"/>
                    <w:keepLines w:val="0"/>
                    <w:suppressLineNumbers w:val="0"/>
                    <w:spacing w:before="0" w:beforeAutospacing="0" w:after="0" w:afterAutospacing="0" w:line="240" w:lineRule="auto"/>
                    <w:ind w:left="0" w:right="0" w:firstLine="0" w:firstLineChars="0"/>
                    <w:rPr>
                      <w:rFonts w:hint="default"/>
                      <w:color w:val="auto"/>
                    </w:rPr>
                  </w:pPr>
                  <w:r>
                    <w:rPr>
                      <w:rFonts w:hint="eastAsia" w:cs="Times New Roman"/>
                      <w:color w:val="auto"/>
                      <w:kern w:val="0"/>
                      <w:lang w:val="en-US" w:eastAsia="zh-CN"/>
                    </w:rPr>
                    <w:t>根据园区总体规划及现有基础设施情况，呼图壁工业园区中区已设置排水管网，项目废水经管网进入西区污水处理厂，详见排水规划图。</w:t>
                  </w:r>
                </w:p>
              </w:tc>
            </w:tr>
            <w:tr w14:paraId="6BD56D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544" w:type="dxa"/>
                  <w:tcBorders>
                    <w:tl2br w:val="nil"/>
                    <w:tr2bl w:val="nil"/>
                  </w:tcBorders>
                  <w:vAlign w:val="center"/>
                </w:tcPr>
                <w:p w14:paraId="3542EADC">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color w:val="auto"/>
                    </w:rPr>
                  </w:pPr>
                  <w:r>
                    <w:rPr>
                      <w:rFonts w:hint="default"/>
                      <w:color w:val="auto"/>
                    </w:rPr>
                    <w:t>强化园区环境风险管理，强化突发环境事件应急响应联动机制，保障生态环境安全。加快完善园区环境应急设施建设，足额配备应急物资，定期开展应急演练，不断完善突发环境事件应急预案，提高应急处置能力，防控园区规划实施可能引发的环境风险。</w:t>
                  </w:r>
                </w:p>
              </w:tc>
              <w:tc>
                <w:tcPr>
                  <w:tcW w:w="3239" w:type="dxa"/>
                  <w:tcBorders>
                    <w:tl2br w:val="nil"/>
                    <w:tr2bl w:val="nil"/>
                  </w:tcBorders>
                  <w:vAlign w:val="center"/>
                </w:tcPr>
                <w:p w14:paraId="33CEC5E1">
                  <w:pPr>
                    <w:keepNext w:val="0"/>
                    <w:keepLines w:val="0"/>
                    <w:suppressLineNumbers w:val="0"/>
                    <w:spacing w:before="0" w:beforeAutospacing="0" w:after="0" w:afterAutospacing="0" w:line="240" w:lineRule="auto"/>
                    <w:ind w:left="0" w:right="0" w:firstLine="0" w:firstLineChars="0"/>
                    <w:rPr>
                      <w:rFonts w:hint="default"/>
                      <w:color w:val="auto"/>
                      <w:lang w:val="en-US"/>
                    </w:rPr>
                  </w:pPr>
                  <w:r>
                    <w:rPr>
                      <w:rFonts w:hint="eastAsia"/>
                      <w:color w:val="auto"/>
                      <w:lang w:val="en-US" w:eastAsia="zh-CN"/>
                    </w:rPr>
                    <w:t>企业</w:t>
                  </w:r>
                  <w:r>
                    <w:rPr>
                      <w:rFonts w:hint="eastAsia"/>
                      <w:color w:val="auto"/>
                    </w:rPr>
                    <w:t>生产涉及</w:t>
                  </w:r>
                  <w:r>
                    <w:rPr>
                      <w:rFonts w:hint="eastAsia"/>
                      <w:color w:val="auto"/>
                      <w:lang w:val="en-US" w:eastAsia="zh-CN"/>
                    </w:rPr>
                    <w:t>废矿物油</w:t>
                  </w:r>
                  <w:r>
                    <w:rPr>
                      <w:rFonts w:hint="eastAsia"/>
                      <w:color w:val="auto"/>
                    </w:rPr>
                    <w:t>，建成后及时编制应急预案并备案</w:t>
                  </w:r>
                  <w:r>
                    <w:rPr>
                      <w:rFonts w:hint="eastAsia"/>
                      <w:color w:val="auto"/>
                      <w:lang w:eastAsia="zh-CN"/>
                    </w:rPr>
                    <w:t>，</w:t>
                  </w:r>
                  <w:r>
                    <w:rPr>
                      <w:rFonts w:hint="eastAsia"/>
                      <w:color w:val="auto"/>
                      <w:lang w:val="en-US" w:eastAsia="zh-CN"/>
                    </w:rPr>
                    <w:t>配备相应应急物资及人员。</w:t>
                  </w:r>
                </w:p>
              </w:tc>
            </w:tr>
          </w:tbl>
          <w:p w14:paraId="23719A9B">
            <w:pPr>
              <w:keepNext w:val="0"/>
              <w:keepLines w:val="0"/>
              <w:suppressLineNumbers w:val="0"/>
              <w:spacing w:before="0" w:beforeAutospacing="0" w:after="0" w:afterAutospacing="0"/>
              <w:ind w:left="0" w:leftChars="0" w:right="0" w:rightChars="0" w:firstLine="420" w:firstLineChars="200"/>
              <w:rPr>
                <w:rFonts w:hint="default" w:ascii="Times New Roman" w:hAnsi="Times New Roman" w:cs="Times New Roman"/>
                <w:color w:val="auto"/>
                <w:sz w:val="21"/>
                <w:szCs w:val="21"/>
                <w:lang w:val="en-US" w:eastAsia="zh-CN"/>
              </w:rPr>
            </w:pPr>
            <w:r>
              <w:rPr>
                <w:rFonts w:hint="eastAsia" w:cs="Times New Roman"/>
                <w:color w:val="auto"/>
                <w:kern w:val="0"/>
                <w:lang w:val="en-US" w:eastAsia="zh-CN"/>
              </w:rPr>
              <w:t>综上，本项目符合规划环评及审查意见要求。</w:t>
            </w:r>
          </w:p>
        </w:tc>
      </w:tr>
      <w:tr w14:paraId="62B8B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0" w:type="dxa"/>
            <w:vAlign w:val="center"/>
          </w:tcPr>
          <w:p w14:paraId="13ACB1D7">
            <w:pPr>
              <w:autoSpaceDE w:val="0"/>
              <w:autoSpaceDN w:val="0"/>
              <w:adjustRightInd w:val="0"/>
              <w:snapToGrid w:val="0"/>
              <w:ind w:left="0" w:leftChars="0" w:firstLine="0" w:firstLineChars="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其他符合性</w:t>
            </w:r>
          </w:p>
          <w:p w14:paraId="13B2187E">
            <w:pPr>
              <w:autoSpaceDE w:val="0"/>
              <w:autoSpaceDN w:val="0"/>
              <w:adjustRightInd w:val="0"/>
              <w:snapToGrid w:val="0"/>
              <w:ind w:left="0" w:leftChars="0" w:firstLine="0" w:firstLineChars="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分析</w:t>
            </w:r>
          </w:p>
        </w:tc>
        <w:tc>
          <w:tcPr>
            <w:tcW w:w="7000" w:type="dxa"/>
            <w:gridSpan w:val="3"/>
            <w:vAlign w:val="center"/>
          </w:tcPr>
          <w:p w14:paraId="147EC65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b/>
                <w:bCs/>
                <w:color w:val="auto"/>
                <w:kern w:val="0"/>
                <w:sz w:val="21"/>
                <w:szCs w:val="21"/>
                <w:lang w:val="en-US" w:eastAsia="zh-CN" w:bidi="ar"/>
              </w:rPr>
              <w:t>1、产业政策符合性分析</w:t>
            </w:r>
          </w:p>
          <w:p w14:paraId="2DC1F2C8">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根据《产业结构调整指导目录（20</w:t>
            </w:r>
            <w:r>
              <w:rPr>
                <w:rFonts w:hint="default" w:ascii="Times New Roman" w:hAnsi="Times New Roman" w:cs="Times New Roman"/>
                <w:color w:val="auto"/>
                <w:kern w:val="2"/>
                <w:sz w:val="21"/>
                <w:szCs w:val="21"/>
                <w:lang w:val="en-US" w:eastAsia="zh-CN" w:bidi="ar-SA"/>
              </w:rPr>
              <w:t>24</w:t>
            </w:r>
            <w:r>
              <w:rPr>
                <w:rFonts w:hint="default" w:ascii="Times New Roman" w:hAnsi="Times New Roman" w:eastAsia="宋体" w:cs="Times New Roman"/>
                <w:color w:val="auto"/>
                <w:kern w:val="2"/>
                <w:sz w:val="21"/>
                <w:szCs w:val="21"/>
                <w:lang w:val="en-US" w:eastAsia="zh-CN" w:bidi="ar-SA"/>
              </w:rPr>
              <w:t>年本）》，本项目不属于</w:t>
            </w:r>
            <w:r>
              <w:rPr>
                <w:rFonts w:hint="default" w:ascii="Times New Roman" w:hAnsi="Times New Roman" w:cs="Times New Roman"/>
                <w:color w:val="auto"/>
                <w:kern w:val="2"/>
                <w:sz w:val="21"/>
                <w:szCs w:val="21"/>
                <w:lang w:val="en-US" w:eastAsia="zh-CN" w:bidi="ar-SA"/>
              </w:rPr>
              <w:t>鼓励类、</w:t>
            </w:r>
            <w:r>
              <w:rPr>
                <w:rFonts w:hint="default" w:ascii="Times New Roman" w:hAnsi="Times New Roman" w:eastAsia="宋体" w:cs="Times New Roman"/>
                <w:color w:val="auto"/>
                <w:kern w:val="2"/>
                <w:sz w:val="21"/>
                <w:szCs w:val="21"/>
                <w:lang w:val="en-US" w:eastAsia="zh-CN" w:bidi="ar-SA"/>
              </w:rPr>
              <w:t>限制类和淘汰类，</w:t>
            </w:r>
            <w:r>
              <w:rPr>
                <w:rFonts w:hint="default" w:ascii="Times New Roman" w:hAnsi="Times New Roman" w:cs="Times New Roman"/>
                <w:color w:val="auto"/>
                <w:kern w:val="2"/>
                <w:sz w:val="21"/>
                <w:szCs w:val="21"/>
                <w:lang w:val="en-US" w:eastAsia="zh-CN" w:bidi="ar-SA"/>
              </w:rPr>
              <w:t>属于允许类，</w:t>
            </w:r>
            <w:r>
              <w:rPr>
                <w:rFonts w:hint="default" w:ascii="Times New Roman" w:hAnsi="Times New Roman" w:eastAsia="宋体" w:cs="Times New Roman"/>
                <w:color w:val="auto"/>
                <w:kern w:val="2"/>
                <w:sz w:val="21"/>
                <w:szCs w:val="21"/>
                <w:lang w:val="en-US" w:eastAsia="zh-CN" w:bidi="ar-SA"/>
              </w:rPr>
              <w:t>因此项目建设符合国家产业发展政策。</w:t>
            </w:r>
          </w:p>
          <w:p w14:paraId="3EBEE05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both"/>
              <w:textAlignment w:val="auto"/>
              <w:outlineLvl w:val="9"/>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2 “三线一单”符合性分析</w:t>
            </w:r>
          </w:p>
          <w:p w14:paraId="54D4C50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根据《关于以改善环境质量为核心加强环境影响评价管理的通知》（环环评[2016]150号），落实“生态保护红线、环境质量底线、资源利用上线和环境准入负面清单”（简称“三线一单”）约束，更好地发挥环评制度从源头防范环境污染和生态破坏的作用，加快推进改善</w:t>
            </w:r>
            <w:r>
              <w:rPr>
                <w:rFonts w:hint="default" w:ascii="Times New Roman" w:hAnsi="Times New Roman" w:eastAsia="宋体" w:cs="Times New Roman"/>
                <w:color w:val="auto"/>
                <w:lang w:val="en-US" w:eastAsia="zh-CN"/>
              </w:rPr>
              <w:t>环境质量。</w:t>
            </w:r>
          </w:p>
          <w:p w14:paraId="4943DA0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依据《昌吉回族自治州区域空间生态环境评价暨“</w:t>
            </w:r>
            <w:r>
              <w:rPr>
                <w:rFonts w:hint="eastAsia" w:ascii="Times New Roman" w:hAnsi="Times New Roman" w:eastAsia="宋体" w:cs="Times New Roman"/>
                <w:color w:val="auto"/>
                <w:lang w:val="en-US" w:eastAsia="zh-CN"/>
              </w:rPr>
              <w:t>三线一单</w:t>
            </w:r>
            <w:r>
              <w:rPr>
                <w:rFonts w:hint="default"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val="en-US" w:eastAsia="zh-CN"/>
              </w:rPr>
              <w:t>生态环境准入清单动态更新成果</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2023年版</w:t>
            </w:r>
            <w:r>
              <w:rPr>
                <w:rFonts w:hint="default" w:ascii="Times New Roman" w:hAnsi="Times New Roman" w:eastAsia="宋体" w:cs="Times New Roman"/>
                <w:color w:val="auto"/>
                <w:lang w:val="en-US" w:eastAsia="zh-CN"/>
              </w:rPr>
              <w:t>），本项目与“三线一单”的符合性见下述。</w:t>
            </w:r>
          </w:p>
          <w:p w14:paraId="6C39FBE7">
            <w:pPr>
              <w:keepNext w:val="0"/>
              <w:keepLines w:val="0"/>
              <w:pageBreakBefore w:val="0"/>
              <w:widowControl w:val="0"/>
              <w:kinsoku/>
              <w:wordWrap/>
              <w:overflowPunct/>
              <w:topLinePunct w:val="0"/>
              <w:bidi w:val="0"/>
              <w:snapToGrid/>
              <w:spacing w:line="360" w:lineRule="auto"/>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生态保护红线。按照“生态功能不降低、面积不减少、性质不改变”的基本要求，生态空间得到优化和保护，生态保护红线得到严格管控。生态功能保持稳定，生物多样性水平稳步提升，生态空间保护体系基本建立。</w:t>
            </w:r>
          </w:p>
          <w:p w14:paraId="1CC0A6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本项目位于</w:t>
            </w:r>
            <w:r>
              <w:rPr>
                <w:rFonts w:hint="default" w:ascii="Times New Roman" w:hAnsi="Times New Roman" w:eastAsia="宋体" w:cs="Times New Roman"/>
                <w:color w:val="auto"/>
                <w:szCs w:val="21"/>
                <w:lang w:val="en-US" w:eastAsia="zh-CN"/>
              </w:rPr>
              <w:t>昌吉州</w:t>
            </w:r>
            <w:r>
              <w:rPr>
                <w:rFonts w:hint="default" w:ascii="Times New Roman" w:hAnsi="Times New Roman" w:cs="Times New Roman"/>
                <w:color w:val="auto"/>
                <w:sz w:val="21"/>
                <w:szCs w:val="21"/>
                <w:lang w:val="en-US" w:eastAsia="zh-CN"/>
              </w:rPr>
              <w:t>呼图壁县</w:t>
            </w:r>
            <w:r>
              <w:rPr>
                <w:rFonts w:hint="eastAsia" w:cs="Times New Roman"/>
                <w:color w:val="auto"/>
                <w:sz w:val="21"/>
                <w:szCs w:val="21"/>
                <w:lang w:val="en-US" w:eastAsia="zh-CN"/>
              </w:rPr>
              <w:t>工业园区</w:t>
            </w:r>
            <w:r>
              <w:rPr>
                <w:rFonts w:hint="eastAsia" w:cstheme="minorBidi"/>
                <w:color w:val="auto"/>
                <w:kern w:val="0"/>
                <w:sz w:val="21"/>
                <w:szCs w:val="21"/>
                <w:lang w:val="en-US" w:eastAsia="zh-CN" w:bidi="ar-SA"/>
              </w:rPr>
              <w:t>中区</w:t>
            </w:r>
            <w:r>
              <w:rPr>
                <w:rFonts w:hint="eastAsia"/>
                <w:color w:val="auto"/>
                <w:szCs w:val="24"/>
                <w:lang w:val="en-US" w:eastAsia="zh-CN"/>
              </w:rPr>
              <w:t>轻纺食品产业区</w:t>
            </w:r>
            <w:r>
              <w:rPr>
                <w:rFonts w:hint="default" w:ascii="Times New Roman" w:hAnsi="Times New Roman" w:eastAsia="宋体" w:cs="Times New Roman"/>
                <w:color w:val="auto"/>
                <w:lang w:val="en-US" w:eastAsia="zh-CN"/>
              </w:rPr>
              <w:t>，选址不涉及自然保护区、森林公园、风景名胜区、世界文化和自</w:t>
            </w:r>
            <w:r>
              <w:rPr>
                <w:rFonts w:hint="default" w:ascii="Times New Roman" w:hAnsi="Times New Roman" w:cs="Times New Roman"/>
                <w:color w:val="auto"/>
                <w:lang w:val="en-US" w:eastAsia="zh-CN"/>
              </w:rPr>
              <w:t>然遗产地、饮用水源保护区及其他重要生态功能区和生态环境敏感区、脆弱区</w:t>
            </w:r>
            <w:r>
              <w:rPr>
                <w:rFonts w:hint="default" w:ascii="Times New Roman" w:hAnsi="Times New Roman" w:eastAsia="宋体" w:cs="Times New Roman"/>
                <w:color w:val="auto"/>
                <w:lang w:val="en-US" w:eastAsia="zh-CN"/>
              </w:rPr>
              <w:t>内，符合生态保护红线要求。</w:t>
            </w:r>
          </w:p>
          <w:p w14:paraId="2ECEB222">
            <w:pPr>
              <w:pStyle w:val="61"/>
              <w:keepNext w:val="0"/>
              <w:keepLines w:val="0"/>
              <w:pageBreakBefore w:val="0"/>
              <w:widowControl w:val="0"/>
              <w:kinsoku/>
              <w:wordWrap/>
              <w:overflowPunct/>
              <w:topLinePunct w:val="0"/>
              <w:bidi w:val="0"/>
              <w:snapToGrid/>
              <w:ind w:left="0" w:leftChars="0" w:firstLine="420" w:firstLineChars="200"/>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1"/>
                <w:szCs w:val="24"/>
                <w:lang w:val="en-US" w:eastAsia="zh-CN" w:bidi="ar-SA"/>
              </w:rPr>
              <w:t>（2）环境质量底线。全州环境空气质量有所提升，重污染天数持续减少，已达标城市环境空气质量保持稳定，未达标城市环境空气质量持续改善；全州河流、湖库及城镇集中式饮用水水源地水质稳中向好。地下水质量考核点位水质级别保持稳定，地下水污染风险得到有效控制，地下水超采得到严格控制；全州土壤环境质量保持稳定，污染地块安全利用水平稳中有升，土壤环境风险得到进一步管控。</w:t>
            </w:r>
          </w:p>
          <w:p w14:paraId="1C3D4D93">
            <w:pPr>
              <w:keepNext w:val="0"/>
              <w:keepLines w:val="0"/>
              <w:pageBreakBefore w:val="0"/>
              <w:widowControl w:val="0"/>
              <w:kinsoku/>
              <w:wordWrap/>
              <w:overflowPunct/>
              <w:topLinePunct w:val="0"/>
              <w:bidi w:val="0"/>
              <w:snapToGrid/>
              <w:spacing w:line="360" w:lineRule="auto"/>
              <w:ind w:firstLine="420" w:firstLineChars="200"/>
              <w:textAlignment w:val="auto"/>
              <w:rPr>
                <w:rFonts w:hint="default" w:ascii="Times New Roman" w:hAnsi="Times New Roman" w:cs="Times New Roman"/>
                <w:color w:val="auto"/>
                <w:kern w:val="2"/>
                <w:sz w:val="21"/>
                <w:szCs w:val="24"/>
                <w:lang w:val="en-US" w:eastAsia="zh-CN" w:bidi="ar-SA"/>
              </w:rPr>
            </w:pPr>
            <w:r>
              <w:rPr>
                <w:rFonts w:hint="default" w:ascii="Times New Roman" w:hAnsi="Times New Roman" w:cs="Times New Roman"/>
                <w:color w:val="auto"/>
                <w:lang w:val="en-US" w:eastAsia="zh-CN"/>
              </w:rPr>
              <w:t>本</w:t>
            </w:r>
            <w:r>
              <w:rPr>
                <w:rFonts w:hint="default" w:ascii="Times New Roman" w:hAnsi="Times New Roman" w:cs="Times New Roman"/>
                <w:color w:val="auto"/>
              </w:rPr>
              <w:t>项目采取有效的环保措施</w:t>
            </w:r>
            <w:r>
              <w:rPr>
                <w:rFonts w:hint="default" w:ascii="Times New Roman" w:hAnsi="Times New Roman" w:cs="Times New Roman"/>
                <w:color w:val="auto"/>
                <w:lang w:eastAsia="zh-CN"/>
              </w:rPr>
              <w:t>，</w:t>
            </w:r>
            <w:r>
              <w:rPr>
                <w:rFonts w:hint="default" w:ascii="Times New Roman" w:hAnsi="Times New Roman" w:eastAsia="宋体" w:cs="Times New Roman"/>
                <w:smallCaps w:val="0"/>
                <w:color w:val="auto"/>
                <w:spacing w:val="0"/>
                <w:w w:val="100"/>
                <w:kern w:val="2"/>
                <w:position w:val="0"/>
                <w:sz w:val="21"/>
                <w:szCs w:val="21"/>
                <w:highlight w:val="none"/>
                <w:lang w:val="en-US" w:eastAsia="en-US" w:bidi="ar-SA"/>
              </w:rPr>
              <w:t>运营期</w:t>
            </w:r>
            <w:r>
              <w:rPr>
                <w:rFonts w:hint="default" w:ascii="Times New Roman" w:hAnsi="Times New Roman" w:eastAsia="宋体" w:cs="Times New Roman"/>
                <w:color w:val="auto"/>
                <w:sz w:val="21"/>
                <w:szCs w:val="21"/>
                <w:vertAlign w:val="baseline"/>
                <w:lang w:val="en-US" w:eastAsia="zh-CN"/>
              </w:rPr>
              <w:t>废气、废水和噪声经治理后可达标排放，固废可做到妥善处置</w:t>
            </w:r>
            <w:r>
              <w:rPr>
                <w:rFonts w:hint="default" w:ascii="Times New Roman" w:hAnsi="Times New Roman" w:eastAsia="宋体" w:cs="Times New Roman"/>
                <w:color w:val="auto"/>
                <w:lang w:eastAsia="zh-CN"/>
              </w:rPr>
              <w:t>，</w:t>
            </w:r>
            <w:r>
              <w:rPr>
                <w:rFonts w:hint="default" w:ascii="Times New Roman" w:hAnsi="Times New Roman" w:cs="Times New Roman"/>
                <w:color w:val="auto"/>
              </w:rPr>
              <w:t>项目的建设不触及环境质量底线要求</w:t>
            </w:r>
            <w:r>
              <w:rPr>
                <w:rFonts w:hint="default" w:ascii="Times New Roman" w:hAnsi="Times New Roman" w:cs="Times New Roman"/>
                <w:color w:val="auto"/>
                <w:lang w:eastAsia="zh-CN"/>
              </w:rPr>
              <w:t>。</w:t>
            </w:r>
          </w:p>
          <w:p w14:paraId="2D1F6E9B">
            <w:pPr>
              <w:keepNext w:val="0"/>
              <w:keepLines w:val="0"/>
              <w:pageBreakBefore w:val="0"/>
              <w:widowControl w:val="0"/>
              <w:kinsoku/>
              <w:wordWrap/>
              <w:overflowPunct/>
              <w:topLinePunct w:val="0"/>
              <w:bidi w:val="0"/>
              <w:snapToGrid/>
              <w:spacing w:line="360" w:lineRule="auto"/>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eastAsia="宋体" w:cs="Times New Roman"/>
                <w:color w:val="auto"/>
                <w:kern w:val="2"/>
                <w:sz w:val="21"/>
                <w:szCs w:val="24"/>
                <w:lang w:val="en-US" w:eastAsia="zh-CN" w:bidi="ar-SA"/>
              </w:rPr>
              <w:t>（3）资源利用上线。强化节约集约利用，持续提升资源能源利用效率，水资源、土地资源、能源消耗等达到自治区、自治州下达的总量和强度控制目标。加快区域低碳发展，积极推动呼图壁国家级低碳试点城市发挥低碳试点示范和引领作用。</w:t>
            </w:r>
          </w:p>
          <w:p w14:paraId="072B9540">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本项目水、电、气均依托市政现有基础设施，资源消耗量相对区域资源利用总量较小，符合资源利用上限要求。</w:t>
            </w:r>
          </w:p>
          <w:p w14:paraId="22FE0714">
            <w:pPr>
              <w:keepNext w:val="0"/>
              <w:keepLines w:val="0"/>
              <w:suppressLineNumbers w:val="0"/>
              <w:autoSpaceDE w:val="0"/>
              <w:autoSpaceDN w:val="0"/>
              <w:spacing w:before="0" w:beforeAutospacing="0" w:after="0" w:afterAutospacing="0"/>
              <w:ind w:left="0" w:right="0" w:firstLine="420"/>
              <w:rPr>
                <w:rFonts w:hint="default"/>
                <w:color w:val="auto"/>
              </w:rPr>
            </w:pPr>
            <w:r>
              <w:rPr>
                <w:rFonts w:hint="eastAsia"/>
                <w:color w:val="auto"/>
              </w:rPr>
              <w:t>（4）</w:t>
            </w:r>
            <w:r>
              <w:rPr>
                <w:rFonts w:hint="default"/>
                <w:color w:val="auto"/>
              </w:rPr>
              <w:t>生态环境分区管控</w:t>
            </w:r>
          </w:p>
          <w:p w14:paraId="50F889A1">
            <w:pPr>
              <w:keepNext w:val="0"/>
              <w:keepLines w:val="0"/>
              <w:suppressLineNumbers w:val="0"/>
              <w:spacing w:before="0" w:beforeAutospacing="0" w:after="0" w:afterAutospacing="0"/>
              <w:ind w:left="0" w:right="0" w:firstLine="420"/>
              <w:rPr>
                <w:rFonts w:hint="default" w:ascii="Times New Roman" w:hAnsi="Times New Roman"/>
                <w:color w:val="auto"/>
              </w:rPr>
            </w:pPr>
            <w:r>
              <w:rPr>
                <w:rFonts w:hint="eastAsia"/>
                <w:color w:val="auto"/>
              </w:rPr>
              <w:t>自治州共划定119个环境管控单元，分为优先保护单元、重点管控单元和一般管控单元三类，实</w:t>
            </w:r>
            <w:r>
              <w:rPr>
                <w:rFonts w:hint="eastAsia" w:ascii="Times New Roman" w:hAnsi="Times New Roman"/>
                <w:color w:val="auto"/>
              </w:rPr>
              <w:t>施分类管控。</w:t>
            </w:r>
          </w:p>
          <w:p w14:paraId="3DF228A1">
            <w:pPr>
              <w:keepNext w:val="0"/>
              <w:keepLines w:val="0"/>
              <w:suppressLineNumbers w:val="0"/>
              <w:spacing w:before="0" w:beforeAutospacing="0" w:after="0" w:afterAutospacing="0"/>
              <w:ind w:left="0" w:right="0" w:firstLine="420"/>
              <w:rPr>
                <w:rFonts w:hint="default" w:ascii="Times New Roman" w:hAnsi="Times New Roman"/>
                <w:color w:val="auto"/>
                <w:lang w:val="en-US" w:eastAsia="zh-CN"/>
              </w:rPr>
            </w:pPr>
            <w:r>
              <w:rPr>
                <w:rFonts w:hint="eastAsia" w:ascii="Times New Roman" w:hAnsi="Times New Roman"/>
                <w:color w:val="auto"/>
              </w:rPr>
              <w:t>本项目位于呼图壁工业园区</w:t>
            </w:r>
            <w:r>
              <w:rPr>
                <w:rFonts w:hint="eastAsia" w:ascii="Times New Roman" w:hAnsi="Times New Roman"/>
                <w:color w:val="auto"/>
                <w:lang w:eastAsia="zh-CN"/>
              </w:rPr>
              <w:t>中区</w:t>
            </w:r>
            <w:r>
              <w:rPr>
                <w:rFonts w:hint="eastAsia" w:ascii="Times New Roman" w:hAnsi="Times New Roman"/>
                <w:color w:val="auto"/>
              </w:rPr>
              <w:t>，属重点管控单元，单元编码：ZH65232320002。其具体管控要求见下述</w:t>
            </w:r>
            <w:r>
              <w:rPr>
                <w:rFonts w:hint="eastAsia" w:ascii="Times New Roman" w:hAnsi="Times New Roman"/>
                <w:color w:val="auto"/>
                <w:lang w:eastAsia="zh-CN"/>
              </w:rPr>
              <w:t>，</w:t>
            </w:r>
            <w:r>
              <w:rPr>
                <w:rFonts w:hint="eastAsia" w:ascii="Times New Roman" w:hAnsi="Times New Roman"/>
                <w:color w:val="auto"/>
                <w:lang w:val="en-US" w:eastAsia="zh-CN"/>
              </w:rPr>
              <w:t>详见图1-1，</w:t>
            </w:r>
            <w:r>
              <w:rPr>
                <w:rFonts w:hint="eastAsia" w:ascii="Times New Roman" w:hAnsi="Times New Roman"/>
                <w:color w:val="auto"/>
                <w:lang w:eastAsia="zh-CN"/>
              </w:rPr>
              <w:t>昌吉回族自治州</w:t>
            </w:r>
            <w:r>
              <w:rPr>
                <w:rFonts w:hint="default" w:ascii="Times New Roman" w:hAnsi="Times New Roman"/>
                <w:color w:val="auto"/>
                <w:lang w:val="en-US" w:eastAsia="zh-CN"/>
              </w:rPr>
              <w:t>“三线一单”</w:t>
            </w:r>
            <w:r>
              <w:rPr>
                <w:rFonts w:hint="eastAsia" w:ascii="Times New Roman" w:hAnsi="Times New Roman"/>
                <w:color w:val="auto"/>
                <w:lang w:val="en-US" w:eastAsia="zh-CN"/>
              </w:rPr>
              <w:t>环境管控单元分类图。</w:t>
            </w:r>
          </w:p>
          <w:p w14:paraId="6CB0F5F7">
            <w:pPr>
              <w:pStyle w:val="33"/>
              <w:keepNext w:val="0"/>
              <w:keepLines w:val="0"/>
              <w:suppressLineNumbers w:val="0"/>
              <w:bidi w:val="0"/>
              <w:spacing w:before="0" w:beforeAutospacing="0" w:after="0" w:afterAutospacing="0"/>
              <w:ind w:left="0" w:right="0"/>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表1-2</w:t>
            </w:r>
            <w:r>
              <w:rPr>
                <w:rFonts w:hint="eastAsia" w:cs="Times New Roman"/>
                <w:b/>
                <w:bCs/>
                <w:color w:val="auto"/>
                <w:kern w:val="2"/>
                <w:sz w:val="21"/>
                <w:szCs w:val="21"/>
                <w:lang w:val="en-US" w:eastAsia="zh-CN" w:bidi="ar-SA"/>
              </w:rPr>
              <w:t xml:space="preserve">  </w:t>
            </w:r>
            <w:r>
              <w:rPr>
                <w:rFonts w:hint="eastAsia" w:ascii="Times New Roman" w:hAnsi="Times New Roman" w:eastAsia="宋体" w:cs="Times New Roman"/>
                <w:b/>
                <w:bCs/>
                <w:color w:val="auto"/>
                <w:kern w:val="2"/>
                <w:sz w:val="21"/>
                <w:szCs w:val="21"/>
                <w:lang w:val="en-US" w:eastAsia="zh-CN" w:bidi="ar-SA"/>
              </w:rPr>
              <w:t>呼图壁工业园重点管控单元生态环境准入清单</w:t>
            </w:r>
          </w:p>
          <w:tbl>
            <w:tblPr>
              <w:tblStyle w:val="20"/>
              <w:tblW w:w="678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79"/>
              <w:gridCol w:w="1155"/>
            </w:tblGrid>
            <w:tr w14:paraId="35A0EA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6" w:type="dxa"/>
                  <w:tcBorders>
                    <w:tl2br w:val="nil"/>
                    <w:tr2bl w:val="nil"/>
                  </w:tcBorders>
                  <w:vAlign w:val="center"/>
                </w:tcPr>
                <w:p w14:paraId="68F63090">
                  <w:pPr>
                    <w:pStyle w:val="36"/>
                    <w:keepNext w:val="0"/>
                    <w:keepLines w:val="0"/>
                    <w:suppressLineNumbers w:val="0"/>
                    <w:spacing w:before="0" w:beforeAutospacing="0" w:after="0" w:afterAutospacing="0"/>
                    <w:ind w:left="0" w:right="0"/>
                    <w:rPr>
                      <w:rFonts w:hint="default"/>
                      <w:color w:val="auto"/>
                    </w:rPr>
                  </w:pPr>
                  <w:r>
                    <w:rPr>
                      <w:rFonts w:hint="eastAsia"/>
                      <w:color w:val="auto"/>
                    </w:rPr>
                    <w:t>类别</w:t>
                  </w:r>
                </w:p>
              </w:tc>
              <w:tc>
                <w:tcPr>
                  <w:tcW w:w="4979" w:type="dxa"/>
                  <w:tcBorders>
                    <w:tl2br w:val="nil"/>
                    <w:tr2bl w:val="nil"/>
                  </w:tcBorders>
                  <w:vAlign w:val="center"/>
                </w:tcPr>
                <w:p w14:paraId="59B6E9C5">
                  <w:pPr>
                    <w:pStyle w:val="36"/>
                    <w:keepNext w:val="0"/>
                    <w:keepLines w:val="0"/>
                    <w:suppressLineNumbers w:val="0"/>
                    <w:spacing w:before="0" w:beforeAutospacing="0" w:after="0" w:afterAutospacing="0"/>
                    <w:ind w:left="0" w:right="0"/>
                    <w:rPr>
                      <w:rFonts w:hint="default"/>
                      <w:color w:val="auto"/>
                    </w:rPr>
                  </w:pPr>
                  <w:r>
                    <w:rPr>
                      <w:rFonts w:hint="eastAsia"/>
                      <w:color w:val="auto"/>
                    </w:rPr>
                    <w:t>重点管控单元管控要求</w:t>
                  </w:r>
                </w:p>
              </w:tc>
              <w:tc>
                <w:tcPr>
                  <w:tcW w:w="1155" w:type="dxa"/>
                  <w:tcBorders>
                    <w:tl2br w:val="nil"/>
                    <w:tr2bl w:val="nil"/>
                  </w:tcBorders>
                  <w:vAlign w:val="center"/>
                </w:tcPr>
                <w:p w14:paraId="071E698C">
                  <w:pPr>
                    <w:pStyle w:val="36"/>
                    <w:keepNext w:val="0"/>
                    <w:keepLines w:val="0"/>
                    <w:suppressLineNumbers w:val="0"/>
                    <w:spacing w:before="0" w:beforeAutospacing="0" w:after="0" w:afterAutospacing="0"/>
                    <w:ind w:left="0" w:right="0"/>
                    <w:jc w:val="both"/>
                    <w:rPr>
                      <w:rFonts w:hint="default" w:ascii="Times New Roman" w:hAnsi="Times New Roman" w:eastAsia="宋体"/>
                      <w:color w:val="auto"/>
                    </w:rPr>
                  </w:pPr>
                  <w:r>
                    <w:rPr>
                      <w:rFonts w:hint="eastAsia" w:ascii="Times New Roman" w:hAnsi="Times New Roman" w:eastAsia="宋体"/>
                      <w:color w:val="auto"/>
                    </w:rPr>
                    <w:t>本项目分析</w:t>
                  </w:r>
                </w:p>
              </w:tc>
            </w:tr>
            <w:tr w14:paraId="4F60B0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tcBorders>
                    <w:tl2br w:val="nil"/>
                    <w:tr2bl w:val="nil"/>
                  </w:tcBorders>
                  <w:vAlign w:val="center"/>
                </w:tcPr>
                <w:p w14:paraId="41E34F19">
                  <w:pPr>
                    <w:pStyle w:val="36"/>
                    <w:keepNext w:val="0"/>
                    <w:keepLines w:val="0"/>
                    <w:suppressLineNumbers w:val="0"/>
                    <w:spacing w:before="0" w:beforeAutospacing="0" w:after="0" w:afterAutospacing="0"/>
                    <w:ind w:left="0" w:right="0"/>
                    <w:rPr>
                      <w:rFonts w:hint="default"/>
                      <w:color w:val="auto"/>
                    </w:rPr>
                  </w:pPr>
                  <w:r>
                    <w:rPr>
                      <w:rFonts w:hint="eastAsia"/>
                      <w:color w:val="auto"/>
                    </w:rPr>
                    <w:t>空间布局约束</w:t>
                  </w:r>
                </w:p>
              </w:tc>
              <w:tc>
                <w:tcPr>
                  <w:tcW w:w="4979" w:type="dxa"/>
                  <w:tcBorders>
                    <w:tl2br w:val="nil"/>
                    <w:tr2bl w:val="nil"/>
                  </w:tcBorders>
                  <w:vAlign w:val="center"/>
                </w:tcPr>
                <w:p w14:paraId="698F9CE7">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1、执行自治区、乌昌石片区总体准入要求中关于重点管控单元空间布局约束的准入要求（表2-3 A6.1、表3.4-2 B1）。</w:t>
                  </w:r>
                </w:p>
                <w:p w14:paraId="67DFD45F">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2、入园企业需符合园区产业发展定位，产业发展以新兴产业、轻纺食品、农产品加工、化工新材料产业为主导。</w:t>
                  </w:r>
                </w:p>
                <w:p w14:paraId="107E0122">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3、禁止新建不符合昌吉州节水型企业创建标准的高耗水项目。</w:t>
                  </w:r>
                </w:p>
                <w:p w14:paraId="4118B79A">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4、对园区内现有传统工业进行改造、升级或产业整合。严格限制新、改、扩建“两高”（高污染、高耗能）行业项目。</w:t>
                  </w:r>
                </w:p>
              </w:tc>
              <w:tc>
                <w:tcPr>
                  <w:tcW w:w="1155" w:type="dxa"/>
                  <w:tcBorders>
                    <w:tl2br w:val="nil"/>
                    <w:tr2bl w:val="nil"/>
                  </w:tcBorders>
                  <w:vAlign w:val="center"/>
                </w:tcPr>
                <w:p w14:paraId="7B8C8BBF">
                  <w:pPr>
                    <w:pStyle w:val="36"/>
                    <w:keepNext w:val="0"/>
                    <w:keepLines w:val="0"/>
                    <w:suppressLineNumbers w:val="0"/>
                    <w:spacing w:before="0" w:beforeAutospacing="0" w:after="0" w:afterAutospacing="0"/>
                    <w:ind w:left="0" w:right="0"/>
                    <w:jc w:val="both"/>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t>本项目属于驼奶加工项目，属于</w:t>
                  </w:r>
                  <w:r>
                    <w:rPr>
                      <w:rFonts w:hint="eastAsia" w:ascii="Times New Roman" w:hAnsi="Times New Roman" w:eastAsia="宋体" w:cs="Times New Roman"/>
                      <w:color w:val="auto"/>
                      <w:sz w:val="21"/>
                      <w:szCs w:val="21"/>
                    </w:rPr>
                    <w:t>食品制造业</w:t>
                  </w:r>
                  <w:r>
                    <w:rPr>
                      <w:rFonts w:hint="eastAsia" w:ascii="Times New Roman" w:hAnsi="Times New Roman" w:eastAsia="宋体" w:cs="Times New Roman"/>
                      <w:color w:val="auto"/>
                      <w:sz w:val="21"/>
                      <w:szCs w:val="21"/>
                      <w:lang w:eastAsia="zh-CN"/>
                    </w:rPr>
                    <w:t>。</w:t>
                  </w:r>
                </w:p>
                <w:p w14:paraId="0D56D5B2">
                  <w:pPr>
                    <w:pStyle w:val="36"/>
                    <w:keepNext w:val="0"/>
                    <w:keepLines w:val="0"/>
                    <w:suppressLineNumbers w:val="0"/>
                    <w:spacing w:before="0" w:beforeAutospacing="0" w:after="0" w:afterAutospacing="0"/>
                    <w:ind w:left="0" w:right="0"/>
                    <w:jc w:val="both"/>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项目不属于</w:t>
                  </w:r>
                  <w:r>
                    <w:rPr>
                      <w:rFonts w:hint="default"/>
                      <w:color w:val="auto"/>
                    </w:rPr>
                    <w:t>“两高”</w:t>
                  </w:r>
                  <w:r>
                    <w:rPr>
                      <w:rFonts w:hint="eastAsia" w:ascii="Times New Roman" w:hAnsi="Times New Roman" w:eastAsia="宋体"/>
                      <w:color w:val="auto"/>
                      <w:lang w:val="en-US" w:eastAsia="zh-CN"/>
                    </w:rPr>
                    <w:t>项目</w:t>
                  </w:r>
                </w:p>
              </w:tc>
            </w:tr>
            <w:tr w14:paraId="281F1F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6" w:type="dxa"/>
                  <w:tcBorders>
                    <w:tl2br w:val="nil"/>
                    <w:tr2bl w:val="nil"/>
                  </w:tcBorders>
                  <w:vAlign w:val="center"/>
                </w:tcPr>
                <w:p w14:paraId="374A41D7">
                  <w:pPr>
                    <w:pStyle w:val="36"/>
                    <w:keepNext w:val="0"/>
                    <w:keepLines w:val="0"/>
                    <w:suppressLineNumbers w:val="0"/>
                    <w:spacing w:before="0" w:beforeAutospacing="0" w:after="0" w:afterAutospacing="0"/>
                    <w:ind w:left="0" w:right="0"/>
                    <w:rPr>
                      <w:rFonts w:hint="default"/>
                      <w:color w:val="auto"/>
                    </w:rPr>
                  </w:pPr>
                  <w:r>
                    <w:rPr>
                      <w:rFonts w:hint="default"/>
                      <w:color w:val="auto"/>
                    </w:rPr>
                    <w:t>污染物排放管控</w:t>
                  </w:r>
                </w:p>
              </w:tc>
              <w:tc>
                <w:tcPr>
                  <w:tcW w:w="4979" w:type="dxa"/>
                  <w:tcBorders>
                    <w:tl2br w:val="nil"/>
                    <w:tr2bl w:val="nil"/>
                  </w:tcBorders>
                  <w:vAlign w:val="center"/>
                </w:tcPr>
                <w:p w14:paraId="6E528D79">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1、执行自治区、乌昌石片区总体准入要求中关于重点管控单元污染物排放管控的准入要求（表2-3 A6.2、表3.4-2 B2）。</w:t>
                  </w:r>
                </w:p>
                <w:p w14:paraId="16C2A4B8">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2、现有燃煤锅炉、焦化、煤化工、工业窑炉应限期开展提标升级改造，其大气污染物排放应根据国家、自治区和州相关要求，达到最严格排放标准限值。</w:t>
                  </w:r>
                </w:p>
                <w:p w14:paraId="538E33CB">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3、新建、改扩建项目的单位产品特征污染物排放量应达到国内先进水平。</w:t>
                  </w:r>
                </w:p>
                <w:p w14:paraId="6BA0EC30">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4、PM</w:t>
                  </w:r>
                  <w:r>
                    <w:rPr>
                      <w:rFonts w:hint="default"/>
                      <w:color w:val="auto"/>
                      <w:vertAlign w:val="subscript"/>
                    </w:rPr>
                    <w:t>2.5</w:t>
                  </w:r>
                  <w:r>
                    <w:rPr>
                      <w:rFonts w:hint="default"/>
                      <w:color w:val="auto"/>
                    </w:rPr>
                    <w:t>年均浓度不达标县市（园区），禁止新（改、扩）建未落实排放SO</w:t>
                  </w:r>
                  <w:r>
                    <w:rPr>
                      <w:rFonts w:hint="default"/>
                      <w:color w:val="auto"/>
                      <w:vertAlign w:val="subscript"/>
                    </w:rPr>
                    <w:t>2</w:t>
                  </w:r>
                  <w:r>
                    <w:rPr>
                      <w:rFonts w:hint="default"/>
                      <w:color w:val="auto"/>
                    </w:rPr>
                    <w:t>、NO</w:t>
                  </w:r>
                  <w:r>
                    <w:rPr>
                      <w:rFonts w:hint="default"/>
                      <w:color w:val="auto"/>
                      <w:vertAlign w:val="subscript"/>
                    </w:rPr>
                    <w:t>x</w:t>
                  </w:r>
                  <w:r>
                    <w:rPr>
                      <w:rFonts w:hint="default"/>
                      <w:color w:val="auto"/>
                    </w:rPr>
                    <w:t>、烟粉尘、挥发性有机物（VOCs）等四项大气污染物总量指标昌吉州区域内倍量替代的项目。</w:t>
                  </w:r>
                </w:p>
                <w:p w14:paraId="351CA4EE">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5、新（改、扩）建项目应执行最严格的大气污染物排放标准。</w:t>
                  </w:r>
                </w:p>
                <w:p w14:paraId="66C60AD5">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6、已入园的石化、煤化工项目，在2023年前完成提标改造或产业转型、产业整合。同时，提标改造可参照《新疆维吾尔自治区石油和化学工业“十三五”发展规划》、《现代煤化工建设项目环境准入条件（试行）》要求执行。</w:t>
                  </w:r>
                </w:p>
                <w:p w14:paraId="43642D60">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7、鼓励入园企业进行技术改造和提升，鼓励采用先进的清洁生产技术，提高原料转化和利用效率。</w:t>
                  </w:r>
                </w:p>
                <w:p w14:paraId="524D48F9">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8、完善工业园区污水集中处理设施。实行“清污分流、雨污分流”，实现废水分类收集、分质处理，入园企业应在达到国家或地方规定的排放标准后接入集中式污水处理设施处理，园区集中式污水处理设施总排口应安装自动监控系统、视频监控系统，并与环境保护主管部门联网。</w:t>
                  </w:r>
                </w:p>
                <w:p w14:paraId="59011773">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9、禁止园区废水排入地表水体。</w:t>
                  </w:r>
                </w:p>
              </w:tc>
              <w:tc>
                <w:tcPr>
                  <w:tcW w:w="1155" w:type="dxa"/>
                  <w:tcBorders>
                    <w:tl2br w:val="nil"/>
                    <w:tr2bl w:val="nil"/>
                  </w:tcBorders>
                  <w:vAlign w:val="center"/>
                </w:tcPr>
                <w:p w14:paraId="0B288AA1">
                  <w:pPr>
                    <w:pStyle w:val="36"/>
                    <w:keepNext w:val="0"/>
                    <w:keepLines w:val="0"/>
                    <w:suppressLineNumbers w:val="0"/>
                    <w:spacing w:before="0" w:beforeAutospacing="0" w:after="0" w:afterAutospacing="0"/>
                    <w:ind w:left="0" w:right="0"/>
                    <w:jc w:val="both"/>
                    <w:rPr>
                      <w:rFonts w:hint="default" w:ascii="Times New Roman" w:hAnsi="Times New Roman" w:eastAsia="宋体"/>
                      <w:color w:val="auto"/>
                    </w:rPr>
                  </w:pPr>
                  <w:r>
                    <w:rPr>
                      <w:rFonts w:hint="eastAsia" w:ascii="Times New Roman" w:hAnsi="Times New Roman" w:eastAsia="宋体"/>
                      <w:color w:val="auto"/>
                    </w:rPr>
                    <w:t>企业</w:t>
                  </w:r>
                  <w:r>
                    <w:rPr>
                      <w:rFonts w:hint="eastAsia" w:ascii="Times New Roman" w:hAnsi="Times New Roman" w:eastAsia="宋体"/>
                      <w:color w:val="auto"/>
                      <w:lang w:val="en-US" w:eastAsia="zh-CN"/>
                    </w:rPr>
                    <w:t>供热为集中供暖，废水排入园区下水管网，最终进入西区污水处理厂集中处置</w:t>
                  </w:r>
                  <w:r>
                    <w:rPr>
                      <w:rFonts w:hint="eastAsia" w:ascii="Times New Roman" w:hAnsi="Times New Roman" w:eastAsia="宋体"/>
                      <w:color w:val="auto"/>
                    </w:rPr>
                    <w:t>。</w:t>
                  </w:r>
                </w:p>
              </w:tc>
            </w:tr>
            <w:tr w14:paraId="0C4F1D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tcBorders>
                    <w:tl2br w:val="nil"/>
                    <w:tr2bl w:val="nil"/>
                  </w:tcBorders>
                  <w:vAlign w:val="center"/>
                </w:tcPr>
                <w:p w14:paraId="15C91AD0">
                  <w:pPr>
                    <w:pStyle w:val="36"/>
                    <w:keepNext w:val="0"/>
                    <w:keepLines w:val="0"/>
                    <w:suppressLineNumbers w:val="0"/>
                    <w:spacing w:before="0" w:beforeAutospacing="0" w:after="0" w:afterAutospacing="0"/>
                    <w:ind w:left="0" w:right="0"/>
                    <w:rPr>
                      <w:rFonts w:hint="default"/>
                      <w:color w:val="auto"/>
                    </w:rPr>
                  </w:pPr>
                  <w:r>
                    <w:rPr>
                      <w:rFonts w:hint="default"/>
                      <w:color w:val="auto"/>
                    </w:rPr>
                    <w:t>环境风险防控</w:t>
                  </w:r>
                </w:p>
              </w:tc>
              <w:tc>
                <w:tcPr>
                  <w:tcW w:w="4979" w:type="dxa"/>
                  <w:tcBorders>
                    <w:tl2br w:val="nil"/>
                    <w:tr2bl w:val="nil"/>
                  </w:tcBorders>
                  <w:vAlign w:val="center"/>
                </w:tcPr>
                <w:p w14:paraId="51162DC6">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1、执行自治区、乌昌石片区总体准入要求中关于重点管控单元环境风险防控的准入要求（表2-3 A6.3、表3.4-2 B3）。</w:t>
                  </w:r>
                </w:p>
                <w:p w14:paraId="05D27F90">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2、园区及企业需制定安全事故和污染事故应急预案。发生安全事故和污染事故时，应当及时上报上级环保及相关部门，通报地方行政主管单位，并及时采取应急预案，控制和处理好已发生的事故灾难。</w:t>
                  </w:r>
                </w:p>
                <w:p w14:paraId="32FDD450">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3、定期对已建企业进行风险排查，对在建企业进行监督和指导，各环境风险企业必须建有围堰、事故池等一系列事故应急设施。</w:t>
                  </w:r>
                </w:p>
                <w:p w14:paraId="630107E9">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4、园区生产、使用、贮存、运输、回收、处置、排放有毒有害物质时，应当采取措施，防止有毒有害物质渗漏、流失、扬散，避免土壤受到污染。</w:t>
                  </w:r>
                </w:p>
              </w:tc>
              <w:tc>
                <w:tcPr>
                  <w:tcW w:w="1155" w:type="dxa"/>
                  <w:tcBorders>
                    <w:tl2br w:val="nil"/>
                    <w:tr2bl w:val="nil"/>
                  </w:tcBorders>
                  <w:vAlign w:val="center"/>
                </w:tcPr>
                <w:p w14:paraId="650DC0C3">
                  <w:pPr>
                    <w:pStyle w:val="36"/>
                    <w:keepNext w:val="0"/>
                    <w:keepLines w:val="0"/>
                    <w:suppressLineNumbers w:val="0"/>
                    <w:spacing w:before="0" w:beforeAutospacing="0" w:after="0" w:afterAutospacing="0"/>
                    <w:ind w:left="0" w:right="0"/>
                    <w:jc w:val="both"/>
                    <w:rPr>
                      <w:rFonts w:hint="default" w:ascii="Times New Roman" w:hAnsi="Times New Roman" w:eastAsia="宋体"/>
                      <w:color w:val="auto"/>
                      <w:lang w:val="en-US"/>
                    </w:rPr>
                  </w:pPr>
                  <w:r>
                    <w:rPr>
                      <w:rFonts w:hint="eastAsia" w:ascii="Times New Roman" w:hAnsi="Times New Roman" w:eastAsia="宋体"/>
                      <w:color w:val="auto"/>
                    </w:rPr>
                    <w:t>企业生产</w:t>
                  </w:r>
                  <w:r>
                    <w:rPr>
                      <w:rFonts w:hint="eastAsia" w:ascii="Times New Roman" w:hAnsi="Times New Roman" w:eastAsia="宋体"/>
                      <w:color w:val="auto"/>
                      <w:lang w:val="en-US" w:eastAsia="zh-CN"/>
                    </w:rPr>
                    <w:t>不</w:t>
                  </w:r>
                  <w:r>
                    <w:rPr>
                      <w:rFonts w:hint="eastAsia" w:ascii="Times New Roman" w:hAnsi="Times New Roman" w:eastAsia="宋体"/>
                      <w:color w:val="auto"/>
                    </w:rPr>
                    <w:t>涉及</w:t>
                  </w:r>
                  <w:r>
                    <w:rPr>
                      <w:rFonts w:hint="default"/>
                      <w:color w:val="auto"/>
                    </w:rPr>
                    <w:t>有毒有害物质</w:t>
                  </w:r>
                  <w:r>
                    <w:rPr>
                      <w:rFonts w:hint="eastAsia"/>
                      <w:color w:val="auto"/>
                      <w:lang w:eastAsia="zh-CN"/>
                    </w:rPr>
                    <w:t>，</w:t>
                  </w:r>
                  <w:r>
                    <w:rPr>
                      <w:rFonts w:hint="eastAsia"/>
                      <w:color w:val="auto"/>
                      <w:lang w:val="en-US" w:eastAsia="zh-CN"/>
                    </w:rPr>
                    <w:t>易燃易爆物质，废水经污水处理设施处理后达标排放。</w:t>
                  </w:r>
                </w:p>
              </w:tc>
            </w:tr>
            <w:tr w14:paraId="28AC15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46" w:type="dxa"/>
                  <w:tcBorders>
                    <w:tl2br w:val="nil"/>
                    <w:tr2bl w:val="nil"/>
                  </w:tcBorders>
                  <w:vAlign w:val="center"/>
                </w:tcPr>
                <w:p w14:paraId="71F78597">
                  <w:pPr>
                    <w:pStyle w:val="36"/>
                    <w:keepNext w:val="0"/>
                    <w:keepLines w:val="0"/>
                    <w:suppressLineNumbers w:val="0"/>
                    <w:spacing w:before="0" w:beforeAutospacing="0" w:after="0" w:afterAutospacing="0"/>
                    <w:ind w:left="0" w:right="0"/>
                    <w:rPr>
                      <w:rFonts w:hint="default"/>
                      <w:color w:val="auto"/>
                    </w:rPr>
                  </w:pPr>
                  <w:r>
                    <w:rPr>
                      <w:rFonts w:hint="default"/>
                      <w:color w:val="auto"/>
                    </w:rPr>
                    <w:t>资源利用效</w:t>
                  </w:r>
                  <w:r>
                    <w:rPr>
                      <w:rFonts w:hint="eastAsia"/>
                      <w:color w:val="auto"/>
                    </w:rPr>
                    <w:t>率</w:t>
                  </w:r>
                </w:p>
              </w:tc>
              <w:tc>
                <w:tcPr>
                  <w:tcW w:w="4979" w:type="dxa"/>
                  <w:tcBorders>
                    <w:tl2br w:val="nil"/>
                    <w:tr2bl w:val="nil"/>
                  </w:tcBorders>
                  <w:vAlign w:val="center"/>
                </w:tcPr>
                <w:p w14:paraId="54F9B298">
                  <w:pPr>
                    <w:pStyle w:val="36"/>
                    <w:keepNext w:val="0"/>
                    <w:keepLines w:val="0"/>
                    <w:suppressLineNumbers w:val="0"/>
                    <w:spacing w:before="0" w:beforeAutospacing="0" w:after="0" w:afterAutospacing="0"/>
                    <w:ind w:left="0" w:right="0"/>
                    <w:jc w:val="both"/>
                    <w:rPr>
                      <w:rFonts w:hint="default"/>
                      <w:color w:val="auto"/>
                    </w:rPr>
                  </w:pPr>
                  <w:r>
                    <w:rPr>
                      <w:rFonts w:hint="eastAsia"/>
                      <w:color w:val="auto"/>
                    </w:rPr>
                    <w:t>1、执行自治区、乌昌石片区总体准入要求中关于重点管控单元资源利用效率的准入要求（表2-3A6.4、表3.4-2 B4）。</w:t>
                  </w:r>
                </w:p>
                <w:p w14:paraId="2E967B7A">
                  <w:pPr>
                    <w:pStyle w:val="36"/>
                    <w:keepNext w:val="0"/>
                    <w:keepLines w:val="0"/>
                    <w:suppressLineNumbers w:val="0"/>
                    <w:spacing w:before="0" w:beforeAutospacing="0" w:after="0" w:afterAutospacing="0"/>
                    <w:ind w:left="0" w:right="0"/>
                    <w:jc w:val="both"/>
                    <w:rPr>
                      <w:rFonts w:hint="default"/>
                      <w:color w:val="auto"/>
                    </w:rPr>
                  </w:pPr>
                  <w:r>
                    <w:rPr>
                      <w:rFonts w:hint="eastAsia"/>
                      <w:color w:val="auto"/>
                    </w:rPr>
                    <w:t>2、园区企业按照“清污分流、一水多用、循环使用”的原则，加强节水和统筹用水的管理，重视水资源的梯级利用，最大限度提高水的重复率，减少新鲜水的用量。</w:t>
                  </w:r>
                </w:p>
                <w:p w14:paraId="02D58F38">
                  <w:pPr>
                    <w:pStyle w:val="36"/>
                    <w:keepNext w:val="0"/>
                    <w:keepLines w:val="0"/>
                    <w:suppressLineNumbers w:val="0"/>
                    <w:spacing w:before="0" w:beforeAutospacing="0" w:after="0" w:afterAutospacing="0"/>
                    <w:ind w:left="0" w:right="0"/>
                    <w:jc w:val="both"/>
                    <w:rPr>
                      <w:rFonts w:hint="default"/>
                      <w:color w:val="auto"/>
                    </w:rPr>
                  </w:pPr>
                  <w:r>
                    <w:rPr>
                      <w:rFonts w:hint="eastAsia"/>
                      <w:color w:val="auto"/>
                    </w:rPr>
                    <w:t>3、园区中的西区企业要加大自身余热再利用，鼓励使用清洁能源。</w:t>
                  </w:r>
                </w:p>
                <w:p w14:paraId="3246A5FC">
                  <w:pPr>
                    <w:pStyle w:val="36"/>
                    <w:keepNext w:val="0"/>
                    <w:keepLines w:val="0"/>
                    <w:suppressLineNumbers w:val="0"/>
                    <w:spacing w:before="0" w:beforeAutospacing="0" w:after="0" w:afterAutospacing="0"/>
                    <w:ind w:left="0" w:right="0"/>
                    <w:jc w:val="both"/>
                    <w:rPr>
                      <w:rFonts w:hint="default"/>
                      <w:color w:val="auto"/>
                    </w:rPr>
                  </w:pPr>
                  <w:r>
                    <w:rPr>
                      <w:rFonts w:hint="eastAsia"/>
                      <w:color w:val="auto"/>
                    </w:rPr>
                    <w:t>4、园区水资源开发总量、土地开发强度、能耗消费增量等指标应达到水利、自然资源、能源等部门相应要求。</w:t>
                  </w:r>
                </w:p>
              </w:tc>
              <w:tc>
                <w:tcPr>
                  <w:tcW w:w="1155" w:type="dxa"/>
                  <w:tcBorders>
                    <w:tl2br w:val="nil"/>
                    <w:tr2bl w:val="nil"/>
                  </w:tcBorders>
                  <w:vAlign w:val="center"/>
                </w:tcPr>
                <w:p w14:paraId="0B2FAF5C">
                  <w:pPr>
                    <w:pStyle w:val="36"/>
                    <w:keepNext w:val="0"/>
                    <w:keepLines w:val="0"/>
                    <w:suppressLineNumbers w:val="0"/>
                    <w:spacing w:before="0" w:beforeAutospacing="0" w:after="0" w:afterAutospacing="0"/>
                    <w:ind w:left="0" w:right="0"/>
                    <w:jc w:val="both"/>
                    <w:rPr>
                      <w:rFonts w:hint="default" w:ascii="Times New Roman" w:hAnsi="Times New Roman" w:eastAsia="宋体"/>
                      <w:color w:val="auto"/>
                    </w:rPr>
                  </w:pPr>
                  <w:r>
                    <w:rPr>
                      <w:rFonts w:hint="eastAsia" w:ascii="Times New Roman" w:hAnsi="Times New Roman" w:eastAsia="宋体"/>
                      <w:color w:val="auto"/>
                    </w:rPr>
                    <w:t>企业生产利用资源主要为电力、水，符合能利用要求。</w:t>
                  </w:r>
                </w:p>
              </w:tc>
            </w:tr>
          </w:tbl>
          <w:p w14:paraId="41A9C046">
            <w:pPr>
              <w:keepNext w:val="0"/>
              <w:keepLines w:val="0"/>
              <w:suppressLineNumbers w:val="0"/>
              <w:autoSpaceDE w:val="0"/>
              <w:autoSpaceDN w:val="0"/>
              <w:spacing w:before="0" w:beforeAutospacing="0" w:after="0" w:afterAutospacing="0"/>
              <w:ind w:left="0" w:right="0" w:firstLine="420"/>
              <w:rPr>
                <w:rFonts w:hint="default"/>
                <w:color w:val="auto"/>
              </w:rPr>
            </w:pPr>
            <w:r>
              <w:rPr>
                <w:rFonts w:hint="default"/>
                <w:color w:val="auto"/>
              </w:rPr>
              <w:t>综上所述，</w:t>
            </w:r>
            <w:r>
              <w:rPr>
                <w:rFonts w:hint="eastAsia"/>
                <w:color w:val="auto"/>
              </w:rPr>
              <w:t>本项目符合呼图壁县工业园环境管控单元生态环境准入清单（重点管控单元）管控要求。</w:t>
            </w:r>
          </w:p>
          <w:p w14:paraId="2965F4A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both"/>
              <w:textAlignment w:val="auto"/>
              <w:outlineLvl w:val="9"/>
              <w:rPr>
                <w:rFonts w:hint="default" w:ascii="Times New Roman" w:hAnsi="Times New Roman" w:eastAsia="宋体" w:cs="Times New Roman"/>
                <w:b/>
                <w:bCs/>
                <w:color w:val="auto"/>
                <w:kern w:val="0"/>
                <w:sz w:val="21"/>
                <w:szCs w:val="21"/>
                <w:lang w:val="en-US" w:eastAsia="zh-CN"/>
              </w:rPr>
            </w:pPr>
            <w:r>
              <w:rPr>
                <w:rFonts w:hint="eastAsia" w:ascii="Times New Roman" w:hAnsi="Times New Roman" w:eastAsia="宋体" w:cs="Times New Roman"/>
                <w:b/>
                <w:bCs/>
                <w:color w:val="auto"/>
                <w:kern w:val="0"/>
                <w:sz w:val="21"/>
                <w:szCs w:val="21"/>
                <w:lang w:val="en-US" w:eastAsia="zh-CN"/>
              </w:rPr>
              <w:t>3、与《 呼图壁县生态环境保护</w:t>
            </w:r>
            <w:r>
              <w:rPr>
                <w:rFonts w:hint="default" w:ascii="Times New Roman" w:hAnsi="Times New Roman" w:eastAsia="宋体" w:cs="Times New Roman"/>
                <w:b/>
                <w:bCs/>
                <w:color w:val="auto"/>
                <w:kern w:val="0"/>
                <w:sz w:val="21"/>
                <w:szCs w:val="21"/>
                <w:lang w:val="en-US" w:eastAsia="zh-CN"/>
              </w:rPr>
              <w:t>“</w:t>
            </w:r>
            <w:r>
              <w:rPr>
                <w:rFonts w:hint="eastAsia" w:ascii="Times New Roman" w:hAnsi="Times New Roman" w:eastAsia="宋体" w:cs="Times New Roman"/>
                <w:b/>
                <w:bCs/>
                <w:color w:val="auto"/>
                <w:kern w:val="0"/>
                <w:sz w:val="21"/>
                <w:szCs w:val="21"/>
                <w:lang w:val="en-US" w:eastAsia="zh-CN"/>
              </w:rPr>
              <w:t>十四五</w:t>
            </w:r>
            <w:r>
              <w:rPr>
                <w:rFonts w:hint="default" w:ascii="Times New Roman" w:hAnsi="Times New Roman" w:eastAsia="宋体" w:cs="Times New Roman"/>
                <w:b/>
                <w:bCs/>
                <w:color w:val="auto"/>
                <w:kern w:val="0"/>
                <w:sz w:val="21"/>
                <w:szCs w:val="21"/>
                <w:lang w:val="en-US" w:eastAsia="zh-CN"/>
              </w:rPr>
              <w:t>”</w:t>
            </w:r>
            <w:r>
              <w:rPr>
                <w:rFonts w:hint="eastAsia" w:ascii="Times New Roman" w:hAnsi="Times New Roman" w:eastAsia="宋体" w:cs="Times New Roman"/>
                <w:b/>
                <w:bCs/>
                <w:color w:val="auto"/>
                <w:kern w:val="0"/>
                <w:sz w:val="21"/>
                <w:szCs w:val="21"/>
                <w:lang w:val="en-US" w:eastAsia="zh-CN"/>
              </w:rPr>
              <w:t>规划 》符合性分析</w:t>
            </w:r>
          </w:p>
          <w:p w14:paraId="44A68158">
            <w:pPr>
              <w:keepNext w:val="0"/>
              <w:keepLines w:val="0"/>
              <w:suppressLineNumbers w:val="0"/>
              <w:autoSpaceDE w:val="0"/>
              <w:autoSpaceDN w:val="0"/>
              <w:spacing w:before="0" w:beforeAutospacing="0" w:after="0" w:afterAutospacing="0"/>
              <w:ind w:left="0" w:right="0" w:firstLine="420"/>
              <w:rPr>
                <w:rFonts w:hint="default" w:ascii="Times New Roman" w:hAnsi="Times New Roman" w:eastAsia="宋体"/>
                <w:color w:val="auto"/>
              </w:rPr>
            </w:pPr>
            <w:r>
              <w:rPr>
                <w:rFonts w:hint="eastAsia" w:ascii="Times New Roman" w:hAnsi="Times New Roman" w:eastAsia="宋体"/>
                <w:color w:val="auto"/>
              </w:rPr>
              <w:t>该规划中提出：2. 优化调整产业结构。</w:t>
            </w:r>
          </w:p>
          <w:p w14:paraId="06AE5B02">
            <w:pPr>
              <w:keepNext w:val="0"/>
              <w:keepLines w:val="0"/>
              <w:suppressLineNumbers w:val="0"/>
              <w:autoSpaceDE w:val="0"/>
              <w:autoSpaceDN w:val="0"/>
              <w:spacing w:before="0" w:beforeAutospacing="0" w:after="0" w:afterAutospacing="0"/>
              <w:ind w:left="0" w:right="0" w:firstLine="420"/>
              <w:rPr>
                <w:rFonts w:hint="eastAsia" w:ascii="Times New Roman" w:hAnsi="Times New Roman" w:eastAsia="宋体"/>
                <w:color w:val="auto"/>
              </w:rPr>
            </w:pPr>
            <w:r>
              <w:rPr>
                <w:rFonts w:hint="eastAsia" w:ascii="Times New Roman" w:hAnsi="Times New Roman" w:eastAsia="宋体"/>
                <w:color w:val="auto"/>
              </w:rPr>
              <w:t>（1）发展绿色低碳循环工业</w:t>
            </w:r>
          </w:p>
          <w:p w14:paraId="178F2944">
            <w:pPr>
              <w:keepNext w:val="0"/>
              <w:keepLines w:val="0"/>
              <w:suppressLineNumbers w:val="0"/>
              <w:autoSpaceDE w:val="0"/>
              <w:autoSpaceDN w:val="0"/>
              <w:spacing w:before="0" w:beforeAutospacing="0" w:after="0" w:afterAutospacing="0"/>
              <w:ind w:left="0" w:right="0" w:firstLine="420"/>
              <w:rPr>
                <w:rFonts w:hint="default" w:ascii="Times New Roman" w:hAnsi="Times New Roman" w:eastAsia="宋体"/>
                <w:color w:val="auto"/>
              </w:rPr>
            </w:pPr>
            <w:r>
              <w:rPr>
                <w:rFonts w:hint="eastAsia" w:ascii="Times New Roman" w:hAnsi="Times New Roman" w:eastAsia="宋体"/>
                <w:color w:val="auto"/>
              </w:rPr>
              <w:t>加快工业绿色低碳循环发展。推进天山工业园区示范区建设，把天山工业园区打造成为自治区绿色、低碳、循环、转型发展示范区。推动天山工业园区东区、中区和西区向不同定位和主导产业集聚发展。大力推进节能环保装备、清洁能源配套设施、绿色纺织品、农副产品精深加工、特色食品制造、先进高分子材料、新型建筑材料、节能环保新材料。加快推进开放创新、科技创新、制度创新和产业集聚发展，构建循环经济产业链和产业集群，提升资源能源利用效率。发展循环型工业，着力推进天山工业园区循环化改造和新建园区循环化建设，推进能源梯级利用、废物交换利用、土地节约集约利用，构建循环工业体系。</w:t>
            </w:r>
          </w:p>
          <w:p w14:paraId="1A14C72D">
            <w:pPr>
              <w:keepNext w:val="0"/>
              <w:keepLines w:val="0"/>
              <w:suppressLineNumbers w:val="0"/>
              <w:autoSpaceDE w:val="0"/>
              <w:autoSpaceDN w:val="0"/>
              <w:spacing w:before="0" w:beforeAutospacing="0" w:after="0" w:afterAutospacing="0"/>
              <w:ind w:left="0" w:right="0" w:firstLine="420"/>
              <w:rPr>
                <w:rFonts w:hint="default" w:ascii="Times New Roman" w:hAnsi="Times New Roman" w:eastAsia="宋体"/>
                <w:color w:val="auto"/>
              </w:rPr>
            </w:pPr>
            <w:r>
              <w:rPr>
                <w:rFonts w:hint="eastAsia" w:ascii="Times New Roman" w:hAnsi="Times New Roman" w:eastAsia="宋体"/>
                <w:color w:val="auto"/>
              </w:rPr>
              <w:t>本项目</w:t>
            </w:r>
            <w:r>
              <w:rPr>
                <w:rFonts w:hint="eastAsia" w:ascii="Times New Roman" w:hAnsi="Times New Roman" w:eastAsia="宋体"/>
                <w:color w:val="auto"/>
                <w:lang w:val="en-US" w:eastAsia="zh-CN"/>
              </w:rPr>
              <w:t>为驼奶生产加工项目，属于上述食品制造，</w:t>
            </w:r>
            <w:r>
              <w:rPr>
                <w:rFonts w:hint="eastAsia" w:ascii="Times New Roman" w:hAnsi="Times New Roman" w:eastAsia="宋体"/>
                <w:color w:val="auto"/>
              </w:rPr>
              <w:t>符合</w:t>
            </w:r>
            <w:r>
              <w:rPr>
                <w:rFonts w:hint="eastAsia" w:ascii="Times New Roman" w:hAnsi="Times New Roman" w:eastAsia="宋体"/>
                <w:color w:val="auto"/>
                <w:lang w:val="en-US" w:eastAsia="zh-CN"/>
              </w:rPr>
              <w:t>《 呼图壁县生态环境保护</w:t>
            </w:r>
            <w:r>
              <w:rPr>
                <w:rFonts w:hint="default" w:ascii="Times New Roman" w:hAnsi="Times New Roman" w:eastAsia="宋体"/>
                <w:color w:val="auto"/>
                <w:lang w:val="en-US" w:eastAsia="zh-CN"/>
              </w:rPr>
              <w:t>“</w:t>
            </w:r>
            <w:r>
              <w:rPr>
                <w:rFonts w:hint="eastAsia" w:ascii="Times New Roman" w:hAnsi="Times New Roman" w:eastAsia="宋体"/>
                <w:color w:val="auto"/>
                <w:lang w:val="en-US" w:eastAsia="zh-CN"/>
              </w:rPr>
              <w:t>十四五</w:t>
            </w:r>
            <w:r>
              <w:rPr>
                <w:rFonts w:hint="default" w:ascii="Times New Roman" w:hAnsi="Times New Roman" w:eastAsia="宋体"/>
                <w:color w:val="auto"/>
                <w:lang w:val="en-US" w:eastAsia="zh-CN"/>
              </w:rPr>
              <w:t>”</w:t>
            </w:r>
            <w:r>
              <w:rPr>
                <w:rFonts w:hint="eastAsia" w:ascii="Times New Roman" w:hAnsi="Times New Roman" w:eastAsia="宋体"/>
                <w:color w:val="auto"/>
                <w:lang w:val="en-US" w:eastAsia="zh-CN"/>
              </w:rPr>
              <w:t>规划 》</w:t>
            </w:r>
            <w:r>
              <w:rPr>
                <w:rFonts w:hint="eastAsia" w:ascii="Times New Roman" w:hAnsi="Times New Roman" w:eastAsia="宋体"/>
                <w:color w:val="auto"/>
              </w:rPr>
              <w:t>要求。</w:t>
            </w:r>
          </w:p>
          <w:p w14:paraId="6D5DDD01">
            <w:pPr>
              <w:pStyle w:val="46"/>
              <w:widowControl/>
              <w:adjustRightInd/>
              <w:spacing w:line="360" w:lineRule="auto"/>
              <w:ind w:left="0" w:leftChars="0" w:firstLine="0" w:firstLineChars="0"/>
              <w:textAlignment w:val="auto"/>
              <w:rPr>
                <w:rFonts w:hint="default" w:ascii="Times New Roman" w:hAnsi="Times New Roman" w:eastAsia="宋体" w:cs="Times New Roman"/>
                <w:i w:val="0"/>
                <w:iCs w:val="0"/>
                <w:color w:val="auto"/>
                <w:kern w:val="2"/>
                <w:sz w:val="21"/>
                <w:szCs w:val="21"/>
                <w:lang w:val="en-US" w:eastAsia="zh-CN"/>
              </w:rPr>
            </w:pPr>
          </w:p>
          <w:p w14:paraId="26A1C8DC">
            <w:pPr>
              <w:pStyle w:val="46"/>
              <w:widowControl/>
              <w:adjustRightInd/>
              <w:spacing w:line="360" w:lineRule="auto"/>
              <w:ind w:left="0" w:leftChars="0" w:firstLine="0" w:firstLineChars="0"/>
              <w:textAlignment w:val="auto"/>
              <w:rPr>
                <w:rFonts w:hint="default" w:ascii="Times New Roman" w:hAnsi="Times New Roman" w:eastAsia="宋体" w:cs="Times New Roman"/>
                <w:i w:val="0"/>
                <w:iCs w:val="0"/>
                <w:color w:val="auto"/>
                <w:kern w:val="2"/>
                <w:sz w:val="21"/>
                <w:szCs w:val="21"/>
                <w:lang w:val="en-US" w:eastAsia="zh-CN"/>
              </w:rPr>
            </w:pPr>
          </w:p>
          <w:p w14:paraId="4C32AB49">
            <w:pPr>
              <w:pStyle w:val="46"/>
              <w:widowControl/>
              <w:adjustRightInd/>
              <w:spacing w:line="360" w:lineRule="auto"/>
              <w:ind w:left="0" w:leftChars="0" w:firstLine="0" w:firstLineChars="0"/>
              <w:textAlignment w:val="auto"/>
              <w:rPr>
                <w:rFonts w:hint="default" w:ascii="Times New Roman" w:hAnsi="Times New Roman" w:eastAsia="宋体" w:cs="Times New Roman"/>
                <w:i w:val="0"/>
                <w:iCs w:val="0"/>
                <w:color w:val="auto"/>
                <w:kern w:val="2"/>
                <w:sz w:val="21"/>
                <w:szCs w:val="21"/>
                <w:lang w:val="en-US" w:eastAsia="zh-CN"/>
              </w:rPr>
            </w:pPr>
          </w:p>
          <w:p w14:paraId="335D98A9">
            <w:pPr>
              <w:pStyle w:val="46"/>
              <w:widowControl/>
              <w:adjustRightInd/>
              <w:spacing w:line="360" w:lineRule="auto"/>
              <w:ind w:left="0" w:leftChars="0" w:firstLine="0" w:firstLineChars="0"/>
              <w:textAlignment w:val="auto"/>
              <w:rPr>
                <w:rFonts w:hint="default" w:ascii="Times New Roman" w:hAnsi="Times New Roman" w:eastAsia="宋体" w:cs="Times New Roman"/>
                <w:i w:val="0"/>
                <w:iCs w:val="0"/>
                <w:color w:val="auto"/>
                <w:kern w:val="2"/>
                <w:sz w:val="21"/>
                <w:szCs w:val="21"/>
                <w:lang w:val="en-US" w:eastAsia="zh-CN"/>
              </w:rPr>
            </w:pPr>
          </w:p>
          <w:p w14:paraId="354138B6">
            <w:pPr>
              <w:pStyle w:val="46"/>
              <w:widowControl/>
              <w:adjustRightInd/>
              <w:spacing w:line="360" w:lineRule="auto"/>
              <w:ind w:left="0" w:leftChars="0" w:firstLine="0" w:firstLineChars="0"/>
              <w:textAlignment w:val="auto"/>
              <w:rPr>
                <w:rFonts w:hint="default" w:ascii="Times New Roman" w:hAnsi="Times New Roman" w:eastAsia="宋体" w:cs="Times New Roman"/>
                <w:i w:val="0"/>
                <w:iCs w:val="0"/>
                <w:color w:val="auto"/>
                <w:kern w:val="2"/>
                <w:sz w:val="21"/>
                <w:szCs w:val="21"/>
                <w:lang w:val="en-US" w:eastAsia="zh-CN"/>
              </w:rPr>
            </w:pPr>
          </w:p>
          <w:p w14:paraId="2500F699">
            <w:pPr>
              <w:pStyle w:val="46"/>
              <w:widowControl/>
              <w:adjustRightInd/>
              <w:spacing w:line="360" w:lineRule="auto"/>
              <w:ind w:left="0" w:leftChars="0" w:firstLine="0" w:firstLineChars="0"/>
              <w:textAlignment w:val="auto"/>
              <w:rPr>
                <w:rFonts w:hint="default" w:ascii="Times New Roman" w:hAnsi="Times New Roman" w:eastAsia="宋体" w:cs="Times New Roman"/>
                <w:i w:val="0"/>
                <w:iCs w:val="0"/>
                <w:color w:val="auto"/>
                <w:kern w:val="2"/>
                <w:sz w:val="21"/>
                <w:szCs w:val="21"/>
                <w:lang w:val="en-US" w:eastAsia="zh-CN"/>
              </w:rPr>
            </w:pPr>
          </w:p>
          <w:p w14:paraId="0C7EFC86">
            <w:pPr>
              <w:pStyle w:val="46"/>
              <w:widowControl/>
              <w:adjustRightInd/>
              <w:spacing w:line="360" w:lineRule="auto"/>
              <w:ind w:left="0" w:leftChars="0" w:firstLine="0" w:firstLineChars="0"/>
              <w:textAlignment w:val="auto"/>
              <w:rPr>
                <w:rFonts w:hint="default" w:ascii="Times New Roman" w:hAnsi="Times New Roman" w:eastAsia="宋体" w:cs="Times New Roman"/>
                <w:i w:val="0"/>
                <w:iCs w:val="0"/>
                <w:color w:val="auto"/>
                <w:kern w:val="2"/>
                <w:sz w:val="21"/>
                <w:szCs w:val="21"/>
                <w:lang w:val="en-US" w:eastAsia="zh-CN"/>
              </w:rPr>
            </w:pPr>
          </w:p>
          <w:p w14:paraId="1A24044C">
            <w:pPr>
              <w:pStyle w:val="46"/>
              <w:widowControl/>
              <w:adjustRightInd/>
              <w:spacing w:line="360" w:lineRule="auto"/>
              <w:ind w:left="0" w:leftChars="0" w:firstLine="0" w:firstLineChars="0"/>
              <w:textAlignment w:val="auto"/>
              <w:rPr>
                <w:rFonts w:hint="default" w:ascii="Times New Roman" w:hAnsi="Times New Roman" w:eastAsia="宋体" w:cs="Times New Roman"/>
                <w:i w:val="0"/>
                <w:iCs w:val="0"/>
                <w:color w:val="auto"/>
                <w:kern w:val="2"/>
                <w:sz w:val="21"/>
                <w:szCs w:val="21"/>
                <w:lang w:val="en-US" w:eastAsia="zh-CN"/>
              </w:rPr>
            </w:pPr>
          </w:p>
          <w:p w14:paraId="10334A9E">
            <w:pPr>
              <w:pStyle w:val="46"/>
              <w:widowControl/>
              <w:adjustRightInd/>
              <w:spacing w:line="360" w:lineRule="auto"/>
              <w:ind w:left="0" w:leftChars="0" w:firstLine="0" w:firstLineChars="0"/>
              <w:textAlignment w:val="auto"/>
              <w:rPr>
                <w:rFonts w:hint="default" w:ascii="Times New Roman" w:hAnsi="Times New Roman" w:eastAsia="宋体" w:cs="Times New Roman"/>
                <w:i w:val="0"/>
                <w:iCs w:val="0"/>
                <w:color w:val="auto"/>
                <w:kern w:val="2"/>
                <w:sz w:val="21"/>
                <w:szCs w:val="21"/>
                <w:lang w:val="en-US" w:eastAsia="zh-CN"/>
              </w:rPr>
            </w:pPr>
          </w:p>
          <w:p w14:paraId="3F35293C">
            <w:pPr>
              <w:pStyle w:val="46"/>
              <w:widowControl/>
              <w:adjustRightInd/>
              <w:spacing w:line="360" w:lineRule="auto"/>
              <w:ind w:left="0" w:leftChars="0" w:firstLine="0" w:firstLineChars="0"/>
              <w:textAlignment w:val="auto"/>
              <w:rPr>
                <w:rFonts w:hint="default" w:ascii="Times New Roman" w:hAnsi="Times New Roman" w:eastAsia="宋体" w:cs="Times New Roman"/>
                <w:i w:val="0"/>
                <w:iCs w:val="0"/>
                <w:color w:val="auto"/>
                <w:kern w:val="2"/>
                <w:sz w:val="21"/>
                <w:szCs w:val="21"/>
                <w:lang w:val="en-US" w:eastAsia="zh-CN"/>
              </w:rPr>
            </w:pPr>
          </w:p>
          <w:p w14:paraId="3ABC0074">
            <w:pPr>
              <w:bidi w:val="0"/>
              <w:ind w:left="0" w:leftChars="0" w:firstLine="0" w:firstLineChars="0"/>
              <w:rPr>
                <w:rFonts w:hint="default" w:ascii="Times New Roman" w:hAnsi="Times New Roman" w:cs="Times New Roman"/>
                <w:color w:val="auto"/>
                <w:sz w:val="21"/>
                <w:szCs w:val="21"/>
                <w:lang w:val="en-US" w:eastAsia="zh-CN"/>
              </w:rPr>
            </w:pPr>
          </w:p>
        </w:tc>
      </w:tr>
    </w:tbl>
    <w:p w14:paraId="33019320">
      <w:pPr>
        <w:keepNext w:val="0"/>
        <w:keepLines w:val="0"/>
        <w:pageBreakBefore w:val="0"/>
        <w:widowControl/>
        <w:tabs>
          <w:tab w:val="left" w:pos="4410"/>
        </w:tabs>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二、建设项目工程分析</w:t>
      </w:r>
    </w:p>
    <w:tbl>
      <w:tblPr>
        <w:tblStyle w:val="20"/>
        <w:tblW w:w="89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166"/>
      </w:tblGrid>
      <w:tr w14:paraId="3A03C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35" w:type="dxa"/>
            <w:vAlign w:val="center"/>
          </w:tcPr>
          <w:p w14:paraId="7801A88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建设内容</w:t>
            </w:r>
          </w:p>
        </w:tc>
        <w:tc>
          <w:tcPr>
            <w:tcW w:w="8166" w:type="dxa"/>
            <w:vAlign w:val="top"/>
          </w:tcPr>
          <w:p w14:paraId="27C9043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1、项目工程概况</w:t>
            </w:r>
          </w:p>
          <w:p w14:paraId="66E68691">
            <w:pPr>
              <w:rPr>
                <w:rFonts w:hint="default" w:ascii="Times New Roman" w:hAnsi="Times New Roman" w:cs="Times New Roman"/>
                <w:color w:val="auto"/>
                <w:szCs w:val="21"/>
                <w:lang w:val="zh-CN"/>
              </w:rPr>
            </w:pPr>
            <w:r>
              <w:rPr>
                <w:rFonts w:hint="default" w:ascii="Times New Roman" w:hAnsi="Times New Roman" w:eastAsia="宋体" w:cs="Times New Roman"/>
                <w:i w:val="0"/>
                <w:iCs w:val="0"/>
                <w:color w:val="auto"/>
                <w:sz w:val="21"/>
                <w:szCs w:val="21"/>
                <w:lang w:val="en-US" w:eastAsia="zh-CN"/>
              </w:rPr>
              <w:t>本项目选址位于</w:t>
            </w:r>
            <w:r>
              <w:rPr>
                <w:rFonts w:hint="default" w:ascii="Times New Roman" w:hAnsi="Times New Roman" w:cs="Times New Roman"/>
                <w:color w:val="auto"/>
                <w:sz w:val="21"/>
                <w:szCs w:val="21"/>
                <w:lang w:val="en-US" w:eastAsia="zh-CN"/>
              </w:rPr>
              <w:t>呼图壁县</w:t>
            </w:r>
            <w:r>
              <w:rPr>
                <w:rFonts w:hint="eastAsia" w:cs="Times New Roman"/>
                <w:color w:val="auto"/>
                <w:sz w:val="21"/>
                <w:szCs w:val="21"/>
                <w:lang w:val="en-US" w:eastAsia="zh-CN"/>
              </w:rPr>
              <w:t>工业园区</w:t>
            </w:r>
            <w:r>
              <w:rPr>
                <w:rFonts w:hint="eastAsia" w:cstheme="minorBidi"/>
                <w:color w:val="auto"/>
                <w:kern w:val="0"/>
                <w:sz w:val="21"/>
                <w:szCs w:val="21"/>
                <w:lang w:val="en-US" w:eastAsia="zh-CN" w:bidi="ar-SA"/>
              </w:rPr>
              <w:t>中区</w:t>
            </w:r>
            <w:r>
              <w:rPr>
                <w:rFonts w:hint="eastAsia"/>
                <w:color w:val="auto"/>
                <w:szCs w:val="24"/>
                <w:lang w:val="en-US" w:eastAsia="zh-CN"/>
              </w:rPr>
              <w:t>轻纺食品产业区</w:t>
            </w:r>
            <w:r>
              <w:rPr>
                <w:rFonts w:hint="default" w:ascii="Times New Roman" w:hAnsi="Times New Roman" w:cs="Times New Roman"/>
                <w:color w:val="auto"/>
                <w:sz w:val="21"/>
                <w:szCs w:val="21"/>
                <w:lang w:eastAsia="zh-CN"/>
              </w:rPr>
              <w:t>，占地为</w:t>
            </w:r>
            <w:r>
              <w:rPr>
                <w:rFonts w:hint="default" w:ascii="Times New Roman" w:hAnsi="Times New Roman" w:cs="Times New Roman"/>
                <w:color w:val="auto"/>
                <w:sz w:val="21"/>
                <w:szCs w:val="21"/>
                <w:lang w:val="en-US" w:eastAsia="zh-CN"/>
              </w:rPr>
              <w:t>工业用地。</w:t>
            </w:r>
            <w:r>
              <w:rPr>
                <w:rFonts w:hint="default" w:ascii="Times New Roman" w:hAnsi="Times New Roman" w:cs="Times New Roman"/>
                <w:color w:val="auto"/>
                <w:szCs w:val="21"/>
              </w:rPr>
              <w:t>中心地理坐标为</w:t>
            </w:r>
            <w:r>
              <w:rPr>
                <w:rFonts w:hint="default" w:ascii="Times New Roman" w:hAnsi="Times New Roman" w:cs="Times New Roman"/>
                <w:color w:val="auto"/>
                <w:sz w:val="21"/>
                <w:szCs w:val="21"/>
                <w:lang w:val="en-US" w:eastAsia="zh-CN"/>
              </w:rPr>
              <w:t>E8</w:t>
            </w:r>
            <w:r>
              <w:rPr>
                <w:rFonts w:hint="eastAsia" w:cs="Times New Roman"/>
                <w:color w:val="auto"/>
                <w:sz w:val="21"/>
                <w:szCs w:val="21"/>
                <w:lang w:val="en-US" w:eastAsia="zh-CN"/>
              </w:rPr>
              <w:t>6</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49</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33.738</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N4</w:t>
            </w:r>
            <w:r>
              <w:rPr>
                <w:rFonts w:hint="eastAsia" w:cs="Times New Roman"/>
                <w:color w:val="auto"/>
                <w:sz w:val="21"/>
                <w:szCs w:val="21"/>
                <w:lang w:val="en-US" w:eastAsia="zh-CN"/>
              </w:rPr>
              <w:t>4</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10</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48.585</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Cs w:val="21"/>
                <w:lang w:val="zh-CN"/>
              </w:rPr>
              <w:t>。</w:t>
            </w:r>
          </w:p>
          <w:p w14:paraId="21BD8FE6">
            <w:pP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项目地理位置详见附图2-1，卫星影像图详见附图2-2。</w:t>
            </w:r>
          </w:p>
          <w:p w14:paraId="48CC10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2、</w:t>
            </w:r>
            <w:r>
              <w:rPr>
                <w:rFonts w:hint="default" w:ascii="Times New Roman" w:hAnsi="Times New Roman" w:eastAsia="宋体" w:cs="Times New Roman"/>
                <w:b/>
                <w:bCs/>
                <w:color w:val="auto"/>
                <w:kern w:val="2"/>
                <w:sz w:val="21"/>
                <w:szCs w:val="21"/>
                <w:lang w:val="en-US" w:eastAsia="zh-CN" w:bidi="ar-SA"/>
              </w:rPr>
              <w:t>主要建设内容及规模</w:t>
            </w:r>
          </w:p>
          <w:p w14:paraId="0CC21E9E">
            <w:pP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本项目占地面积</w:t>
            </w:r>
            <w:r>
              <w:rPr>
                <w:rFonts w:hint="default" w:ascii="Times New Roman" w:hAnsi="Times New Roman" w:eastAsia="宋体" w:cs="Times New Roman"/>
                <w:color w:val="auto"/>
                <w:sz w:val="21"/>
                <w:szCs w:val="21"/>
                <w:lang w:val="en-US" w:eastAsia="zh-CN"/>
              </w:rPr>
              <w:t>为</w:t>
            </w:r>
            <w:r>
              <w:rPr>
                <w:rFonts w:hint="eastAsia" w:cs="Times New Roman"/>
                <w:color w:val="auto"/>
                <w:sz w:val="21"/>
                <w:szCs w:val="21"/>
                <w:lang w:val="en-US" w:eastAsia="zh-CN"/>
              </w:rPr>
              <w:t>20010</w:t>
            </w:r>
            <w:r>
              <w:rPr>
                <w:rFonts w:hint="default" w:ascii="Times New Roman" w:hAnsi="Times New Roman" w:eastAsia="宋体"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r>
              <w:rPr>
                <w:rFonts w:hint="default" w:ascii="Times New Roman" w:hAnsi="Times New Roman" w:cs="Times New Roman"/>
                <w:color w:val="auto"/>
                <w:sz w:val="21"/>
                <w:szCs w:val="21"/>
                <w:lang w:val="en-US" w:eastAsia="zh-CN"/>
              </w:rPr>
              <w:t>，公司租用缘琪纺织厂房、仓库、办公楼、餐厅等</w:t>
            </w:r>
            <w:r>
              <w:rPr>
                <w:rFonts w:hint="eastAsia" w:cs="Times New Roman"/>
                <w:color w:val="auto"/>
                <w:sz w:val="21"/>
                <w:szCs w:val="21"/>
                <w:lang w:val="en-US" w:eastAsia="zh-CN"/>
              </w:rPr>
              <w:t>10000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r>
              <w:rPr>
                <w:rFonts w:hint="default" w:ascii="Times New Roman" w:hAnsi="Times New Roman" w:cs="Times New Roman"/>
                <w:color w:val="auto"/>
                <w:sz w:val="21"/>
                <w:szCs w:val="21"/>
                <w:lang w:val="en-US" w:eastAsia="zh-CN"/>
              </w:rPr>
              <w:t>，新建年加工1500吨鲜驼奶、1000吨驼奶粉生产线，购置安装驼奶、驼奶粉加工成套设备。</w:t>
            </w:r>
          </w:p>
          <w:p w14:paraId="0494949E">
            <w:pP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具体工程内容规模见表</w:t>
            </w:r>
            <w:r>
              <w:rPr>
                <w:rFonts w:hint="default" w:ascii="Times New Roman" w:hAnsi="Times New Roman" w:cs="Times New Roman"/>
                <w:color w:val="auto"/>
                <w:sz w:val="21"/>
                <w:szCs w:val="21"/>
                <w:lang w:val="en-US" w:eastAsia="zh-CN"/>
              </w:rPr>
              <w:t>2-1</w:t>
            </w:r>
            <w:r>
              <w:rPr>
                <w:rFonts w:hint="default" w:ascii="Times New Roman" w:hAnsi="Times New Roman" w:cs="Times New Roman"/>
                <w:color w:val="auto"/>
                <w:sz w:val="21"/>
                <w:szCs w:val="21"/>
              </w:rPr>
              <w:t>。</w:t>
            </w:r>
          </w:p>
          <w:p w14:paraId="5DDAF170">
            <w:pPr>
              <w:pStyle w:val="33"/>
              <w:jc w:val="center"/>
              <w:rPr>
                <w:rFonts w:hint="default" w:ascii="Times New Roman" w:hAnsi="Times New Roman" w:cs="Times New Roman"/>
                <w:color w:val="auto"/>
                <w:sz w:val="21"/>
                <w:szCs w:val="21"/>
              </w:rPr>
            </w:pPr>
            <w:r>
              <w:rPr>
                <w:rFonts w:hint="default" w:ascii="Times New Roman" w:hAnsi="Times New Roman" w:eastAsia="宋体" w:cs="Times New Roman"/>
                <w:b/>
                <w:bCs/>
                <w:color w:val="auto"/>
                <w:kern w:val="2"/>
                <w:sz w:val="21"/>
                <w:szCs w:val="21"/>
                <w:lang w:val="en-US" w:eastAsia="zh-CN" w:bidi="ar-SA"/>
              </w:rPr>
              <w:t>表2-1</w:t>
            </w:r>
            <w:r>
              <w:rPr>
                <w:rFonts w:hint="eastAsia" w:cs="Times New Roman"/>
                <w:b/>
                <w:bCs/>
                <w:color w:val="auto"/>
                <w:kern w:val="2"/>
                <w:sz w:val="21"/>
                <w:szCs w:val="21"/>
                <w:lang w:val="en-US" w:eastAsia="zh-CN" w:bidi="ar-SA"/>
              </w:rPr>
              <w:t xml:space="preserve">  </w:t>
            </w:r>
            <w:r>
              <w:rPr>
                <w:rFonts w:hint="default" w:ascii="Times New Roman" w:hAnsi="Times New Roman" w:eastAsia="宋体" w:cs="Times New Roman"/>
                <w:b/>
                <w:bCs/>
                <w:color w:val="auto"/>
                <w:kern w:val="2"/>
                <w:sz w:val="21"/>
                <w:szCs w:val="21"/>
                <w:lang w:val="en-US" w:eastAsia="zh-CN" w:bidi="ar-SA"/>
              </w:rPr>
              <w:t>工程内容表</w:t>
            </w:r>
          </w:p>
          <w:tbl>
            <w:tblPr>
              <w:tblStyle w:val="20"/>
              <w:tblW w:w="794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67"/>
              <w:gridCol w:w="6083"/>
            </w:tblGrid>
            <w:tr w14:paraId="11BC3F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tcBorders>
                    <w:tl2br w:val="nil"/>
                    <w:tr2bl w:val="nil"/>
                  </w:tcBorders>
                  <w:vAlign w:val="center"/>
                </w:tcPr>
                <w:p w14:paraId="5F31D945">
                  <w:pPr>
                    <w:pStyle w:val="3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类别</w:t>
                  </w:r>
                </w:p>
              </w:tc>
              <w:tc>
                <w:tcPr>
                  <w:tcW w:w="1167" w:type="dxa"/>
                  <w:tcBorders>
                    <w:tl2br w:val="nil"/>
                    <w:tr2bl w:val="nil"/>
                  </w:tcBorders>
                  <w:vAlign w:val="center"/>
                </w:tcPr>
                <w:p w14:paraId="0063CDC2">
                  <w:pPr>
                    <w:pStyle w:val="3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工程名称</w:t>
                  </w:r>
                </w:p>
              </w:tc>
              <w:tc>
                <w:tcPr>
                  <w:tcW w:w="6083" w:type="dxa"/>
                  <w:tcBorders>
                    <w:tl2br w:val="nil"/>
                    <w:tr2bl w:val="nil"/>
                  </w:tcBorders>
                  <w:vAlign w:val="center"/>
                </w:tcPr>
                <w:p w14:paraId="5870311D">
                  <w:pPr>
                    <w:pStyle w:val="3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内容及规模</w:t>
                  </w:r>
                </w:p>
              </w:tc>
            </w:tr>
            <w:tr w14:paraId="145C52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tcBorders>
                    <w:tl2br w:val="nil"/>
                    <w:tr2bl w:val="nil"/>
                  </w:tcBorders>
                  <w:vAlign w:val="center"/>
                </w:tcPr>
                <w:p w14:paraId="6908EDDD">
                  <w:pPr>
                    <w:pStyle w:val="3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主体工程</w:t>
                  </w:r>
                </w:p>
              </w:tc>
              <w:tc>
                <w:tcPr>
                  <w:tcW w:w="1167" w:type="dxa"/>
                  <w:tcBorders>
                    <w:tl2br w:val="nil"/>
                    <w:tr2bl w:val="nil"/>
                  </w:tcBorders>
                  <w:vAlign w:val="center"/>
                </w:tcPr>
                <w:p w14:paraId="10F12A11">
                  <w:pPr>
                    <w:pStyle w:val="36"/>
                    <w:jc w:val="center"/>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生产车间</w:t>
                  </w:r>
                </w:p>
              </w:tc>
              <w:tc>
                <w:tcPr>
                  <w:tcW w:w="6083" w:type="dxa"/>
                  <w:tcBorders>
                    <w:tl2br w:val="nil"/>
                    <w:tr2bl w:val="nil"/>
                  </w:tcBorders>
                  <w:vAlign w:val="center"/>
                </w:tcPr>
                <w:p w14:paraId="052BAA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建筑面积</w:t>
                  </w:r>
                  <w:r>
                    <w:rPr>
                      <w:rFonts w:hint="eastAsia" w:cs="Times New Roman"/>
                      <w:color w:val="auto"/>
                      <w:sz w:val="21"/>
                      <w:szCs w:val="21"/>
                      <w:lang w:val="en-US" w:eastAsia="zh-CN"/>
                    </w:rPr>
                    <w:t>3000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r>
                    <w:rPr>
                      <w:rFonts w:hint="default" w:ascii="Times New Roman" w:hAnsi="Times New Roman" w:cs="Times New Roman"/>
                      <w:color w:val="auto"/>
                      <w:sz w:val="21"/>
                      <w:szCs w:val="21"/>
                      <w:lang w:val="en-US" w:eastAsia="zh-CN"/>
                    </w:rPr>
                    <w:t>，主要为</w:t>
                  </w:r>
                  <w:r>
                    <w:rPr>
                      <w:rFonts w:hint="eastAsia"/>
                      <w:color w:val="auto"/>
                      <w:lang w:val="en-US" w:eastAsia="zh-CN"/>
                    </w:rPr>
                    <w:t>骆驼液态奶生产和骆驼奶粉生产</w:t>
                  </w:r>
                </w:p>
              </w:tc>
            </w:tr>
            <w:tr w14:paraId="32B11F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697" w:type="dxa"/>
                  <w:vMerge w:val="restart"/>
                  <w:tcBorders>
                    <w:tl2br w:val="nil"/>
                    <w:tr2bl w:val="nil"/>
                  </w:tcBorders>
                  <w:vAlign w:val="center"/>
                </w:tcPr>
                <w:p w14:paraId="46FD2B23">
                  <w:pPr>
                    <w:pStyle w:val="36"/>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储运工程</w:t>
                  </w:r>
                </w:p>
              </w:tc>
              <w:tc>
                <w:tcPr>
                  <w:tcW w:w="1167" w:type="dxa"/>
                  <w:tcBorders>
                    <w:tl2br w:val="nil"/>
                    <w:tr2bl w:val="nil"/>
                  </w:tcBorders>
                  <w:shd w:val="clear" w:color="auto" w:fill="auto"/>
                  <w:vAlign w:val="center"/>
                </w:tcPr>
                <w:p w14:paraId="7A1EBAA8">
                  <w:pPr>
                    <w:pStyle w:val="36"/>
                    <w:ind w:firstLine="0" w:firstLineChars="0"/>
                    <w:jc w:val="center"/>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仓库</w:t>
                  </w:r>
                </w:p>
              </w:tc>
              <w:tc>
                <w:tcPr>
                  <w:tcW w:w="6083" w:type="dxa"/>
                  <w:tcBorders>
                    <w:tl2br w:val="nil"/>
                    <w:tr2bl w:val="nil"/>
                  </w:tcBorders>
                  <w:shd w:val="clear" w:color="auto" w:fill="auto"/>
                  <w:vAlign w:val="center"/>
                </w:tcPr>
                <w:p w14:paraId="6C8A84B5">
                  <w:pPr>
                    <w:pStyle w:val="36"/>
                    <w:ind w:firstLine="0" w:firstLineChars="0"/>
                    <w:jc w:val="center"/>
                    <w:rPr>
                      <w:rFonts w:hint="default" w:ascii="Times New Roman" w:hAnsi="Times New Roman" w:cs="Times New Roman"/>
                      <w:color w:val="auto"/>
                      <w:sz w:val="21"/>
                      <w:szCs w:val="21"/>
                      <w:lang w:val="en-US" w:eastAsia="zh-CN"/>
                    </w:rPr>
                  </w:pPr>
                  <w:r>
                    <w:rPr>
                      <w:rFonts w:hint="eastAsia"/>
                      <w:color w:val="auto"/>
                      <w:lang w:val="en-US" w:eastAsia="zh-CN"/>
                    </w:rPr>
                    <w:t>仓库3</w:t>
                  </w:r>
                  <w:r>
                    <w:rPr>
                      <w:rFonts w:hint="eastAsia" w:eastAsia="宋体"/>
                      <w:color w:val="auto"/>
                      <w:lang w:val="en-US" w:eastAsia="zh-CN"/>
                    </w:rPr>
                    <w:t>000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r>
                    <w:rPr>
                      <w:rFonts w:hint="eastAsia" w:eastAsia="宋体"/>
                      <w:color w:val="auto"/>
                      <w:lang w:val="en-US" w:eastAsia="zh-CN"/>
                    </w:rPr>
                    <w:t>，</w:t>
                  </w:r>
                  <w:r>
                    <w:rPr>
                      <w:rFonts w:hint="default" w:ascii="Times New Roman" w:hAnsi="Times New Roman" w:cs="Times New Roman"/>
                      <w:color w:val="auto"/>
                      <w:sz w:val="21"/>
                      <w:szCs w:val="21"/>
                      <w:lang w:val="en-US" w:eastAsia="zh-CN"/>
                    </w:rPr>
                    <w:t>主要用于驼奶粉</w:t>
                  </w:r>
                  <w:r>
                    <w:rPr>
                      <w:rFonts w:hint="eastAsia" w:ascii="Times New Roman" w:hAnsi="Times New Roman" w:cs="Times New Roman"/>
                      <w:color w:val="auto"/>
                      <w:sz w:val="21"/>
                      <w:szCs w:val="21"/>
                      <w:lang w:val="en-US" w:eastAsia="zh-CN"/>
                    </w:rPr>
                    <w:t>存储</w:t>
                  </w:r>
                </w:p>
              </w:tc>
            </w:tr>
            <w:tr w14:paraId="72F672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Merge w:val="restart"/>
                  <w:tcBorders>
                    <w:tl2br w:val="nil"/>
                    <w:tr2bl w:val="nil"/>
                  </w:tcBorders>
                  <w:vAlign w:val="center"/>
                </w:tcPr>
                <w:p w14:paraId="47C718B3">
                  <w:pPr>
                    <w:pStyle w:val="36"/>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辅助</w:t>
                  </w:r>
                  <w:r>
                    <w:rPr>
                      <w:rFonts w:hint="default" w:ascii="Times New Roman" w:hAnsi="Times New Roman" w:cs="Times New Roman"/>
                      <w:color w:val="auto"/>
                      <w:sz w:val="21"/>
                      <w:szCs w:val="21"/>
                    </w:rPr>
                    <w:t>工程</w:t>
                  </w:r>
                </w:p>
              </w:tc>
              <w:tc>
                <w:tcPr>
                  <w:tcW w:w="1167" w:type="dxa"/>
                  <w:tcBorders>
                    <w:tl2br w:val="nil"/>
                    <w:tr2bl w:val="nil"/>
                  </w:tcBorders>
                  <w:vAlign w:val="center"/>
                </w:tcPr>
                <w:p w14:paraId="74AE4323">
                  <w:pPr>
                    <w:pStyle w:val="3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办公生活区</w:t>
                  </w:r>
                </w:p>
              </w:tc>
              <w:tc>
                <w:tcPr>
                  <w:tcW w:w="6083" w:type="dxa"/>
                  <w:tcBorders>
                    <w:tl2br w:val="nil"/>
                    <w:tr2bl w:val="nil"/>
                  </w:tcBorders>
                  <w:vAlign w:val="center"/>
                </w:tcPr>
                <w:p w14:paraId="67207AC4">
                  <w:pPr>
                    <w:pStyle w:val="36"/>
                    <w:jc w:val="center"/>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2F，办公楼建筑面积2100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r>
                    <w:rPr>
                      <w:rFonts w:hint="eastAsia" w:eastAsia="宋体"/>
                      <w:color w:val="auto"/>
                      <w:lang w:val="en-US" w:eastAsia="zh-CN"/>
                    </w:rPr>
                    <w:t>，</w:t>
                  </w:r>
                  <w:r>
                    <w:rPr>
                      <w:rFonts w:hint="eastAsia" w:cs="Times New Roman"/>
                      <w:color w:val="auto"/>
                      <w:sz w:val="21"/>
                      <w:szCs w:val="21"/>
                      <w:lang w:val="en-US" w:eastAsia="zh-CN"/>
                    </w:rPr>
                    <w:t>每层1050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r>
                    <w:rPr>
                      <w:rFonts w:hint="eastAsia" w:cs="Times New Roman"/>
                      <w:color w:val="auto"/>
                      <w:sz w:val="21"/>
                      <w:szCs w:val="21"/>
                      <w:lang w:val="en-US" w:eastAsia="zh-CN"/>
                    </w:rPr>
                    <w:t>；食堂240</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2</w:t>
                  </w:r>
                </w:p>
              </w:tc>
            </w:tr>
            <w:tr w14:paraId="6A3ACB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Merge w:val="continue"/>
                  <w:tcBorders>
                    <w:tl2br w:val="nil"/>
                    <w:tr2bl w:val="nil"/>
                  </w:tcBorders>
                  <w:vAlign w:val="center"/>
                </w:tcPr>
                <w:p w14:paraId="1CB52DEC">
                  <w:pPr>
                    <w:pStyle w:val="36"/>
                    <w:jc w:val="center"/>
                    <w:rPr>
                      <w:rFonts w:hint="default" w:ascii="Times New Roman" w:hAnsi="Times New Roman" w:cs="Times New Roman"/>
                      <w:color w:val="auto"/>
                      <w:sz w:val="21"/>
                      <w:szCs w:val="21"/>
                    </w:rPr>
                  </w:pPr>
                </w:p>
              </w:tc>
              <w:tc>
                <w:tcPr>
                  <w:tcW w:w="1167" w:type="dxa"/>
                  <w:tcBorders>
                    <w:tl2br w:val="nil"/>
                    <w:tr2bl w:val="nil"/>
                  </w:tcBorders>
                  <w:shd w:val="clear" w:color="auto" w:fill="auto"/>
                  <w:vAlign w:val="top"/>
                </w:tcPr>
                <w:p w14:paraId="41B14FAC">
                  <w:pPr>
                    <w:pStyle w:val="36"/>
                    <w:jc w:val="center"/>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t>污水处</w:t>
                  </w:r>
                </w:p>
                <w:p w14:paraId="090D013A">
                  <w:pPr>
                    <w:pStyle w:val="36"/>
                    <w:jc w:val="center"/>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理站</w:t>
                  </w:r>
                </w:p>
              </w:tc>
              <w:tc>
                <w:tcPr>
                  <w:tcW w:w="6083" w:type="dxa"/>
                  <w:tcBorders>
                    <w:tl2br w:val="nil"/>
                    <w:tr2bl w:val="nil"/>
                  </w:tcBorders>
                  <w:shd w:val="clear" w:color="auto" w:fill="auto"/>
                  <w:vAlign w:val="top"/>
                </w:tcPr>
                <w:p w14:paraId="59EE7FEF">
                  <w:pPr>
                    <w:pStyle w:val="36"/>
                    <w:jc w:val="center"/>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 xml:space="preserve">设计规模 </w:t>
                  </w:r>
                  <w:r>
                    <w:rPr>
                      <w:rFonts w:hint="eastAsia"/>
                      <w:color w:val="auto"/>
                      <w:lang w:val="en-US" w:eastAsia="zh-CN"/>
                    </w:rPr>
                    <w:t>150</w:t>
                  </w:r>
                  <w:r>
                    <w:rPr>
                      <w:rFonts w:hint="eastAsia" w:ascii="Times New Roman" w:hAnsi="Times New Roman" w:eastAsia="宋体"/>
                      <w:color w:val="auto"/>
                      <w:lang w:val="en-US" w:eastAsia="zh-CN"/>
                    </w:rPr>
                    <w:t>m</w:t>
                  </w:r>
                  <w:r>
                    <w:rPr>
                      <w:rFonts w:hint="eastAsia"/>
                      <w:color w:val="auto"/>
                      <w:vertAlign w:val="superscript"/>
                      <w:lang w:val="en-US" w:eastAsia="zh-CN"/>
                    </w:rPr>
                    <w:t>3</w:t>
                  </w:r>
                  <w:r>
                    <w:rPr>
                      <w:rFonts w:hint="eastAsia" w:ascii="Times New Roman" w:hAnsi="Times New Roman" w:eastAsia="宋体"/>
                      <w:color w:val="auto"/>
                      <w:lang w:val="en-US" w:eastAsia="zh-CN"/>
                    </w:rPr>
                    <w:t>/d，采用“预处理+ABR+接触氧化”工艺，出水可达到《污水综合排放标准》三级标准要求</w:t>
                  </w:r>
                </w:p>
              </w:tc>
            </w:tr>
            <w:tr w14:paraId="264788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Merge w:val="restart"/>
                  <w:tcBorders>
                    <w:tl2br w:val="nil"/>
                    <w:tr2bl w:val="nil"/>
                  </w:tcBorders>
                  <w:vAlign w:val="center"/>
                </w:tcPr>
                <w:p w14:paraId="6E7A165A">
                  <w:pPr>
                    <w:pStyle w:val="36"/>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公</w:t>
                  </w:r>
                  <w:r>
                    <w:rPr>
                      <w:rFonts w:hint="eastAsia" w:ascii="Times New Roman" w:hAnsi="Times New Roman" w:cs="Times New Roman"/>
                      <w:color w:val="auto"/>
                      <w:sz w:val="21"/>
                      <w:szCs w:val="21"/>
                      <w:lang w:val="en-US" w:eastAsia="zh-CN"/>
                    </w:rPr>
                    <w:t>用</w:t>
                  </w:r>
                  <w:r>
                    <w:rPr>
                      <w:rFonts w:hint="default" w:ascii="Times New Roman" w:hAnsi="Times New Roman" w:cs="Times New Roman"/>
                      <w:color w:val="auto"/>
                      <w:sz w:val="21"/>
                      <w:szCs w:val="21"/>
                    </w:rPr>
                    <w:t>工程</w:t>
                  </w:r>
                </w:p>
              </w:tc>
              <w:tc>
                <w:tcPr>
                  <w:tcW w:w="1167" w:type="dxa"/>
                  <w:tcBorders>
                    <w:tl2br w:val="nil"/>
                    <w:tr2bl w:val="nil"/>
                  </w:tcBorders>
                  <w:shd w:val="clear" w:color="auto" w:fill="auto"/>
                  <w:vAlign w:val="center"/>
                </w:tcPr>
                <w:p w14:paraId="6FD4AB2B">
                  <w:pPr>
                    <w:pStyle w:val="36"/>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rPr>
                    <w:t>给水工程</w:t>
                  </w:r>
                </w:p>
              </w:tc>
              <w:tc>
                <w:tcPr>
                  <w:tcW w:w="6083" w:type="dxa"/>
                  <w:tcBorders>
                    <w:tl2br w:val="nil"/>
                    <w:tr2bl w:val="nil"/>
                  </w:tcBorders>
                  <w:shd w:val="clear" w:color="auto" w:fill="auto"/>
                  <w:vAlign w:val="center"/>
                </w:tcPr>
                <w:p w14:paraId="60788ABB">
                  <w:pPr>
                    <w:pStyle w:val="36"/>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市政供水管网接入</w:t>
                  </w:r>
                </w:p>
              </w:tc>
            </w:tr>
            <w:tr w14:paraId="006D5C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Merge w:val="continue"/>
                  <w:tcBorders>
                    <w:tl2br w:val="nil"/>
                    <w:tr2bl w:val="nil"/>
                  </w:tcBorders>
                  <w:vAlign w:val="center"/>
                </w:tcPr>
                <w:p w14:paraId="669DE9BF">
                  <w:pPr>
                    <w:pStyle w:val="36"/>
                    <w:jc w:val="both"/>
                    <w:rPr>
                      <w:rFonts w:hint="default" w:ascii="Times New Roman" w:hAnsi="Times New Roman" w:cs="Times New Roman"/>
                      <w:color w:val="auto"/>
                      <w:sz w:val="21"/>
                      <w:szCs w:val="21"/>
                    </w:rPr>
                  </w:pPr>
                </w:p>
              </w:tc>
              <w:tc>
                <w:tcPr>
                  <w:tcW w:w="1167" w:type="dxa"/>
                  <w:tcBorders>
                    <w:tl2br w:val="nil"/>
                    <w:tr2bl w:val="nil"/>
                  </w:tcBorders>
                  <w:vAlign w:val="center"/>
                </w:tcPr>
                <w:p w14:paraId="181C35CD">
                  <w:pPr>
                    <w:pStyle w:val="36"/>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供气工程</w:t>
                  </w:r>
                </w:p>
              </w:tc>
              <w:tc>
                <w:tcPr>
                  <w:tcW w:w="6083" w:type="dxa"/>
                  <w:tcBorders>
                    <w:tl2br w:val="nil"/>
                    <w:tr2bl w:val="nil"/>
                  </w:tcBorders>
                  <w:vAlign w:val="center"/>
                </w:tcPr>
                <w:p w14:paraId="4DD47BAD">
                  <w:pPr>
                    <w:pStyle w:val="36"/>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接入市政燃气管道</w:t>
                  </w:r>
                </w:p>
              </w:tc>
            </w:tr>
            <w:tr w14:paraId="11FCF5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Merge w:val="continue"/>
                  <w:tcBorders>
                    <w:tl2br w:val="nil"/>
                    <w:tr2bl w:val="nil"/>
                  </w:tcBorders>
                  <w:vAlign w:val="center"/>
                </w:tcPr>
                <w:p w14:paraId="097238B0">
                  <w:pPr>
                    <w:pStyle w:val="36"/>
                    <w:jc w:val="center"/>
                    <w:rPr>
                      <w:rFonts w:hint="default" w:ascii="Times New Roman" w:hAnsi="Times New Roman" w:cs="Times New Roman"/>
                      <w:color w:val="auto"/>
                      <w:sz w:val="21"/>
                      <w:szCs w:val="21"/>
                    </w:rPr>
                  </w:pPr>
                </w:p>
              </w:tc>
              <w:tc>
                <w:tcPr>
                  <w:tcW w:w="1167" w:type="dxa"/>
                  <w:tcBorders>
                    <w:tl2br w:val="nil"/>
                    <w:tr2bl w:val="nil"/>
                  </w:tcBorders>
                  <w:vAlign w:val="center"/>
                </w:tcPr>
                <w:p w14:paraId="09AD652B">
                  <w:pPr>
                    <w:pStyle w:val="8"/>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lang w:eastAsia="zh-CN"/>
                    </w:rPr>
                    <w:t>供热工程</w:t>
                  </w:r>
                </w:p>
              </w:tc>
              <w:tc>
                <w:tcPr>
                  <w:tcW w:w="6083" w:type="dxa"/>
                  <w:tcBorders>
                    <w:tl2br w:val="nil"/>
                    <w:tr2bl w:val="nil"/>
                  </w:tcBorders>
                  <w:vAlign w:val="center"/>
                </w:tcPr>
                <w:p w14:paraId="72BD52BC">
                  <w:pPr>
                    <w:pStyle w:val="36"/>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市政集中供暖</w:t>
                  </w:r>
                  <w:r>
                    <w:rPr>
                      <w:rFonts w:hint="eastAsia" w:cs="Times New Roman"/>
                      <w:color w:val="auto"/>
                      <w:sz w:val="21"/>
                      <w:szCs w:val="21"/>
                      <w:lang w:val="en-US" w:eastAsia="zh-CN"/>
                    </w:rPr>
                    <w:t>，生产供热为园区热电联产供热</w:t>
                  </w:r>
                </w:p>
              </w:tc>
            </w:tr>
            <w:tr w14:paraId="2D85D1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Merge w:val="continue"/>
                  <w:tcBorders>
                    <w:tl2br w:val="nil"/>
                    <w:tr2bl w:val="nil"/>
                  </w:tcBorders>
                  <w:vAlign w:val="center"/>
                </w:tcPr>
                <w:p w14:paraId="3C5279A9">
                  <w:pPr>
                    <w:pStyle w:val="36"/>
                    <w:jc w:val="center"/>
                    <w:rPr>
                      <w:rFonts w:hint="default" w:ascii="Times New Roman" w:hAnsi="Times New Roman" w:cs="Times New Roman"/>
                      <w:color w:val="auto"/>
                      <w:sz w:val="21"/>
                      <w:szCs w:val="21"/>
                    </w:rPr>
                  </w:pPr>
                </w:p>
              </w:tc>
              <w:tc>
                <w:tcPr>
                  <w:tcW w:w="1167" w:type="dxa"/>
                  <w:tcBorders>
                    <w:tl2br w:val="nil"/>
                    <w:tr2bl w:val="nil"/>
                  </w:tcBorders>
                  <w:vAlign w:val="center"/>
                </w:tcPr>
                <w:p w14:paraId="3F07C8D6">
                  <w:pPr>
                    <w:pStyle w:val="3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供电工程</w:t>
                  </w:r>
                </w:p>
              </w:tc>
              <w:tc>
                <w:tcPr>
                  <w:tcW w:w="6083" w:type="dxa"/>
                  <w:tcBorders>
                    <w:tl2br w:val="nil"/>
                    <w:tr2bl w:val="nil"/>
                  </w:tcBorders>
                  <w:vAlign w:val="center"/>
                </w:tcPr>
                <w:p w14:paraId="5E42A01F">
                  <w:pPr>
                    <w:pStyle w:val="36"/>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用电由市政电网提供</w:t>
                  </w:r>
                </w:p>
              </w:tc>
            </w:tr>
            <w:tr w14:paraId="7BCA03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Merge w:val="restart"/>
                  <w:tcBorders>
                    <w:tl2br w:val="nil"/>
                    <w:tr2bl w:val="nil"/>
                  </w:tcBorders>
                  <w:vAlign w:val="center"/>
                </w:tcPr>
                <w:p w14:paraId="627AF3F3">
                  <w:pPr>
                    <w:pStyle w:val="3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环保工程</w:t>
                  </w:r>
                </w:p>
              </w:tc>
              <w:tc>
                <w:tcPr>
                  <w:tcW w:w="1167" w:type="dxa"/>
                  <w:vMerge w:val="restart"/>
                  <w:tcBorders>
                    <w:tl2br w:val="nil"/>
                    <w:tr2bl w:val="nil"/>
                  </w:tcBorders>
                  <w:vAlign w:val="center"/>
                </w:tcPr>
                <w:p w14:paraId="6CD22937">
                  <w:pPr>
                    <w:pStyle w:val="36"/>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废气治理</w:t>
                  </w:r>
                </w:p>
              </w:tc>
              <w:tc>
                <w:tcPr>
                  <w:tcW w:w="6083" w:type="dxa"/>
                  <w:tcBorders>
                    <w:tl2br w:val="nil"/>
                    <w:tr2bl w:val="nil"/>
                  </w:tcBorders>
                  <w:vAlign w:val="center"/>
                </w:tcPr>
                <w:p w14:paraId="6C085C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乳粉生产和灌装工序</w:t>
                  </w:r>
                  <w:bookmarkStart w:id="1" w:name="OLE_LINK8"/>
                  <w:r>
                    <w:rPr>
                      <w:rFonts w:hint="eastAsia" w:cs="Times New Roman"/>
                      <w:color w:val="auto"/>
                      <w:sz w:val="21"/>
                      <w:szCs w:val="21"/>
                      <w:lang w:val="en-US" w:eastAsia="zh-CN"/>
                    </w:rPr>
                    <w:t>分别经集气罩收集后通过袋式除尘器</w:t>
                  </w:r>
                  <w:r>
                    <w:rPr>
                      <w:rFonts w:hint="default" w:ascii="Times New Roman" w:hAnsi="Times New Roman" w:eastAsia="宋体" w:cs="Times New Roman"/>
                      <w:color w:val="auto"/>
                      <w:kern w:val="2"/>
                      <w:sz w:val="21"/>
                      <w:szCs w:val="21"/>
                      <w:lang w:val="en-US" w:eastAsia="zh-CN" w:bidi="ar-SA"/>
                    </w:rPr>
                    <w:t>处理</w:t>
                  </w:r>
                  <w:r>
                    <w:rPr>
                      <w:rFonts w:hint="eastAsia" w:cs="Times New Roman"/>
                      <w:color w:val="auto"/>
                      <w:kern w:val="2"/>
                      <w:sz w:val="21"/>
                      <w:szCs w:val="21"/>
                      <w:lang w:val="en-US" w:eastAsia="zh-CN" w:bidi="ar-SA"/>
                    </w:rPr>
                    <w:t>后</w:t>
                  </w:r>
                  <w:bookmarkEnd w:id="1"/>
                  <w:r>
                    <w:rPr>
                      <w:rFonts w:hint="default" w:ascii="Times New Roman" w:hAnsi="Times New Roman" w:eastAsia="宋体" w:cs="Times New Roman"/>
                      <w:color w:val="auto"/>
                      <w:kern w:val="2"/>
                      <w:sz w:val="21"/>
                      <w:szCs w:val="21"/>
                      <w:lang w:val="en-US" w:eastAsia="zh-CN" w:bidi="ar-SA"/>
                    </w:rPr>
                    <w:t>，经15m 排气筒排放</w:t>
                  </w:r>
                </w:p>
              </w:tc>
            </w:tr>
            <w:tr w14:paraId="043F10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vMerge w:val="continue"/>
                  <w:tcBorders>
                    <w:tl2br w:val="nil"/>
                    <w:tr2bl w:val="nil"/>
                  </w:tcBorders>
                  <w:vAlign w:val="center"/>
                </w:tcPr>
                <w:p w14:paraId="6847190F">
                  <w:pPr>
                    <w:pStyle w:val="36"/>
                    <w:jc w:val="center"/>
                    <w:rPr>
                      <w:rFonts w:hint="default" w:ascii="Times New Roman" w:hAnsi="Times New Roman" w:cs="Times New Roman"/>
                      <w:color w:val="auto"/>
                      <w:sz w:val="21"/>
                      <w:szCs w:val="21"/>
                    </w:rPr>
                  </w:pPr>
                </w:p>
              </w:tc>
              <w:tc>
                <w:tcPr>
                  <w:tcW w:w="1167" w:type="dxa"/>
                  <w:vMerge w:val="continue"/>
                  <w:tcBorders>
                    <w:tl2br w:val="nil"/>
                    <w:tr2bl w:val="nil"/>
                  </w:tcBorders>
                  <w:vAlign w:val="center"/>
                </w:tcPr>
                <w:p w14:paraId="15B6D5CA">
                  <w:pPr>
                    <w:pStyle w:val="36"/>
                    <w:ind w:firstLine="0" w:firstLineChars="0"/>
                    <w:jc w:val="center"/>
                    <w:rPr>
                      <w:rFonts w:hint="default" w:ascii="Times New Roman" w:hAnsi="Times New Roman" w:cs="Times New Roman"/>
                      <w:color w:val="auto"/>
                      <w:sz w:val="21"/>
                      <w:szCs w:val="21"/>
                      <w:lang w:val="en-US" w:eastAsia="zh-CN"/>
                    </w:rPr>
                  </w:pPr>
                </w:p>
              </w:tc>
              <w:tc>
                <w:tcPr>
                  <w:tcW w:w="6083" w:type="dxa"/>
                  <w:tcBorders>
                    <w:tl2br w:val="nil"/>
                    <w:tr2bl w:val="nil"/>
                  </w:tcBorders>
                  <w:vAlign w:val="center"/>
                </w:tcPr>
                <w:p w14:paraId="74CC29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污水站</w:t>
                  </w:r>
                  <w:r>
                    <w:rPr>
                      <w:rFonts w:hint="eastAsia" w:ascii="Times New Roman" w:hAnsi="Times New Roman" w:eastAsia="宋体" w:cs="Times New Roman"/>
                      <w:color w:val="auto"/>
                      <w:kern w:val="2"/>
                      <w:sz w:val="21"/>
                      <w:szCs w:val="21"/>
                      <w:lang w:val="en-US" w:eastAsia="zh-CN" w:bidi="ar-SA"/>
                    </w:rPr>
                    <w:t>恶臭</w:t>
                  </w:r>
                  <w:r>
                    <w:rPr>
                      <w:rFonts w:hint="default" w:ascii="Times New Roman" w:hAnsi="Times New Roman" w:eastAsia="宋体" w:cs="Times New Roman"/>
                      <w:color w:val="auto"/>
                      <w:kern w:val="2"/>
                      <w:sz w:val="21"/>
                      <w:szCs w:val="21"/>
                      <w:lang w:val="en-US" w:eastAsia="zh-CN" w:bidi="ar-SA"/>
                    </w:rPr>
                    <w:t>采用半地下式设计，主要构筑物加盖，可有效防止恶臭气体扩散</w:t>
                  </w:r>
                </w:p>
              </w:tc>
            </w:tr>
            <w:tr w14:paraId="3AF1DF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Merge w:val="continue"/>
                  <w:tcBorders>
                    <w:tl2br w:val="nil"/>
                    <w:tr2bl w:val="nil"/>
                  </w:tcBorders>
                  <w:vAlign w:val="center"/>
                </w:tcPr>
                <w:p w14:paraId="12B86C31">
                  <w:pPr>
                    <w:pStyle w:val="36"/>
                    <w:jc w:val="center"/>
                    <w:rPr>
                      <w:rFonts w:hint="default" w:ascii="Times New Roman" w:hAnsi="Times New Roman" w:cs="Times New Roman"/>
                      <w:color w:val="auto"/>
                      <w:sz w:val="21"/>
                      <w:szCs w:val="21"/>
                    </w:rPr>
                  </w:pPr>
                </w:p>
              </w:tc>
              <w:tc>
                <w:tcPr>
                  <w:tcW w:w="1167" w:type="dxa"/>
                  <w:vMerge w:val="restart"/>
                  <w:tcBorders>
                    <w:tl2br w:val="nil"/>
                    <w:tr2bl w:val="nil"/>
                  </w:tcBorders>
                  <w:vAlign w:val="center"/>
                </w:tcPr>
                <w:p w14:paraId="0F703024">
                  <w:pPr>
                    <w:pStyle w:val="36"/>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废水治理</w:t>
                  </w:r>
                </w:p>
              </w:tc>
              <w:tc>
                <w:tcPr>
                  <w:tcW w:w="6083" w:type="dxa"/>
                  <w:tcBorders>
                    <w:tl2br w:val="nil"/>
                    <w:tr2bl w:val="nil"/>
                  </w:tcBorders>
                  <w:vAlign w:val="center"/>
                </w:tcPr>
                <w:p w14:paraId="712664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color w:val="auto"/>
                      <w:sz w:val="21"/>
                    </w:rPr>
                    <w:t>设备清洗废水</w:t>
                  </w:r>
                  <w:r>
                    <w:rPr>
                      <w:rFonts w:hint="eastAsia"/>
                      <w:color w:val="auto"/>
                      <w:sz w:val="21"/>
                      <w:lang w:eastAsia="zh-CN"/>
                    </w:rPr>
                    <w:t>、</w:t>
                  </w:r>
                  <w:r>
                    <w:rPr>
                      <w:rFonts w:hint="default" w:ascii="Times New Roman" w:hAnsi="Times New Roman" w:cs="Times New Roman"/>
                      <w:color w:val="auto"/>
                      <w:sz w:val="21"/>
                      <w:szCs w:val="21"/>
                      <w:lang w:val="en-US" w:eastAsia="zh-CN"/>
                    </w:rPr>
                    <w:t>驼鲜奶</w:t>
                  </w:r>
                  <w:r>
                    <w:rPr>
                      <w:rFonts w:hint="eastAsia" w:cs="Times New Roman"/>
                      <w:color w:val="auto"/>
                      <w:sz w:val="21"/>
                      <w:szCs w:val="21"/>
                      <w:lang w:val="en-US" w:eastAsia="zh-CN"/>
                    </w:rPr>
                    <w:t>和乳粉制造</w:t>
                  </w:r>
                  <w:r>
                    <w:rPr>
                      <w:rFonts w:hint="eastAsia"/>
                      <w:color w:val="auto"/>
                      <w:sz w:val="21"/>
                      <w:lang w:val="en-US" w:eastAsia="zh-CN"/>
                    </w:rPr>
                    <w:t>废水经污水处理站处理后</w:t>
                  </w:r>
                  <w:r>
                    <w:rPr>
                      <w:rFonts w:hint="default" w:ascii="Times New Roman" w:hAnsi="Times New Roman" w:cs="Times New Roman"/>
                      <w:color w:val="auto"/>
                      <w:sz w:val="21"/>
                      <w:szCs w:val="21"/>
                      <w:lang w:eastAsia="zh-CN"/>
                    </w:rPr>
                    <w:t>排入市政下水管网</w:t>
                  </w:r>
                  <w:r>
                    <w:rPr>
                      <w:rFonts w:hint="default" w:ascii="Times New Roman" w:hAnsi="Times New Roman" w:cs="Times New Roman"/>
                      <w:color w:val="auto"/>
                      <w:sz w:val="21"/>
                      <w:szCs w:val="21"/>
                      <w:lang w:val="en-US" w:eastAsia="zh-CN"/>
                    </w:rPr>
                    <w:t>，最终进入</w:t>
                  </w:r>
                  <w:r>
                    <w:rPr>
                      <w:rFonts w:hint="eastAsia" w:cs="Times New Roman"/>
                      <w:color w:val="auto"/>
                      <w:sz w:val="21"/>
                      <w:szCs w:val="21"/>
                      <w:lang w:val="en-US" w:eastAsia="zh-CN"/>
                    </w:rPr>
                    <w:t>园区</w:t>
                  </w:r>
                  <w:r>
                    <w:rPr>
                      <w:rFonts w:hint="default" w:ascii="Times New Roman" w:hAnsi="Times New Roman" w:cs="Times New Roman"/>
                      <w:color w:val="auto"/>
                      <w:sz w:val="21"/>
                      <w:szCs w:val="21"/>
                      <w:lang w:val="en-US" w:eastAsia="zh-CN"/>
                    </w:rPr>
                    <w:t>污水处理厂</w:t>
                  </w:r>
                </w:p>
              </w:tc>
            </w:tr>
            <w:tr w14:paraId="4999E9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Merge w:val="continue"/>
                  <w:tcBorders>
                    <w:tl2br w:val="nil"/>
                    <w:tr2bl w:val="nil"/>
                  </w:tcBorders>
                  <w:vAlign w:val="center"/>
                </w:tcPr>
                <w:p w14:paraId="3CE5A974">
                  <w:pPr>
                    <w:pStyle w:val="36"/>
                    <w:jc w:val="center"/>
                    <w:rPr>
                      <w:rFonts w:hint="default" w:ascii="Times New Roman" w:hAnsi="Times New Roman" w:cs="Times New Roman"/>
                      <w:color w:val="auto"/>
                      <w:sz w:val="21"/>
                      <w:szCs w:val="21"/>
                    </w:rPr>
                  </w:pPr>
                </w:p>
              </w:tc>
              <w:tc>
                <w:tcPr>
                  <w:tcW w:w="1167" w:type="dxa"/>
                  <w:vMerge w:val="continue"/>
                  <w:tcBorders>
                    <w:tl2br w:val="nil"/>
                    <w:tr2bl w:val="nil"/>
                  </w:tcBorders>
                  <w:vAlign w:val="center"/>
                </w:tcPr>
                <w:p w14:paraId="188718AE">
                  <w:pPr>
                    <w:pStyle w:val="36"/>
                    <w:ind w:firstLine="0" w:firstLineChars="0"/>
                    <w:jc w:val="center"/>
                    <w:rPr>
                      <w:rFonts w:hint="default" w:ascii="Times New Roman" w:hAnsi="Times New Roman" w:cs="Times New Roman"/>
                      <w:color w:val="auto"/>
                      <w:sz w:val="21"/>
                      <w:szCs w:val="21"/>
                      <w:lang w:val="en-US" w:eastAsia="zh-CN"/>
                    </w:rPr>
                  </w:pPr>
                </w:p>
              </w:tc>
              <w:tc>
                <w:tcPr>
                  <w:tcW w:w="6083" w:type="dxa"/>
                  <w:tcBorders>
                    <w:tl2br w:val="nil"/>
                    <w:tr2bl w:val="nil"/>
                  </w:tcBorders>
                  <w:vAlign w:val="center"/>
                </w:tcPr>
                <w:p w14:paraId="6B2070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auto"/>
                      <w:sz w:val="21"/>
                    </w:rPr>
                  </w:pPr>
                  <w:r>
                    <w:rPr>
                      <w:color w:val="auto"/>
                      <w:sz w:val="21"/>
                    </w:rPr>
                    <w:t>软水制备浓水</w:t>
                  </w:r>
                  <w:r>
                    <w:rPr>
                      <w:rFonts w:hint="eastAsia"/>
                      <w:color w:val="auto"/>
                      <w:sz w:val="21"/>
                      <w:lang w:eastAsia="zh-CN"/>
                    </w:rPr>
                    <w:t>、</w:t>
                  </w:r>
                  <w:r>
                    <w:rPr>
                      <w:rFonts w:hint="eastAsia"/>
                      <w:color w:val="auto"/>
                      <w:sz w:val="21"/>
                      <w:lang w:val="en-US" w:eastAsia="zh-CN"/>
                    </w:rPr>
                    <w:t>生活废水、设备清洗废水排入</w:t>
                  </w:r>
                  <w:r>
                    <w:rPr>
                      <w:rFonts w:hint="default" w:ascii="Times New Roman" w:hAnsi="Times New Roman" w:cs="Times New Roman"/>
                      <w:color w:val="auto"/>
                      <w:sz w:val="21"/>
                      <w:szCs w:val="21"/>
                      <w:lang w:eastAsia="zh-CN"/>
                    </w:rPr>
                    <w:t>市政下水管网</w:t>
                  </w:r>
                  <w:r>
                    <w:rPr>
                      <w:rFonts w:hint="default" w:ascii="Times New Roman" w:hAnsi="Times New Roman" w:cs="Times New Roman"/>
                      <w:color w:val="auto"/>
                      <w:sz w:val="21"/>
                      <w:szCs w:val="21"/>
                      <w:lang w:val="en-US" w:eastAsia="zh-CN"/>
                    </w:rPr>
                    <w:t>，最终进入</w:t>
                  </w:r>
                  <w:r>
                    <w:rPr>
                      <w:rFonts w:hint="eastAsia" w:ascii="Times New Roman" w:hAnsi="Times New Roman" w:cs="Times New Roman"/>
                      <w:color w:val="auto"/>
                      <w:sz w:val="21"/>
                      <w:szCs w:val="21"/>
                      <w:lang w:val="en-US" w:eastAsia="zh-CN"/>
                    </w:rPr>
                    <w:t>园区污水处理厂</w:t>
                  </w:r>
                </w:p>
              </w:tc>
            </w:tr>
            <w:tr w14:paraId="1E3520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Merge w:val="continue"/>
                  <w:tcBorders>
                    <w:tl2br w:val="nil"/>
                    <w:tr2bl w:val="nil"/>
                  </w:tcBorders>
                  <w:vAlign w:val="center"/>
                </w:tcPr>
                <w:p w14:paraId="72039F1D">
                  <w:pPr>
                    <w:pStyle w:val="36"/>
                    <w:jc w:val="center"/>
                    <w:rPr>
                      <w:rFonts w:hint="default" w:ascii="Times New Roman" w:hAnsi="Times New Roman" w:cs="Times New Roman"/>
                      <w:color w:val="auto"/>
                      <w:sz w:val="21"/>
                      <w:szCs w:val="21"/>
                    </w:rPr>
                  </w:pPr>
                </w:p>
              </w:tc>
              <w:tc>
                <w:tcPr>
                  <w:tcW w:w="1167" w:type="dxa"/>
                  <w:tcBorders>
                    <w:tl2br w:val="nil"/>
                    <w:tr2bl w:val="nil"/>
                  </w:tcBorders>
                  <w:vAlign w:val="center"/>
                </w:tcPr>
                <w:p w14:paraId="1A193E14">
                  <w:pPr>
                    <w:pStyle w:val="36"/>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噪声治理</w:t>
                  </w:r>
                </w:p>
              </w:tc>
              <w:tc>
                <w:tcPr>
                  <w:tcW w:w="6083" w:type="dxa"/>
                  <w:tcBorders>
                    <w:tl2br w:val="nil"/>
                    <w:tr2bl w:val="nil"/>
                  </w:tcBorders>
                  <w:vAlign w:val="center"/>
                </w:tcPr>
                <w:p w14:paraId="35BFEDC2">
                  <w:pPr>
                    <w:pStyle w:val="36"/>
                    <w:ind w:firstLine="0" w:firstLineChars="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选用低噪声设备、基础减震，加强维护、保养</w:t>
                  </w:r>
                </w:p>
              </w:tc>
            </w:tr>
            <w:tr w14:paraId="7EABC9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Merge w:val="continue"/>
                  <w:tcBorders>
                    <w:tl2br w:val="nil"/>
                    <w:tr2bl w:val="nil"/>
                  </w:tcBorders>
                  <w:vAlign w:val="center"/>
                </w:tcPr>
                <w:p w14:paraId="61F5B619">
                  <w:pPr>
                    <w:pStyle w:val="36"/>
                    <w:jc w:val="center"/>
                    <w:rPr>
                      <w:rFonts w:hint="default" w:ascii="Times New Roman" w:hAnsi="Times New Roman" w:cs="Times New Roman"/>
                      <w:color w:val="auto"/>
                      <w:sz w:val="21"/>
                      <w:szCs w:val="21"/>
                    </w:rPr>
                  </w:pPr>
                </w:p>
              </w:tc>
              <w:tc>
                <w:tcPr>
                  <w:tcW w:w="1167" w:type="dxa"/>
                  <w:vMerge w:val="restart"/>
                  <w:tcBorders>
                    <w:tl2br w:val="nil"/>
                    <w:tr2bl w:val="nil"/>
                  </w:tcBorders>
                  <w:vAlign w:val="center"/>
                </w:tcPr>
                <w:p w14:paraId="3FAD15A3">
                  <w:pPr>
                    <w:pStyle w:val="36"/>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固废治理</w:t>
                  </w:r>
                </w:p>
              </w:tc>
              <w:tc>
                <w:tcPr>
                  <w:tcW w:w="6083" w:type="dxa"/>
                  <w:tcBorders>
                    <w:tl2br w:val="nil"/>
                    <w:tr2bl w:val="nil"/>
                  </w:tcBorders>
                  <w:vAlign w:val="center"/>
                </w:tcPr>
                <w:p w14:paraId="4642FE6E">
                  <w:pPr>
                    <w:pStyle w:val="36"/>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设置垃圾收集箱，生活垃圾集中收集清运</w:t>
                  </w:r>
                </w:p>
              </w:tc>
            </w:tr>
            <w:tr w14:paraId="309F10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7" w:type="dxa"/>
                  <w:vMerge w:val="continue"/>
                  <w:tcBorders>
                    <w:tl2br w:val="nil"/>
                    <w:tr2bl w:val="nil"/>
                  </w:tcBorders>
                  <w:vAlign w:val="center"/>
                </w:tcPr>
                <w:p w14:paraId="6B304300">
                  <w:pPr>
                    <w:pStyle w:val="36"/>
                    <w:jc w:val="center"/>
                    <w:rPr>
                      <w:rFonts w:hint="default" w:ascii="Times New Roman" w:hAnsi="Times New Roman" w:cs="Times New Roman"/>
                      <w:color w:val="auto"/>
                      <w:sz w:val="21"/>
                      <w:szCs w:val="21"/>
                    </w:rPr>
                  </w:pPr>
                </w:p>
              </w:tc>
              <w:tc>
                <w:tcPr>
                  <w:tcW w:w="1167" w:type="dxa"/>
                  <w:vMerge w:val="continue"/>
                  <w:tcBorders>
                    <w:tl2br w:val="nil"/>
                    <w:tr2bl w:val="nil"/>
                  </w:tcBorders>
                  <w:vAlign w:val="center"/>
                </w:tcPr>
                <w:p w14:paraId="063F12C7">
                  <w:pPr>
                    <w:pStyle w:val="36"/>
                    <w:ind w:firstLine="0" w:firstLineChars="0"/>
                    <w:jc w:val="center"/>
                    <w:rPr>
                      <w:rFonts w:hint="default" w:ascii="Times New Roman" w:hAnsi="Times New Roman" w:cs="Times New Roman"/>
                      <w:color w:val="auto"/>
                      <w:sz w:val="21"/>
                      <w:szCs w:val="21"/>
                      <w:lang w:val="en-US" w:eastAsia="zh-CN"/>
                    </w:rPr>
                  </w:pPr>
                </w:p>
              </w:tc>
              <w:tc>
                <w:tcPr>
                  <w:tcW w:w="6083" w:type="dxa"/>
                  <w:tcBorders>
                    <w:tl2br w:val="nil"/>
                    <w:tr2bl w:val="nil"/>
                  </w:tcBorders>
                  <w:vAlign w:val="center"/>
                </w:tcPr>
                <w:p w14:paraId="088E9DBC">
                  <w:pPr>
                    <w:pStyle w:val="36"/>
                    <w:ind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除尘灰作为原料回用于生产；</w:t>
                  </w:r>
                  <w:r>
                    <w:rPr>
                      <w:rFonts w:hint="default" w:ascii="Times New Roman" w:hAnsi="Times New Roman" w:eastAsia="宋体" w:cs="Times New Roman"/>
                      <w:color w:val="auto"/>
                      <w:sz w:val="21"/>
                      <w:szCs w:val="21"/>
                    </w:rPr>
                    <w:t>废离子交换树脂产</w:t>
                  </w:r>
                  <w:r>
                    <w:rPr>
                      <w:rFonts w:hint="default" w:ascii="Times New Roman" w:hAnsi="Times New Roman" w:eastAsia="宋体" w:cs="Times New Roman"/>
                      <w:color w:val="auto"/>
                      <w:sz w:val="21"/>
                      <w:szCs w:val="21"/>
                      <w:lang w:eastAsia="zh-CN"/>
                    </w:rPr>
                    <w:t>采用专用容器集中收集外运</w:t>
                  </w:r>
                </w:p>
              </w:tc>
            </w:tr>
          </w:tbl>
          <w:p w14:paraId="35D56D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3、主要产品及规模</w:t>
            </w:r>
          </w:p>
          <w:p w14:paraId="1A27552A">
            <w:pP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本项目主要产品年产驼鲜奶1500吨、驼奶粉1000吨，具体产品规模详见表2-2。</w:t>
            </w:r>
          </w:p>
          <w:p w14:paraId="75E996DA">
            <w:pPr>
              <w:pStyle w:val="33"/>
              <w:jc w:val="center"/>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表</w:t>
            </w:r>
            <w:r>
              <w:rPr>
                <w:rFonts w:hint="default" w:ascii="Times New Roman" w:hAnsi="Times New Roman" w:cs="Times New Roman"/>
                <w:b/>
                <w:bCs w:val="0"/>
                <w:color w:val="auto"/>
                <w:sz w:val="21"/>
                <w:szCs w:val="21"/>
                <w:lang w:val="en-US" w:eastAsia="zh-CN"/>
              </w:rPr>
              <w:t>2-2</w:t>
            </w:r>
            <w:r>
              <w:rPr>
                <w:rFonts w:hint="eastAsia" w:cs="Times New Roman"/>
                <w:b/>
                <w:bCs w:val="0"/>
                <w:color w:val="auto"/>
                <w:sz w:val="21"/>
                <w:szCs w:val="21"/>
                <w:lang w:val="en-US" w:eastAsia="zh-CN"/>
              </w:rPr>
              <w:t xml:space="preserve">  </w:t>
            </w:r>
            <w:r>
              <w:rPr>
                <w:rFonts w:hint="default" w:ascii="Times New Roman" w:hAnsi="Times New Roman" w:cs="Times New Roman"/>
                <w:b/>
                <w:bCs w:val="0"/>
                <w:color w:val="auto"/>
                <w:sz w:val="21"/>
                <w:szCs w:val="21"/>
                <w:lang w:val="en-US" w:eastAsia="zh-CN"/>
              </w:rPr>
              <w:t>产品及规模</w:t>
            </w:r>
            <w:r>
              <w:rPr>
                <w:rFonts w:hint="default" w:ascii="Times New Roman" w:hAnsi="Times New Roman" w:cs="Times New Roman"/>
                <w:b/>
                <w:bCs w:val="0"/>
                <w:color w:val="auto"/>
                <w:sz w:val="21"/>
                <w:szCs w:val="21"/>
              </w:rPr>
              <w:t>表</w:t>
            </w:r>
          </w:p>
          <w:tbl>
            <w:tblPr>
              <w:tblStyle w:val="21"/>
              <w:tblW w:w="794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21"/>
              <w:gridCol w:w="2162"/>
              <w:gridCol w:w="2864"/>
            </w:tblGrid>
            <w:tr w14:paraId="44683B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1" w:type="dxa"/>
                  <w:vAlign w:val="center"/>
                </w:tcPr>
                <w:p w14:paraId="1F8A9B16">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名称</w:t>
                  </w:r>
                </w:p>
              </w:tc>
              <w:tc>
                <w:tcPr>
                  <w:tcW w:w="2162" w:type="dxa"/>
                  <w:vAlign w:val="center"/>
                </w:tcPr>
                <w:p w14:paraId="51AEEEDB">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年生产规模</w:t>
                  </w:r>
                  <w:r>
                    <w:rPr>
                      <w:rFonts w:hint="eastAsia" w:ascii="Times New Roman" w:hAnsi="Times New Roman" w:eastAsia="宋体" w:cs="Times New Roman"/>
                      <w:color w:val="auto"/>
                      <w:sz w:val="21"/>
                      <w:szCs w:val="21"/>
                      <w:lang w:val="en-US" w:eastAsia="zh-CN"/>
                    </w:rPr>
                    <w:t>（t/a）</w:t>
                  </w:r>
                </w:p>
              </w:tc>
              <w:tc>
                <w:tcPr>
                  <w:tcW w:w="2864" w:type="dxa"/>
                  <w:vAlign w:val="center"/>
                </w:tcPr>
                <w:p w14:paraId="00B7A8A8">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包装规格</w:t>
                  </w:r>
                </w:p>
              </w:tc>
            </w:tr>
            <w:tr w14:paraId="1095F2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1" w:type="dxa"/>
                  <w:vAlign w:val="center"/>
                </w:tcPr>
                <w:p w14:paraId="275C96B6">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驼鲜奶</w:t>
                  </w:r>
                </w:p>
              </w:tc>
              <w:tc>
                <w:tcPr>
                  <w:tcW w:w="2162" w:type="dxa"/>
                  <w:vAlign w:val="center"/>
                </w:tcPr>
                <w:p w14:paraId="53393DE5">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1500</w:t>
                  </w:r>
                </w:p>
              </w:tc>
              <w:tc>
                <w:tcPr>
                  <w:tcW w:w="2864" w:type="dxa"/>
                  <w:vAlign w:val="center"/>
                </w:tcPr>
                <w:p w14:paraId="6C36F650">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211</w:t>
                  </w:r>
                  <w:r>
                    <w:rPr>
                      <w:rFonts w:hint="default" w:ascii="Times New Roman" w:hAnsi="Times New Roman" w:eastAsia="宋体" w:cs="Times New Roman"/>
                      <w:color w:val="auto"/>
                      <w:sz w:val="21"/>
                      <w:szCs w:val="21"/>
                      <w:lang w:val="en-US" w:eastAsia="zh-CN"/>
                    </w:rPr>
                    <w:t>ml</w:t>
                  </w:r>
                  <w:r>
                    <w:rPr>
                      <w:rFonts w:hint="eastAsia" w:cs="Times New Roman"/>
                      <w:color w:val="auto"/>
                      <w:sz w:val="21"/>
                      <w:szCs w:val="21"/>
                      <w:lang w:val="en-US" w:eastAsia="zh-CN"/>
                    </w:rPr>
                    <w:t>和985</w:t>
                  </w:r>
                  <w:r>
                    <w:rPr>
                      <w:rFonts w:hint="default" w:ascii="Times New Roman" w:hAnsi="Times New Roman" w:eastAsia="宋体" w:cs="Times New Roman"/>
                      <w:color w:val="auto"/>
                      <w:sz w:val="21"/>
                      <w:szCs w:val="21"/>
                      <w:lang w:val="en-US" w:eastAsia="zh-CN"/>
                    </w:rPr>
                    <w:t>ml 瓶装</w:t>
                  </w:r>
                </w:p>
              </w:tc>
            </w:tr>
            <w:tr w14:paraId="1ED528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21" w:type="dxa"/>
                  <w:vAlign w:val="center"/>
                </w:tcPr>
                <w:p w14:paraId="492DDD41">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驼奶粉</w:t>
                  </w:r>
                </w:p>
              </w:tc>
              <w:tc>
                <w:tcPr>
                  <w:tcW w:w="2162" w:type="dxa"/>
                  <w:vAlign w:val="center"/>
                </w:tcPr>
                <w:p w14:paraId="7B7DA0CF">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w:t>
                  </w:r>
                </w:p>
              </w:tc>
              <w:tc>
                <w:tcPr>
                  <w:tcW w:w="2864" w:type="dxa"/>
                  <w:vAlign w:val="center"/>
                </w:tcPr>
                <w:p w14:paraId="64C6567E">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380g 金属罐装</w:t>
                  </w:r>
                </w:p>
              </w:tc>
            </w:tr>
          </w:tbl>
          <w:p w14:paraId="1BEFCBCF">
            <w:pPr>
              <w:pStyle w:val="33"/>
              <w:numPr>
                <w:ilvl w:val="0"/>
                <w:numId w:val="0"/>
              </w:numPr>
              <w:rPr>
                <w:rFonts w:hint="default" w:ascii="Times New Roman" w:hAnsi="Times New Roman" w:cs="Times New Roman"/>
                <w:color w:val="auto"/>
                <w:sz w:val="21"/>
                <w:szCs w:val="21"/>
              </w:rPr>
            </w:pPr>
            <w:r>
              <w:rPr>
                <w:rFonts w:hint="eastAsia" w:cs="Times New Roman"/>
                <w:b/>
                <w:bCs/>
                <w:color w:val="auto"/>
                <w:sz w:val="21"/>
                <w:szCs w:val="21"/>
                <w:lang w:val="en-US" w:eastAsia="zh-CN"/>
              </w:rPr>
              <w:t>4、</w:t>
            </w:r>
            <w:r>
              <w:rPr>
                <w:rFonts w:hint="default" w:ascii="Times New Roman" w:hAnsi="Times New Roman" w:cs="Times New Roman"/>
                <w:b/>
                <w:bCs/>
                <w:color w:val="auto"/>
                <w:sz w:val="21"/>
                <w:szCs w:val="21"/>
                <w:lang w:val="en-US" w:eastAsia="zh-CN"/>
              </w:rPr>
              <w:t>原辅材料</w:t>
            </w:r>
          </w:p>
          <w:p w14:paraId="63B2A037">
            <w:pPr>
              <w:pStyle w:val="33"/>
              <w:numPr>
                <w:ilvl w:val="0"/>
                <w:numId w:val="0"/>
              </w:numPr>
              <w:jc w:val="center"/>
              <w:rPr>
                <w:rFonts w:hint="default" w:ascii="Times New Roman" w:hAnsi="Times New Roman" w:eastAsia="宋体" w:cs="Times New Roman"/>
                <w:b/>
                <w:bCs w:val="0"/>
                <w:color w:val="auto"/>
                <w:sz w:val="21"/>
                <w:szCs w:val="21"/>
                <w:lang w:val="en-US" w:eastAsia="zh-CN"/>
              </w:rPr>
            </w:pPr>
            <w:r>
              <w:rPr>
                <w:rFonts w:hint="default" w:ascii="Times New Roman" w:hAnsi="Times New Roman" w:cs="Times New Roman"/>
                <w:b/>
                <w:bCs w:val="0"/>
                <w:color w:val="auto"/>
                <w:sz w:val="21"/>
                <w:szCs w:val="21"/>
              </w:rPr>
              <w:t>表</w:t>
            </w:r>
            <w:r>
              <w:rPr>
                <w:rFonts w:hint="default" w:ascii="Times New Roman" w:hAnsi="Times New Roman" w:cs="Times New Roman"/>
                <w:b/>
                <w:bCs w:val="0"/>
                <w:color w:val="auto"/>
                <w:sz w:val="21"/>
                <w:szCs w:val="21"/>
                <w:lang w:val="en-US" w:eastAsia="zh-CN"/>
              </w:rPr>
              <w:t>2-</w:t>
            </w:r>
            <w:r>
              <w:rPr>
                <w:rFonts w:hint="eastAsia" w:ascii="Times New Roman" w:hAnsi="Times New Roman" w:cs="Times New Roman"/>
                <w:b/>
                <w:bCs w:val="0"/>
                <w:color w:val="auto"/>
                <w:sz w:val="21"/>
                <w:szCs w:val="21"/>
                <w:lang w:val="en-US" w:eastAsia="zh-CN"/>
              </w:rPr>
              <w:t>3</w:t>
            </w:r>
            <w:r>
              <w:rPr>
                <w:rFonts w:hint="eastAsia" w:cs="Times New Roman"/>
                <w:b/>
                <w:bCs w:val="0"/>
                <w:color w:val="auto"/>
                <w:sz w:val="21"/>
                <w:szCs w:val="21"/>
                <w:lang w:val="en-US" w:eastAsia="zh-CN"/>
              </w:rPr>
              <w:t xml:space="preserve">  </w:t>
            </w:r>
            <w:r>
              <w:rPr>
                <w:rFonts w:hint="default" w:ascii="Times New Roman" w:hAnsi="Times New Roman" w:eastAsia="宋体" w:cs="Times New Roman"/>
                <w:b/>
                <w:bCs w:val="0"/>
                <w:color w:val="auto"/>
                <w:sz w:val="21"/>
                <w:szCs w:val="21"/>
                <w:lang w:val="en-US" w:eastAsia="zh-CN"/>
              </w:rPr>
              <w:t>原辅材料</w:t>
            </w:r>
            <w:r>
              <w:rPr>
                <w:rFonts w:hint="eastAsia" w:ascii="Times New Roman" w:hAnsi="Times New Roman" w:eastAsia="宋体" w:cs="Times New Roman"/>
                <w:b/>
                <w:bCs w:val="0"/>
                <w:color w:val="auto"/>
                <w:sz w:val="21"/>
                <w:szCs w:val="21"/>
                <w:lang w:val="en-US" w:eastAsia="zh-CN"/>
              </w:rPr>
              <w:t>一览表</w:t>
            </w:r>
          </w:p>
          <w:tbl>
            <w:tblPr>
              <w:tblStyle w:val="21"/>
              <w:tblW w:w="795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2824"/>
              <w:gridCol w:w="1971"/>
            </w:tblGrid>
            <w:tr w14:paraId="38F2CE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5" w:type="dxa"/>
                  <w:tcBorders>
                    <w:tl2br w:val="nil"/>
                    <w:tr2bl w:val="nil"/>
                  </w:tcBorders>
                  <w:shd w:val="clear" w:color="auto" w:fill="auto"/>
                  <w:vAlign w:val="center"/>
                </w:tcPr>
                <w:p w14:paraId="471EE4BC">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原料种类</w:t>
                  </w:r>
                </w:p>
              </w:tc>
              <w:tc>
                <w:tcPr>
                  <w:tcW w:w="2824" w:type="dxa"/>
                  <w:tcBorders>
                    <w:tl2br w:val="nil"/>
                    <w:tr2bl w:val="nil"/>
                  </w:tcBorders>
                  <w:shd w:val="clear" w:color="auto" w:fill="auto"/>
                  <w:vAlign w:val="center"/>
                </w:tcPr>
                <w:p w14:paraId="18BBEFE7">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消耗量 t/a</w:t>
                  </w:r>
                </w:p>
              </w:tc>
              <w:tc>
                <w:tcPr>
                  <w:tcW w:w="1971" w:type="dxa"/>
                  <w:tcBorders>
                    <w:tl2br w:val="nil"/>
                    <w:tr2bl w:val="nil"/>
                  </w:tcBorders>
                  <w:shd w:val="clear" w:color="auto" w:fill="auto"/>
                  <w:vAlign w:val="center"/>
                </w:tcPr>
                <w:p w14:paraId="6DC2895E">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备注</w:t>
                  </w:r>
                </w:p>
              </w:tc>
            </w:tr>
            <w:tr w14:paraId="1DB22B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5" w:type="dxa"/>
                  <w:tcBorders>
                    <w:tl2br w:val="nil"/>
                    <w:tr2bl w:val="nil"/>
                  </w:tcBorders>
                  <w:shd w:val="clear" w:color="auto" w:fill="auto"/>
                  <w:vAlign w:val="center"/>
                </w:tcPr>
                <w:p w14:paraId="10C1D3D5">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鲜驼奶</w:t>
                  </w:r>
                </w:p>
              </w:tc>
              <w:tc>
                <w:tcPr>
                  <w:tcW w:w="2824" w:type="dxa"/>
                  <w:tcBorders>
                    <w:tl2br w:val="nil"/>
                    <w:tr2bl w:val="nil"/>
                  </w:tcBorders>
                  <w:shd w:val="clear" w:color="auto" w:fill="auto"/>
                  <w:vAlign w:val="center"/>
                </w:tcPr>
                <w:p w14:paraId="7E1AD2F2">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w:t>
                  </w:r>
                  <w:r>
                    <w:rPr>
                      <w:rFonts w:hint="eastAsia" w:ascii="Times New Roman" w:hAnsi="Times New Roman" w:eastAsia="宋体" w:cs="Times New Roman"/>
                      <w:color w:val="auto"/>
                      <w:sz w:val="21"/>
                      <w:szCs w:val="21"/>
                      <w:lang w:val="en-US" w:eastAsia="zh-CN"/>
                    </w:rPr>
                    <w:t>500</w:t>
                  </w:r>
                </w:p>
              </w:tc>
              <w:tc>
                <w:tcPr>
                  <w:tcW w:w="1971" w:type="dxa"/>
                  <w:tcBorders>
                    <w:tl2br w:val="nil"/>
                    <w:tr2bl w:val="nil"/>
                  </w:tcBorders>
                  <w:vAlign w:val="center"/>
                </w:tcPr>
                <w:p w14:paraId="6C4C685B">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恒温库贮存，</w:t>
                  </w:r>
                </w:p>
              </w:tc>
            </w:tr>
          </w:tbl>
          <w:p w14:paraId="4C152F3C">
            <w:pPr>
              <w:spacing w:line="0" w:lineRule="atLeast"/>
              <w:ind w:left="0" w:leftChars="0" w:firstLine="0" w:firstLineChars="0"/>
              <w:jc w:val="both"/>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注：驼奶粉生产一般6份</w:t>
            </w:r>
            <w:r>
              <w:rPr>
                <w:rFonts w:hint="default" w:ascii="Times New Roman" w:hAnsi="Times New Roman" w:eastAsia="宋体" w:cs="Times New Roman"/>
                <w:color w:val="auto"/>
                <w:sz w:val="21"/>
                <w:szCs w:val="21"/>
                <w:lang w:val="en-US" w:eastAsia="zh-CN"/>
              </w:rPr>
              <w:t>鲜驼奶</w:t>
            </w:r>
            <w:r>
              <w:rPr>
                <w:rFonts w:hint="eastAsia" w:ascii="Times New Roman" w:hAnsi="Times New Roman" w:eastAsia="宋体" w:cs="Times New Roman"/>
                <w:color w:val="auto"/>
                <w:sz w:val="21"/>
                <w:szCs w:val="21"/>
                <w:lang w:val="en-US" w:eastAsia="zh-CN"/>
              </w:rPr>
              <w:t>可生产1份驼奶粉</w:t>
            </w:r>
            <w:r>
              <w:rPr>
                <w:rFonts w:hint="eastAsia" w:cs="Times New Roman"/>
                <w:color w:val="auto"/>
                <w:sz w:val="21"/>
                <w:szCs w:val="21"/>
                <w:lang w:val="en-US" w:eastAsia="zh-CN"/>
              </w:rPr>
              <w:t>。</w:t>
            </w:r>
          </w:p>
          <w:p w14:paraId="60F5AE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5、主要生产设备</w:t>
            </w:r>
          </w:p>
          <w:p w14:paraId="7DCD41F9">
            <w:pP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主要</w:t>
            </w:r>
            <w:r>
              <w:rPr>
                <w:rFonts w:hint="default" w:ascii="Times New Roman" w:hAnsi="Times New Roman" w:cs="Times New Roman"/>
                <w:color w:val="auto"/>
                <w:sz w:val="21"/>
                <w:szCs w:val="21"/>
              </w:rPr>
              <w:t>设备一览表见表</w:t>
            </w:r>
            <w:r>
              <w:rPr>
                <w:rFonts w:hint="default" w:ascii="Times New Roman" w:hAnsi="Times New Roman" w:cs="Times New Roman"/>
                <w:color w:val="auto"/>
                <w:sz w:val="21"/>
                <w:szCs w:val="21"/>
                <w:lang w:val="en-US" w:eastAsia="zh-CN"/>
              </w:rPr>
              <w:t>2-</w:t>
            </w:r>
            <w:r>
              <w:rPr>
                <w:rFonts w:hint="eastAsia" w:cs="Times New Roman"/>
                <w:color w:val="auto"/>
                <w:sz w:val="21"/>
                <w:szCs w:val="21"/>
                <w:lang w:val="en-US" w:eastAsia="zh-CN"/>
              </w:rPr>
              <w:t>4</w:t>
            </w:r>
            <w:r>
              <w:rPr>
                <w:rFonts w:hint="default" w:ascii="Times New Roman" w:hAnsi="Times New Roman" w:cs="Times New Roman"/>
                <w:color w:val="auto"/>
                <w:sz w:val="21"/>
                <w:szCs w:val="21"/>
              </w:rPr>
              <w:t>。</w:t>
            </w:r>
          </w:p>
          <w:p w14:paraId="4D456D7F">
            <w:pPr>
              <w:pStyle w:val="33"/>
              <w:jc w:val="center"/>
              <w:rPr>
                <w:rFonts w:hint="default" w:ascii="Times New Roman" w:hAnsi="Times New Roman" w:cs="Times New Roman"/>
                <w:color w:val="auto"/>
                <w:sz w:val="21"/>
                <w:szCs w:val="21"/>
              </w:rPr>
            </w:pPr>
            <w:r>
              <w:rPr>
                <w:rFonts w:hint="default" w:ascii="Times New Roman" w:hAnsi="Times New Roman" w:cs="Times New Roman"/>
                <w:b/>
                <w:bCs w:val="0"/>
                <w:color w:val="auto"/>
                <w:sz w:val="21"/>
                <w:szCs w:val="21"/>
              </w:rPr>
              <w:t>表</w:t>
            </w:r>
            <w:r>
              <w:rPr>
                <w:rFonts w:hint="default" w:ascii="Times New Roman" w:hAnsi="Times New Roman" w:cs="Times New Roman"/>
                <w:b/>
                <w:bCs w:val="0"/>
                <w:color w:val="auto"/>
                <w:sz w:val="21"/>
                <w:szCs w:val="21"/>
                <w:lang w:val="en-US" w:eastAsia="zh-CN"/>
              </w:rPr>
              <w:t>2-</w:t>
            </w:r>
            <w:r>
              <w:rPr>
                <w:rFonts w:hint="eastAsia" w:cs="Times New Roman"/>
                <w:b/>
                <w:bCs w:val="0"/>
                <w:color w:val="auto"/>
                <w:sz w:val="21"/>
                <w:szCs w:val="21"/>
                <w:lang w:val="en-US" w:eastAsia="zh-CN"/>
              </w:rPr>
              <w:t xml:space="preserve">4  </w:t>
            </w:r>
            <w:r>
              <w:rPr>
                <w:rFonts w:hint="default" w:ascii="Times New Roman" w:hAnsi="Times New Roman" w:cs="Times New Roman"/>
                <w:b/>
                <w:bCs w:val="0"/>
                <w:color w:val="auto"/>
                <w:sz w:val="21"/>
                <w:szCs w:val="21"/>
                <w:lang w:val="en-US" w:eastAsia="zh-CN"/>
              </w:rPr>
              <w:t>主要生产</w:t>
            </w:r>
            <w:r>
              <w:rPr>
                <w:rFonts w:hint="default" w:ascii="Times New Roman" w:hAnsi="Times New Roman" w:cs="Times New Roman"/>
                <w:b/>
                <w:bCs w:val="0"/>
                <w:color w:val="auto"/>
                <w:sz w:val="21"/>
                <w:szCs w:val="21"/>
              </w:rPr>
              <w:t>设备表</w:t>
            </w:r>
          </w:p>
          <w:tbl>
            <w:tblPr>
              <w:tblStyle w:val="20"/>
              <w:tblW w:w="794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43"/>
              <w:gridCol w:w="2319"/>
              <w:gridCol w:w="1196"/>
              <w:gridCol w:w="1925"/>
              <w:gridCol w:w="580"/>
              <w:gridCol w:w="984"/>
            </w:tblGrid>
            <w:tr w14:paraId="7F27D94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5" w:hRule="atLeast"/>
                <w:jc w:val="center"/>
              </w:trPr>
              <w:tc>
                <w:tcPr>
                  <w:tcW w:w="943" w:type="dxa"/>
                  <w:tcBorders>
                    <w:tl2br w:val="nil"/>
                    <w:tr2bl w:val="nil"/>
                  </w:tcBorders>
                  <w:shd w:val="clear" w:color="auto" w:fill="auto"/>
                  <w:vAlign w:val="center"/>
                </w:tcPr>
                <w:p w14:paraId="612766C7">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序号</w:t>
                  </w:r>
                </w:p>
              </w:tc>
              <w:tc>
                <w:tcPr>
                  <w:tcW w:w="2319" w:type="dxa"/>
                  <w:tcBorders>
                    <w:tl2br w:val="nil"/>
                    <w:tr2bl w:val="nil"/>
                  </w:tcBorders>
                  <w:shd w:val="clear" w:color="auto" w:fill="auto"/>
                  <w:vAlign w:val="center"/>
                </w:tcPr>
                <w:p w14:paraId="29421CB4">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设备名称</w:t>
                  </w:r>
                </w:p>
              </w:tc>
              <w:tc>
                <w:tcPr>
                  <w:tcW w:w="1196" w:type="dxa"/>
                  <w:tcBorders>
                    <w:tl2br w:val="nil"/>
                    <w:tr2bl w:val="nil"/>
                  </w:tcBorders>
                  <w:shd w:val="clear" w:color="auto" w:fill="auto"/>
                  <w:vAlign w:val="center"/>
                </w:tcPr>
                <w:p w14:paraId="5C8D187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设备型号</w:t>
                  </w:r>
                </w:p>
              </w:tc>
              <w:tc>
                <w:tcPr>
                  <w:tcW w:w="1925" w:type="dxa"/>
                  <w:tcBorders>
                    <w:tl2br w:val="nil"/>
                    <w:tr2bl w:val="nil"/>
                  </w:tcBorders>
                  <w:shd w:val="clear" w:color="auto" w:fill="auto"/>
                  <w:vAlign w:val="center"/>
                </w:tcPr>
                <w:p w14:paraId="0155E0E4">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规格性能</w:t>
                  </w:r>
                </w:p>
              </w:tc>
              <w:tc>
                <w:tcPr>
                  <w:tcW w:w="580" w:type="dxa"/>
                  <w:tcBorders>
                    <w:tl2br w:val="nil"/>
                    <w:tr2bl w:val="nil"/>
                  </w:tcBorders>
                  <w:shd w:val="clear" w:color="auto" w:fill="auto"/>
                  <w:vAlign w:val="center"/>
                </w:tcPr>
                <w:p w14:paraId="44BF24F7">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台数</w:t>
                  </w:r>
                </w:p>
              </w:tc>
              <w:tc>
                <w:tcPr>
                  <w:tcW w:w="984" w:type="dxa"/>
                  <w:tcBorders>
                    <w:tl2br w:val="nil"/>
                    <w:tr2bl w:val="nil"/>
                  </w:tcBorders>
                  <w:shd w:val="clear" w:color="auto" w:fill="auto"/>
                  <w:vAlign w:val="center"/>
                </w:tcPr>
                <w:p w14:paraId="2782783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功率</w:t>
                  </w:r>
                </w:p>
                <w:p w14:paraId="46DCEFA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kw</w:t>
                  </w:r>
                </w:p>
              </w:tc>
            </w:tr>
            <w:tr w14:paraId="059364F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943" w:type="dxa"/>
                  <w:tcBorders>
                    <w:tl2br w:val="nil"/>
                    <w:tr2bl w:val="nil"/>
                  </w:tcBorders>
                  <w:shd w:val="clear" w:color="auto" w:fill="auto"/>
                  <w:vAlign w:val="center"/>
                </w:tcPr>
                <w:p w14:paraId="396AEAE0">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7004" w:type="dxa"/>
                  <w:gridSpan w:val="5"/>
                  <w:tcBorders>
                    <w:tl2br w:val="nil"/>
                    <w:tr2bl w:val="nil"/>
                  </w:tcBorders>
                  <w:shd w:val="clear" w:color="auto" w:fill="auto"/>
                  <w:vAlign w:val="center"/>
                </w:tcPr>
                <w:p w14:paraId="573E0A95">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收奶系统</w:t>
                  </w:r>
                </w:p>
              </w:tc>
            </w:tr>
            <w:tr w14:paraId="473CB0C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jc w:val="center"/>
              </w:trPr>
              <w:tc>
                <w:tcPr>
                  <w:tcW w:w="943" w:type="dxa"/>
                  <w:tcBorders>
                    <w:tl2br w:val="nil"/>
                    <w:tr2bl w:val="nil"/>
                  </w:tcBorders>
                  <w:shd w:val="clear" w:color="auto" w:fill="auto"/>
                  <w:vAlign w:val="center"/>
                </w:tcPr>
                <w:p w14:paraId="1D52184F">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2319" w:type="dxa"/>
                  <w:tcBorders>
                    <w:tl2br w:val="nil"/>
                    <w:tr2bl w:val="nil"/>
                  </w:tcBorders>
                  <w:shd w:val="clear" w:color="auto" w:fill="auto"/>
                  <w:vAlign w:val="center"/>
                </w:tcPr>
                <w:p w14:paraId="5205B62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自吸奶泵</w:t>
                  </w:r>
                </w:p>
              </w:tc>
              <w:tc>
                <w:tcPr>
                  <w:tcW w:w="1196" w:type="dxa"/>
                  <w:tcBorders>
                    <w:tl2br w:val="nil"/>
                    <w:tr2bl w:val="nil"/>
                  </w:tcBorders>
                  <w:shd w:val="clear" w:color="auto" w:fill="auto"/>
                  <w:vAlign w:val="center"/>
                </w:tcPr>
                <w:p w14:paraId="1438764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上进上出式</w:t>
                  </w:r>
                </w:p>
              </w:tc>
              <w:tc>
                <w:tcPr>
                  <w:tcW w:w="1925" w:type="dxa"/>
                  <w:tcBorders>
                    <w:tl2br w:val="nil"/>
                    <w:tr2bl w:val="nil"/>
                  </w:tcBorders>
                  <w:shd w:val="clear" w:color="auto" w:fill="auto"/>
                  <w:vAlign w:val="center"/>
                </w:tcPr>
                <w:p w14:paraId="58CFE86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10t/h</w:t>
                  </w:r>
                </w:p>
              </w:tc>
              <w:tc>
                <w:tcPr>
                  <w:tcW w:w="580" w:type="dxa"/>
                  <w:tcBorders>
                    <w:tl2br w:val="nil"/>
                    <w:tr2bl w:val="nil"/>
                  </w:tcBorders>
                  <w:shd w:val="clear" w:color="auto" w:fill="auto"/>
                  <w:vAlign w:val="center"/>
                </w:tcPr>
                <w:p w14:paraId="6C6AE89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08BB526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r>
            <w:tr w14:paraId="2E51C77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jc w:val="center"/>
              </w:trPr>
              <w:tc>
                <w:tcPr>
                  <w:tcW w:w="943" w:type="dxa"/>
                  <w:tcBorders>
                    <w:tl2br w:val="nil"/>
                    <w:tr2bl w:val="nil"/>
                  </w:tcBorders>
                  <w:shd w:val="clear" w:color="auto" w:fill="auto"/>
                  <w:vAlign w:val="center"/>
                </w:tcPr>
                <w:p w14:paraId="2DECAED7">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w:t>
                  </w:r>
                </w:p>
              </w:tc>
              <w:tc>
                <w:tcPr>
                  <w:tcW w:w="2319" w:type="dxa"/>
                  <w:tcBorders>
                    <w:tl2br w:val="nil"/>
                    <w:tr2bl w:val="nil"/>
                  </w:tcBorders>
                  <w:shd w:val="clear" w:color="auto" w:fill="auto"/>
                  <w:vAlign w:val="center"/>
                </w:tcPr>
                <w:p w14:paraId="03E09AE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收奶罐</w:t>
                  </w:r>
                </w:p>
              </w:tc>
              <w:tc>
                <w:tcPr>
                  <w:tcW w:w="1196" w:type="dxa"/>
                  <w:tcBorders>
                    <w:tl2br w:val="nil"/>
                    <w:tr2bl w:val="nil"/>
                  </w:tcBorders>
                  <w:shd w:val="clear" w:color="auto" w:fill="auto"/>
                  <w:vAlign w:val="center"/>
                </w:tcPr>
                <w:p w14:paraId="13925F3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单层</w:t>
                  </w:r>
                </w:p>
              </w:tc>
              <w:tc>
                <w:tcPr>
                  <w:tcW w:w="1925" w:type="dxa"/>
                  <w:tcBorders>
                    <w:tl2br w:val="nil"/>
                    <w:tr2bl w:val="nil"/>
                  </w:tcBorders>
                  <w:shd w:val="clear" w:color="auto" w:fill="auto"/>
                  <w:vAlign w:val="center"/>
                </w:tcPr>
                <w:p w14:paraId="0C2D658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1500L</w:t>
                  </w:r>
                </w:p>
              </w:tc>
              <w:tc>
                <w:tcPr>
                  <w:tcW w:w="580" w:type="dxa"/>
                  <w:tcBorders>
                    <w:tl2br w:val="nil"/>
                    <w:tr2bl w:val="nil"/>
                  </w:tcBorders>
                  <w:shd w:val="clear" w:color="auto" w:fill="auto"/>
                  <w:vAlign w:val="center"/>
                </w:tcPr>
                <w:p w14:paraId="26842E61">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5084E055">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r w14:paraId="642EBAA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jc w:val="center"/>
              </w:trPr>
              <w:tc>
                <w:tcPr>
                  <w:tcW w:w="943" w:type="dxa"/>
                  <w:tcBorders>
                    <w:tl2br w:val="nil"/>
                    <w:tr2bl w:val="nil"/>
                  </w:tcBorders>
                  <w:shd w:val="clear" w:color="auto" w:fill="auto"/>
                  <w:vAlign w:val="center"/>
                </w:tcPr>
                <w:p w14:paraId="76820582">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w:t>
                  </w:r>
                </w:p>
              </w:tc>
              <w:tc>
                <w:tcPr>
                  <w:tcW w:w="2319" w:type="dxa"/>
                  <w:tcBorders>
                    <w:tl2br w:val="nil"/>
                    <w:tr2bl w:val="nil"/>
                  </w:tcBorders>
                  <w:shd w:val="clear" w:color="auto" w:fill="auto"/>
                  <w:vAlign w:val="center"/>
                </w:tcPr>
                <w:p w14:paraId="41719B8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收奶称重传感器</w:t>
                  </w:r>
                </w:p>
              </w:tc>
              <w:tc>
                <w:tcPr>
                  <w:tcW w:w="1196" w:type="dxa"/>
                  <w:tcBorders>
                    <w:tl2br w:val="nil"/>
                    <w:tr2bl w:val="nil"/>
                  </w:tcBorders>
                  <w:shd w:val="clear" w:color="auto" w:fill="auto"/>
                  <w:vAlign w:val="center"/>
                </w:tcPr>
                <w:p w14:paraId="0A164AC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vAlign w:val="center"/>
                </w:tcPr>
                <w:p w14:paraId="457D8751">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0--2000KG</w:t>
                  </w:r>
                </w:p>
              </w:tc>
              <w:tc>
                <w:tcPr>
                  <w:tcW w:w="580" w:type="dxa"/>
                  <w:tcBorders>
                    <w:tl2br w:val="nil"/>
                    <w:tr2bl w:val="nil"/>
                  </w:tcBorders>
                  <w:shd w:val="clear" w:color="auto" w:fill="auto"/>
                  <w:vAlign w:val="center"/>
                </w:tcPr>
                <w:p w14:paraId="0090179B">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0BCB8FF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r w14:paraId="50D7925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jc w:val="center"/>
              </w:trPr>
              <w:tc>
                <w:tcPr>
                  <w:tcW w:w="943" w:type="dxa"/>
                  <w:tcBorders>
                    <w:tl2br w:val="nil"/>
                    <w:tr2bl w:val="nil"/>
                  </w:tcBorders>
                  <w:shd w:val="clear" w:color="auto" w:fill="auto"/>
                  <w:vAlign w:val="center"/>
                </w:tcPr>
                <w:p w14:paraId="60497759">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w:t>
                  </w:r>
                </w:p>
              </w:tc>
              <w:tc>
                <w:tcPr>
                  <w:tcW w:w="2319" w:type="dxa"/>
                  <w:tcBorders>
                    <w:tl2br w:val="nil"/>
                    <w:tr2bl w:val="nil"/>
                  </w:tcBorders>
                  <w:shd w:val="clear" w:color="auto" w:fill="auto"/>
                  <w:vAlign w:val="center"/>
                </w:tcPr>
                <w:p w14:paraId="2C8C88E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离心奶泵</w:t>
                  </w:r>
                </w:p>
              </w:tc>
              <w:tc>
                <w:tcPr>
                  <w:tcW w:w="1196" w:type="dxa"/>
                  <w:tcBorders>
                    <w:tl2br w:val="nil"/>
                    <w:tr2bl w:val="nil"/>
                  </w:tcBorders>
                  <w:shd w:val="clear" w:color="auto" w:fill="auto"/>
                  <w:vAlign w:val="center"/>
                </w:tcPr>
                <w:p w14:paraId="48FAE976">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vAlign w:val="center"/>
                </w:tcPr>
                <w:p w14:paraId="457F7CA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10t/h</w:t>
                  </w:r>
                </w:p>
              </w:tc>
              <w:tc>
                <w:tcPr>
                  <w:tcW w:w="580" w:type="dxa"/>
                  <w:tcBorders>
                    <w:tl2br w:val="nil"/>
                    <w:tr2bl w:val="nil"/>
                  </w:tcBorders>
                  <w:shd w:val="clear" w:color="auto" w:fill="auto"/>
                  <w:vAlign w:val="center"/>
                </w:tcPr>
                <w:p w14:paraId="08263FF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6B4F736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r>
            <w:tr w14:paraId="6F0C2B3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jc w:val="center"/>
              </w:trPr>
              <w:tc>
                <w:tcPr>
                  <w:tcW w:w="943" w:type="dxa"/>
                  <w:tcBorders>
                    <w:tl2br w:val="nil"/>
                    <w:tr2bl w:val="nil"/>
                  </w:tcBorders>
                  <w:shd w:val="clear" w:color="auto" w:fill="auto"/>
                  <w:vAlign w:val="center"/>
                </w:tcPr>
                <w:p w14:paraId="19A598C4">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2319" w:type="dxa"/>
                  <w:tcBorders>
                    <w:tl2br w:val="nil"/>
                    <w:tr2bl w:val="nil"/>
                  </w:tcBorders>
                  <w:shd w:val="clear" w:color="auto" w:fill="auto"/>
                  <w:vAlign w:val="center"/>
                </w:tcPr>
                <w:p w14:paraId="5B85BA61">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双联管式过滤器</w:t>
                  </w:r>
                </w:p>
              </w:tc>
              <w:tc>
                <w:tcPr>
                  <w:tcW w:w="1196" w:type="dxa"/>
                  <w:tcBorders>
                    <w:tl2br w:val="nil"/>
                    <w:tr2bl w:val="nil"/>
                  </w:tcBorders>
                  <w:shd w:val="clear" w:color="auto" w:fill="auto"/>
                  <w:vAlign w:val="center"/>
                </w:tcPr>
                <w:p w14:paraId="52849625">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vAlign w:val="center"/>
                </w:tcPr>
                <w:p w14:paraId="1D18A9B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10t/h 100目</w:t>
                  </w:r>
                </w:p>
              </w:tc>
              <w:tc>
                <w:tcPr>
                  <w:tcW w:w="580" w:type="dxa"/>
                  <w:tcBorders>
                    <w:tl2br w:val="nil"/>
                    <w:tr2bl w:val="nil"/>
                  </w:tcBorders>
                  <w:shd w:val="clear" w:color="auto" w:fill="auto"/>
                  <w:vAlign w:val="center"/>
                </w:tcPr>
                <w:p w14:paraId="1C6F2F1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727CFD3A">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r w14:paraId="16CF5DC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jc w:val="center"/>
              </w:trPr>
              <w:tc>
                <w:tcPr>
                  <w:tcW w:w="943" w:type="dxa"/>
                  <w:tcBorders>
                    <w:tl2br w:val="nil"/>
                    <w:tr2bl w:val="nil"/>
                  </w:tcBorders>
                  <w:shd w:val="clear" w:color="auto" w:fill="auto"/>
                  <w:vAlign w:val="center"/>
                </w:tcPr>
                <w:p w14:paraId="2A697336">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w:t>
                  </w:r>
                </w:p>
              </w:tc>
              <w:tc>
                <w:tcPr>
                  <w:tcW w:w="2319" w:type="dxa"/>
                  <w:tcBorders>
                    <w:tl2br w:val="nil"/>
                    <w:tr2bl w:val="nil"/>
                  </w:tcBorders>
                  <w:shd w:val="clear" w:color="auto" w:fill="auto"/>
                  <w:vAlign w:val="center"/>
                </w:tcPr>
                <w:p w14:paraId="188DB2D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板式冷却器</w:t>
                  </w:r>
                </w:p>
              </w:tc>
              <w:tc>
                <w:tcPr>
                  <w:tcW w:w="1196" w:type="dxa"/>
                  <w:tcBorders>
                    <w:tl2br w:val="nil"/>
                    <w:tr2bl w:val="nil"/>
                  </w:tcBorders>
                  <w:shd w:val="clear" w:color="auto" w:fill="auto"/>
                  <w:vAlign w:val="center"/>
                </w:tcPr>
                <w:p w14:paraId="4A66B50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vAlign w:val="center"/>
                </w:tcPr>
                <w:p w14:paraId="766C955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10t/h  10℃→4℃</w:t>
                  </w:r>
                </w:p>
              </w:tc>
              <w:tc>
                <w:tcPr>
                  <w:tcW w:w="580" w:type="dxa"/>
                  <w:tcBorders>
                    <w:tl2br w:val="nil"/>
                    <w:tr2bl w:val="nil"/>
                  </w:tcBorders>
                  <w:shd w:val="clear" w:color="auto" w:fill="auto"/>
                  <w:vAlign w:val="center"/>
                </w:tcPr>
                <w:p w14:paraId="036CD4C4">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0A874B05">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r w14:paraId="520F8D7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jc w:val="center"/>
              </w:trPr>
              <w:tc>
                <w:tcPr>
                  <w:tcW w:w="943" w:type="dxa"/>
                  <w:tcBorders>
                    <w:tl2br w:val="nil"/>
                    <w:tr2bl w:val="nil"/>
                  </w:tcBorders>
                  <w:shd w:val="clear" w:color="auto" w:fill="auto"/>
                  <w:vAlign w:val="center"/>
                </w:tcPr>
                <w:p w14:paraId="3AD9455F">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1.7</w:t>
                  </w:r>
                </w:p>
              </w:tc>
              <w:tc>
                <w:tcPr>
                  <w:tcW w:w="2319" w:type="dxa"/>
                  <w:tcBorders>
                    <w:tl2br w:val="nil"/>
                    <w:tr2bl w:val="nil"/>
                  </w:tcBorders>
                  <w:shd w:val="clear" w:color="auto" w:fill="auto"/>
                  <w:vAlign w:val="center"/>
                </w:tcPr>
                <w:p w14:paraId="3991CEB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CIP回程泵洗奶车用</w:t>
                  </w:r>
                </w:p>
              </w:tc>
              <w:tc>
                <w:tcPr>
                  <w:tcW w:w="1196" w:type="dxa"/>
                  <w:tcBorders>
                    <w:tl2br w:val="nil"/>
                    <w:tr2bl w:val="nil"/>
                  </w:tcBorders>
                  <w:shd w:val="clear" w:color="auto" w:fill="auto"/>
                  <w:vAlign w:val="center"/>
                </w:tcPr>
                <w:p w14:paraId="65F38141">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上进上出式</w:t>
                  </w:r>
                </w:p>
              </w:tc>
              <w:tc>
                <w:tcPr>
                  <w:tcW w:w="1925" w:type="dxa"/>
                  <w:tcBorders>
                    <w:tl2br w:val="nil"/>
                    <w:tr2bl w:val="nil"/>
                  </w:tcBorders>
                  <w:shd w:val="clear" w:color="auto" w:fill="auto"/>
                  <w:vAlign w:val="center"/>
                </w:tcPr>
                <w:p w14:paraId="64AEDA5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15t/h</w:t>
                  </w:r>
                </w:p>
              </w:tc>
              <w:tc>
                <w:tcPr>
                  <w:tcW w:w="580" w:type="dxa"/>
                  <w:tcBorders>
                    <w:tl2br w:val="nil"/>
                    <w:tr2bl w:val="nil"/>
                  </w:tcBorders>
                  <w:shd w:val="clear" w:color="auto" w:fill="auto"/>
                  <w:vAlign w:val="center"/>
                </w:tcPr>
                <w:p w14:paraId="41EB435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73B5F63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r>
            <w:tr w14:paraId="4EF6BAC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jc w:val="center"/>
              </w:trPr>
              <w:tc>
                <w:tcPr>
                  <w:tcW w:w="943" w:type="dxa"/>
                  <w:tcBorders>
                    <w:tl2br w:val="nil"/>
                    <w:tr2bl w:val="nil"/>
                  </w:tcBorders>
                  <w:shd w:val="clear" w:color="auto" w:fill="auto"/>
                  <w:vAlign w:val="center"/>
                </w:tcPr>
                <w:p w14:paraId="0746DF4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7004" w:type="dxa"/>
                  <w:gridSpan w:val="5"/>
                  <w:tcBorders>
                    <w:tl2br w:val="nil"/>
                    <w:tr2bl w:val="nil"/>
                  </w:tcBorders>
                  <w:shd w:val="clear" w:color="auto" w:fill="auto"/>
                  <w:vAlign w:val="center"/>
                </w:tcPr>
                <w:p w14:paraId="345F5AD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储奶系统</w:t>
                  </w:r>
                </w:p>
              </w:tc>
            </w:tr>
            <w:tr w14:paraId="16E72D0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943" w:type="dxa"/>
                  <w:tcBorders>
                    <w:tl2br w:val="nil"/>
                    <w:tr2bl w:val="nil"/>
                  </w:tcBorders>
                  <w:shd w:val="clear" w:color="auto" w:fill="auto"/>
                  <w:vAlign w:val="center"/>
                </w:tcPr>
                <w:p w14:paraId="15D3A148">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2.1</w:t>
                  </w:r>
                </w:p>
              </w:tc>
              <w:tc>
                <w:tcPr>
                  <w:tcW w:w="2319" w:type="dxa"/>
                  <w:tcBorders>
                    <w:tl2br w:val="nil"/>
                    <w:tr2bl w:val="nil"/>
                  </w:tcBorders>
                  <w:shd w:val="clear" w:color="auto" w:fill="auto"/>
                  <w:vAlign w:val="center"/>
                </w:tcPr>
                <w:p w14:paraId="28471C06">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制冷储奶罐</w:t>
                  </w:r>
                </w:p>
              </w:tc>
              <w:tc>
                <w:tcPr>
                  <w:tcW w:w="1196" w:type="dxa"/>
                  <w:tcBorders>
                    <w:tl2br w:val="nil"/>
                    <w:tr2bl w:val="nil"/>
                  </w:tcBorders>
                  <w:shd w:val="clear" w:color="auto" w:fill="auto"/>
                  <w:vAlign w:val="center"/>
                </w:tcPr>
                <w:p w14:paraId="15BA563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其中两台制冰水保温夹套</w:t>
                  </w:r>
                </w:p>
              </w:tc>
              <w:tc>
                <w:tcPr>
                  <w:tcW w:w="1925" w:type="dxa"/>
                  <w:tcBorders>
                    <w:tl2br w:val="nil"/>
                    <w:tr2bl w:val="nil"/>
                  </w:tcBorders>
                  <w:shd w:val="clear" w:color="auto" w:fill="auto"/>
                  <w:vAlign w:val="center"/>
                </w:tcPr>
                <w:p w14:paraId="2993A67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5000L</w:t>
                  </w:r>
                </w:p>
              </w:tc>
              <w:tc>
                <w:tcPr>
                  <w:tcW w:w="580" w:type="dxa"/>
                  <w:tcBorders>
                    <w:tl2br w:val="nil"/>
                    <w:tr2bl w:val="nil"/>
                  </w:tcBorders>
                  <w:shd w:val="clear" w:color="auto" w:fill="auto"/>
                  <w:vAlign w:val="center"/>
                </w:tcPr>
                <w:p w14:paraId="57E9A2D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984" w:type="dxa"/>
                  <w:tcBorders>
                    <w:tl2br w:val="nil"/>
                    <w:tr2bl w:val="nil"/>
                  </w:tcBorders>
                  <w:shd w:val="clear" w:color="auto" w:fill="auto"/>
                  <w:vAlign w:val="center"/>
                </w:tcPr>
                <w:p w14:paraId="7509686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3*3</w:t>
                  </w:r>
                </w:p>
              </w:tc>
            </w:tr>
            <w:tr w14:paraId="32DEAE1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jc w:val="center"/>
              </w:trPr>
              <w:tc>
                <w:tcPr>
                  <w:tcW w:w="943" w:type="dxa"/>
                  <w:tcBorders>
                    <w:tl2br w:val="nil"/>
                    <w:tr2bl w:val="nil"/>
                  </w:tcBorders>
                  <w:shd w:val="clear" w:color="auto" w:fill="auto"/>
                  <w:vAlign w:val="center"/>
                </w:tcPr>
                <w:p w14:paraId="141FA057">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w:t>
                  </w:r>
                </w:p>
              </w:tc>
              <w:tc>
                <w:tcPr>
                  <w:tcW w:w="2319" w:type="dxa"/>
                  <w:tcBorders>
                    <w:tl2br w:val="nil"/>
                    <w:tr2bl w:val="nil"/>
                  </w:tcBorders>
                  <w:shd w:val="clear" w:color="auto" w:fill="auto"/>
                  <w:vAlign w:val="center"/>
                </w:tcPr>
                <w:p w14:paraId="6BA302A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离心奶泵</w:t>
                  </w:r>
                </w:p>
              </w:tc>
              <w:tc>
                <w:tcPr>
                  <w:tcW w:w="1196" w:type="dxa"/>
                  <w:tcBorders>
                    <w:tl2br w:val="nil"/>
                    <w:tr2bl w:val="nil"/>
                  </w:tcBorders>
                  <w:shd w:val="clear" w:color="auto" w:fill="auto"/>
                  <w:vAlign w:val="center"/>
                </w:tcPr>
                <w:p w14:paraId="68F120E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vAlign w:val="center"/>
                </w:tcPr>
                <w:p w14:paraId="2BD9229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5t/h 24m</w:t>
                  </w:r>
                </w:p>
              </w:tc>
              <w:tc>
                <w:tcPr>
                  <w:tcW w:w="580" w:type="dxa"/>
                  <w:tcBorders>
                    <w:tl2br w:val="nil"/>
                    <w:tr2bl w:val="nil"/>
                  </w:tcBorders>
                  <w:shd w:val="clear" w:color="auto" w:fill="auto"/>
                  <w:vAlign w:val="center"/>
                </w:tcPr>
                <w:p w14:paraId="70D41CD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0564240A">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r>
            <w:tr w14:paraId="14F17F3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jc w:val="center"/>
              </w:trPr>
              <w:tc>
                <w:tcPr>
                  <w:tcW w:w="943" w:type="dxa"/>
                  <w:tcBorders>
                    <w:tl2br w:val="nil"/>
                    <w:tr2bl w:val="nil"/>
                  </w:tcBorders>
                  <w:shd w:val="clear" w:color="auto" w:fill="auto"/>
                  <w:vAlign w:val="center"/>
                </w:tcPr>
                <w:p w14:paraId="27BF1096">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2.3</w:t>
                  </w:r>
                </w:p>
              </w:tc>
              <w:tc>
                <w:tcPr>
                  <w:tcW w:w="2319" w:type="dxa"/>
                  <w:tcBorders>
                    <w:tl2br w:val="nil"/>
                    <w:tr2bl w:val="nil"/>
                  </w:tcBorders>
                  <w:shd w:val="clear" w:color="auto" w:fill="auto"/>
                  <w:vAlign w:val="center"/>
                </w:tcPr>
                <w:p w14:paraId="2BC4759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离心奶泵</w:t>
                  </w:r>
                </w:p>
              </w:tc>
              <w:tc>
                <w:tcPr>
                  <w:tcW w:w="1196" w:type="dxa"/>
                  <w:tcBorders>
                    <w:tl2br w:val="nil"/>
                    <w:tr2bl w:val="nil"/>
                  </w:tcBorders>
                  <w:shd w:val="clear" w:color="auto" w:fill="auto"/>
                  <w:vAlign w:val="center"/>
                </w:tcPr>
                <w:p w14:paraId="76934DC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vAlign w:val="center"/>
                </w:tcPr>
                <w:p w14:paraId="0D5DBE0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5t/h 24m</w:t>
                  </w:r>
                </w:p>
              </w:tc>
              <w:tc>
                <w:tcPr>
                  <w:tcW w:w="580" w:type="dxa"/>
                  <w:tcBorders>
                    <w:tl2br w:val="nil"/>
                    <w:tr2bl w:val="nil"/>
                  </w:tcBorders>
                  <w:shd w:val="clear" w:color="auto" w:fill="auto"/>
                  <w:vAlign w:val="center"/>
                </w:tcPr>
                <w:p w14:paraId="18ED0DD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984" w:type="dxa"/>
                  <w:tcBorders>
                    <w:tl2br w:val="nil"/>
                    <w:tr2bl w:val="nil"/>
                  </w:tcBorders>
                  <w:shd w:val="clear" w:color="auto" w:fill="auto"/>
                  <w:vAlign w:val="center"/>
                </w:tcPr>
                <w:p w14:paraId="30568CE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1.5*2</w:t>
                  </w:r>
                </w:p>
              </w:tc>
            </w:tr>
            <w:tr w14:paraId="4741929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jc w:val="center"/>
              </w:trPr>
              <w:tc>
                <w:tcPr>
                  <w:tcW w:w="943" w:type="dxa"/>
                  <w:tcBorders>
                    <w:tl2br w:val="nil"/>
                    <w:tr2bl w:val="nil"/>
                  </w:tcBorders>
                  <w:shd w:val="clear" w:color="auto" w:fill="auto"/>
                  <w:vAlign w:val="center"/>
                </w:tcPr>
                <w:p w14:paraId="383098F7">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2.4</w:t>
                  </w:r>
                </w:p>
              </w:tc>
              <w:tc>
                <w:tcPr>
                  <w:tcW w:w="2319" w:type="dxa"/>
                  <w:tcBorders>
                    <w:tl2br w:val="nil"/>
                    <w:tr2bl w:val="nil"/>
                  </w:tcBorders>
                  <w:shd w:val="clear" w:color="auto" w:fill="auto"/>
                  <w:vAlign w:val="center"/>
                </w:tcPr>
                <w:p w14:paraId="7C399476">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CIP回程泵</w:t>
                  </w:r>
                </w:p>
              </w:tc>
              <w:tc>
                <w:tcPr>
                  <w:tcW w:w="1196" w:type="dxa"/>
                  <w:tcBorders>
                    <w:tl2br w:val="nil"/>
                    <w:tr2bl w:val="nil"/>
                  </w:tcBorders>
                  <w:shd w:val="clear" w:color="auto" w:fill="auto"/>
                  <w:vAlign w:val="center"/>
                </w:tcPr>
                <w:p w14:paraId="18C0665A">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vAlign w:val="center"/>
                </w:tcPr>
                <w:p w14:paraId="58D8EC7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15t/h 24m</w:t>
                  </w:r>
                </w:p>
              </w:tc>
              <w:tc>
                <w:tcPr>
                  <w:tcW w:w="580" w:type="dxa"/>
                  <w:tcBorders>
                    <w:tl2br w:val="nil"/>
                    <w:tr2bl w:val="nil"/>
                  </w:tcBorders>
                  <w:shd w:val="clear" w:color="auto" w:fill="auto"/>
                  <w:vAlign w:val="center"/>
                </w:tcPr>
                <w:p w14:paraId="16B01AE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25E27596">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r>
            <w:tr w14:paraId="3769FE0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jc w:val="center"/>
              </w:trPr>
              <w:tc>
                <w:tcPr>
                  <w:tcW w:w="943" w:type="dxa"/>
                  <w:tcBorders>
                    <w:tl2br w:val="nil"/>
                    <w:tr2bl w:val="nil"/>
                  </w:tcBorders>
                  <w:shd w:val="clear" w:color="auto" w:fill="auto"/>
                  <w:vAlign w:val="center"/>
                </w:tcPr>
                <w:p w14:paraId="3DEBB092">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7004" w:type="dxa"/>
                  <w:gridSpan w:val="5"/>
                  <w:tcBorders>
                    <w:tl2br w:val="nil"/>
                    <w:tr2bl w:val="nil"/>
                  </w:tcBorders>
                  <w:shd w:val="clear" w:color="auto" w:fill="auto"/>
                  <w:vAlign w:val="center"/>
                </w:tcPr>
                <w:p w14:paraId="637F50F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巴杀系统</w:t>
                  </w:r>
                </w:p>
              </w:tc>
            </w:tr>
            <w:tr w14:paraId="7371E30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jc w:val="center"/>
              </w:trPr>
              <w:tc>
                <w:tcPr>
                  <w:tcW w:w="943" w:type="dxa"/>
                  <w:tcBorders>
                    <w:tl2br w:val="nil"/>
                    <w:tr2bl w:val="nil"/>
                  </w:tcBorders>
                  <w:shd w:val="clear" w:color="auto" w:fill="auto"/>
                  <w:vAlign w:val="center"/>
                </w:tcPr>
                <w:p w14:paraId="2EC09B86">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3.1</w:t>
                  </w:r>
                </w:p>
              </w:tc>
              <w:tc>
                <w:tcPr>
                  <w:tcW w:w="2319" w:type="dxa"/>
                  <w:tcBorders>
                    <w:tl2br w:val="nil"/>
                    <w:tr2bl w:val="nil"/>
                  </w:tcBorders>
                  <w:shd w:val="clear" w:color="auto" w:fill="auto"/>
                  <w:vAlign w:val="center"/>
                </w:tcPr>
                <w:p w14:paraId="40B2F00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管式巴氏杀菌机</w:t>
                  </w:r>
                </w:p>
              </w:tc>
              <w:tc>
                <w:tcPr>
                  <w:tcW w:w="1196" w:type="dxa"/>
                  <w:tcBorders>
                    <w:tl2br w:val="nil"/>
                    <w:tr2bl w:val="nil"/>
                  </w:tcBorders>
                  <w:shd w:val="clear" w:color="auto" w:fill="auto"/>
                  <w:vAlign w:val="center"/>
                </w:tcPr>
                <w:p w14:paraId="0AB6D60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关键点自控，杀菌温度自动控制316板片</w:t>
                  </w:r>
                </w:p>
              </w:tc>
              <w:tc>
                <w:tcPr>
                  <w:tcW w:w="1925" w:type="dxa"/>
                  <w:tcBorders>
                    <w:tl2br w:val="nil"/>
                    <w:tr2bl w:val="nil"/>
                  </w:tcBorders>
                  <w:shd w:val="clear" w:color="auto" w:fill="auto"/>
                  <w:vAlign w:val="center"/>
                </w:tcPr>
                <w:p w14:paraId="1EC4EED6">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3t/h，72℃--95℃15s，37℃/4℃出料</w:t>
                  </w:r>
                </w:p>
              </w:tc>
              <w:tc>
                <w:tcPr>
                  <w:tcW w:w="580" w:type="dxa"/>
                  <w:tcBorders>
                    <w:tl2br w:val="nil"/>
                    <w:tr2bl w:val="nil"/>
                  </w:tcBorders>
                  <w:shd w:val="clear" w:color="auto" w:fill="auto"/>
                  <w:vAlign w:val="center"/>
                </w:tcPr>
                <w:p w14:paraId="6C5E377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7525940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8.8</w:t>
                  </w:r>
                </w:p>
              </w:tc>
            </w:tr>
            <w:tr w14:paraId="09AFF2A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943" w:type="dxa"/>
                  <w:tcBorders>
                    <w:tl2br w:val="nil"/>
                    <w:tr2bl w:val="nil"/>
                  </w:tcBorders>
                  <w:shd w:val="clear" w:color="auto" w:fill="auto"/>
                  <w:vAlign w:val="center"/>
                </w:tcPr>
                <w:p w14:paraId="13B344F6">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3.2</w:t>
                  </w:r>
                </w:p>
              </w:tc>
              <w:tc>
                <w:tcPr>
                  <w:tcW w:w="2319" w:type="dxa"/>
                  <w:tcBorders>
                    <w:tl2br w:val="nil"/>
                    <w:tr2bl w:val="nil"/>
                  </w:tcBorders>
                  <w:shd w:val="clear" w:color="auto" w:fill="auto"/>
                  <w:vAlign w:val="center"/>
                </w:tcPr>
                <w:p w14:paraId="7674ECA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净乳机</w:t>
                  </w:r>
                </w:p>
              </w:tc>
              <w:tc>
                <w:tcPr>
                  <w:tcW w:w="1196" w:type="dxa"/>
                  <w:tcBorders>
                    <w:tl2br w:val="nil"/>
                    <w:tr2bl w:val="nil"/>
                  </w:tcBorders>
                  <w:shd w:val="clear" w:color="auto" w:fill="auto"/>
                  <w:vAlign w:val="center"/>
                </w:tcPr>
                <w:p w14:paraId="6AB5751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noWrap/>
                  <w:vAlign w:val="center"/>
                </w:tcPr>
                <w:p w14:paraId="5CB27CD7">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5t/h</w:t>
                  </w:r>
                </w:p>
              </w:tc>
              <w:tc>
                <w:tcPr>
                  <w:tcW w:w="580" w:type="dxa"/>
                  <w:tcBorders>
                    <w:tl2br w:val="nil"/>
                    <w:tr2bl w:val="nil"/>
                  </w:tcBorders>
                  <w:shd w:val="clear" w:color="auto" w:fill="auto"/>
                  <w:vAlign w:val="center"/>
                </w:tcPr>
                <w:p w14:paraId="057AF97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25EB14C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r>
            <w:tr w14:paraId="304681F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43" w:type="dxa"/>
                  <w:tcBorders>
                    <w:tl2br w:val="nil"/>
                    <w:tr2bl w:val="nil"/>
                  </w:tcBorders>
                  <w:shd w:val="clear" w:color="auto" w:fill="auto"/>
                  <w:vAlign w:val="center"/>
                </w:tcPr>
                <w:p w14:paraId="46741BCB">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3.3</w:t>
                  </w:r>
                </w:p>
              </w:tc>
              <w:tc>
                <w:tcPr>
                  <w:tcW w:w="2319" w:type="dxa"/>
                  <w:tcBorders>
                    <w:tl2br w:val="nil"/>
                    <w:tr2bl w:val="nil"/>
                  </w:tcBorders>
                  <w:shd w:val="clear" w:color="auto" w:fill="auto"/>
                  <w:vAlign w:val="center"/>
                </w:tcPr>
                <w:p w14:paraId="223A893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纯净制水机</w:t>
                  </w:r>
                </w:p>
              </w:tc>
              <w:tc>
                <w:tcPr>
                  <w:tcW w:w="1196" w:type="dxa"/>
                  <w:tcBorders>
                    <w:tl2br w:val="nil"/>
                    <w:tr2bl w:val="nil"/>
                  </w:tcBorders>
                  <w:shd w:val="clear" w:color="auto" w:fill="auto"/>
                  <w:vAlign w:val="center"/>
                </w:tcPr>
                <w:p w14:paraId="247A2481">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noWrap/>
                  <w:vAlign w:val="center"/>
                </w:tcPr>
                <w:p w14:paraId="78F3776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3t/h</w:t>
                  </w:r>
                </w:p>
              </w:tc>
              <w:tc>
                <w:tcPr>
                  <w:tcW w:w="580" w:type="dxa"/>
                  <w:tcBorders>
                    <w:tl2br w:val="nil"/>
                    <w:tr2bl w:val="nil"/>
                  </w:tcBorders>
                  <w:shd w:val="clear" w:color="auto" w:fill="auto"/>
                  <w:vAlign w:val="center"/>
                </w:tcPr>
                <w:p w14:paraId="60135324">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22075E5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18.5</w:t>
                  </w:r>
                </w:p>
              </w:tc>
            </w:tr>
            <w:tr w14:paraId="0D8CE2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943" w:type="dxa"/>
                  <w:tcBorders>
                    <w:tl2br w:val="nil"/>
                    <w:tr2bl w:val="nil"/>
                  </w:tcBorders>
                  <w:shd w:val="clear" w:color="auto" w:fill="auto"/>
                  <w:vAlign w:val="center"/>
                </w:tcPr>
                <w:p w14:paraId="6DB83BB3">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3.4</w:t>
                  </w:r>
                </w:p>
              </w:tc>
              <w:tc>
                <w:tcPr>
                  <w:tcW w:w="2319" w:type="dxa"/>
                  <w:tcBorders>
                    <w:tl2br w:val="nil"/>
                    <w:tr2bl w:val="nil"/>
                  </w:tcBorders>
                  <w:shd w:val="clear" w:color="auto" w:fill="auto"/>
                  <w:vAlign w:val="center"/>
                </w:tcPr>
                <w:p w14:paraId="048348D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均质机</w:t>
                  </w:r>
                </w:p>
              </w:tc>
              <w:tc>
                <w:tcPr>
                  <w:tcW w:w="1196" w:type="dxa"/>
                  <w:tcBorders>
                    <w:tl2br w:val="nil"/>
                    <w:tr2bl w:val="nil"/>
                  </w:tcBorders>
                  <w:shd w:val="clear" w:color="auto" w:fill="auto"/>
                  <w:vAlign w:val="center"/>
                </w:tcPr>
                <w:p w14:paraId="40ED8B14">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JZ-5000-25</w:t>
                  </w:r>
                </w:p>
              </w:tc>
              <w:tc>
                <w:tcPr>
                  <w:tcW w:w="1925" w:type="dxa"/>
                  <w:tcBorders>
                    <w:tl2br w:val="nil"/>
                    <w:tr2bl w:val="nil"/>
                  </w:tcBorders>
                  <w:shd w:val="clear" w:color="auto" w:fill="auto"/>
                  <w:vAlign w:val="center"/>
                </w:tcPr>
                <w:p w14:paraId="690D26F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5t/h，设计压力25mpa</w:t>
                  </w:r>
                </w:p>
              </w:tc>
              <w:tc>
                <w:tcPr>
                  <w:tcW w:w="580" w:type="dxa"/>
                  <w:tcBorders>
                    <w:tl2br w:val="nil"/>
                    <w:tr2bl w:val="nil"/>
                  </w:tcBorders>
                  <w:shd w:val="clear" w:color="auto" w:fill="auto"/>
                  <w:vAlign w:val="center"/>
                </w:tcPr>
                <w:p w14:paraId="0A9C4D3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03F6221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37.0</w:t>
                  </w:r>
                </w:p>
              </w:tc>
            </w:tr>
            <w:tr w14:paraId="6E5552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jc w:val="center"/>
              </w:trPr>
              <w:tc>
                <w:tcPr>
                  <w:tcW w:w="943" w:type="dxa"/>
                  <w:tcBorders>
                    <w:tl2br w:val="nil"/>
                    <w:tr2bl w:val="nil"/>
                  </w:tcBorders>
                  <w:shd w:val="clear" w:color="auto" w:fill="auto"/>
                  <w:vAlign w:val="center"/>
                </w:tcPr>
                <w:p w14:paraId="0E4C8972">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w:t>
                  </w:r>
                </w:p>
              </w:tc>
              <w:tc>
                <w:tcPr>
                  <w:tcW w:w="2319" w:type="dxa"/>
                  <w:tcBorders>
                    <w:tl2br w:val="nil"/>
                    <w:tr2bl w:val="nil"/>
                  </w:tcBorders>
                  <w:shd w:val="clear" w:color="auto" w:fill="auto"/>
                  <w:vAlign w:val="center"/>
                </w:tcPr>
                <w:p w14:paraId="7DA5679A">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脱气机</w:t>
                  </w:r>
                </w:p>
              </w:tc>
              <w:tc>
                <w:tcPr>
                  <w:tcW w:w="1196" w:type="dxa"/>
                  <w:tcBorders>
                    <w:tl2br w:val="nil"/>
                    <w:tr2bl w:val="nil"/>
                  </w:tcBorders>
                  <w:shd w:val="clear" w:color="auto" w:fill="auto"/>
                  <w:vAlign w:val="center"/>
                </w:tcPr>
                <w:p w14:paraId="6F9B7266">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全自控高效除味</w:t>
                  </w:r>
                </w:p>
              </w:tc>
              <w:tc>
                <w:tcPr>
                  <w:tcW w:w="1925" w:type="dxa"/>
                  <w:tcBorders>
                    <w:tl2br w:val="nil"/>
                    <w:tr2bl w:val="nil"/>
                  </w:tcBorders>
                  <w:shd w:val="clear" w:color="auto" w:fill="auto"/>
                  <w:noWrap/>
                  <w:vAlign w:val="center"/>
                </w:tcPr>
                <w:p w14:paraId="510D8BD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5t/h</w:t>
                  </w:r>
                </w:p>
              </w:tc>
              <w:tc>
                <w:tcPr>
                  <w:tcW w:w="580" w:type="dxa"/>
                  <w:tcBorders>
                    <w:tl2br w:val="nil"/>
                    <w:tr2bl w:val="nil"/>
                  </w:tcBorders>
                  <w:shd w:val="clear" w:color="auto" w:fill="auto"/>
                  <w:vAlign w:val="center"/>
                </w:tcPr>
                <w:p w14:paraId="6F319BA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7E8DAF7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w:t>
                  </w:r>
                </w:p>
              </w:tc>
            </w:tr>
            <w:tr w14:paraId="5A55EBE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696378A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c>
                <w:tcPr>
                  <w:tcW w:w="7004" w:type="dxa"/>
                  <w:gridSpan w:val="5"/>
                  <w:tcBorders>
                    <w:tl2br w:val="nil"/>
                    <w:tr2bl w:val="nil"/>
                  </w:tcBorders>
                  <w:shd w:val="clear" w:color="auto" w:fill="auto"/>
                  <w:vAlign w:val="center"/>
                </w:tcPr>
                <w:p w14:paraId="66EE60D7">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奶粉配料系统</w:t>
                  </w:r>
                </w:p>
              </w:tc>
            </w:tr>
            <w:tr w14:paraId="513B30A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17E74163">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4.1</w:t>
                  </w:r>
                </w:p>
              </w:tc>
              <w:tc>
                <w:tcPr>
                  <w:tcW w:w="2319" w:type="dxa"/>
                  <w:tcBorders>
                    <w:tl2br w:val="nil"/>
                    <w:tr2bl w:val="nil"/>
                  </w:tcBorders>
                  <w:shd w:val="clear" w:color="auto" w:fill="auto"/>
                  <w:vAlign w:val="center"/>
                </w:tcPr>
                <w:p w14:paraId="31D8A84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混料罐</w:t>
                  </w:r>
                </w:p>
              </w:tc>
              <w:tc>
                <w:tcPr>
                  <w:tcW w:w="1196" w:type="dxa"/>
                  <w:tcBorders>
                    <w:tl2br w:val="nil"/>
                    <w:tr2bl w:val="nil"/>
                  </w:tcBorders>
                  <w:shd w:val="clear" w:color="auto" w:fill="auto"/>
                  <w:vAlign w:val="center"/>
                </w:tcPr>
                <w:p w14:paraId="4E3DBE6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保温</w:t>
                  </w:r>
                </w:p>
              </w:tc>
              <w:tc>
                <w:tcPr>
                  <w:tcW w:w="1925" w:type="dxa"/>
                  <w:tcBorders>
                    <w:tl2br w:val="nil"/>
                    <w:tr2bl w:val="nil"/>
                  </w:tcBorders>
                  <w:shd w:val="clear" w:color="auto" w:fill="auto"/>
                  <w:noWrap/>
                  <w:vAlign w:val="center"/>
                </w:tcPr>
                <w:p w14:paraId="1CD9DA07">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5000L</w:t>
                  </w:r>
                </w:p>
              </w:tc>
              <w:tc>
                <w:tcPr>
                  <w:tcW w:w="580" w:type="dxa"/>
                  <w:tcBorders>
                    <w:tl2br w:val="nil"/>
                    <w:tr2bl w:val="nil"/>
                  </w:tcBorders>
                  <w:shd w:val="clear" w:color="auto" w:fill="auto"/>
                  <w:vAlign w:val="center"/>
                </w:tcPr>
                <w:p w14:paraId="4AD4A9F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984" w:type="dxa"/>
                  <w:tcBorders>
                    <w:tl2br w:val="nil"/>
                    <w:tr2bl w:val="nil"/>
                  </w:tcBorders>
                  <w:shd w:val="clear" w:color="auto" w:fill="auto"/>
                  <w:vAlign w:val="center"/>
                </w:tcPr>
                <w:p w14:paraId="15004BC5">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1.5*2</w:t>
                  </w:r>
                </w:p>
              </w:tc>
            </w:tr>
            <w:tr w14:paraId="45B8BA0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22DCCFAE">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4.2</w:t>
                  </w:r>
                </w:p>
              </w:tc>
              <w:tc>
                <w:tcPr>
                  <w:tcW w:w="2319" w:type="dxa"/>
                  <w:tcBorders>
                    <w:tl2br w:val="nil"/>
                    <w:tr2bl w:val="nil"/>
                  </w:tcBorders>
                  <w:shd w:val="clear" w:color="auto" w:fill="auto"/>
                  <w:vAlign w:val="center"/>
                </w:tcPr>
                <w:p w14:paraId="6CA184D1">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离心泵</w:t>
                  </w:r>
                </w:p>
              </w:tc>
              <w:tc>
                <w:tcPr>
                  <w:tcW w:w="1196" w:type="dxa"/>
                  <w:tcBorders>
                    <w:tl2br w:val="nil"/>
                    <w:tr2bl w:val="nil"/>
                  </w:tcBorders>
                  <w:shd w:val="clear" w:color="auto" w:fill="auto"/>
                  <w:vAlign w:val="center"/>
                </w:tcPr>
                <w:p w14:paraId="6A3DA01B">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sus304</w:t>
                  </w:r>
                </w:p>
              </w:tc>
              <w:tc>
                <w:tcPr>
                  <w:tcW w:w="1925" w:type="dxa"/>
                  <w:tcBorders>
                    <w:tl2br w:val="nil"/>
                    <w:tr2bl w:val="nil"/>
                  </w:tcBorders>
                  <w:shd w:val="clear" w:color="auto" w:fill="auto"/>
                  <w:vAlign w:val="center"/>
                </w:tcPr>
                <w:p w14:paraId="41CEAC1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5t/h 24m</w:t>
                  </w:r>
                </w:p>
              </w:tc>
              <w:tc>
                <w:tcPr>
                  <w:tcW w:w="580" w:type="dxa"/>
                  <w:tcBorders>
                    <w:tl2br w:val="nil"/>
                    <w:tr2bl w:val="nil"/>
                  </w:tcBorders>
                  <w:shd w:val="clear" w:color="auto" w:fill="auto"/>
                  <w:vAlign w:val="center"/>
                </w:tcPr>
                <w:p w14:paraId="0F24D19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342ADAF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r>
            <w:tr w14:paraId="51EF746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324BDB8E">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4.3</w:t>
                  </w:r>
                </w:p>
              </w:tc>
              <w:tc>
                <w:tcPr>
                  <w:tcW w:w="2319" w:type="dxa"/>
                  <w:tcBorders>
                    <w:tl2br w:val="nil"/>
                    <w:tr2bl w:val="nil"/>
                  </w:tcBorders>
                  <w:shd w:val="clear" w:color="auto" w:fill="auto"/>
                  <w:vAlign w:val="center"/>
                </w:tcPr>
                <w:p w14:paraId="1D4DAAF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离心泵</w:t>
                  </w:r>
                </w:p>
              </w:tc>
              <w:tc>
                <w:tcPr>
                  <w:tcW w:w="1196" w:type="dxa"/>
                  <w:tcBorders>
                    <w:tl2br w:val="nil"/>
                    <w:tr2bl w:val="nil"/>
                  </w:tcBorders>
                  <w:shd w:val="clear" w:color="auto" w:fill="auto"/>
                  <w:vAlign w:val="center"/>
                </w:tcPr>
                <w:p w14:paraId="21164C5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sus304</w:t>
                  </w:r>
                </w:p>
              </w:tc>
              <w:tc>
                <w:tcPr>
                  <w:tcW w:w="1925" w:type="dxa"/>
                  <w:tcBorders>
                    <w:tl2br w:val="nil"/>
                    <w:tr2bl w:val="nil"/>
                  </w:tcBorders>
                  <w:shd w:val="clear" w:color="auto" w:fill="auto"/>
                  <w:vAlign w:val="center"/>
                </w:tcPr>
                <w:p w14:paraId="5D2C1B9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5t/h 24m</w:t>
                  </w:r>
                </w:p>
              </w:tc>
              <w:tc>
                <w:tcPr>
                  <w:tcW w:w="580" w:type="dxa"/>
                  <w:tcBorders>
                    <w:tl2br w:val="nil"/>
                    <w:tr2bl w:val="nil"/>
                  </w:tcBorders>
                  <w:shd w:val="clear" w:color="auto" w:fill="auto"/>
                  <w:vAlign w:val="center"/>
                </w:tcPr>
                <w:p w14:paraId="711F37C1">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3FDDC324">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r>
            <w:tr w14:paraId="4FE8F99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474ECB28">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4.4</w:t>
                  </w:r>
                </w:p>
              </w:tc>
              <w:tc>
                <w:tcPr>
                  <w:tcW w:w="2319" w:type="dxa"/>
                  <w:tcBorders>
                    <w:tl2br w:val="nil"/>
                    <w:tr2bl w:val="nil"/>
                  </w:tcBorders>
                  <w:shd w:val="clear" w:color="auto" w:fill="auto"/>
                  <w:vAlign w:val="center"/>
                </w:tcPr>
                <w:p w14:paraId="6BF2073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管式双联过滤器</w:t>
                  </w:r>
                </w:p>
              </w:tc>
              <w:tc>
                <w:tcPr>
                  <w:tcW w:w="1196" w:type="dxa"/>
                  <w:tcBorders>
                    <w:tl2br w:val="nil"/>
                    <w:tr2bl w:val="nil"/>
                  </w:tcBorders>
                  <w:shd w:val="clear" w:color="auto" w:fill="auto"/>
                  <w:vAlign w:val="center"/>
                </w:tcPr>
                <w:p w14:paraId="309D2A5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304</w:t>
                  </w:r>
                </w:p>
              </w:tc>
              <w:tc>
                <w:tcPr>
                  <w:tcW w:w="1925" w:type="dxa"/>
                  <w:tcBorders>
                    <w:tl2br w:val="nil"/>
                    <w:tr2bl w:val="nil"/>
                  </w:tcBorders>
                  <w:shd w:val="clear" w:color="auto" w:fill="auto"/>
                  <w:noWrap/>
                  <w:vAlign w:val="center"/>
                </w:tcPr>
                <w:p w14:paraId="77EFD3D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5t/h 100目</w:t>
                  </w:r>
                </w:p>
              </w:tc>
              <w:tc>
                <w:tcPr>
                  <w:tcW w:w="580" w:type="dxa"/>
                  <w:tcBorders>
                    <w:tl2br w:val="nil"/>
                    <w:tr2bl w:val="nil"/>
                  </w:tcBorders>
                  <w:shd w:val="clear" w:color="auto" w:fill="auto"/>
                  <w:vAlign w:val="center"/>
                </w:tcPr>
                <w:p w14:paraId="069D5C0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7EA5044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1.5*1</w:t>
                  </w:r>
                </w:p>
              </w:tc>
            </w:tr>
            <w:tr w14:paraId="604DFB2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3" w:hRule="atLeast"/>
                <w:jc w:val="center"/>
              </w:trPr>
              <w:tc>
                <w:tcPr>
                  <w:tcW w:w="943" w:type="dxa"/>
                  <w:tcBorders>
                    <w:tl2br w:val="nil"/>
                    <w:tr2bl w:val="nil"/>
                  </w:tcBorders>
                  <w:shd w:val="clear" w:color="auto" w:fill="auto"/>
                  <w:vAlign w:val="center"/>
                </w:tcPr>
                <w:p w14:paraId="049E909C">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w:t>
                  </w:r>
                </w:p>
              </w:tc>
              <w:tc>
                <w:tcPr>
                  <w:tcW w:w="2319" w:type="dxa"/>
                  <w:tcBorders>
                    <w:tl2br w:val="nil"/>
                    <w:tr2bl w:val="nil"/>
                  </w:tcBorders>
                  <w:shd w:val="clear" w:color="auto" w:fill="auto"/>
                  <w:vAlign w:val="center"/>
                </w:tcPr>
                <w:p w14:paraId="4AAC0A0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板式加热器</w:t>
                  </w:r>
                </w:p>
              </w:tc>
              <w:tc>
                <w:tcPr>
                  <w:tcW w:w="1196" w:type="dxa"/>
                  <w:tcBorders>
                    <w:tl2br w:val="nil"/>
                    <w:tr2bl w:val="nil"/>
                  </w:tcBorders>
                  <w:shd w:val="clear" w:color="auto" w:fill="auto"/>
                  <w:vAlign w:val="center"/>
                </w:tcPr>
                <w:p w14:paraId="76A9FEC1">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水环自动控温</w:t>
                  </w:r>
                </w:p>
              </w:tc>
              <w:tc>
                <w:tcPr>
                  <w:tcW w:w="1925" w:type="dxa"/>
                  <w:tcBorders>
                    <w:tl2br w:val="nil"/>
                    <w:tr2bl w:val="nil"/>
                  </w:tcBorders>
                  <w:shd w:val="clear" w:color="auto" w:fill="auto"/>
                  <w:vAlign w:val="center"/>
                </w:tcPr>
                <w:p w14:paraId="34B596EA">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5t/h 5℃→65℃配料</w:t>
                  </w:r>
                </w:p>
              </w:tc>
              <w:tc>
                <w:tcPr>
                  <w:tcW w:w="580" w:type="dxa"/>
                  <w:tcBorders>
                    <w:tl2br w:val="nil"/>
                    <w:tr2bl w:val="nil"/>
                  </w:tcBorders>
                  <w:shd w:val="clear" w:color="auto" w:fill="auto"/>
                  <w:vAlign w:val="center"/>
                </w:tcPr>
                <w:p w14:paraId="2906A7B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6AD5E92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w:t>
                  </w:r>
                </w:p>
              </w:tc>
            </w:tr>
            <w:tr w14:paraId="6809C12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113F93D3">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w:t>
                  </w:r>
                </w:p>
              </w:tc>
              <w:tc>
                <w:tcPr>
                  <w:tcW w:w="2319" w:type="dxa"/>
                  <w:tcBorders>
                    <w:tl2br w:val="nil"/>
                    <w:tr2bl w:val="nil"/>
                  </w:tcBorders>
                  <w:shd w:val="clear" w:color="auto" w:fill="auto"/>
                  <w:vAlign w:val="center"/>
                </w:tcPr>
                <w:p w14:paraId="54EDDFDB">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维生素溶解缸</w:t>
                  </w:r>
                </w:p>
              </w:tc>
              <w:tc>
                <w:tcPr>
                  <w:tcW w:w="1196" w:type="dxa"/>
                  <w:tcBorders>
                    <w:tl2br w:val="nil"/>
                    <w:tr2bl w:val="nil"/>
                  </w:tcBorders>
                  <w:shd w:val="clear" w:color="auto" w:fill="auto"/>
                  <w:vAlign w:val="center"/>
                </w:tcPr>
                <w:p w14:paraId="77DE1F4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单皮</w:t>
                  </w:r>
                </w:p>
              </w:tc>
              <w:tc>
                <w:tcPr>
                  <w:tcW w:w="1925" w:type="dxa"/>
                  <w:tcBorders>
                    <w:tl2br w:val="nil"/>
                    <w:tr2bl w:val="nil"/>
                  </w:tcBorders>
                  <w:shd w:val="clear" w:color="auto" w:fill="auto"/>
                  <w:noWrap/>
                  <w:vAlign w:val="center"/>
                </w:tcPr>
                <w:p w14:paraId="4086D49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100L  375rpm</w:t>
                  </w:r>
                </w:p>
              </w:tc>
              <w:tc>
                <w:tcPr>
                  <w:tcW w:w="580" w:type="dxa"/>
                  <w:tcBorders>
                    <w:tl2br w:val="nil"/>
                    <w:tr2bl w:val="nil"/>
                  </w:tcBorders>
                  <w:shd w:val="clear" w:color="auto" w:fill="auto"/>
                  <w:vAlign w:val="center"/>
                </w:tcPr>
                <w:p w14:paraId="40A5C30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984" w:type="dxa"/>
                  <w:tcBorders>
                    <w:tl2br w:val="nil"/>
                    <w:tr2bl w:val="nil"/>
                  </w:tcBorders>
                  <w:shd w:val="clear" w:color="auto" w:fill="auto"/>
                  <w:vAlign w:val="center"/>
                </w:tcPr>
                <w:p w14:paraId="0BA96471">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0.75*2</w:t>
                  </w:r>
                </w:p>
              </w:tc>
            </w:tr>
            <w:tr w14:paraId="27FFE33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7F3075A1">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4.7</w:t>
                  </w:r>
                </w:p>
              </w:tc>
              <w:tc>
                <w:tcPr>
                  <w:tcW w:w="2319" w:type="dxa"/>
                  <w:tcBorders>
                    <w:tl2br w:val="nil"/>
                    <w:tr2bl w:val="nil"/>
                  </w:tcBorders>
                  <w:shd w:val="clear" w:color="auto" w:fill="auto"/>
                  <w:vAlign w:val="center"/>
                </w:tcPr>
                <w:p w14:paraId="3A7CED3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离心泵</w:t>
                  </w:r>
                </w:p>
              </w:tc>
              <w:tc>
                <w:tcPr>
                  <w:tcW w:w="1196" w:type="dxa"/>
                  <w:tcBorders>
                    <w:tl2br w:val="nil"/>
                    <w:tr2bl w:val="nil"/>
                  </w:tcBorders>
                  <w:shd w:val="clear" w:color="auto" w:fill="auto"/>
                  <w:vAlign w:val="center"/>
                </w:tcPr>
                <w:p w14:paraId="1B26B014">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sus304</w:t>
                  </w:r>
                </w:p>
              </w:tc>
              <w:tc>
                <w:tcPr>
                  <w:tcW w:w="1925" w:type="dxa"/>
                  <w:tcBorders>
                    <w:tl2br w:val="nil"/>
                    <w:tr2bl w:val="nil"/>
                  </w:tcBorders>
                  <w:shd w:val="clear" w:color="auto" w:fill="auto"/>
                  <w:vAlign w:val="center"/>
                </w:tcPr>
                <w:p w14:paraId="0373DF0A">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2t/h 14m</w:t>
                  </w:r>
                </w:p>
              </w:tc>
              <w:tc>
                <w:tcPr>
                  <w:tcW w:w="580" w:type="dxa"/>
                  <w:tcBorders>
                    <w:tl2br w:val="nil"/>
                    <w:tr2bl w:val="nil"/>
                  </w:tcBorders>
                  <w:shd w:val="clear" w:color="auto" w:fill="auto"/>
                  <w:vAlign w:val="center"/>
                </w:tcPr>
                <w:p w14:paraId="206BB1AB">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137357A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r>
            <w:tr w14:paraId="209C01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62CFE658">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4.8</w:t>
                  </w:r>
                </w:p>
              </w:tc>
              <w:tc>
                <w:tcPr>
                  <w:tcW w:w="2319" w:type="dxa"/>
                  <w:tcBorders>
                    <w:tl2br w:val="nil"/>
                    <w:tr2bl w:val="nil"/>
                  </w:tcBorders>
                  <w:shd w:val="clear" w:color="auto" w:fill="auto"/>
                  <w:vAlign w:val="center"/>
                </w:tcPr>
                <w:p w14:paraId="276172E5">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单筒过滤器</w:t>
                  </w:r>
                </w:p>
              </w:tc>
              <w:tc>
                <w:tcPr>
                  <w:tcW w:w="1196" w:type="dxa"/>
                  <w:tcBorders>
                    <w:tl2br w:val="nil"/>
                    <w:tr2bl w:val="nil"/>
                  </w:tcBorders>
                  <w:shd w:val="clear" w:color="auto" w:fill="auto"/>
                  <w:vAlign w:val="center"/>
                </w:tcPr>
                <w:p w14:paraId="01E97047">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304</w:t>
                  </w:r>
                </w:p>
              </w:tc>
              <w:tc>
                <w:tcPr>
                  <w:tcW w:w="1925" w:type="dxa"/>
                  <w:tcBorders>
                    <w:tl2br w:val="nil"/>
                    <w:tr2bl w:val="nil"/>
                  </w:tcBorders>
                  <w:shd w:val="clear" w:color="auto" w:fill="auto"/>
                  <w:noWrap/>
                  <w:vAlign w:val="center"/>
                </w:tcPr>
                <w:p w14:paraId="3C1F3B9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2t/h 100目</w:t>
                  </w:r>
                </w:p>
              </w:tc>
              <w:tc>
                <w:tcPr>
                  <w:tcW w:w="580" w:type="dxa"/>
                  <w:tcBorders>
                    <w:tl2br w:val="nil"/>
                    <w:tr2bl w:val="nil"/>
                  </w:tcBorders>
                  <w:shd w:val="clear" w:color="auto" w:fill="auto"/>
                  <w:vAlign w:val="center"/>
                </w:tcPr>
                <w:p w14:paraId="04E88C7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7145D1C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r w14:paraId="6CA90D6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jc w:val="center"/>
              </w:trPr>
              <w:tc>
                <w:tcPr>
                  <w:tcW w:w="943" w:type="dxa"/>
                  <w:tcBorders>
                    <w:tl2br w:val="nil"/>
                    <w:tr2bl w:val="nil"/>
                  </w:tcBorders>
                  <w:shd w:val="clear" w:color="auto" w:fill="auto"/>
                  <w:vAlign w:val="center"/>
                </w:tcPr>
                <w:p w14:paraId="5470A0B2">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4.9</w:t>
                  </w:r>
                </w:p>
              </w:tc>
              <w:tc>
                <w:tcPr>
                  <w:tcW w:w="2319" w:type="dxa"/>
                  <w:tcBorders>
                    <w:tl2br w:val="nil"/>
                    <w:tr2bl w:val="nil"/>
                  </w:tcBorders>
                  <w:shd w:val="clear" w:color="auto" w:fill="auto"/>
                  <w:vAlign w:val="center"/>
                </w:tcPr>
                <w:p w14:paraId="72B6AB3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热水罐</w:t>
                  </w:r>
                </w:p>
              </w:tc>
              <w:tc>
                <w:tcPr>
                  <w:tcW w:w="1196" w:type="dxa"/>
                  <w:tcBorders>
                    <w:tl2br w:val="nil"/>
                    <w:tr2bl w:val="nil"/>
                  </w:tcBorders>
                  <w:shd w:val="clear" w:color="auto" w:fill="auto"/>
                  <w:vAlign w:val="center"/>
                </w:tcPr>
                <w:p w14:paraId="5717C6F5">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保温夹层含蒸汽减压与疏水装置</w:t>
                  </w:r>
                </w:p>
              </w:tc>
              <w:tc>
                <w:tcPr>
                  <w:tcW w:w="1925" w:type="dxa"/>
                  <w:tcBorders>
                    <w:tl2br w:val="nil"/>
                    <w:tr2bl w:val="nil"/>
                  </w:tcBorders>
                  <w:shd w:val="clear" w:color="auto" w:fill="auto"/>
                  <w:noWrap/>
                  <w:vAlign w:val="center"/>
                </w:tcPr>
                <w:p w14:paraId="674B8EB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5000L</w:t>
                  </w:r>
                </w:p>
              </w:tc>
              <w:tc>
                <w:tcPr>
                  <w:tcW w:w="580" w:type="dxa"/>
                  <w:tcBorders>
                    <w:tl2br w:val="nil"/>
                    <w:tr2bl w:val="nil"/>
                  </w:tcBorders>
                  <w:shd w:val="clear" w:color="auto" w:fill="auto"/>
                  <w:vAlign w:val="center"/>
                </w:tcPr>
                <w:p w14:paraId="0985E81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3C021E26">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r w14:paraId="12C09E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1D5D335F">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4.10</w:t>
                  </w:r>
                </w:p>
              </w:tc>
              <w:tc>
                <w:tcPr>
                  <w:tcW w:w="2319" w:type="dxa"/>
                  <w:tcBorders>
                    <w:tl2br w:val="nil"/>
                    <w:tr2bl w:val="nil"/>
                  </w:tcBorders>
                  <w:shd w:val="clear" w:color="auto" w:fill="auto"/>
                  <w:vAlign w:val="center"/>
                </w:tcPr>
                <w:p w14:paraId="5055BE1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流量计</w:t>
                  </w:r>
                </w:p>
              </w:tc>
              <w:tc>
                <w:tcPr>
                  <w:tcW w:w="1196" w:type="dxa"/>
                  <w:tcBorders>
                    <w:tl2br w:val="nil"/>
                    <w:tr2bl w:val="nil"/>
                  </w:tcBorders>
                  <w:shd w:val="clear" w:color="auto" w:fill="auto"/>
                  <w:vAlign w:val="center"/>
                </w:tcPr>
                <w:p w14:paraId="71D4092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精度5‰以内</w:t>
                  </w:r>
                </w:p>
              </w:tc>
              <w:tc>
                <w:tcPr>
                  <w:tcW w:w="1925" w:type="dxa"/>
                  <w:tcBorders>
                    <w:tl2br w:val="nil"/>
                    <w:tr2bl w:val="nil"/>
                  </w:tcBorders>
                  <w:shd w:val="clear" w:color="auto" w:fill="auto"/>
                  <w:noWrap/>
                  <w:vAlign w:val="center"/>
                </w:tcPr>
                <w:p w14:paraId="369F825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580" w:type="dxa"/>
                  <w:tcBorders>
                    <w:tl2br w:val="nil"/>
                    <w:tr2bl w:val="nil"/>
                  </w:tcBorders>
                  <w:shd w:val="clear" w:color="auto" w:fill="auto"/>
                  <w:vAlign w:val="center"/>
                </w:tcPr>
                <w:p w14:paraId="70F21D44">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033B5F3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r w14:paraId="26205F2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50393FB0">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4.11</w:t>
                  </w:r>
                </w:p>
              </w:tc>
              <w:tc>
                <w:tcPr>
                  <w:tcW w:w="2319" w:type="dxa"/>
                  <w:tcBorders>
                    <w:tl2br w:val="nil"/>
                    <w:tr2bl w:val="nil"/>
                  </w:tcBorders>
                  <w:shd w:val="clear" w:color="auto" w:fill="auto"/>
                  <w:vAlign w:val="center"/>
                </w:tcPr>
                <w:p w14:paraId="299DD94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CIP回程泵</w:t>
                  </w:r>
                </w:p>
              </w:tc>
              <w:tc>
                <w:tcPr>
                  <w:tcW w:w="1196" w:type="dxa"/>
                  <w:tcBorders>
                    <w:tl2br w:val="nil"/>
                    <w:tr2bl w:val="nil"/>
                  </w:tcBorders>
                  <w:shd w:val="clear" w:color="auto" w:fill="auto"/>
                  <w:vAlign w:val="center"/>
                </w:tcPr>
                <w:p w14:paraId="75A7AFA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vAlign w:val="center"/>
                </w:tcPr>
                <w:p w14:paraId="7328F42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15-20t/h 24m</w:t>
                  </w:r>
                </w:p>
              </w:tc>
              <w:tc>
                <w:tcPr>
                  <w:tcW w:w="580" w:type="dxa"/>
                  <w:tcBorders>
                    <w:tl2br w:val="nil"/>
                    <w:tr2bl w:val="nil"/>
                  </w:tcBorders>
                  <w:shd w:val="clear" w:color="auto" w:fill="auto"/>
                  <w:vAlign w:val="center"/>
                </w:tcPr>
                <w:p w14:paraId="4789820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26AD3D0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r>
            <w:tr w14:paraId="28917E1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286769EB">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p>
              </w:tc>
              <w:tc>
                <w:tcPr>
                  <w:tcW w:w="7004" w:type="dxa"/>
                  <w:gridSpan w:val="5"/>
                  <w:tcBorders>
                    <w:tl2br w:val="nil"/>
                    <w:tr2bl w:val="nil"/>
                  </w:tcBorders>
                  <w:shd w:val="clear" w:color="auto" w:fill="auto"/>
                  <w:vAlign w:val="center"/>
                </w:tcPr>
                <w:p w14:paraId="2B8FE6A7">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投料系统</w:t>
                  </w:r>
                </w:p>
              </w:tc>
            </w:tr>
            <w:tr w14:paraId="3F56F0A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2A29BC20">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5.1</w:t>
                  </w:r>
                </w:p>
              </w:tc>
              <w:tc>
                <w:tcPr>
                  <w:tcW w:w="2319" w:type="dxa"/>
                  <w:tcBorders>
                    <w:tl2br w:val="nil"/>
                    <w:tr2bl w:val="nil"/>
                  </w:tcBorders>
                  <w:shd w:val="clear" w:color="auto" w:fill="auto"/>
                  <w:vAlign w:val="center"/>
                </w:tcPr>
                <w:p w14:paraId="40D6760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高剪切乳化机</w:t>
                  </w:r>
                </w:p>
              </w:tc>
              <w:tc>
                <w:tcPr>
                  <w:tcW w:w="1196" w:type="dxa"/>
                  <w:tcBorders>
                    <w:tl2br w:val="nil"/>
                    <w:tr2bl w:val="nil"/>
                  </w:tcBorders>
                  <w:shd w:val="clear" w:color="auto" w:fill="auto"/>
                  <w:vAlign w:val="center"/>
                </w:tcPr>
                <w:p w14:paraId="27623DD1">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变频启动</w:t>
                  </w:r>
                </w:p>
              </w:tc>
              <w:tc>
                <w:tcPr>
                  <w:tcW w:w="1925" w:type="dxa"/>
                  <w:tcBorders>
                    <w:tl2br w:val="nil"/>
                    <w:tr2bl w:val="nil"/>
                  </w:tcBorders>
                  <w:shd w:val="clear" w:color="auto" w:fill="auto"/>
                  <w:noWrap/>
                  <w:vAlign w:val="center"/>
                </w:tcPr>
                <w:p w14:paraId="37788416">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1000L</w:t>
                  </w:r>
                </w:p>
              </w:tc>
              <w:tc>
                <w:tcPr>
                  <w:tcW w:w="580" w:type="dxa"/>
                  <w:tcBorders>
                    <w:tl2br w:val="nil"/>
                    <w:tr2bl w:val="nil"/>
                  </w:tcBorders>
                  <w:shd w:val="clear" w:color="auto" w:fill="auto"/>
                  <w:vAlign w:val="center"/>
                </w:tcPr>
                <w:p w14:paraId="62D9FFC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2777DD4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18.5</w:t>
                  </w:r>
                </w:p>
              </w:tc>
            </w:tr>
            <w:tr w14:paraId="30444BB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66A60622">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5.2</w:t>
                  </w:r>
                </w:p>
              </w:tc>
              <w:tc>
                <w:tcPr>
                  <w:tcW w:w="2319" w:type="dxa"/>
                  <w:tcBorders>
                    <w:tl2br w:val="nil"/>
                    <w:tr2bl w:val="nil"/>
                  </w:tcBorders>
                  <w:shd w:val="clear" w:color="auto" w:fill="auto"/>
                  <w:vAlign w:val="center"/>
                </w:tcPr>
                <w:p w14:paraId="6A93C64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离心泵</w:t>
                  </w:r>
                </w:p>
              </w:tc>
              <w:tc>
                <w:tcPr>
                  <w:tcW w:w="1196" w:type="dxa"/>
                  <w:tcBorders>
                    <w:tl2br w:val="nil"/>
                    <w:tr2bl w:val="nil"/>
                  </w:tcBorders>
                  <w:shd w:val="clear" w:color="auto" w:fill="auto"/>
                  <w:vAlign w:val="center"/>
                </w:tcPr>
                <w:p w14:paraId="069B351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SUS304</w:t>
                  </w:r>
                </w:p>
              </w:tc>
              <w:tc>
                <w:tcPr>
                  <w:tcW w:w="1925" w:type="dxa"/>
                  <w:tcBorders>
                    <w:tl2br w:val="nil"/>
                    <w:tr2bl w:val="nil"/>
                  </w:tcBorders>
                  <w:shd w:val="clear" w:color="auto" w:fill="auto"/>
                  <w:vAlign w:val="center"/>
                </w:tcPr>
                <w:p w14:paraId="100122E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5t/h 24m</w:t>
                  </w:r>
                </w:p>
              </w:tc>
              <w:tc>
                <w:tcPr>
                  <w:tcW w:w="580" w:type="dxa"/>
                  <w:tcBorders>
                    <w:tl2br w:val="nil"/>
                    <w:tr2bl w:val="nil"/>
                  </w:tcBorders>
                  <w:shd w:val="clear" w:color="auto" w:fill="auto"/>
                  <w:vAlign w:val="center"/>
                </w:tcPr>
                <w:p w14:paraId="6C19BA95">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59F1F35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r>
            <w:tr w14:paraId="622596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40780451">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5.3</w:t>
                  </w:r>
                </w:p>
              </w:tc>
              <w:tc>
                <w:tcPr>
                  <w:tcW w:w="2319" w:type="dxa"/>
                  <w:tcBorders>
                    <w:tl2br w:val="nil"/>
                    <w:tr2bl w:val="nil"/>
                  </w:tcBorders>
                  <w:shd w:val="clear" w:color="auto" w:fill="auto"/>
                  <w:vAlign w:val="center"/>
                </w:tcPr>
                <w:p w14:paraId="7DEFAB06">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除尘隧道</w:t>
                  </w:r>
                </w:p>
              </w:tc>
              <w:tc>
                <w:tcPr>
                  <w:tcW w:w="1196" w:type="dxa"/>
                  <w:tcBorders>
                    <w:tl2br w:val="nil"/>
                    <w:tr2bl w:val="nil"/>
                  </w:tcBorders>
                  <w:shd w:val="clear" w:color="auto" w:fill="auto"/>
                  <w:vAlign w:val="center"/>
                </w:tcPr>
                <w:p w14:paraId="321D904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含输送带</w:t>
                  </w:r>
                </w:p>
              </w:tc>
              <w:tc>
                <w:tcPr>
                  <w:tcW w:w="1925" w:type="dxa"/>
                  <w:tcBorders>
                    <w:tl2br w:val="nil"/>
                    <w:tr2bl w:val="nil"/>
                  </w:tcBorders>
                  <w:shd w:val="clear" w:color="auto" w:fill="auto"/>
                  <w:noWrap/>
                  <w:vAlign w:val="center"/>
                </w:tcPr>
                <w:p w14:paraId="6A8506CA">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580" w:type="dxa"/>
                  <w:tcBorders>
                    <w:tl2br w:val="nil"/>
                    <w:tr2bl w:val="nil"/>
                  </w:tcBorders>
                  <w:shd w:val="clear" w:color="auto" w:fill="auto"/>
                  <w:vAlign w:val="center"/>
                </w:tcPr>
                <w:p w14:paraId="74C120D5">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2A379E3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r>
            <w:tr w14:paraId="3A850BF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101F7F5D">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5.4</w:t>
                  </w:r>
                </w:p>
              </w:tc>
              <w:tc>
                <w:tcPr>
                  <w:tcW w:w="2319" w:type="dxa"/>
                  <w:tcBorders>
                    <w:tl2br w:val="nil"/>
                    <w:tr2bl w:val="nil"/>
                  </w:tcBorders>
                  <w:shd w:val="clear" w:color="auto" w:fill="auto"/>
                  <w:vAlign w:val="center"/>
                </w:tcPr>
                <w:p w14:paraId="012D7866">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操作平台</w:t>
                  </w:r>
                </w:p>
              </w:tc>
              <w:tc>
                <w:tcPr>
                  <w:tcW w:w="1196" w:type="dxa"/>
                  <w:tcBorders>
                    <w:tl2br w:val="nil"/>
                    <w:tr2bl w:val="nil"/>
                  </w:tcBorders>
                  <w:shd w:val="clear" w:color="auto" w:fill="auto"/>
                  <w:vAlign w:val="center"/>
                </w:tcPr>
                <w:p w14:paraId="1B3A87F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noWrap/>
                  <w:vAlign w:val="center"/>
                </w:tcPr>
                <w:p w14:paraId="7D1F71DB">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580" w:type="dxa"/>
                  <w:tcBorders>
                    <w:tl2br w:val="nil"/>
                    <w:tr2bl w:val="nil"/>
                  </w:tcBorders>
                  <w:shd w:val="clear" w:color="auto" w:fill="auto"/>
                  <w:vAlign w:val="center"/>
                </w:tcPr>
                <w:p w14:paraId="5F3013D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4ACDD111">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r w14:paraId="2A1D237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70F94CC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w:t>
                  </w:r>
                </w:p>
              </w:tc>
              <w:tc>
                <w:tcPr>
                  <w:tcW w:w="7004" w:type="dxa"/>
                  <w:gridSpan w:val="5"/>
                  <w:tcBorders>
                    <w:tl2br w:val="nil"/>
                    <w:tr2bl w:val="nil"/>
                  </w:tcBorders>
                  <w:shd w:val="clear" w:color="auto" w:fill="auto"/>
                  <w:vAlign w:val="center"/>
                </w:tcPr>
                <w:p w14:paraId="0291BD55">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中储工段</w:t>
                  </w:r>
                </w:p>
              </w:tc>
            </w:tr>
            <w:tr w14:paraId="0CB0478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61A8F8F8">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6.1</w:t>
                  </w:r>
                </w:p>
              </w:tc>
              <w:tc>
                <w:tcPr>
                  <w:tcW w:w="2319" w:type="dxa"/>
                  <w:tcBorders>
                    <w:tl2br w:val="nil"/>
                    <w:tr2bl w:val="nil"/>
                  </w:tcBorders>
                  <w:shd w:val="clear" w:color="auto" w:fill="auto"/>
                  <w:vAlign w:val="center"/>
                </w:tcPr>
                <w:p w14:paraId="07607EC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管式双联过滤器</w:t>
                  </w:r>
                </w:p>
              </w:tc>
              <w:tc>
                <w:tcPr>
                  <w:tcW w:w="1196" w:type="dxa"/>
                  <w:tcBorders>
                    <w:tl2br w:val="nil"/>
                    <w:tr2bl w:val="nil"/>
                  </w:tcBorders>
                  <w:shd w:val="clear" w:color="auto" w:fill="auto"/>
                  <w:noWrap/>
                  <w:vAlign w:val="center"/>
                </w:tcPr>
                <w:p w14:paraId="67ECDE14">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304</w:t>
                  </w:r>
                </w:p>
              </w:tc>
              <w:tc>
                <w:tcPr>
                  <w:tcW w:w="1925" w:type="dxa"/>
                  <w:tcBorders>
                    <w:tl2br w:val="nil"/>
                    <w:tr2bl w:val="nil"/>
                  </w:tcBorders>
                  <w:shd w:val="clear" w:color="auto" w:fill="auto"/>
                  <w:vAlign w:val="center"/>
                </w:tcPr>
                <w:p w14:paraId="47EE3C0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5t/h 100目</w:t>
                  </w:r>
                </w:p>
              </w:tc>
              <w:tc>
                <w:tcPr>
                  <w:tcW w:w="580" w:type="dxa"/>
                  <w:tcBorders>
                    <w:tl2br w:val="nil"/>
                    <w:tr2bl w:val="nil"/>
                  </w:tcBorders>
                  <w:shd w:val="clear" w:color="auto" w:fill="auto"/>
                  <w:vAlign w:val="center"/>
                </w:tcPr>
                <w:p w14:paraId="4D18AFA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54A8EBD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r w14:paraId="709D1C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206355EF">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6.2</w:t>
                  </w:r>
                </w:p>
              </w:tc>
              <w:tc>
                <w:tcPr>
                  <w:tcW w:w="2319" w:type="dxa"/>
                  <w:tcBorders>
                    <w:tl2br w:val="nil"/>
                    <w:tr2bl w:val="nil"/>
                  </w:tcBorders>
                  <w:shd w:val="clear" w:color="auto" w:fill="auto"/>
                  <w:vAlign w:val="center"/>
                </w:tcPr>
                <w:p w14:paraId="5551E93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均质机</w:t>
                  </w:r>
                </w:p>
              </w:tc>
              <w:tc>
                <w:tcPr>
                  <w:tcW w:w="1196" w:type="dxa"/>
                  <w:tcBorders>
                    <w:tl2br w:val="nil"/>
                    <w:tr2bl w:val="nil"/>
                  </w:tcBorders>
                  <w:shd w:val="clear" w:color="auto" w:fill="auto"/>
                  <w:vAlign w:val="center"/>
                </w:tcPr>
                <w:p w14:paraId="6707CE04">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noWrap/>
                  <w:vAlign w:val="center"/>
                </w:tcPr>
                <w:p w14:paraId="6948719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5t/h 30mpa</w:t>
                  </w:r>
                </w:p>
              </w:tc>
              <w:tc>
                <w:tcPr>
                  <w:tcW w:w="580" w:type="dxa"/>
                  <w:tcBorders>
                    <w:tl2br w:val="nil"/>
                    <w:tr2bl w:val="nil"/>
                  </w:tcBorders>
                  <w:shd w:val="clear" w:color="auto" w:fill="auto"/>
                  <w:vAlign w:val="center"/>
                </w:tcPr>
                <w:p w14:paraId="295CA58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231F67CA">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w:t>
                  </w:r>
                </w:p>
              </w:tc>
            </w:tr>
            <w:tr w14:paraId="6CF8916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4D6DEF85">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6.3</w:t>
                  </w:r>
                </w:p>
              </w:tc>
              <w:tc>
                <w:tcPr>
                  <w:tcW w:w="2319" w:type="dxa"/>
                  <w:tcBorders>
                    <w:tl2br w:val="nil"/>
                    <w:tr2bl w:val="nil"/>
                  </w:tcBorders>
                  <w:shd w:val="clear" w:color="auto" w:fill="auto"/>
                  <w:vAlign w:val="center"/>
                </w:tcPr>
                <w:p w14:paraId="47C2673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板式冷却器</w:t>
                  </w:r>
                </w:p>
              </w:tc>
              <w:tc>
                <w:tcPr>
                  <w:tcW w:w="1196" w:type="dxa"/>
                  <w:tcBorders>
                    <w:tl2br w:val="nil"/>
                    <w:tr2bl w:val="nil"/>
                  </w:tcBorders>
                  <w:shd w:val="clear" w:color="auto" w:fill="auto"/>
                  <w:vAlign w:val="center"/>
                </w:tcPr>
                <w:p w14:paraId="47FF5BD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两段式</w:t>
                  </w:r>
                </w:p>
              </w:tc>
              <w:tc>
                <w:tcPr>
                  <w:tcW w:w="1925" w:type="dxa"/>
                  <w:tcBorders>
                    <w:tl2br w:val="nil"/>
                    <w:tr2bl w:val="nil"/>
                  </w:tcBorders>
                  <w:shd w:val="clear" w:color="auto" w:fill="auto"/>
                  <w:noWrap/>
                  <w:vAlign w:val="center"/>
                </w:tcPr>
                <w:p w14:paraId="69AAFA0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5t/h 55℃--8℃降温</w:t>
                  </w:r>
                </w:p>
              </w:tc>
              <w:tc>
                <w:tcPr>
                  <w:tcW w:w="580" w:type="dxa"/>
                  <w:tcBorders>
                    <w:tl2br w:val="nil"/>
                    <w:tr2bl w:val="nil"/>
                  </w:tcBorders>
                  <w:shd w:val="clear" w:color="auto" w:fill="auto"/>
                  <w:vAlign w:val="center"/>
                </w:tcPr>
                <w:p w14:paraId="41D6E51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68091F2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r w14:paraId="5A767A7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7D4603ED">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6.4</w:t>
                  </w:r>
                </w:p>
              </w:tc>
              <w:tc>
                <w:tcPr>
                  <w:tcW w:w="2319" w:type="dxa"/>
                  <w:tcBorders>
                    <w:tl2br w:val="nil"/>
                    <w:tr2bl w:val="nil"/>
                  </w:tcBorders>
                  <w:shd w:val="clear" w:color="auto" w:fill="auto"/>
                  <w:vAlign w:val="center"/>
                </w:tcPr>
                <w:p w14:paraId="2007A85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中储罐</w:t>
                  </w:r>
                </w:p>
              </w:tc>
              <w:tc>
                <w:tcPr>
                  <w:tcW w:w="1196" w:type="dxa"/>
                  <w:tcBorders>
                    <w:tl2br w:val="nil"/>
                    <w:tr2bl w:val="nil"/>
                  </w:tcBorders>
                  <w:shd w:val="clear" w:color="auto" w:fill="auto"/>
                  <w:vAlign w:val="center"/>
                </w:tcPr>
                <w:p w14:paraId="2CB9D3F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保温  耐格液位计</w:t>
                  </w:r>
                </w:p>
              </w:tc>
              <w:tc>
                <w:tcPr>
                  <w:tcW w:w="1925" w:type="dxa"/>
                  <w:tcBorders>
                    <w:tl2br w:val="nil"/>
                    <w:tr2bl w:val="nil"/>
                  </w:tcBorders>
                  <w:shd w:val="clear" w:color="auto" w:fill="auto"/>
                  <w:noWrap/>
                  <w:vAlign w:val="center"/>
                </w:tcPr>
                <w:p w14:paraId="5BCA631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4000L</w:t>
                  </w:r>
                </w:p>
              </w:tc>
              <w:tc>
                <w:tcPr>
                  <w:tcW w:w="580" w:type="dxa"/>
                  <w:tcBorders>
                    <w:tl2br w:val="nil"/>
                    <w:tr2bl w:val="nil"/>
                  </w:tcBorders>
                  <w:shd w:val="clear" w:color="auto" w:fill="auto"/>
                  <w:vAlign w:val="center"/>
                </w:tcPr>
                <w:p w14:paraId="109FA43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984" w:type="dxa"/>
                  <w:tcBorders>
                    <w:tl2br w:val="nil"/>
                    <w:tr2bl w:val="nil"/>
                  </w:tcBorders>
                  <w:shd w:val="clear" w:color="auto" w:fill="auto"/>
                  <w:vAlign w:val="center"/>
                </w:tcPr>
                <w:p w14:paraId="5F41094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2.2*2</w:t>
                  </w:r>
                </w:p>
              </w:tc>
            </w:tr>
            <w:tr w14:paraId="5DD88A1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29DDE6F4">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6.5</w:t>
                  </w:r>
                </w:p>
              </w:tc>
              <w:tc>
                <w:tcPr>
                  <w:tcW w:w="2319" w:type="dxa"/>
                  <w:tcBorders>
                    <w:tl2br w:val="nil"/>
                    <w:tr2bl w:val="nil"/>
                  </w:tcBorders>
                  <w:shd w:val="clear" w:color="auto" w:fill="auto"/>
                  <w:vAlign w:val="center"/>
                </w:tcPr>
                <w:p w14:paraId="5CD37FD7">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离心泵</w:t>
                  </w:r>
                </w:p>
              </w:tc>
              <w:tc>
                <w:tcPr>
                  <w:tcW w:w="1196" w:type="dxa"/>
                  <w:tcBorders>
                    <w:tl2br w:val="nil"/>
                    <w:tr2bl w:val="nil"/>
                  </w:tcBorders>
                  <w:shd w:val="clear" w:color="auto" w:fill="auto"/>
                  <w:vAlign w:val="center"/>
                </w:tcPr>
                <w:p w14:paraId="6F96A99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304</w:t>
                  </w:r>
                </w:p>
              </w:tc>
              <w:tc>
                <w:tcPr>
                  <w:tcW w:w="1925" w:type="dxa"/>
                  <w:tcBorders>
                    <w:tl2br w:val="nil"/>
                    <w:tr2bl w:val="nil"/>
                  </w:tcBorders>
                  <w:shd w:val="clear" w:color="auto" w:fill="auto"/>
                  <w:noWrap/>
                  <w:vAlign w:val="center"/>
                </w:tcPr>
                <w:p w14:paraId="7043363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5t/h 24m</w:t>
                  </w:r>
                </w:p>
              </w:tc>
              <w:tc>
                <w:tcPr>
                  <w:tcW w:w="580" w:type="dxa"/>
                  <w:tcBorders>
                    <w:tl2br w:val="nil"/>
                    <w:tr2bl w:val="nil"/>
                  </w:tcBorders>
                  <w:shd w:val="clear" w:color="auto" w:fill="auto"/>
                  <w:vAlign w:val="center"/>
                </w:tcPr>
                <w:p w14:paraId="652DE37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0B19039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w:t>
                  </w:r>
                </w:p>
              </w:tc>
            </w:tr>
            <w:tr w14:paraId="2EBBD04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5F7DD04A">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6.6</w:t>
                  </w:r>
                </w:p>
              </w:tc>
              <w:tc>
                <w:tcPr>
                  <w:tcW w:w="2319" w:type="dxa"/>
                  <w:tcBorders>
                    <w:tl2br w:val="nil"/>
                    <w:tr2bl w:val="nil"/>
                  </w:tcBorders>
                  <w:shd w:val="clear" w:color="auto" w:fill="auto"/>
                  <w:vAlign w:val="center"/>
                </w:tcPr>
                <w:p w14:paraId="63BA748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CIP回程泵</w:t>
                  </w:r>
                </w:p>
              </w:tc>
              <w:tc>
                <w:tcPr>
                  <w:tcW w:w="1196" w:type="dxa"/>
                  <w:tcBorders>
                    <w:tl2br w:val="nil"/>
                    <w:tr2bl w:val="nil"/>
                  </w:tcBorders>
                  <w:shd w:val="clear" w:color="auto" w:fill="auto"/>
                  <w:vAlign w:val="center"/>
                </w:tcPr>
                <w:p w14:paraId="2B20120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vAlign w:val="center"/>
                </w:tcPr>
                <w:p w14:paraId="2BD0C97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20t/h 24m</w:t>
                  </w:r>
                </w:p>
              </w:tc>
              <w:tc>
                <w:tcPr>
                  <w:tcW w:w="580" w:type="dxa"/>
                  <w:tcBorders>
                    <w:tl2br w:val="nil"/>
                    <w:tr2bl w:val="nil"/>
                  </w:tcBorders>
                  <w:shd w:val="clear" w:color="auto" w:fill="auto"/>
                  <w:vAlign w:val="center"/>
                </w:tcPr>
                <w:p w14:paraId="365B7C3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1FC7EDC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r>
            <w:tr w14:paraId="074B3CB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8" w:hRule="atLeast"/>
                <w:jc w:val="center"/>
              </w:trPr>
              <w:tc>
                <w:tcPr>
                  <w:tcW w:w="943" w:type="dxa"/>
                  <w:tcBorders>
                    <w:tl2br w:val="nil"/>
                    <w:tr2bl w:val="nil"/>
                  </w:tcBorders>
                  <w:shd w:val="clear" w:color="auto" w:fill="auto"/>
                  <w:vAlign w:val="center"/>
                </w:tcPr>
                <w:p w14:paraId="2C8BAB9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w:t>
                  </w:r>
                </w:p>
              </w:tc>
              <w:tc>
                <w:tcPr>
                  <w:tcW w:w="7004" w:type="dxa"/>
                  <w:gridSpan w:val="5"/>
                  <w:tcBorders>
                    <w:tl2br w:val="nil"/>
                    <w:tr2bl w:val="nil"/>
                  </w:tcBorders>
                  <w:shd w:val="clear" w:color="auto" w:fill="auto"/>
                  <w:vAlign w:val="center"/>
                </w:tcPr>
                <w:p w14:paraId="5ABE586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浓缩系统</w:t>
                  </w:r>
                </w:p>
              </w:tc>
            </w:tr>
            <w:tr w14:paraId="0F1FC7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8" w:hRule="atLeast"/>
                <w:jc w:val="center"/>
              </w:trPr>
              <w:tc>
                <w:tcPr>
                  <w:tcW w:w="943" w:type="dxa"/>
                  <w:tcBorders>
                    <w:tl2br w:val="nil"/>
                    <w:tr2bl w:val="nil"/>
                  </w:tcBorders>
                  <w:shd w:val="clear" w:color="auto" w:fill="auto"/>
                  <w:vAlign w:val="center"/>
                </w:tcPr>
                <w:p w14:paraId="50B5EC94">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7.1</w:t>
                  </w:r>
                </w:p>
              </w:tc>
              <w:tc>
                <w:tcPr>
                  <w:tcW w:w="2319" w:type="dxa"/>
                  <w:tcBorders>
                    <w:tl2br w:val="nil"/>
                    <w:tr2bl w:val="nil"/>
                  </w:tcBorders>
                  <w:shd w:val="clear" w:color="auto" w:fill="auto"/>
                  <w:vAlign w:val="center"/>
                </w:tcPr>
                <w:p w14:paraId="4D799EF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三效四段降膜蒸发器</w:t>
                  </w:r>
                </w:p>
              </w:tc>
              <w:tc>
                <w:tcPr>
                  <w:tcW w:w="1196" w:type="dxa"/>
                  <w:tcBorders>
                    <w:tl2br w:val="nil"/>
                    <w:tr2bl w:val="nil"/>
                  </w:tcBorders>
                  <w:shd w:val="clear" w:color="auto" w:fill="auto"/>
                  <w:vAlign w:val="center"/>
                </w:tcPr>
                <w:p w14:paraId="49A7C9D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vAlign w:val="center"/>
                </w:tcPr>
                <w:p w14:paraId="338717D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6500kg/h</w:t>
                  </w:r>
                </w:p>
              </w:tc>
              <w:tc>
                <w:tcPr>
                  <w:tcW w:w="580" w:type="dxa"/>
                  <w:tcBorders>
                    <w:tl2br w:val="nil"/>
                    <w:tr2bl w:val="nil"/>
                  </w:tcBorders>
                  <w:shd w:val="clear" w:color="auto" w:fill="auto"/>
                  <w:vAlign w:val="center"/>
                </w:tcPr>
                <w:p w14:paraId="3971CAD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5477831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w:t>
                  </w:r>
                </w:p>
              </w:tc>
            </w:tr>
            <w:tr w14:paraId="0C52B56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8" w:hRule="atLeast"/>
                <w:jc w:val="center"/>
              </w:trPr>
              <w:tc>
                <w:tcPr>
                  <w:tcW w:w="943" w:type="dxa"/>
                  <w:tcBorders>
                    <w:tl2br w:val="nil"/>
                    <w:tr2bl w:val="nil"/>
                  </w:tcBorders>
                  <w:shd w:val="clear" w:color="auto" w:fill="auto"/>
                  <w:vAlign w:val="center"/>
                </w:tcPr>
                <w:p w14:paraId="7740539B">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7.2</w:t>
                  </w:r>
                </w:p>
              </w:tc>
              <w:tc>
                <w:tcPr>
                  <w:tcW w:w="2319" w:type="dxa"/>
                  <w:tcBorders>
                    <w:tl2br w:val="nil"/>
                    <w:tr2bl w:val="nil"/>
                  </w:tcBorders>
                  <w:shd w:val="clear" w:color="auto" w:fill="auto"/>
                  <w:vAlign w:val="center"/>
                </w:tcPr>
                <w:p w14:paraId="14A6F06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巴式杀菌器</w:t>
                  </w:r>
                </w:p>
              </w:tc>
              <w:tc>
                <w:tcPr>
                  <w:tcW w:w="1196" w:type="dxa"/>
                  <w:tcBorders>
                    <w:tl2br w:val="nil"/>
                    <w:tr2bl w:val="nil"/>
                  </w:tcBorders>
                  <w:shd w:val="clear" w:color="auto" w:fill="auto"/>
                  <w:vAlign w:val="center"/>
                </w:tcPr>
                <w:p w14:paraId="4530463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vAlign w:val="center"/>
                </w:tcPr>
                <w:p w14:paraId="2ED897D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580" w:type="dxa"/>
                  <w:tcBorders>
                    <w:tl2br w:val="nil"/>
                    <w:tr2bl w:val="nil"/>
                  </w:tcBorders>
                  <w:shd w:val="clear" w:color="auto" w:fill="auto"/>
                  <w:vAlign w:val="center"/>
                </w:tcPr>
                <w:p w14:paraId="299000A7">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5D614A8B">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r w14:paraId="2DFBB09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8" w:hRule="atLeast"/>
                <w:jc w:val="center"/>
              </w:trPr>
              <w:tc>
                <w:tcPr>
                  <w:tcW w:w="943" w:type="dxa"/>
                  <w:tcBorders>
                    <w:tl2br w:val="nil"/>
                    <w:tr2bl w:val="nil"/>
                  </w:tcBorders>
                  <w:shd w:val="clear" w:color="auto" w:fill="auto"/>
                  <w:vAlign w:val="center"/>
                </w:tcPr>
                <w:p w14:paraId="69E5935D">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7.3</w:t>
                  </w:r>
                </w:p>
              </w:tc>
              <w:tc>
                <w:tcPr>
                  <w:tcW w:w="2319" w:type="dxa"/>
                  <w:tcBorders>
                    <w:tl2br w:val="nil"/>
                    <w:tr2bl w:val="nil"/>
                  </w:tcBorders>
                  <w:shd w:val="clear" w:color="auto" w:fill="auto"/>
                  <w:vAlign w:val="center"/>
                </w:tcPr>
                <w:p w14:paraId="725FE19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骆驼奶增浓提香机组</w:t>
                  </w:r>
                </w:p>
              </w:tc>
              <w:tc>
                <w:tcPr>
                  <w:tcW w:w="1196" w:type="dxa"/>
                  <w:tcBorders>
                    <w:tl2br w:val="nil"/>
                    <w:tr2bl w:val="nil"/>
                  </w:tcBorders>
                  <w:shd w:val="clear" w:color="auto" w:fill="auto"/>
                  <w:vAlign w:val="center"/>
                </w:tcPr>
                <w:p w14:paraId="58942E1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500kg/h</w:t>
                  </w:r>
                </w:p>
              </w:tc>
              <w:tc>
                <w:tcPr>
                  <w:tcW w:w="1925" w:type="dxa"/>
                  <w:tcBorders>
                    <w:tl2br w:val="nil"/>
                    <w:tr2bl w:val="nil"/>
                  </w:tcBorders>
                  <w:shd w:val="clear" w:color="auto" w:fill="auto"/>
                  <w:vAlign w:val="center"/>
                </w:tcPr>
                <w:p w14:paraId="389BB657">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自动控制</w:t>
                  </w:r>
                </w:p>
              </w:tc>
              <w:tc>
                <w:tcPr>
                  <w:tcW w:w="580" w:type="dxa"/>
                  <w:tcBorders>
                    <w:tl2br w:val="nil"/>
                    <w:tr2bl w:val="nil"/>
                  </w:tcBorders>
                  <w:shd w:val="clear" w:color="auto" w:fill="auto"/>
                  <w:vAlign w:val="center"/>
                </w:tcPr>
                <w:p w14:paraId="62733FE7">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256182DB">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r>
            <w:tr w14:paraId="12E94D3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5543F84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w:t>
                  </w:r>
                </w:p>
              </w:tc>
              <w:tc>
                <w:tcPr>
                  <w:tcW w:w="7004" w:type="dxa"/>
                  <w:gridSpan w:val="5"/>
                  <w:tcBorders>
                    <w:tl2br w:val="nil"/>
                    <w:tr2bl w:val="nil"/>
                  </w:tcBorders>
                  <w:shd w:val="clear" w:color="auto" w:fill="auto"/>
                  <w:vAlign w:val="center"/>
                </w:tcPr>
                <w:p w14:paraId="2798E8B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高压供料系统</w:t>
                  </w:r>
                </w:p>
              </w:tc>
            </w:tr>
            <w:tr w14:paraId="7B0548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15C7B938">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8.1</w:t>
                  </w:r>
                </w:p>
              </w:tc>
              <w:tc>
                <w:tcPr>
                  <w:tcW w:w="2319" w:type="dxa"/>
                  <w:tcBorders>
                    <w:tl2br w:val="nil"/>
                    <w:tr2bl w:val="nil"/>
                  </w:tcBorders>
                  <w:shd w:val="clear" w:color="auto" w:fill="auto"/>
                  <w:vAlign w:val="center"/>
                </w:tcPr>
                <w:p w14:paraId="175371E6">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浓奶罐</w:t>
                  </w:r>
                </w:p>
              </w:tc>
              <w:tc>
                <w:tcPr>
                  <w:tcW w:w="1196" w:type="dxa"/>
                  <w:tcBorders>
                    <w:tl2br w:val="nil"/>
                    <w:tr2bl w:val="nil"/>
                  </w:tcBorders>
                  <w:shd w:val="clear" w:color="auto" w:fill="auto"/>
                  <w:vAlign w:val="center"/>
                </w:tcPr>
                <w:p w14:paraId="6B22549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保温  带耐格液位计</w:t>
                  </w:r>
                </w:p>
              </w:tc>
              <w:tc>
                <w:tcPr>
                  <w:tcW w:w="1925" w:type="dxa"/>
                  <w:tcBorders>
                    <w:tl2br w:val="nil"/>
                    <w:tr2bl w:val="nil"/>
                  </w:tcBorders>
                  <w:shd w:val="clear" w:color="auto" w:fill="auto"/>
                  <w:vAlign w:val="center"/>
                </w:tcPr>
                <w:p w14:paraId="113A8B45">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1000L</w:t>
                  </w:r>
                </w:p>
              </w:tc>
              <w:tc>
                <w:tcPr>
                  <w:tcW w:w="580" w:type="dxa"/>
                  <w:tcBorders>
                    <w:tl2br w:val="nil"/>
                    <w:tr2bl w:val="nil"/>
                  </w:tcBorders>
                  <w:shd w:val="clear" w:color="auto" w:fill="auto"/>
                  <w:vAlign w:val="center"/>
                </w:tcPr>
                <w:p w14:paraId="3F883117">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984" w:type="dxa"/>
                  <w:tcBorders>
                    <w:tl2br w:val="nil"/>
                    <w:tr2bl w:val="nil"/>
                  </w:tcBorders>
                  <w:shd w:val="clear" w:color="auto" w:fill="auto"/>
                  <w:vAlign w:val="center"/>
                </w:tcPr>
                <w:p w14:paraId="62952E57">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1.5*2</w:t>
                  </w:r>
                </w:p>
              </w:tc>
            </w:tr>
            <w:tr w14:paraId="32E32AF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6C7E09D7">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8.2</w:t>
                  </w:r>
                </w:p>
              </w:tc>
              <w:tc>
                <w:tcPr>
                  <w:tcW w:w="2319" w:type="dxa"/>
                  <w:tcBorders>
                    <w:tl2br w:val="nil"/>
                    <w:tr2bl w:val="nil"/>
                  </w:tcBorders>
                  <w:shd w:val="clear" w:color="auto" w:fill="auto"/>
                  <w:vAlign w:val="center"/>
                </w:tcPr>
                <w:p w14:paraId="238DB0F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离心奶泵</w:t>
                  </w:r>
                </w:p>
              </w:tc>
              <w:tc>
                <w:tcPr>
                  <w:tcW w:w="1196" w:type="dxa"/>
                  <w:tcBorders>
                    <w:tl2br w:val="nil"/>
                    <w:tr2bl w:val="nil"/>
                  </w:tcBorders>
                  <w:shd w:val="clear" w:color="auto" w:fill="auto"/>
                  <w:vAlign w:val="center"/>
                </w:tcPr>
                <w:p w14:paraId="09D41E0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变频电机 304</w:t>
                  </w:r>
                </w:p>
              </w:tc>
              <w:tc>
                <w:tcPr>
                  <w:tcW w:w="1925" w:type="dxa"/>
                  <w:tcBorders>
                    <w:tl2br w:val="nil"/>
                    <w:tr2bl w:val="nil"/>
                  </w:tcBorders>
                  <w:shd w:val="clear" w:color="auto" w:fill="auto"/>
                  <w:vAlign w:val="center"/>
                </w:tcPr>
                <w:p w14:paraId="2169098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3t/h  24m</w:t>
                  </w:r>
                </w:p>
              </w:tc>
              <w:tc>
                <w:tcPr>
                  <w:tcW w:w="580" w:type="dxa"/>
                  <w:tcBorders>
                    <w:tl2br w:val="nil"/>
                    <w:tr2bl w:val="nil"/>
                  </w:tcBorders>
                  <w:shd w:val="clear" w:color="auto" w:fill="auto"/>
                  <w:vAlign w:val="center"/>
                </w:tcPr>
                <w:p w14:paraId="5F9A8BD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17966920">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w:t>
                  </w:r>
                </w:p>
              </w:tc>
            </w:tr>
            <w:tr w14:paraId="67CC715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33FADD93">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8.3</w:t>
                  </w:r>
                </w:p>
              </w:tc>
              <w:tc>
                <w:tcPr>
                  <w:tcW w:w="2319" w:type="dxa"/>
                  <w:tcBorders>
                    <w:tl2br w:val="nil"/>
                    <w:tr2bl w:val="nil"/>
                  </w:tcBorders>
                  <w:shd w:val="clear" w:color="auto" w:fill="auto"/>
                  <w:vAlign w:val="center"/>
                </w:tcPr>
                <w:p w14:paraId="6D7FA04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管式双联过滤器</w:t>
                  </w:r>
                </w:p>
              </w:tc>
              <w:tc>
                <w:tcPr>
                  <w:tcW w:w="1196" w:type="dxa"/>
                  <w:tcBorders>
                    <w:tl2br w:val="nil"/>
                    <w:tr2bl w:val="nil"/>
                  </w:tcBorders>
                  <w:shd w:val="clear" w:color="auto" w:fill="auto"/>
                  <w:vAlign w:val="center"/>
                </w:tcPr>
                <w:p w14:paraId="475B1BBB">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vAlign w:val="center"/>
                </w:tcPr>
                <w:p w14:paraId="2F31B577">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5t/h 100目</w:t>
                  </w:r>
                </w:p>
              </w:tc>
              <w:tc>
                <w:tcPr>
                  <w:tcW w:w="580" w:type="dxa"/>
                  <w:tcBorders>
                    <w:tl2br w:val="nil"/>
                    <w:tr2bl w:val="nil"/>
                  </w:tcBorders>
                  <w:shd w:val="clear" w:color="auto" w:fill="auto"/>
                  <w:vAlign w:val="center"/>
                </w:tcPr>
                <w:p w14:paraId="0DE36CB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65CA725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r w14:paraId="0D1B966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19A2C789">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8.4</w:t>
                  </w:r>
                </w:p>
              </w:tc>
              <w:tc>
                <w:tcPr>
                  <w:tcW w:w="2319" w:type="dxa"/>
                  <w:tcBorders>
                    <w:tl2br w:val="nil"/>
                    <w:tr2bl w:val="nil"/>
                  </w:tcBorders>
                  <w:shd w:val="clear" w:color="auto" w:fill="auto"/>
                  <w:vAlign w:val="center"/>
                </w:tcPr>
                <w:p w14:paraId="5D73932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高压泵</w:t>
                  </w:r>
                </w:p>
              </w:tc>
              <w:tc>
                <w:tcPr>
                  <w:tcW w:w="1196" w:type="dxa"/>
                  <w:tcBorders>
                    <w:tl2br w:val="nil"/>
                    <w:tr2bl w:val="nil"/>
                  </w:tcBorders>
                  <w:shd w:val="clear" w:color="auto" w:fill="auto"/>
                  <w:vAlign w:val="center"/>
                </w:tcPr>
                <w:p w14:paraId="545D7E97">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变频电机</w:t>
                  </w:r>
                </w:p>
              </w:tc>
              <w:tc>
                <w:tcPr>
                  <w:tcW w:w="1925" w:type="dxa"/>
                  <w:tcBorders>
                    <w:tl2br w:val="nil"/>
                    <w:tr2bl w:val="nil"/>
                  </w:tcBorders>
                  <w:shd w:val="clear" w:color="auto" w:fill="auto"/>
                  <w:vAlign w:val="center"/>
                </w:tcPr>
                <w:p w14:paraId="6089E9BA">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1500L/h 30mpa</w:t>
                  </w:r>
                </w:p>
              </w:tc>
              <w:tc>
                <w:tcPr>
                  <w:tcW w:w="580" w:type="dxa"/>
                  <w:tcBorders>
                    <w:tl2br w:val="nil"/>
                    <w:tr2bl w:val="nil"/>
                  </w:tcBorders>
                  <w:shd w:val="clear" w:color="auto" w:fill="auto"/>
                  <w:vAlign w:val="center"/>
                </w:tcPr>
                <w:p w14:paraId="34D247D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984" w:type="dxa"/>
                  <w:tcBorders>
                    <w:tl2br w:val="nil"/>
                    <w:tr2bl w:val="nil"/>
                  </w:tcBorders>
                  <w:shd w:val="clear" w:color="auto" w:fill="auto"/>
                  <w:vAlign w:val="center"/>
                </w:tcPr>
                <w:p w14:paraId="101E757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w:t>
                  </w:r>
                </w:p>
              </w:tc>
            </w:tr>
            <w:tr w14:paraId="2ED075F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30CD8382">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8.5</w:t>
                  </w:r>
                </w:p>
              </w:tc>
              <w:tc>
                <w:tcPr>
                  <w:tcW w:w="2319" w:type="dxa"/>
                  <w:tcBorders>
                    <w:tl2br w:val="nil"/>
                    <w:tr2bl w:val="nil"/>
                  </w:tcBorders>
                  <w:shd w:val="clear" w:color="auto" w:fill="auto"/>
                  <w:vAlign w:val="center"/>
                </w:tcPr>
                <w:p w14:paraId="36461FE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CIP回程泵</w:t>
                  </w:r>
                </w:p>
              </w:tc>
              <w:tc>
                <w:tcPr>
                  <w:tcW w:w="1196" w:type="dxa"/>
                  <w:tcBorders>
                    <w:tl2br w:val="nil"/>
                    <w:tr2bl w:val="nil"/>
                  </w:tcBorders>
                  <w:shd w:val="clear" w:color="auto" w:fill="auto"/>
                  <w:vAlign w:val="center"/>
                </w:tcPr>
                <w:p w14:paraId="4A0643C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上进上出式</w:t>
                  </w:r>
                </w:p>
              </w:tc>
              <w:tc>
                <w:tcPr>
                  <w:tcW w:w="1925" w:type="dxa"/>
                  <w:tcBorders>
                    <w:tl2br w:val="nil"/>
                    <w:tr2bl w:val="nil"/>
                  </w:tcBorders>
                  <w:shd w:val="clear" w:color="auto" w:fill="auto"/>
                  <w:vAlign w:val="center"/>
                </w:tcPr>
                <w:p w14:paraId="639C081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15t/h 24m</w:t>
                  </w:r>
                </w:p>
              </w:tc>
              <w:tc>
                <w:tcPr>
                  <w:tcW w:w="580" w:type="dxa"/>
                  <w:tcBorders>
                    <w:tl2br w:val="nil"/>
                    <w:tr2bl w:val="nil"/>
                  </w:tcBorders>
                  <w:shd w:val="clear" w:color="auto" w:fill="auto"/>
                  <w:vAlign w:val="center"/>
                </w:tcPr>
                <w:p w14:paraId="7708486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6579CBE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w:t>
                  </w:r>
                </w:p>
              </w:tc>
            </w:tr>
            <w:tr w14:paraId="5DE21D5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29DA8D14">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w:t>
                  </w:r>
                </w:p>
              </w:tc>
              <w:tc>
                <w:tcPr>
                  <w:tcW w:w="7004" w:type="dxa"/>
                  <w:gridSpan w:val="5"/>
                  <w:tcBorders>
                    <w:tl2br w:val="nil"/>
                    <w:tr2bl w:val="nil"/>
                  </w:tcBorders>
                  <w:shd w:val="clear" w:color="auto" w:fill="auto"/>
                  <w:vAlign w:val="center"/>
                </w:tcPr>
                <w:p w14:paraId="45B9CE9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干燥系统</w:t>
                  </w:r>
                </w:p>
              </w:tc>
            </w:tr>
            <w:tr w14:paraId="3126BD6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60" w:hRule="atLeast"/>
                <w:jc w:val="center"/>
              </w:trPr>
              <w:tc>
                <w:tcPr>
                  <w:tcW w:w="943" w:type="dxa"/>
                  <w:tcBorders>
                    <w:tl2br w:val="nil"/>
                    <w:tr2bl w:val="nil"/>
                  </w:tcBorders>
                  <w:shd w:val="clear" w:color="auto" w:fill="auto"/>
                  <w:vAlign w:val="center"/>
                </w:tcPr>
                <w:p w14:paraId="292EFFD7">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9.1</w:t>
                  </w:r>
                </w:p>
              </w:tc>
              <w:tc>
                <w:tcPr>
                  <w:tcW w:w="2319" w:type="dxa"/>
                  <w:tcBorders>
                    <w:tl2br w:val="nil"/>
                    <w:tr2bl w:val="nil"/>
                  </w:tcBorders>
                  <w:shd w:val="clear" w:color="auto" w:fill="auto"/>
                  <w:vAlign w:val="center"/>
                </w:tcPr>
                <w:p w14:paraId="1D47496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压力喷雾干燥塔</w:t>
                  </w:r>
                </w:p>
              </w:tc>
              <w:tc>
                <w:tcPr>
                  <w:tcW w:w="1196" w:type="dxa"/>
                  <w:tcBorders>
                    <w:tl2br w:val="nil"/>
                    <w:tr2bl w:val="nil"/>
                  </w:tcBorders>
                  <w:shd w:val="clear" w:color="auto" w:fill="auto"/>
                  <w:vAlign w:val="center"/>
                </w:tcPr>
                <w:p w14:paraId="6A880C0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不锈钢进风加热器，全不锈钢304平台，四旋风两级捕粉形式</w:t>
                  </w:r>
                </w:p>
              </w:tc>
              <w:tc>
                <w:tcPr>
                  <w:tcW w:w="1925" w:type="dxa"/>
                  <w:tcBorders>
                    <w:tl2br w:val="nil"/>
                    <w:tr2bl w:val="nil"/>
                  </w:tcBorders>
                  <w:shd w:val="clear" w:color="auto" w:fill="auto"/>
                  <w:vAlign w:val="center"/>
                </w:tcPr>
                <w:p w14:paraId="5A0E3935">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水分蒸发量500kg/h</w:t>
                  </w:r>
                </w:p>
              </w:tc>
              <w:tc>
                <w:tcPr>
                  <w:tcW w:w="580" w:type="dxa"/>
                  <w:tcBorders>
                    <w:tl2br w:val="nil"/>
                    <w:tr2bl w:val="nil"/>
                  </w:tcBorders>
                  <w:shd w:val="clear" w:color="auto" w:fill="auto"/>
                  <w:vAlign w:val="center"/>
                </w:tcPr>
                <w:p w14:paraId="23D7617A">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7659E20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150</w:t>
                  </w:r>
                </w:p>
              </w:tc>
            </w:tr>
            <w:tr w14:paraId="26D725F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09942E1C">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9.2</w:t>
                  </w:r>
                </w:p>
              </w:tc>
              <w:tc>
                <w:tcPr>
                  <w:tcW w:w="2319" w:type="dxa"/>
                  <w:tcBorders>
                    <w:tl2br w:val="nil"/>
                    <w:tr2bl w:val="nil"/>
                  </w:tcBorders>
                  <w:shd w:val="clear" w:color="auto" w:fill="auto"/>
                  <w:vAlign w:val="center"/>
                </w:tcPr>
                <w:p w14:paraId="659DCD26">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固定床</w:t>
                  </w:r>
                </w:p>
              </w:tc>
              <w:tc>
                <w:tcPr>
                  <w:tcW w:w="1196" w:type="dxa"/>
                  <w:tcBorders>
                    <w:tl2br w:val="nil"/>
                    <w:tr2bl w:val="nil"/>
                  </w:tcBorders>
                  <w:shd w:val="clear" w:color="auto" w:fill="auto"/>
                  <w:vAlign w:val="center"/>
                </w:tcPr>
                <w:p w14:paraId="1FA56FE4">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1925" w:type="dxa"/>
                  <w:tcBorders>
                    <w:tl2br w:val="nil"/>
                    <w:tr2bl w:val="nil"/>
                  </w:tcBorders>
                  <w:shd w:val="clear" w:color="auto" w:fill="auto"/>
                  <w:vAlign w:val="center"/>
                </w:tcPr>
                <w:p w14:paraId="5CB2225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580" w:type="dxa"/>
                  <w:tcBorders>
                    <w:tl2br w:val="nil"/>
                    <w:tr2bl w:val="nil"/>
                  </w:tcBorders>
                  <w:shd w:val="clear" w:color="auto" w:fill="auto"/>
                  <w:vAlign w:val="center"/>
                </w:tcPr>
                <w:p w14:paraId="7047B2C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4CCFF5C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w:t>
                  </w:r>
                </w:p>
              </w:tc>
            </w:tr>
            <w:tr w14:paraId="5443314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090E3D89">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9.3</w:t>
                  </w:r>
                </w:p>
              </w:tc>
              <w:tc>
                <w:tcPr>
                  <w:tcW w:w="2319" w:type="dxa"/>
                  <w:tcBorders>
                    <w:tl2br w:val="nil"/>
                    <w:tr2bl w:val="nil"/>
                  </w:tcBorders>
                  <w:shd w:val="clear" w:color="auto" w:fill="auto"/>
                  <w:vAlign w:val="center"/>
                </w:tcPr>
                <w:p w14:paraId="01301E7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三段振动流化床</w:t>
                  </w:r>
                </w:p>
              </w:tc>
              <w:tc>
                <w:tcPr>
                  <w:tcW w:w="1196" w:type="dxa"/>
                  <w:tcBorders>
                    <w:tl2br w:val="nil"/>
                    <w:tr2bl w:val="nil"/>
                  </w:tcBorders>
                  <w:shd w:val="clear" w:color="auto" w:fill="auto"/>
                  <w:vAlign w:val="center"/>
                </w:tcPr>
                <w:p w14:paraId="7AF3E97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室外取风</w:t>
                  </w:r>
                </w:p>
              </w:tc>
              <w:tc>
                <w:tcPr>
                  <w:tcW w:w="1925" w:type="dxa"/>
                  <w:tcBorders>
                    <w:tl2br w:val="nil"/>
                    <w:tr2bl w:val="nil"/>
                  </w:tcBorders>
                  <w:shd w:val="clear" w:color="auto" w:fill="auto"/>
                  <w:vAlign w:val="center"/>
                </w:tcPr>
                <w:p w14:paraId="474D5E68">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580" w:type="dxa"/>
                  <w:tcBorders>
                    <w:tl2br w:val="nil"/>
                    <w:tr2bl w:val="nil"/>
                  </w:tcBorders>
                  <w:shd w:val="clear" w:color="auto" w:fill="auto"/>
                  <w:vAlign w:val="center"/>
                </w:tcPr>
                <w:p w14:paraId="1245681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6F8507B5">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r w14:paraId="7DA8E93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00864108">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9.4</w:t>
                  </w:r>
                </w:p>
              </w:tc>
              <w:tc>
                <w:tcPr>
                  <w:tcW w:w="2319" w:type="dxa"/>
                  <w:tcBorders>
                    <w:tl2br w:val="nil"/>
                    <w:tr2bl w:val="nil"/>
                  </w:tcBorders>
                  <w:shd w:val="clear" w:color="auto" w:fill="auto"/>
                  <w:vAlign w:val="center"/>
                </w:tcPr>
                <w:p w14:paraId="6F4F86C1">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圆形振动筛</w:t>
                  </w:r>
                </w:p>
              </w:tc>
              <w:tc>
                <w:tcPr>
                  <w:tcW w:w="1196" w:type="dxa"/>
                  <w:tcBorders>
                    <w:tl2br w:val="nil"/>
                    <w:tr2bl w:val="nil"/>
                  </w:tcBorders>
                  <w:shd w:val="clear" w:color="auto" w:fill="auto"/>
                  <w:vAlign w:val="center"/>
                </w:tcPr>
                <w:p w14:paraId="37E75E3F">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304 Q235底座</w:t>
                  </w:r>
                </w:p>
              </w:tc>
              <w:tc>
                <w:tcPr>
                  <w:tcW w:w="1925" w:type="dxa"/>
                  <w:tcBorders>
                    <w:tl2br w:val="nil"/>
                    <w:tr2bl w:val="nil"/>
                  </w:tcBorders>
                  <w:shd w:val="clear" w:color="auto" w:fill="auto"/>
                  <w:vAlign w:val="center"/>
                </w:tcPr>
                <w:p w14:paraId="1662CFA5">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580" w:type="dxa"/>
                  <w:tcBorders>
                    <w:tl2br w:val="nil"/>
                    <w:tr2bl w:val="nil"/>
                  </w:tcBorders>
                  <w:shd w:val="clear" w:color="auto" w:fill="auto"/>
                  <w:vAlign w:val="center"/>
                </w:tcPr>
                <w:p w14:paraId="0B8FE5D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146BF801">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r w14:paraId="743E733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162F0F28">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9.5</w:t>
                  </w:r>
                </w:p>
              </w:tc>
              <w:tc>
                <w:tcPr>
                  <w:tcW w:w="2319" w:type="dxa"/>
                  <w:tcBorders>
                    <w:tl2br w:val="nil"/>
                    <w:tr2bl w:val="nil"/>
                  </w:tcBorders>
                  <w:shd w:val="clear" w:color="auto" w:fill="auto"/>
                  <w:vAlign w:val="center"/>
                </w:tcPr>
                <w:p w14:paraId="3F1C24B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输粉筒</w:t>
                  </w:r>
                </w:p>
              </w:tc>
              <w:tc>
                <w:tcPr>
                  <w:tcW w:w="1196" w:type="dxa"/>
                  <w:tcBorders>
                    <w:tl2br w:val="nil"/>
                    <w:tr2bl w:val="nil"/>
                  </w:tcBorders>
                  <w:shd w:val="clear" w:color="auto" w:fill="auto"/>
                  <w:vAlign w:val="center"/>
                </w:tcPr>
                <w:p w14:paraId="39534D3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304</w:t>
                  </w:r>
                </w:p>
              </w:tc>
              <w:tc>
                <w:tcPr>
                  <w:tcW w:w="1925" w:type="dxa"/>
                  <w:tcBorders>
                    <w:tl2br w:val="nil"/>
                    <w:tr2bl w:val="nil"/>
                  </w:tcBorders>
                  <w:shd w:val="clear" w:color="auto" w:fill="auto"/>
                  <w:vAlign w:val="center"/>
                </w:tcPr>
                <w:p w14:paraId="704008F2">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580" w:type="dxa"/>
                  <w:tcBorders>
                    <w:tl2br w:val="nil"/>
                    <w:tr2bl w:val="nil"/>
                  </w:tcBorders>
                  <w:shd w:val="clear" w:color="auto" w:fill="auto"/>
                  <w:vAlign w:val="center"/>
                </w:tcPr>
                <w:p w14:paraId="42CFA869">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237A192E">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r w14:paraId="088980A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7E259137">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9.6</w:t>
                  </w:r>
                </w:p>
              </w:tc>
              <w:tc>
                <w:tcPr>
                  <w:tcW w:w="2319" w:type="dxa"/>
                  <w:tcBorders>
                    <w:tl2br w:val="nil"/>
                    <w:tr2bl w:val="nil"/>
                  </w:tcBorders>
                  <w:shd w:val="clear" w:color="auto" w:fill="auto"/>
                  <w:vAlign w:val="center"/>
                </w:tcPr>
                <w:p w14:paraId="2BC43FED">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缓冲粉仓</w:t>
                  </w:r>
                </w:p>
              </w:tc>
              <w:tc>
                <w:tcPr>
                  <w:tcW w:w="1196" w:type="dxa"/>
                  <w:tcBorders>
                    <w:tl2br w:val="nil"/>
                    <w:tr2bl w:val="nil"/>
                  </w:tcBorders>
                  <w:shd w:val="clear" w:color="auto" w:fill="auto"/>
                  <w:vAlign w:val="center"/>
                </w:tcPr>
                <w:p w14:paraId="0E2604D3">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304</w:t>
                  </w:r>
                </w:p>
              </w:tc>
              <w:tc>
                <w:tcPr>
                  <w:tcW w:w="1925" w:type="dxa"/>
                  <w:tcBorders>
                    <w:tl2br w:val="nil"/>
                    <w:tr2bl w:val="nil"/>
                  </w:tcBorders>
                  <w:shd w:val="clear" w:color="auto" w:fill="auto"/>
                  <w:vAlign w:val="center"/>
                </w:tcPr>
                <w:p w14:paraId="2310250A">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2000L</w:t>
                  </w:r>
                </w:p>
              </w:tc>
              <w:tc>
                <w:tcPr>
                  <w:tcW w:w="580" w:type="dxa"/>
                  <w:tcBorders>
                    <w:tl2br w:val="nil"/>
                    <w:tr2bl w:val="nil"/>
                  </w:tcBorders>
                  <w:shd w:val="clear" w:color="auto" w:fill="auto"/>
                  <w:vAlign w:val="center"/>
                </w:tcPr>
                <w:p w14:paraId="338E492C">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984" w:type="dxa"/>
                  <w:tcBorders>
                    <w:tl2br w:val="nil"/>
                    <w:tr2bl w:val="nil"/>
                  </w:tcBorders>
                  <w:shd w:val="clear" w:color="auto" w:fill="auto"/>
                  <w:vAlign w:val="center"/>
                </w:tcPr>
                <w:p w14:paraId="6A18DD91">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r w14:paraId="6997F91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943" w:type="dxa"/>
                  <w:tcBorders>
                    <w:tl2br w:val="nil"/>
                    <w:tr2bl w:val="nil"/>
                  </w:tcBorders>
                  <w:shd w:val="clear" w:color="auto" w:fill="auto"/>
                  <w:vAlign w:val="center"/>
                </w:tcPr>
                <w:p w14:paraId="292279AA">
                  <w:pPr>
                    <w:spacing w:line="0" w:lineRule="atLeast"/>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9.7</w:t>
                  </w:r>
                </w:p>
              </w:tc>
              <w:tc>
                <w:tcPr>
                  <w:tcW w:w="3515" w:type="dxa"/>
                  <w:gridSpan w:val="2"/>
                  <w:tcBorders>
                    <w:tl2br w:val="nil"/>
                    <w:tr2bl w:val="nil"/>
                  </w:tcBorders>
                  <w:shd w:val="clear" w:color="auto" w:fill="auto"/>
                  <w:vAlign w:val="center"/>
                </w:tcPr>
                <w:p w14:paraId="21CB6C55">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干燥塔清洗系统</w:t>
                  </w:r>
                </w:p>
              </w:tc>
              <w:tc>
                <w:tcPr>
                  <w:tcW w:w="1925" w:type="dxa"/>
                  <w:tcBorders>
                    <w:tl2br w:val="nil"/>
                    <w:tr2bl w:val="nil"/>
                  </w:tcBorders>
                  <w:shd w:val="clear" w:color="auto" w:fill="auto"/>
                  <w:vAlign w:val="center"/>
                </w:tcPr>
                <w:p w14:paraId="18C0B056">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c>
                <w:tcPr>
                  <w:tcW w:w="580" w:type="dxa"/>
                  <w:tcBorders>
                    <w:tl2br w:val="nil"/>
                    <w:tr2bl w:val="nil"/>
                  </w:tcBorders>
                  <w:shd w:val="clear" w:color="auto" w:fill="auto"/>
                  <w:vAlign w:val="center"/>
                </w:tcPr>
                <w:p w14:paraId="6486CABA">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984" w:type="dxa"/>
                  <w:tcBorders>
                    <w:tl2br w:val="nil"/>
                    <w:tr2bl w:val="nil"/>
                  </w:tcBorders>
                  <w:shd w:val="clear" w:color="auto" w:fill="auto"/>
                  <w:vAlign w:val="center"/>
                </w:tcPr>
                <w:p w14:paraId="76178315">
                  <w:pPr>
                    <w:spacing w:line="0" w:lineRule="atLeast"/>
                    <w:ind w:left="0" w:leftChars="0" w:firstLine="0" w:firstLineChars="0"/>
                    <w:jc w:val="center"/>
                    <w:rPr>
                      <w:rFonts w:hint="eastAsia" w:ascii="Times New Roman" w:hAnsi="Times New Roman" w:eastAsia="宋体" w:cs="Times New Roman"/>
                      <w:color w:val="auto"/>
                      <w:sz w:val="21"/>
                      <w:szCs w:val="21"/>
                      <w:lang w:val="en-US" w:eastAsia="zh-CN"/>
                    </w:rPr>
                  </w:pPr>
                </w:p>
              </w:tc>
            </w:tr>
          </w:tbl>
          <w:p w14:paraId="0AFFA8F0">
            <w:pPr>
              <w:ind w:left="0" w:leftChars="0" w:firstLine="0" w:firstLineChars="0"/>
              <w:rPr>
                <w:rFonts w:hint="eastAsia"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6</w:t>
            </w:r>
            <w:r>
              <w:rPr>
                <w:rFonts w:hint="default" w:ascii="Times New Roman" w:hAnsi="Times New Roman" w:cs="Times New Roman"/>
                <w:b/>
                <w:bCs/>
                <w:color w:val="auto"/>
                <w:sz w:val="21"/>
                <w:szCs w:val="21"/>
              </w:rPr>
              <w:t>、劳动定员及工作制度</w:t>
            </w:r>
          </w:p>
          <w:p w14:paraId="1CACD31D">
            <w:pP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项目拟设置劳动定员</w:t>
            </w:r>
            <w:r>
              <w:rPr>
                <w:rFonts w:hint="eastAsia" w:cs="Times New Roman"/>
                <w:color w:val="auto"/>
                <w:sz w:val="21"/>
                <w:szCs w:val="21"/>
                <w:lang w:val="en-US" w:eastAsia="zh-CN"/>
              </w:rPr>
              <w:t>40</w:t>
            </w:r>
            <w:r>
              <w:rPr>
                <w:rFonts w:hint="default" w:ascii="Times New Roman" w:hAnsi="Times New Roman" w:cs="Times New Roman"/>
                <w:color w:val="auto"/>
                <w:sz w:val="21"/>
                <w:szCs w:val="21"/>
              </w:rPr>
              <w:t>人</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全年</w:t>
            </w:r>
            <w:r>
              <w:rPr>
                <w:rFonts w:hint="default" w:ascii="Times New Roman" w:hAnsi="Times New Roman" w:cs="Times New Roman"/>
                <w:color w:val="auto"/>
                <w:sz w:val="21"/>
                <w:szCs w:val="21"/>
              </w:rPr>
              <w:t>工作天数为</w:t>
            </w:r>
            <w:r>
              <w:rPr>
                <w:rFonts w:hint="default" w:ascii="Times New Roman" w:hAnsi="Times New Roman" w:cs="Times New Roman"/>
                <w:color w:val="auto"/>
                <w:sz w:val="21"/>
                <w:szCs w:val="21"/>
                <w:lang w:val="en-US" w:eastAsia="zh-CN"/>
              </w:rPr>
              <w:t>300</w:t>
            </w:r>
            <w:r>
              <w:rPr>
                <w:rFonts w:hint="default" w:ascii="Times New Roman" w:hAnsi="Times New Roman" w:cs="Times New Roman"/>
                <w:color w:val="auto"/>
                <w:sz w:val="21"/>
                <w:szCs w:val="21"/>
              </w:rPr>
              <w:t>天，</w:t>
            </w:r>
            <w:r>
              <w:rPr>
                <w:rFonts w:hint="default" w:ascii="Times New Roman" w:hAnsi="Times New Roman" w:cs="Times New Roman"/>
                <w:color w:val="auto"/>
                <w:sz w:val="21"/>
                <w:szCs w:val="21"/>
                <w:lang w:val="en-US" w:eastAsia="zh-CN"/>
              </w:rPr>
              <w:t>每</w:t>
            </w:r>
            <w:r>
              <w:rPr>
                <w:rFonts w:hint="eastAsia" w:cs="Times New Roman"/>
                <w:color w:val="auto"/>
                <w:sz w:val="21"/>
                <w:szCs w:val="21"/>
                <w:lang w:val="en-US" w:eastAsia="zh-CN"/>
              </w:rPr>
              <w:t>天</w:t>
            </w:r>
            <w:r>
              <w:rPr>
                <w:rFonts w:hint="default" w:ascii="Times New Roman" w:hAnsi="Times New Roman" w:cs="Times New Roman"/>
                <w:color w:val="auto"/>
                <w:sz w:val="21"/>
                <w:szCs w:val="21"/>
                <w:lang w:val="en-US" w:eastAsia="zh-CN"/>
              </w:rPr>
              <w:t>工作8h</w:t>
            </w:r>
            <w:r>
              <w:rPr>
                <w:rFonts w:hint="default" w:ascii="Times New Roman" w:hAnsi="Times New Roman" w:cs="Times New Roman"/>
                <w:color w:val="auto"/>
                <w:sz w:val="21"/>
                <w:szCs w:val="21"/>
              </w:rPr>
              <w:t>。</w:t>
            </w:r>
          </w:p>
          <w:p w14:paraId="4858371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jc w:val="left"/>
              <w:textAlignment w:val="auto"/>
              <w:outlineLvl w:val="9"/>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7、公用工程</w:t>
            </w:r>
          </w:p>
          <w:p w14:paraId="7550F9BA">
            <w:pPr>
              <w:widowControl/>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供</w:t>
            </w:r>
            <w:r>
              <w:rPr>
                <w:rFonts w:hint="default" w:ascii="Times New Roman" w:hAnsi="Times New Roman" w:cs="Times New Roman"/>
                <w:color w:val="auto"/>
                <w:sz w:val="21"/>
                <w:szCs w:val="21"/>
                <w:lang w:val="en-US" w:eastAsia="zh-CN"/>
              </w:rPr>
              <w:t>排</w:t>
            </w:r>
            <w:r>
              <w:rPr>
                <w:rFonts w:hint="default" w:ascii="Times New Roman" w:hAnsi="Times New Roman" w:cs="Times New Roman"/>
                <w:color w:val="auto"/>
                <w:sz w:val="21"/>
                <w:szCs w:val="21"/>
              </w:rPr>
              <w:t>水</w:t>
            </w:r>
          </w:p>
          <w:p w14:paraId="3B49ABAE">
            <w:pPr>
              <w:widowControl/>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本项目</w:t>
            </w:r>
            <w:r>
              <w:rPr>
                <w:rFonts w:hint="default" w:ascii="Times New Roman" w:hAnsi="Times New Roman" w:cs="Times New Roman"/>
                <w:color w:val="auto"/>
                <w:sz w:val="21"/>
                <w:szCs w:val="21"/>
              </w:rPr>
              <w:t>用水主要</w:t>
            </w:r>
            <w:r>
              <w:rPr>
                <w:rFonts w:hint="default" w:ascii="Times New Roman" w:hAnsi="Times New Roman" w:cs="Times New Roman"/>
                <w:color w:val="auto"/>
                <w:sz w:val="21"/>
                <w:szCs w:val="21"/>
                <w:lang w:val="en-US" w:eastAsia="zh-CN"/>
              </w:rPr>
              <w:t>为生活用水，</w:t>
            </w:r>
            <w:r>
              <w:rPr>
                <w:rFonts w:hint="default" w:ascii="Times New Roman" w:hAnsi="Times New Roman" w:cs="Times New Roman"/>
                <w:color w:val="auto"/>
                <w:sz w:val="21"/>
                <w:szCs w:val="21"/>
              </w:rPr>
              <w:t>水源由</w:t>
            </w:r>
            <w:r>
              <w:rPr>
                <w:rFonts w:hint="default" w:ascii="Times New Roman" w:hAnsi="Times New Roman" w:cs="Times New Roman"/>
                <w:color w:val="auto"/>
                <w:sz w:val="21"/>
                <w:szCs w:val="21"/>
                <w:lang w:val="en-US" w:eastAsia="zh-CN"/>
              </w:rPr>
              <w:t>从市政供水管网接入</w:t>
            </w:r>
            <w:r>
              <w:rPr>
                <w:rFonts w:hint="default" w:ascii="Times New Roman" w:hAnsi="Times New Roman" w:cs="Times New Roman"/>
                <w:color w:val="auto"/>
                <w:sz w:val="21"/>
                <w:szCs w:val="21"/>
              </w:rPr>
              <w:t>供给，可满足项目用水需求。</w:t>
            </w:r>
          </w:p>
          <w:p w14:paraId="029FE037">
            <w:pPr>
              <w:widowControl/>
              <w:spacing w:line="360" w:lineRule="auto"/>
              <w:ind w:firstLine="452" w:firstLineChars="20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pacing w:val="8"/>
              </w:rPr>
              <w:t>①</w:t>
            </w:r>
            <w:r>
              <w:rPr>
                <w:rFonts w:hint="default" w:ascii="Times New Roman" w:hAnsi="Times New Roman" w:cs="Times New Roman"/>
                <w:color w:val="auto"/>
                <w:sz w:val="21"/>
                <w:szCs w:val="21"/>
                <w:lang w:eastAsia="zh-CN"/>
              </w:rPr>
              <w:t>生活用水：项目定员</w:t>
            </w:r>
            <w:r>
              <w:rPr>
                <w:rFonts w:hint="eastAsia" w:cs="Times New Roman"/>
                <w:color w:val="auto"/>
                <w:sz w:val="21"/>
                <w:szCs w:val="21"/>
                <w:lang w:val="en-US" w:eastAsia="zh-CN"/>
              </w:rPr>
              <w:t>40</w:t>
            </w:r>
            <w:r>
              <w:rPr>
                <w:rFonts w:hint="default" w:ascii="Times New Roman" w:hAnsi="Times New Roman" w:cs="Times New Roman"/>
                <w:color w:val="auto"/>
                <w:sz w:val="21"/>
                <w:szCs w:val="21"/>
                <w:lang w:val="en-US" w:eastAsia="zh-CN"/>
              </w:rPr>
              <w:t>人，</w:t>
            </w:r>
            <w:r>
              <w:rPr>
                <w:rFonts w:hint="eastAsia"/>
                <w:bCs/>
                <w:color w:val="auto"/>
              </w:rPr>
              <w:t>其用水量参照《排放源统计调查产排污核算方法和系数手册》附表</w:t>
            </w:r>
            <w:r>
              <w:rPr>
                <w:bCs/>
                <w:color w:val="auto"/>
              </w:rPr>
              <w:t>1</w:t>
            </w:r>
            <w:r>
              <w:rPr>
                <w:rFonts w:hint="eastAsia"/>
                <w:color w:val="auto"/>
              </w:rPr>
              <w:t>《生活污染源产排污系数手册》可知，生活用水量为</w:t>
            </w:r>
            <w:r>
              <w:rPr>
                <w:color w:val="auto"/>
              </w:rPr>
              <w:t>137L/</w:t>
            </w:r>
            <w:r>
              <w:rPr>
                <w:rFonts w:hint="eastAsia"/>
                <w:color w:val="auto"/>
              </w:rPr>
              <w:t>人</w:t>
            </w:r>
            <w:r>
              <w:rPr>
                <w:color w:val="auto"/>
              </w:rPr>
              <w:t>·</w:t>
            </w:r>
            <w:r>
              <w:rPr>
                <w:rFonts w:hint="eastAsia"/>
                <w:color w:val="auto"/>
              </w:rPr>
              <w:t>日，则本项目生活办公用水量为</w:t>
            </w:r>
            <w:r>
              <w:rPr>
                <w:rFonts w:hint="eastAsia"/>
                <w:color w:val="auto"/>
                <w:lang w:val="en-US" w:eastAsia="zh-CN"/>
              </w:rPr>
              <w:t>5.48</w:t>
            </w:r>
            <w:r>
              <w:rPr>
                <w:color w:val="auto"/>
              </w:rPr>
              <w:t>m</w:t>
            </w:r>
            <w:r>
              <w:rPr>
                <w:color w:val="auto"/>
                <w:vertAlign w:val="superscript"/>
              </w:rPr>
              <w:t>3</w:t>
            </w:r>
            <w:r>
              <w:rPr>
                <w:color w:val="auto"/>
              </w:rPr>
              <w:t>/d</w:t>
            </w:r>
            <w:r>
              <w:rPr>
                <w:rFonts w:hint="eastAsia"/>
                <w:color w:val="auto"/>
              </w:rPr>
              <w:t>（</w:t>
            </w:r>
            <w:r>
              <w:rPr>
                <w:rFonts w:hint="eastAsia"/>
                <w:color w:val="auto"/>
                <w:lang w:val="en-US" w:eastAsia="zh-CN"/>
              </w:rPr>
              <w:t>1644</w:t>
            </w:r>
            <w:r>
              <w:rPr>
                <w:color w:val="auto"/>
              </w:rPr>
              <w:t>m</w:t>
            </w:r>
            <w:r>
              <w:rPr>
                <w:color w:val="auto"/>
                <w:vertAlign w:val="superscript"/>
              </w:rPr>
              <w:t>3</w:t>
            </w:r>
            <w:r>
              <w:rPr>
                <w:color w:val="auto"/>
              </w:rPr>
              <w:t>/a</w:t>
            </w:r>
            <w:r>
              <w:rPr>
                <w:rFonts w:hint="eastAsia"/>
                <w:color w:val="auto"/>
              </w:rPr>
              <w:t>）</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eastAsia="zh-CN"/>
              </w:rPr>
              <w:t>生活污水</w:t>
            </w:r>
            <w:r>
              <w:rPr>
                <w:rFonts w:hint="default" w:ascii="Times New Roman" w:hAnsi="Times New Roman" w:cs="Times New Roman"/>
                <w:color w:val="auto"/>
                <w:sz w:val="21"/>
                <w:szCs w:val="21"/>
              </w:rPr>
              <w:t>产生量</w:t>
            </w:r>
            <w:r>
              <w:rPr>
                <w:rFonts w:hint="default" w:ascii="Times New Roman" w:hAnsi="Times New Roman" w:cs="Times New Roman"/>
                <w:color w:val="auto"/>
                <w:sz w:val="21"/>
                <w:szCs w:val="21"/>
                <w:lang w:eastAsia="zh-CN"/>
              </w:rPr>
              <w:t>按用水量</w:t>
            </w:r>
            <w:r>
              <w:rPr>
                <w:rFonts w:hint="default" w:ascii="Times New Roman" w:hAnsi="Times New Roman" w:cs="Times New Roman"/>
                <w:color w:val="auto"/>
                <w:sz w:val="21"/>
                <w:szCs w:val="21"/>
                <w:lang w:val="en-US" w:eastAsia="zh-CN"/>
              </w:rPr>
              <w:t>80%计，</w:t>
            </w:r>
            <w:r>
              <w:rPr>
                <w:rFonts w:hint="default" w:ascii="Times New Roman" w:hAnsi="Times New Roman" w:cs="Times New Roman"/>
                <w:color w:val="auto"/>
                <w:sz w:val="21"/>
                <w:szCs w:val="21"/>
              </w:rPr>
              <w:t>约为</w:t>
            </w:r>
            <w:r>
              <w:rPr>
                <w:rFonts w:hint="eastAsia"/>
                <w:color w:val="auto"/>
                <w:lang w:val="en-US" w:eastAsia="zh-CN"/>
              </w:rPr>
              <w:t>4.384</w:t>
            </w:r>
            <w:r>
              <w:rPr>
                <w:color w:val="auto"/>
              </w:rPr>
              <w:t>m</w:t>
            </w:r>
            <w:r>
              <w:rPr>
                <w:color w:val="auto"/>
                <w:vertAlign w:val="superscript"/>
              </w:rPr>
              <w:t>3</w:t>
            </w:r>
            <w:r>
              <w:rPr>
                <w:color w:val="auto"/>
              </w:rPr>
              <w:t>/d</w:t>
            </w:r>
            <w:r>
              <w:rPr>
                <w:rFonts w:hint="eastAsia"/>
                <w:color w:val="auto"/>
              </w:rPr>
              <w:t>（</w:t>
            </w:r>
            <w:r>
              <w:rPr>
                <w:rFonts w:hint="eastAsia"/>
                <w:color w:val="auto"/>
                <w:lang w:val="en-US" w:eastAsia="zh-CN"/>
              </w:rPr>
              <w:t>1315.2</w:t>
            </w:r>
            <w:r>
              <w:rPr>
                <w:color w:val="auto"/>
              </w:rPr>
              <w:t>m</w:t>
            </w:r>
            <w:r>
              <w:rPr>
                <w:color w:val="auto"/>
                <w:vertAlign w:val="superscript"/>
              </w:rPr>
              <w:t>3</w:t>
            </w:r>
            <w:r>
              <w:rPr>
                <w:color w:val="auto"/>
              </w:rPr>
              <w:t>/a</w:t>
            </w:r>
            <w:r>
              <w:rPr>
                <w:rFonts w:hint="eastAsia"/>
                <w:color w:val="auto"/>
              </w:rPr>
              <w:t>）</w:t>
            </w:r>
            <w:r>
              <w:rPr>
                <w:rFonts w:hint="default" w:ascii="Times New Roman" w:hAnsi="Times New Roman" w:cs="Times New Roman"/>
                <w:color w:val="auto"/>
                <w:sz w:val="21"/>
                <w:szCs w:val="21"/>
              </w:rPr>
              <w:t>，</w:t>
            </w:r>
            <w:r>
              <w:rPr>
                <w:rFonts w:hint="eastAsia" w:cs="Times New Roman"/>
                <w:color w:val="auto"/>
                <w:sz w:val="21"/>
                <w:szCs w:val="21"/>
                <w:lang w:val="en-US" w:eastAsia="zh-CN"/>
              </w:rPr>
              <w:t>废水</w:t>
            </w:r>
            <w:r>
              <w:rPr>
                <w:rFonts w:hint="default" w:ascii="Times New Roman" w:hAnsi="Times New Roman" w:cs="Times New Roman"/>
                <w:color w:val="auto"/>
                <w:sz w:val="21"/>
                <w:szCs w:val="21"/>
                <w:lang w:val="en-US" w:eastAsia="zh-CN"/>
              </w:rPr>
              <w:t>排入市政下水管网，最终进入</w:t>
            </w:r>
            <w:r>
              <w:rPr>
                <w:rFonts w:hint="eastAsia" w:cs="Times New Roman"/>
                <w:color w:val="auto"/>
                <w:sz w:val="21"/>
                <w:szCs w:val="21"/>
                <w:lang w:val="en-US" w:eastAsia="zh-CN"/>
              </w:rPr>
              <w:t>园区污水处理厂</w:t>
            </w:r>
            <w:r>
              <w:rPr>
                <w:rFonts w:hint="default" w:ascii="Times New Roman" w:hAnsi="Times New Roman" w:cs="Times New Roman"/>
                <w:color w:val="auto"/>
                <w:sz w:val="21"/>
                <w:szCs w:val="21"/>
                <w:lang w:val="en-US" w:eastAsia="zh-CN"/>
              </w:rPr>
              <w:t>。</w:t>
            </w:r>
          </w:p>
          <w:p w14:paraId="54578D96">
            <w:pPr>
              <w:widowControl/>
              <w:spacing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②</w:t>
            </w:r>
            <w:r>
              <w:rPr>
                <w:rFonts w:hint="eastAsia" w:cs="Times New Roman"/>
                <w:color w:val="auto"/>
                <w:sz w:val="21"/>
                <w:szCs w:val="21"/>
                <w:lang w:val="en-US" w:eastAsia="zh-CN"/>
              </w:rPr>
              <w:t>生产</w:t>
            </w:r>
            <w:r>
              <w:rPr>
                <w:rFonts w:hint="default" w:ascii="Times New Roman" w:hAnsi="Times New Roman" w:eastAsia="宋体" w:cs="Times New Roman"/>
                <w:color w:val="auto"/>
                <w:sz w:val="21"/>
                <w:szCs w:val="21"/>
                <w:lang w:val="en-US" w:eastAsia="zh-CN"/>
              </w:rPr>
              <w:t>工序用水</w:t>
            </w:r>
          </w:p>
          <w:p w14:paraId="622C4350">
            <w:pPr>
              <w:keepNext w:val="0"/>
              <w:keepLines w:val="0"/>
              <w:pageBreakBefore w:val="0"/>
              <w:widowControl w:val="0"/>
              <w:tabs>
                <w:tab w:val="left" w:pos="3485"/>
                <w:tab w:val="left" w:pos="7063"/>
              </w:tabs>
              <w:kinsoku/>
              <w:wordWrap/>
              <w:overflowPunct/>
              <w:topLinePunct w:val="0"/>
              <w:autoSpaceDE/>
              <w:autoSpaceDN/>
              <w:bidi w:val="0"/>
              <w:adjustRightInd/>
              <w:snapToGrid/>
              <w:spacing w:before="0" w:line="360" w:lineRule="auto"/>
              <w:ind w:right="0"/>
              <w:jc w:val="both"/>
              <w:textAlignment w:val="auto"/>
              <w:rPr>
                <w:rFonts w:hint="eastAsia"/>
                <w:color w:val="auto"/>
                <w:lang w:eastAsia="zh-CN"/>
              </w:rPr>
            </w:pPr>
            <w:r>
              <w:rPr>
                <w:rFonts w:hint="eastAsia" w:cs="Times New Roman"/>
                <w:color w:val="auto"/>
                <w:sz w:val="21"/>
                <w:szCs w:val="21"/>
                <w:lang w:val="en-US" w:eastAsia="zh-CN"/>
              </w:rPr>
              <w:t>根据建设单位提供，</w:t>
            </w:r>
            <w:r>
              <w:rPr>
                <w:rFonts w:hint="eastAsia"/>
                <w:color w:val="auto"/>
                <w:lang w:val="en-US" w:eastAsia="zh-CN"/>
              </w:rPr>
              <w:t>项目驼鲜奶和驼粉生产工序用水量为</w:t>
            </w:r>
            <w:r>
              <w:rPr>
                <w:rFonts w:hint="eastAsia" w:eastAsia="宋体" w:cs="Times New Roman"/>
                <w:color w:val="auto"/>
                <w:sz w:val="21"/>
                <w:szCs w:val="21"/>
                <w:lang w:val="en-US" w:eastAsia="zh-CN"/>
              </w:rPr>
              <w:t>（140.35</w:t>
            </w:r>
            <w:r>
              <w:rPr>
                <w:color w:val="auto"/>
              </w:rPr>
              <w:t>m</w:t>
            </w:r>
            <w:r>
              <w:rPr>
                <w:color w:val="auto"/>
                <w:vertAlign w:val="superscript"/>
              </w:rPr>
              <w:t>3</w:t>
            </w:r>
            <w:r>
              <w:rPr>
                <w:color w:val="auto"/>
              </w:rPr>
              <w:t>/</w:t>
            </w:r>
            <w:r>
              <w:rPr>
                <w:rFonts w:hint="eastAsia"/>
                <w:color w:val="auto"/>
                <w:lang w:val="en-US" w:eastAsia="zh-CN"/>
              </w:rPr>
              <w:t>d</w:t>
            </w:r>
            <w:r>
              <w:rPr>
                <w:rFonts w:hint="eastAsia" w:eastAsia="宋体" w:cs="Times New Roman"/>
                <w:color w:val="auto"/>
                <w:sz w:val="21"/>
                <w:szCs w:val="21"/>
                <w:lang w:val="en-US" w:eastAsia="zh-CN"/>
              </w:rPr>
              <w:t>）</w:t>
            </w:r>
            <w:r>
              <w:rPr>
                <w:rFonts w:hint="eastAsia"/>
                <w:color w:val="auto"/>
                <w:lang w:val="en-US" w:eastAsia="zh-CN"/>
              </w:rPr>
              <w:t>42106.25</w:t>
            </w:r>
            <w:r>
              <w:rPr>
                <w:color w:val="auto"/>
              </w:rPr>
              <w:t>m</w:t>
            </w:r>
            <w:r>
              <w:rPr>
                <w:color w:val="auto"/>
                <w:vertAlign w:val="superscript"/>
              </w:rPr>
              <w:t>3</w:t>
            </w:r>
            <w:r>
              <w:rPr>
                <w:color w:val="auto"/>
              </w:rPr>
              <w:t>/a</w:t>
            </w:r>
            <w:r>
              <w:rPr>
                <w:rFonts w:hint="eastAsia" w:cs="Times New Roman"/>
                <w:color w:val="auto"/>
                <w:sz w:val="21"/>
                <w:szCs w:val="21"/>
                <w:lang w:val="en-US" w:eastAsia="zh-CN"/>
              </w:rPr>
              <w:t>，</w:t>
            </w:r>
            <w:r>
              <w:rPr>
                <w:rFonts w:hint="eastAsia"/>
                <w:color w:val="auto"/>
                <w:lang w:val="en-US" w:eastAsia="zh-CN"/>
              </w:rPr>
              <w:t>按用水量的80%进行核算，</w:t>
            </w:r>
            <w:r>
              <w:rPr>
                <w:rFonts w:hint="eastAsia" w:eastAsia="宋体" w:cs="Times New Roman"/>
                <w:color w:val="auto"/>
                <w:sz w:val="21"/>
                <w:szCs w:val="21"/>
                <w:lang w:val="en-US" w:eastAsia="zh-CN"/>
              </w:rPr>
              <w:t>项目生产废水排放量（112.28</w:t>
            </w:r>
            <w:r>
              <w:rPr>
                <w:color w:val="auto"/>
              </w:rPr>
              <w:t>m</w:t>
            </w:r>
            <w:r>
              <w:rPr>
                <w:color w:val="auto"/>
                <w:vertAlign w:val="superscript"/>
              </w:rPr>
              <w:t>3</w:t>
            </w:r>
            <w:r>
              <w:rPr>
                <w:color w:val="auto"/>
              </w:rPr>
              <w:t>/</w:t>
            </w:r>
            <w:r>
              <w:rPr>
                <w:rFonts w:hint="eastAsia"/>
                <w:color w:val="auto"/>
                <w:lang w:val="en-US" w:eastAsia="zh-CN"/>
              </w:rPr>
              <w:t>d</w:t>
            </w:r>
            <w:r>
              <w:rPr>
                <w:rFonts w:hint="eastAsia" w:eastAsia="宋体" w:cs="Times New Roman"/>
                <w:color w:val="auto"/>
                <w:sz w:val="21"/>
                <w:szCs w:val="21"/>
                <w:lang w:val="en-US" w:eastAsia="zh-CN"/>
              </w:rPr>
              <w:t>）33685</w:t>
            </w:r>
            <w:r>
              <w:rPr>
                <w:color w:val="auto"/>
              </w:rPr>
              <w:t>m</w:t>
            </w:r>
            <w:r>
              <w:rPr>
                <w:color w:val="auto"/>
                <w:vertAlign w:val="superscript"/>
              </w:rPr>
              <w:t>3</w:t>
            </w:r>
            <w:r>
              <w:rPr>
                <w:color w:val="auto"/>
              </w:rPr>
              <w:t>/a</w:t>
            </w:r>
            <w:r>
              <w:rPr>
                <w:rFonts w:hint="eastAsia"/>
                <w:color w:val="auto"/>
                <w:lang w:eastAsia="zh-CN"/>
              </w:rPr>
              <w:t>。</w:t>
            </w:r>
          </w:p>
          <w:p w14:paraId="6393BED7">
            <w:pPr>
              <w:keepNext w:val="0"/>
              <w:keepLines w:val="0"/>
              <w:pageBreakBefore w:val="0"/>
              <w:widowControl w:val="0"/>
              <w:tabs>
                <w:tab w:val="left" w:pos="3485"/>
                <w:tab w:val="left" w:pos="7063"/>
              </w:tabs>
              <w:kinsoku/>
              <w:wordWrap/>
              <w:overflowPunct/>
              <w:topLinePunct w:val="0"/>
              <w:autoSpaceDE/>
              <w:autoSpaceDN/>
              <w:bidi w:val="0"/>
              <w:adjustRightInd/>
              <w:snapToGrid/>
              <w:spacing w:before="0" w:line="360" w:lineRule="auto"/>
              <w:ind w:right="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③</w:t>
            </w:r>
            <w:r>
              <w:rPr>
                <w:rFonts w:hint="eastAsia" w:ascii="Times New Roman" w:hAnsi="Times New Roman" w:eastAsia="宋体" w:cs="Times New Roman"/>
                <w:color w:val="auto"/>
                <w:sz w:val="21"/>
                <w:szCs w:val="21"/>
                <w:lang w:val="en-US" w:eastAsia="zh-CN"/>
              </w:rPr>
              <w:t>设</w:t>
            </w:r>
            <w:r>
              <w:rPr>
                <w:rFonts w:hint="eastAsia" w:ascii="Times New Roman" w:hAnsi="Times New Roman" w:cs="Times New Roman"/>
                <w:color w:val="auto"/>
                <w:sz w:val="21"/>
                <w:szCs w:val="21"/>
                <w:lang w:val="en-US" w:eastAsia="zh-CN"/>
              </w:rPr>
              <w:t>备清洗废水：</w:t>
            </w:r>
            <w:r>
              <w:rPr>
                <w:rFonts w:hint="default" w:ascii="Times New Roman" w:hAnsi="Times New Roman" w:cs="Times New Roman"/>
                <w:color w:val="auto"/>
                <w:sz w:val="21"/>
                <w:szCs w:val="21"/>
                <w:lang w:val="en-US" w:eastAsia="zh-CN"/>
              </w:rPr>
              <w:t>项目每日生产结束后，使用自动清洗设备对生产设施进行清洗</w:t>
            </w:r>
            <w:r>
              <w:rPr>
                <w:rFonts w:hint="eastAsia" w:cs="Times New Roman"/>
                <w:color w:val="auto"/>
                <w:sz w:val="21"/>
                <w:szCs w:val="21"/>
                <w:lang w:val="en-US" w:eastAsia="zh-CN"/>
              </w:rPr>
              <w:t>，</w:t>
            </w:r>
            <w:r>
              <w:rPr>
                <w:rFonts w:hint="default" w:ascii="Times New Roman" w:hAnsi="Times New Roman" w:cs="Times New Roman"/>
                <w:color w:val="auto"/>
                <w:sz w:val="21"/>
                <w:szCs w:val="21"/>
                <w:lang w:val="en-US" w:eastAsia="zh-CN"/>
              </w:rPr>
              <w:t>自动清洗设备日排放清洗</w:t>
            </w:r>
            <w:r>
              <w:rPr>
                <w:rFonts w:hint="eastAsia" w:cs="Times New Roman"/>
                <w:color w:val="auto"/>
                <w:sz w:val="21"/>
                <w:szCs w:val="21"/>
                <w:lang w:val="en-US" w:eastAsia="zh-CN"/>
              </w:rPr>
              <w:t>用水6.25</w:t>
            </w:r>
            <w:r>
              <w:rPr>
                <w:rFonts w:hint="default" w:ascii="Times New Roman" w:hAnsi="Times New Roman" w:cs="Times New Roman"/>
                <w:color w:val="auto"/>
                <w:sz w:val="21"/>
                <w:szCs w:val="21"/>
                <w:lang w:val="en-US" w:eastAsia="zh-CN"/>
              </w:rPr>
              <w:t>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/d</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1875</w:t>
            </w:r>
            <w:r>
              <w:rPr>
                <w:rFonts w:hint="default" w:ascii="Times New Roman" w:hAnsi="Times New Roman" w:cs="Times New Roman"/>
                <w:color w:val="auto"/>
                <w:sz w:val="21"/>
                <w:szCs w:val="21"/>
                <w:lang w:val="en-US" w:eastAsia="zh-CN"/>
              </w:rPr>
              <w:t>m</w:t>
            </w:r>
            <w:r>
              <w:rPr>
                <w:rFonts w:hint="eastAsia"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/a）</w:t>
            </w:r>
            <w:r>
              <w:rPr>
                <w:rFonts w:hint="eastAsia" w:cs="Times New Roman"/>
                <w:color w:val="auto"/>
                <w:sz w:val="21"/>
                <w:szCs w:val="21"/>
                <w:lang w:val="en-US" w:eastAsia="zh-CN"/>
              </w:rPr>
              <w:t>，</w:t>
            </w:r>
            <w:r>
              <w:rPr>
                <w:rFonts w:hint="eastAsia"/>
                <w:color w:val="auto"/>
                <w:lang w:val="en-US" w:eastAsia="zh-CN"/>
              </w:rPr>
              <w:t>按用水量的80%进行核算，项目废水产生量为</w:t>
            </w:r>
            <w:r>
              <w:rPr>
                <w:rFonts w:hint="default" w:ascii="Times New Roman" w:hAnsi="Times New Roman" w:cs="Times New Roman"/>
                <w:color w:val="auto"/>
                <w:sz w:val="21"/>
                <w:szCs w:val="21"/>
                <w:lang w:val="en-US" w:eastAsia="zh-CN"/>
              </w:rPr>
              <w:t>5m</w:t>
            </w:r>
            <w:r>
              <w:rPr>
                <w:rFonts w:hint="eastAsia" w:cs="Times New Roman"/>
                <w:color w:val="auto"/>
                <w:sz w:val="21"/>
                <w:szCs w:val="21"/>
                <w:vertAlign w:val="superscript"/>
                <w:lang w:val="en-US" w:eastAsia="zh-CN"/>
              </w:rPr>
              <w:t>3</w:t>
            </w:r>
            <w:r>
              <w:rPr>
                <w:rFonts w:hint="eastAsia" w:cs="Times New Roman"/>
                <w:color w:val="auto"/>
                <w:sz w:val="21"/>
                <w:szCs w:val="21"/>
                <w:vertAlign w:val="baseline"/>
                <w:lang w:val="en-US" w:eastAsia="zh-CN"/>
              </w:rPr>
              <w:t>/d</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1500</w:t>
            </w:r>
            <w:r>
              <w:rPr>
                <w:rFonts w:hint="default" w:ascii="Times New Roman" w:hAnsi="Times New Roman" w:cs="Times New Roman"/>
                <w:color w:val="auto"/>
                <w:sz w:val="21"/>
                <w:szCs w:val="21"/>
                <w:lang w:val="en-US" w:eastAsia="zh-CN"/>
              </w:rPr>
              <w:t>m</w:t>
            </w:r>
            <w:r>
              <w:rPr>
                <w:rFonts w:hint="eastAsia"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/a）。</w:t>
            </w:r>
          </w:p>
          <w:p w14:paraId="2E4133D9">
            <w:pPr>
              <w:widowControl/>
              <w:spacing w:line="360" w:lineRule="auto"/>
              <w:ind w:left="0" w:leftChars="0" w:firstLine="0" w:firstLineChars="0"/>
              <w:jc w:val="center"/>
              <w:rPr>
                <w:rFonts w:hint="default" w:ascii="Times New Roman" w:hAnsi="Times New Roman" w:cs="Times New Roman"/>
                <w:color w:val="auto"/>
              </w:rPr>
            </w:pPr>
            <w:r>
              <w:rPr>
                <w:rFonts w:hint="default" w:ascii="Times New Roman" w:hAnsi="Times New Roman" w:cs="Times New Roman"/>
                <w:color w:val="auto"/>
              </w:rPr>
              <w:object>
                <v:shape id="_x0000_i1025" o:spt="75" type="#_x0000_t75" style="height:151.5pt;width:363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p>
          <w:p w14:paraId="7CF5D75A">
            <w:pPr>
              <w:widowControl/>
              <w:spacing w:line="360" w:lineRule="auto"/>
              <w:ind w:left="0" w:leftChars="0" w:firstLine="0" w:firstLineChars="0"/>
              <w:jc w:val="center"/>
              <w:rPr>
                <w:rFonts w:hint="default" w:ascii="Times New Roman" w:hAnsi="Times New Roman" w:eastAsia="宋体" w:cs="Times New Roman"/>
                <w:b w:val="0"/>
                <w:bCs/>
                <w:color w:val="auto"/>
                <w:kern w:val="0"/>
                <w:szCs w:val="21"/>
                <w:lang w:eastAsia="zh-CN"/>
              </w:rPr>
            </w:pPr>
            <w:r>
              <w:rPr>
                <w:rFonts w:hint="default" w:ascii="Times New Roman" w:hAnsi="Times New Roman" w:cs="Times New Roman"/>
                <w:b/>
                <w:bCs w:val="0"/>
                <w:color w:val="auto"/>
                <w:kern w:val="0"/>
                <w:szCs w:val="21"/>
              </w:rPr>
              <w:t>图</w:t>
            </w:r>
            <w:r>
              <w:rPr>
                <w:rFonts w:hint="default" w:ascii="Times New Roman" w:hAnsi="Times New Roman" w:cs="Times New Roman"/>
                <w:b/>
                <w:bCs w:val="0"/>
                <w:color w:val="auto"/>
                <w:kern w:val="0"/>
                <w:szCs w:val="21"/>
                <w:lang w:val="en-US" w:eastAsia="zh-CN"/>
              </w:rPr>
              <w:t>2-3</w:t>
            </w:r>
            <w:r>
              <w:rPr>
                <w:rFonts w:hint="default" w:ascii="Times New Roman" w:hAnsi="Times New Roman" w:cs="Times New Roman"/>
                <w:b/>
                <w:bCs w:val="0"/>
                <w:color w:val="auto"/>
                <w:kern w:val="0"/>
                <w:szCs w:val="21"/>
              </w:rPr>
              <w:t xml:space="preserve">     项目水平衡图      单位：m</w:t>
            </w:r>
            <w:r>
              <w:rPr>
                <w:rFonts w:hint="default" w:ascii="Times New Roman" w:hAnsi="Times New Roman" w:cs="Times New Roman"/>
                <w:b/>
                <w:bCs w:val="0"/>
                <w:color w:val="auto"/>
                <w:kern w:val="0"/>
                <w:szCs w:val="21"/>
                <w:vertAlign w:val="superscript"/>
              </w:rPr>
              <w:t>3</w:t>
            </w:r>
            <w:r>
              <w:rPr>
                <w:rFonts w:hint="default" w:ascii="Times New Roman" w:hAnsi="Times New Roman" w:cs="Times New Roman"/>
                <w:b/>
                <w:bCs w:val="0"/>
                <w:color w:val="auto"/>
                <w:kern w:val="0"/>
                <w:szCs w:val="21"/>
              </w:rPr>
              <w:t>/</w:t>
            </w:r>
            <w:r>
              <w:rPr>
                <w:rFonts w:hint="eastAsia" w:cs="Times New Roman"/>
                <w:color w:val="auto"/>
                <w:lang w:val="en-US" w:eastAsia="zh-CN"/>
              </w:rPr>
              <w:t>d</w:t>
            </w:r>
          </w:p>
          <w:p w14:paraId="39F78797">
            <w:pPr>
              <w:widowControl/>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供电</w:t>
            </w:r>
          </w:p>
          <w:p w14:paraId="14B59C87">
            <w:pPr>
              <w:widowControl/>
              <w:spacing w:line="360" w:lineRule="auto"/>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项目区用电由市政电网引入一路10kV高压线路，能保证生产运行正常用电。</w:t>
            </w:r>
          </w:p>
          <w:p w14:paraId="0445208E">
            <w:pPr>
              <w:widowControl/>
              <w:spacing w:line="360" w:lineRule="auto"/>
              <w:ind w:firstLine="420" w:firstLineChars="20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（4）供热</w:t>
            </w:r>
          </w:p>
          <w:p w14:paraId="6DEE8441">
            <w:pP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项目供暖由市政集中供暖</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鲜驼奶</w:t>
            </w:r>
            <w:r>
              <w:rPr>
                <w:rFonts w:hint="eastAsia" w:cs="Times New Roman"/>
                <w:color w:val="auto"/>
                <w:sz w:val="21"/>
                <w:szCs w:val="21"/>
                <w:lang w:val="en-US" w:eastAsia="zh-CN"/>
              </w:rPr>
              <w:t>预处理</w:t>
            </w:r>
            <w:r>
              <w:rPr>
                <w:rFonts w:hint="eastAsia" w:ascii="Times New Roman" w:hAnsi="Times New Roman" w:eastAsia="宋体" w:cs="Times New Roman"/>
                <w:color w:val="auto"/>
                <w:sz w:val="21"/>
                <w:szCs w:val="21"/>
                <w:lang w:val="en-US" w:eastAsia="zh-CN"/>
              </w:rPr>
              <w:t>和</w:t>
            </w:r>
            <w:r>
              <w:rPr>
                <w:rFonts w:hint="default" w:ascii="Times New Roman" w:hAnsi="Times New Roman" w:eastAsia="宋体" w:cs="Times New Roman"/>
                <w:color w:val="auto"/>
                <w:sz w:val="21"/>
                <w:szCs w:val="21"/>
                <w:lang w:val="en-US" w:eastAsia="zh-CN"/>
              </w:rPr>
              <w:t>液态乳制作</w:t>
            </w:r>
            <w:r>
              <w:rPr>
                <w:rFonts w:hint="eastAsia" w:ascii="Times New Roman" w:hAnsi="Times New Roman" w:eastAsia="宋体" w:cs="Times New Roman"/>
                <w:color w:val="auto"/>
                <w:sz w:val="21"/>
                <w:szCs w:val="21"/>
                <w:lang w:val="en-US" w:eastAsia="zh-CN"/>
              </w:rPr>
              <w:t>采用电加热处理，驼粉制作</w:t>
            </w:r>
            <w:r>
              <w:rPr>
                <w:rFonts w:hint="eastAsia" w:cs="Times New Roman"/>
                <w:color w:val="auto"/>
                <w:sz w:val="21"/>
                <w:szCs w:val="21"/>
                <w:lang w:val="en-US" w:eastAsia="zh-CN"/>
              </w:rPr>
              <w:t>生产供热为</w:t>
            </w:r>
            <w:r>
              <w:rPr>
                <w:rFonts w:hint="eastAsia" w:cs="Times New Roman"/>
                <w:b w:val="0"/>
                <w:bCs w:val="0"/>
                <w:color w:val="auto"/>
                <w:sz w:val="21"/>
                <w:szCs w:val="21"/>
                <w:lang w:val="en-US" w:eastAsia="zh-CN"/>
              </w:rPr>
              <w:t>华电呼图壁电厂</w:t>
            </w:r>
            <w:r>
              <w:rPr>
                <w:rFonts w:hint="eastAsia" w:cs="Times New Roman"/>
                <w:b w:val="0"/>
                <w:bCs w:val="0"/>
                <w:color w:val="auto"/>
                <w:sz w:val="21"/>
                <w:szCs w:val="21"/>
                <w:highlight w:val="none"/>
                <w:lang w:val="en-US" w:eastAsia="zh-CN"/>
              </w:rPr>
              <w:t>热电联产供热蒸汽</w:t>
            </w:r>
            <w:r>
              <w:rPr>
                <w:rFonts w:hint="eastAsia" w:cs="Times New Roman"/>
                <w:color w:val="auto"/>
                <w:sz w:val="21"/>
                <w:szCs w:val="21"/>
                <w:lang w:val="en-US" w:eastAsia="zh-CN"/>
              </w:rPr>
              <w:t>。</w:t>
            </w:r>
          </w:p>
          <w:p w14:paraId="2D864D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8、总平面布置</w:t>
            </w:r>
          </w:p>
          <w:p w14:paraId="3392F0B4">
            <w:pP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本项目位于</w:t>
            </w:r>
            <w:r>
              <w:rPr>
                <w:rFonts w:hint="eastAsia" w:cs="Times New Roman"/>
                <w:color w:val="auto"/>
                <w:sz w:val="21"/>
                <w:szCs w:val="21"/>
                <w:lang w:val="en-US" w:eastAsia="zh-CN"/>
              </w:rPr>
              <w:t>呼图壁县工业园区中区轻纺食品产业区</w:t>
            </w:r>
            <w:r>
              <w:rPr>
                <w:rFonts w:hint="default" w:ascii="Times New Roman" w:hAnsi="Times New Roman" w:cs="Times New Roman"/>
                <w:color w:val="auto"/>
                <w:sz w:val="21"/>
                <w:szCs w:val="21"/>
                <w:lang w:val="en-US" w:eastAsia="zh-CN"/>
              </w:rPr>
              <w:t>，</w:t>
            </w:r>
            <w:r>
              <w:rPr>
                <w:rFonts w:hint="eastAsia"/>
                <w:color w:val="auto"/>
                <w:lang w:val="en-US" w:eastAsia="zh-CN"/>
              </w:rPr>
              <w:t>结合租赁厂房现状及后续生产工艺衔接</w:t>
            </w:r>
            <w:r>
              <w:rPr>
                <w:rFonts w:hint="default" w:ascii="Times New Roman" w:hAnsi="Times New Roman" w:cs="Times New Roman"/>
                <w:color w:val="auto"/>
                <w:sz w:val="21"/>
                <w:szCs w:val="21"/>
                <w:lang w:val="en-US" w:eastAsia="zh-CN"/>
              </w:rPr>
              <w:t>，将厂区分为两大部分：</w:t>
            </w:r>
          </w:p>
          <w:p w14:paraId="67B0B2C1">
            <w:pP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①生产区，位于厂区</w:t>
            </w:r>
            <w:r>
              <w:rPr>
                <w:rFonts w:hint="eastAsia" w:cs="Times New Roman"/>
                <w:color w:val="auto"/>
                <w:sz w:val="21"/>
                <w:szCs w:val="21"/>
                <w:lang w:val="en-US" w:eastAsia="zh-CN"/>
              </w:rPr>
              <w:t>中</w:t>
            </w:r>
            <w:r>
              <w:rPr>
                <w:rFonts w:hint="default" w:ascii="Times New Roman" w:hAnsi="Times New Roman" w:cs="Times New Roman"/>
                <w:color w:val="auto"/>
                <w:sz w:val="21"/>
                <w:szCs w:val="21"/>
                <w:lang w:val="en-US" w:eastAsia="zh-CN"/>
              </w:rPr>
              <w:t>部</w:t>
            </w:r>
            <w:r>
              <w:rPr>
                <w:rFonts w:hint="eastAsia" w:cs="Times New Roman"/>
                <w:color w:val="auto"/>
                <w:sz w:val="21"/>
                <w:szCs w:val="21"/>
                <w:lang w:val="en-US" w:eastAsia="zh-CN"/>
              </w:rPr>
              <w:t>，</w:t>
            </w:r>
            <w:r>
              <w:rPr>
                <w:rFonts w:hint="eastAsia"/>
                <w:color w:val="auto"/>
                <w:lang w:val="en-US" w:eastAsia="zh-CN"/>
              </w:rPr>
              <w:t>仓</w:t>
            </w:r>
            <w:r>
              <w:rPr>
                <w:rFonts w:hint="eastAsia" w:eastAsia="宋体"/>
                <w:color w:val="auto"/>
                <w:lang w:val="en-US" w:eastAsia="zh-CN"/>
              </w:rPr>
              <w:t>库</w:t>
            </w:r>
            <w:r>
              <w:rPr>
                <w:rFonts w:hint="eastAsia"/>
                <w:color w:val="auto"/>
                <w:lang w:val="en-US" w:eastAsia="zh-CN"/>
              </w:rPr>
              <w:t>位于厂区西部</w:t>
            </w:r>
            <w:r>
              <w:rPr>
                <w:rFonts w:hint="default" w:ascii="Times New Roman" w:hAnsi="Times New Roman" w:cs="Times New Roman"/>
                <w:color w:val="auto"/>
                <w:sz w:val="21"/>
                <w:szCs w:val="21"/>
                <w:lang w:val="en-US" w:eastAsia="zh-CN"/>
              </w:rPr>
              <w:t>。</w:t>
            </w:r>
          </w:p>
          <w:p w14:paraId="508577AA">
            <w:pP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②</w:t>
            </w:r>
            <w:r>
              <w:rPr>
                <w:rFonts w:hint="eastAsia" w:cs="Times New Roman"/>
                <w:color w:val="auto"/>
                <w:sz w:val="21"/>
                <w:szCs w:val="21"/>
                <w:lang w:val="en-US" w:eastAsia="zh-CN"/>
              </w:rPr>
              <w:t>办公</w:t>
            </w:r>
            <w:r>
              <w:rPr>
                <w:rFonts w:hint="default" w:ascii="Times New Roman" w:hAnsi="Times New Roman" w:cs="Times New Roman"/>
                <w:color w:val="auto"/>
                <w:sz w:val="21"/>
                <w:szCs w:val="21"/>
                <w:lang w:val="en-US" w:eastAsia="zh-CN"/>
              </w:rPr>
              <w:t>生活区，位于厂区</w:t>
            </w:r>
            <w:r>
              <w:rPr>
                <w:rFonts w:hint="eastAsia" w:cs="Times New Roman"/>
                <w:color w:val="auto"/>
                <w:sz w:val="21"/>
                <w:szCs w:val="21"/>
                <w:lang w:val="en-US" w:eastAsia="zh-CN"/>
              </w:rPr>
              <w:t>东部</w:t>
            </w:r>
            <w:r>
              <w:rPr>
                <w:rFonts w:hint="default" w:ascii="Times New Roman" w:hAnsi="Times New Roman" w:cs="Times New Roman"/>
                <w:color w:val="auto"/>
                <w:sz w:val="21"/>
                <w:szCs w:val="21"/>
                <w:lang w:val="en-US" w:eastAsia="zh-CN"/>
              </w:rPr>
              <w:t>，主要办公楼</w:t>
            </w:r>
            <w:r>
              <w:rPr>
                <w:rFonts w:hint="eastAsia" w:cs="Times New Roman"/>
                <w:color w:val="auto"/>
                <w:sz w:val="21"/>
                <w:szCs w:val="21"/>
                <w:lang w:val="en-US" w:eastAsia="zh-CN"/>
              </w:rPr>
              <w:t>、食堂</w:t>
            </w:r>
            <w:r>
              <w:rPr>
                <w:rFonts w:hint="default" w:ascii="Times New Roman" w:hAnsi="Times New Roman" w:cs="Times New Roman"/>
                <w:color w:val="auto"/>
                <w:sz w:val="21"/>
                <w:szCs w:val="21"/>
                <w:lang w:val="en-US" w:eastAsia="zh-CN"/>
              </w:rPr>
              <w:t>。</w:t>
            </w:r>
          </w:p>
          <w:p w14:paraId="04034278">
            <w:pP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本厂区设有</w:t>
            </w:r>
            <w:r>
              <w:rPr>
                <w:rFonts w:hint="eastAsia" w:cs="Times New Roman"/>
                <w:color w:val="auto"/>
                <w:sz w:val="21"/>
                <w:szCs w:val="21"/>
                <w:lang w:val="en-US" w:eastAsia="zh-CN"/>
              </w:rPr>
              <w:t>一</w:t>
            </w:r>
            <w:r>
              <w:rPr>
                <w:rFonts w:hint="default" w:ascii="Times New Roman" w:hAnsi="Times New Roman" w:cs="Times New Roman"/>
                <w:color w:val="auto"/>
                <w:sz w:val="21"/>
                <w:szCs w:val="21"/>
                <w:lang w:val="en-US" w:eastAsia="zh-CN"/>
              </w:rPr>
              <w:t>座出入口，位于南侧。</w:t>
            </w:r>
          </w:p>
          <w:p w14:paraId="71996ABB">
            <w:pP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整个厂区布置，功能分区明确，布局紧凑，工艺线路清洗流畅，交通运输方便便捷，利于厂区的生产及管理。</w:t>
            </w:r>
          </w:p>
          <w:p w14:paraId="662E18B2">
            <w:pP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详见平面布置见附图2-4。</w:t>
            </w:r>
          </w:p>
          <w:p w14:paraId="28F9D664">
            <w:pPr>
              <w:pStyle w:val="29"/>
              <w:ind w:left="0" w:leftChars="0" w:firstLine="0" w:firstLineChars="0"/>
              <w:jc w:val="both"/>
              <w:rPr>
                <w:rFonts w:hint="default" w:ascii="Times New Roman" w:hAnsi="Times New Roman" w:cs="Times New Roman"/>
                <w:color w:val="auto"/>
                <w:sz w:val="21"/>
                <w:szCs w:val="21"/>
                <w:lang w:val="en-US" w:eastAsia="zh-CN"/>
              </w:rPr>
            </w:pPr>
          </w:p>
        </w:tc>
      </w:tr>
      <w:tr w14:paraId="032D9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77" w:hRule="atLeast"/>
          <w:jc w:val="center"/>
        </w:trPr>
        <w:tc>
          <w:tcPr>
            <w:tcW w:w="735" w:type="dxa"/>
            <w:vAlign w:val="center"/>
          </w:tcPr>
          <w:p w14:paraId="77C132D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工艺流程和产排污环节</w:t>
            </w:r>
          </w:p>
        </w:tc>
        <w:tc>
          <w:tcPr>
            <w:tcW w:w="8166" w:type="dxa"/>
            <w:vAlign w:val="top"/>
          </w:tcPr>
          <w:p w14:paraId="1FF7D3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bCs/>
                <w:color w:val="auto"/>
                <w:kern w:val="2"/>
                <w:sz w:val="21"/>
                <w:szCs w:val="20"/>
                <w:lang w:val="en-US" w:eastAsia="zh-CN" w:bidi="ar-SA"/>
              </w:rPr>
            </w:pPr>
            <w:r>
              <w:rPr>
                <w:rFonts w:hint="default" w:ascii="Times New Roman" w:hAnsi="Times New Roman" w:eastAsia="宋体" w:cs="Times New Roman"/>
                <w:b/>
                <w:bCs/>
                <w:color w:val="auto"/>
                <w:kern w:val="2"/>
                <w:sz w:val="21"/>
                <w:szCs w:val="20"/>
                <w:lang w:val="en-US" w:eastAsia="zh-CN" w:bidi="ar-SA"/>
              </w:rPr>
              <w:t>1 施工期工艺流程及排污节点</w:t>
            </w:r>
          </w:p>
          <w:p w14:paraId="177852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本项目用地</w:t>
            </w:r>
            <w:r>
              <w:rPr>
                <w:rFonts w:hint="eastAsia" w:cs="Times New Roman"/>
                <w:color w:val="auto"/>
                <w:lang w:val="en-US" w:eastAsia="zh-CN"/>
              </w:rPr>
              <w:t>为呼图壁县</w:t>
            </w:r>
            <w:r>
              <w:rPr>
                <w:rFonts w:hint="eastAsia" w:cs="Times New Roman"/>
                <w:color w:val="auto"/>
                <w:sz w:val="21"/>
                <w:szCs w:val="21"/>
                <w:lang w:val="en-US" w:eastAsia="zh-CN"/>
              </w:rPr>
              <w:t>工业园区</w:t>
            </w:r>
            <w:r>
              <w:rPr>
                <w:rFonts w:hint="eastAsia" w:cstheme="minorBidi"/>
                <w:color w:val="auto"/>
                <w:kern w:val="0"/>
                <w:sz w:val="21"/>
                <w:szCs w:val="21"/>
                <w:lang w:val="en-US" w:eastAsia="zh-CN" w:bidi="ar-SA"/>
              </w:rPr>
              <w:t>中区工业用地</w:t>
            </w:r>
            <w:r>
              <w:rPr>
                <w:rFonts w:hint="eastAsia"/>
                <w:color w:val="auto"/>
                <w:lang w:eastAsia="zh-CN"/>
              </w:rPr>
              <w:t>，</w:t>
            </w:r>
            <w:r>
              <w:rPr>
                <w:rFonts w:hint="eastAsia"/>
                <w:color w:val="auto"/>
                <w:lang w:val="en-US" w:eastAsia="zh-CN"/>
              </w:rPr>
              <w:t>租用园区现有</w:t>
            </w:r>
            <w:r>
              <w:rPr>
                <w:rFonts w:hint="default" w:ascii="Times New Roman" w:hAnsi="Times New Roman" w:cs="Times New Roman"/>
                <w:color w:val="auto"/>
                <w:sz w:val="21"/>
                <w:szCs w:val="21"/>
                <w:lang w:val="en-US" w:eastAsia="zh-CN"/>
              </w:rPr>
              <w:t>厂房</w:t>
            </w:r>
            <w:r>
              <w:rPr>
                <w:rFonts w:hint="default" w:ascii="Times New Roman" w:hAnsi="Times New Roman" w:eastAsia="宋体" w:cs="Times New Roman"/>
                <w:color w:val="auto"/>
                <w:lang w:val="en-US" w:eastAsia="zh-CN"/>
              </w:rPr>
              <w:t>及办公场所，土建及配套设施已建设完善，故本环评只分析运营期工艺流程。</w:t>
            </w:r>
          </w:p>
          <w:p w14:paraId="65FA68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bCs/>
                <w:color w:val="auto"/>
                <w:kern w:val="2"/>
                <w:sz w:val="21"/>
                <w:szCs w:val="20"/>
                <w:lang w:val="en-US" w:eastAsia="zh-CN" w:bidi="ar-SA"/>
              </w:rPr>
            </w:pPr>
            <w:r>
              <w:rPr>
                <w:rFonts w:hint="default" w:ascii="Times New Roman" w:hAnsi="Times New Roman" w:eastAsia="宋体" w:cs="Times New Roman"/>
                <w:b/>
                <w:bCs/>
                <w:color w:val="auto"/>
                <w:kern w:val="2"/>
                <w:sz w:val="21"/>
                <w:szCs w:val="20"/>
                <w:lang w:val="en-US" w:eastAsia="zh-CN" w:bidi="ar-SA"/>
              </w:rPr>
              <w:t>2 运营期工艺流程及排污节点</w:t>
            </w:r>
          </w:p>
          <w:p w14:paraId="443B4433">
            <w:pPr>
              <w:pStyle w:val="62"/>
              <w:keepNext w:val="0"/>
              <w:keepLines w:val="0"/>
              <w:pageBreakBefore w:val="0"/>
              <w:widowControl w:val="0"/>
              <w:numPr>
                <w:ilvl w:val="0"/>
                <w:numId w:val="0"/>
              </w:numPr>
              <w:tabs>
                <w:tab w:val="left" w:pos="532"/>
              </w:tabs>
              <w:kinsoku/>
              <w:wordWrap/>
              <w:overflowPunct/>
              <w:topLinePunct w:val="0"/>
              <w:autoSpaceDE/>
              <w:autoSpaceDN/>
              <w:bidi w:val="0"/>
              <w:adjustRightInd/>
              <w:snapToGrid/>
              <w:spacing w:before="0" w:after="0" w:line="360" w:lineRule="auto"/>
              <w:ind w:right="0" w:rightChars="0" w:firstLine="420" w:firstLineChars="200"/>
              <w:jc w:val="both"/>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项目</w:t>
            </w:r>
            <w:r>
              <w:rPr>
                <w:rFonts w:hint="default" w:ascii="Times New Roman" w:hAnsi="Times New Roman" w:eastAsia="宋体" w:cs="Times New Roman"/>
                <w:color w:val="auto"/>
                <w:kern w:val="2"/>
                <w:sz w:val="21"/>
                <w:szCs w:val="21"/>
                <w:lang w:val="en-US" w:eastAsia="zh-CN" w:bidi="ar-SA"/>
              </w:rPr>
              <w:t>液态乳、乳粉生产工艺流程及产污环节：</w:t>
            </w:r>
          </w:p>
          <w:p w14:paraId="743CABE7">
            <w:pPr>
              <w:spacing w:line="360" w:lineRule="auto"/>
              <w:ind w:left="0" w:leftChars="0" w:firstLine="0" w:firstLineChars="0"/>
              <w:jc w:val="both"/>
              <w:rPr>
                <w:rFonts w:hint="default" w:ascii="Times New Roman" w:hAnsi="Times New Roman" w:cs="Times New Roman"/>
                <w:color w:val="auto"/>
              </w:rPr>
            </w:pPr>
            <w:r>
              <w:rPr>
                <w:rFonts w:ascii="Times New Roman"/>
                <w:color w:val="auto"/>
                <w:sz w:val="20"/>
              </w:rPr>
              <w:drawing>
                <wp:inline distT="0" distB="0" distL="0" distR="0">
                  <wp:extent cx="5045710" cy="4319905"/>
                  <wp:effectExtent l="0" t="0" r="2540" b="4445"/>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0" cstate="print"/>
                          <a:stretch>
                            <a:fillRect/>
                          </a:stretch>
                        </pic:blipFill>
                        <pic:spPr>
                          <a:xfrm>
                            <a:off x="0" y="0"/>
                            <a:ext cx="5045872" cy="4320063"/>
                          </a:xfrm>
                          <a:prstGeom prst="rect">
                            <a:avLst/>
                          </a:prstGeom>
                        </pic:spPr>
                      </pic:pic>
                    </a:graphicData>
                  </a:graphic>
                </wp:inline>
              </w:drawing>
            </w:r>
          </w:p>
          <w:p w14:paraId="3D774051">
            <w:pPr>
              <w:spacing w:before="0" w:line="360" w:lineRule="auto"/>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图</w:t>
            </w:r>
            <w:r>
              <w:rPr>
                <w:rFonts w:hint="default" w:ascii="Times New Roman" w:hAnsi="Times New Roman" w:cs="Times New Roman"/>
                <w:b/>
                <w:bCs/>
                <w:color w:val="auto"/>
                <w:lang w:val="en-US" w:eastAsia="zh-CN"/>
              </w:rPr>
              <w:t>2-</w:t>
            </w:r>
            <w:r>
              <w:rPr>
                <w:rFonts w:hint="eastAsia" w:cs="Times New Roman"/>
                <w:b/>
                <w:bCs/>
                <w:color w:val="auto"/>
                <w:lang w:val="en-US" w:eastAsia="zh-CN"/>
              </w:rPr>
              <w:t>5</w:t>
            </w:r>
            <w:r>
              <w:rPr>
                <w:rFonts w:hint="default" w:ascii="Times New Roman" w:hAnsi="Times New Roman" w:cs="Times New Roman"/>
                <w:b/>
                <w:bCs/>
                <w:color w:val="auto"/>
              </w:rPr>
              <w:t xml:space="preserve">   工艺流程及产污位置图</w:t>
            </w:r>
          </w:p>
          <w:p w14:paraId="61790F3B">
            <w:pPr>
              <w:pStyle w:val="43"/>
              <w:spacing w:before="0" w:line="360" w:lineRule="auto"/>
              <w:ind w:left="0" w:leftChars="0" w:firstLine="0" w:firstLineChars="0"/>
              <w:rPr>
                <w:rFonts w:hint="default" w:ascii="Times New Roman" w:hAnsi="Times New Roman" w:cs="Times New Roman"/>
                <w:b/>
                <w:bCs/>
                <w:color w:val="auto"/>
              </w:rPr>
            </w:pPr>
            <w:r>
              <w:rPr>
                <w:rFonts w:hint="default" w:ascii="Times New Roman" w:hAnsi="Times New Roman" w:cs="Times New Roman"/>
                <w:b/>
                <w:bCs/>
                <w:color w:val="auto"/>
              </w:rPr>
              <w:t>工艺流程说明：</w:t>
            </w:r>
          </w:p>
          <w:p w14:paraId="02DCDE03">
            <w:pPr>
              <w:pStyle w:val="6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（1）预处理工段</w:t>
            </w:r>
          </w:p>
          <w:p w14:paraId="26E2AEFE">
            <w:pPr>
              <w:pStyle w:val="62"/>
              <w:keepNext w:val="0"/>
              <w:keepLines w:val="0"/>
              <w:pageBreakBefore w:val="0"/>
              <w:widowControl w:val="0"/>
              <w:kinsoku/>
              <w:wordWrap/>
              <w:overflowPunct/>
              <w:topLinePunct w:val="0"/>
              <w:autoSpaceDE/>
              <w:autoSpaceDN/>
              <w:bidi w:val="0"/>
              <w:adjustRightInd/>
              <w:snapToGrid/>
              <w:spacing w:line="360" w:lineRule="auto"/>
              <w:ind w:left="0" w:right="0" w:firstLine="561"/>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离心除杂：</w:t>
            </w:r>
            <w:r>
              <w:rPr>
                <w:rFonts w:hint="default" w:ascii="Times New Roman" w:hAnsi="Times New Roman" w:eastAsia="宋体" w:cs="Times New Roman"/>
                <w:color w:val="auto"/>
                <w:kern w:val="2"/>
                <w:sz w:val="21"/>
                <w:szCs w:val="21"/>
                <w:lang w:val="en-US" w:eastAsia="zh-CN" w:bidi="ar-SA"/>
              </w:rPr>
              <w:t>项目驼奶经厢式保鲜货车拉运至厂区，经奶泵送入离心机，高速离心过程中除去鲜奶中混入的颗粒杂质及其它固体杂质；</w:t>
            </w:r>
          </w:p>
          <w:p w14:paraId="162FBE2C">
            <w:pPr>
              <w:pStyle w:val="62"/>
              <w:keepNext w:val="0"/>
              <w:keepLines w:val="0"/>
              <w:pageBreakBefore w:val="0"/>
              <w:widowControl w:val="0"/>
              <w:kinsoku/>
              <w:wordWrap/>
              <w:overflowPunct/>
              <w:topLinePunct w:val="0"/>
              <w:autoSpaceDE/>
              <w:autoSpaceDN/>
              <w:bidi w:val="0"/>
              <w:adjustRightInd/>
              <w:snapToGrid/>
              <w:spacing w:line="360" w:lineRule="auto"/>
              <w:ind w:left="0" w:right="0" w:firstLine="561"/>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双联过滤：</w:t>
            </w:r>
            <w:r>
              <w:rPr>
                <w:rFonts w:hint="default" w:ascii="Times New Roman" w:hAnsi="Times New Roman" w:eastAsia="宋体" w:cs="Times New Roman"/>
                <w:color w:val="auto"/>
                <w:kern w:val="2"/>
                <w:sz w:val="21"/>
                <w:szCs w:val="21"/>
                <w:lang w:val="en-US" w:eastAsia="zh-CN" w:bidi="ar-SA"/>
              </w:rPr>
              <w:t>离心后的鲜奶在双联过滤机中进一步除去奶中悬浮奶渣；</w:t>
            </w:r>
          </w:p>
          <w:p w14:paraId="40ECF19F">
            <w:pPr>
              <w:pStyle w:val="62"/>
              <w:keepNext w:val="0"/>
              <w:keepLines w:val="0"/>
              <w:pageBreakBefore w:val="0"/>
              <w:widowControl w:val="0"/>
              <w:kinsoku/>
              <w:wordWrap/>
              <w:overflowPunct/>
              <w:topLinePunct w:val="0"/>
              <w:autoSpaceDE/>
              <w:autoSpaceDN/>
              <w:bidi w:val="0"/>
              <w:adjustRightInd/>
              <w:snapToGrid/>
              <w:spacing w:line="360" w:lineRule="auto"/>
              <w:ind w:left="0" w:right="0" w:firstLine="561"/>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入仓：</w:t>
            </w:r>
            <w:r>
              <w:rPr>
                <w:rFonts w:hint="default" w:ascii="Times New Roman" w:hAnsi="Times New Roman" w:eastAsia="宋体" w:cs="Times New Roman"/>
                <w:color w:val="auto"/>
                <w:kern w:val="2"/>
                <w:sz w:val="21"/>
                <w:szCs w:val="21"/>
                <w:lang w:val="en-US" w:eastAsia="zh-CN" w:bidi="ar-SA"/>
              </w:rPr>
              <w:t>经离心和双联过滤的驼奶送入奶仓暂存，奶仓设置恒温装置，可将奶仓温度控制在 6~8℃，用于驼奶保鲜；</w:t>
            </w:r>
          </w:p>
          <w:p w14:paraId="3C525935">
            <w:pPr>
              <w:pStyle w:val="62"/>
              <w:keepNext w:val="0"/>
              <w:keepLines w:val="0"/>
              <w:pageBreakBefore w:val="0"/>
              <w:widowControl w:val="0"/>
              <w:kinsoku/>
              <w:wordWrap/>
              <w:overflowPunct/>
              <w:topLinePunct w:val="0"/>
              <w:autoSpaceDE/>
              <w:autoSpaceDN/>
              <w:bidi w:val="0"/>
              <w:adjustRightInd/>
              <w:snapToGrid/>
              <w:spacing w:line="360" w:lineRule="auto"/>
              <w:ind w:left="0" w:right="0" w:firstLine="561"/>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预热均质：</w:t>
            </w:r>
            <w:r>
              <w:rPr>
                <w:rFonts w:hint="default" w:ascii="Times New Roman" w:hAnsi="Times New Roman" w:eastAsia="宋体" w:cs="Times New Roman"/>
                <w:color w:val="auto"/>
                <w:kern w:val="2"/>
                <w:sz w:val="21"/>
                <w:szCs w:val="21"/>
                <w:lang w:val="en-US" w:eastAsia="zh-CN" w:bidi="ar-SA"/>
              </w:rPr>
              <w:t>鲜奶经板式热水器预热至 40~60℃</w:t>
            </w:r>
            <w:r>
              <w:rPr>
                <w:rFonts w:hint="eastAsia" w:ascii="Times New Roman" w:hAnsi="Times New Roman" w:eastAsia="宋体" w:cs="Times New Roman"/>
                <w:color w:val="auto"/>
                <w:kern w:val="2"/>
                <w:sz w:val="21"/>
                <w:szCs w:val="21"/>
                <w:lang w:val="en-US" w:eastAsia="zh-CN" w:bidi="ar-SA"/>
              </w:rPr>
              <w:t>（电加热）</w:t>
            </w:r>
            <w:r>
              <w:rPr>
                <w:rFonts w:hint="default" w:ascii="Times New Roman" w:hAnsi="Times New Roman" w:eastAsia="宋体" w:cs="Times New Roman"/>
                <w:color w:val="auto"/>
                <w:kern w:val="2"/>
                <w:sz w:val="21"/>
                <w:szCs w:val="21"/>
                <w:lang w:val="en-US" w:eastAsia="zh-CN" w:bidi="ar-SA"/>
              </w:rPr>
              <w:t>后进入均质机， 均质过程不断加热，在均质机的剪切和搅拌作用下鲜奶结构更加稳定、均匀；</w:t>
            </w:r>
          </w:p>
          <w:p w14:paraId="51D7DC52">
            <w:pPr>
              <w:pStyle w:val="62"/>
              <w:keepNext w:val="0"/>
              <w:keepLines w:val="0"/>
              <w:pageBreakBefore w:val="0"/>
              <w:widowControl w:val="0"/>
              <w:kinsoku/>
              <w:wordWrap/>
              <w:overflowPunct/>
              <w:topLinePunct w:val="0"/>
              <w:autoSpaceDE/>
              <w:autoSpaceDN/>
              <w:bidi w:val="0"/>
              <w:adjustRightInd/>
              <w:snapToGrid/>
              <w:spacing w:line="360" w:lineRule="auto"/>
              <w:ind w:left="0" w:right="0" w:firstLine="561"/>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杀菌：</w:t>
            </w:r>
            <w:r>
              <w:rPr>
                <w:rFonts w:hint="default" w:ascii="Times New Roman" w:hAnsi="Times New Roman" w:eastAsia="宋体" w:cs="Times New Roman"/>
                <w:color w:val="auto"/>
                <w:kern w:val="2"/>
                <w:sz w:val="21"/>
                <w:szCs w:val="21"/>
                <w:lang w:val="en-US" w:eastAsia="zh-CN" w:bidi="ar-SA"/>
              </w:rPr>
              <w:t>均质后鲜奶进入全自动列管杀菌机加热至 135~137℃完成杀菌后进入封闭成品待装罐暂存。</w:t>
            </w:r>
          </w:p>
          <w:p w14:paraId="52517233">
            <w:pPr>
              <w:pStyle w:val="6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w:t>
            </w:r>
            <w:r>
              <w:rPr>
                <w:rFonts w:hint="eastAsia" w:ascii="Times New Roman" w:hAnsi="Times New Roman" w:eastAsia="宋体" w:cs="Times New Roman"/>
                <w:b/>
                <w:bCs/>
                <w:color w:val="auto"/>
                <w:kern w:val="2"/>
                <w:sz w:val="21"/>
                <w:szCs w:val="21"/>
                <w:lang w:val="en-US" w:eastAsia="zh-CN" w:bidi="ar-SA"/>
              </w:rPr>
              <w:t>2</w:t>
            </w:r>
            <w:r>
              <w:rPr>
                <w:rFonts w:hint="default" w:ascii="Times New Roman" w:hAnsi="Times New Roman" w:eastAsia="宋体" w:cs="Times New Roman"/>
                <w:b/>
                <w:bCs/>
                <w:color w:val="auto"/>
                <w:kern w:val="2"/>
                <w:sz w:val="21"/>
                <w:szCs w:val="21"/>
                <w:lang w:val="en-US" w:eastAsia="zh-CN" w:bidi="ar-SA"/>
              </w:rPr>
              <w:t>）液态乳制作系统：</w:t>
            </w:r>
          </w:p>
          <w:p w14:paraId="45BC03BC">
            <w:pPr>
              <w:pStyle w:val="62"/>
              <w:keepNext w:val="0"/>
              <w:keepLines w:val="0"/>
              <w:pageBreakBefore w:val="0"/>
              <w:widowControl w:val="0"/>
              <w:kinsoku/>
              <w:wordWrap/>
              <w:overflowPunct/>
              <w:topLinePunct w:val="0"/>
              <w:autoSpaceDE/>
              <w:autoSpaceDN/>
              <w:bidi w:val="0"/>
              <w:adjustRightInd/>
              <w:snapToGrid/>
              <w:spacing w:line="360" w:lineRule="auto"/>
              <w:ind w:left="0" w:right="0" w:firstLine="561"/>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灭菌乳加工：</w:t>
            </w:r>
            <w:r>
              <w:rPr>
                <w:rFonts w:hint="default" w:ascii="Times New Roman" w:hAnsi="Times New Roman" w:eastAsia="宋体" w:cs="Times New Roman"/>
                <w:color w:val="auto"/>
                <w:kern w:val="2"/>
                <w:sz w:val="21"/>
                <w:szCs w:val="21"/>
                <w:lang w:val="en-US" w:eastAsia="zh-CN" w:bidi="ar-SA"/>
              </w:rPr>
              <w:t>将封闭成品待装罐暂存的鲜奶经过热灌装后进一步杀菌、打包，自然降温后成为成品灭菌乳；</w:t>
            </w:r>
          </w:p>
          <w:p w14:paraId="53FFC472">
            <w:pPr>
              <w:pStyle w:val="62"/>
              <w:keepNext w:val="0"/>
              <w:keepLines w:val="0"/>
              <w:pageBreakBefore w:val="0"/>
              <w:widowControl w:val="0"/>
              <w:kinsoku/>
              <w:wordWrap/>
              <w:overflowPunct/>
              <w:topLinePunct w:val="0"/>
              <w:autoSpaceDE/>
              <w:autoSpaceDN/>
              <w:bidi w:val="0"/>
              <w:adjustRightInd/>
              <w:snapToGrid/>
              <w:spacing w:line="360" w:lineRule="auto"/>
              <w:ind w:left="0" w:right="0" w:firstLine="561"/>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发酵乳加工：</w:t>
            </w:r>
            <w:r>
              <w:rPr>
                <w:rFonts w:hint="default" w:ascii="Times New Roman" w:hAnsi="Times New Roman" w:eastAsia="宋体" w:cs="Times New Roman"/>
                <w:color w:val="auto"/>
                <w:kern w:val="2"/>
                <w:sz w:val="21"/>
                <w:szCs w:val="21"/>
                <w:lang w:val="en-US" w:eastAsia="zh-CN" w:bidi="ar-SA"/>
              </w:rPr>
              <w:t>将完成预处理的鲜奶降温后泵入乳化罐，在乳化罐内加入发酵菌种，发酵罐内温度保持 35~40℃</w:t>
            </w:r>
            <w:r>
              <w:rPr>
                <w:rFonts w:hint="eastAsia" w:ascii="Times New Roman" w:hAnsi="Times New Roman" w:eastAsia="宋体" w:cs="Times New Roman"/>
                <w:color w:val="auto"/>
                <w:kern w:val="2"/>
                <w:sz w:val="21"/>
                <w:szCs w:val="21"/>
                <w:lang w:val="en-US" w:eastAsia="zh-CN" w:bidi="ar-SA"/>
              </w:rPr>
              <w:t>（电加热）</w:t>
            </w:r>
            <w:r>
              <w:rPr>
                <w:rFonts w:hint="default" w:ascii="Times New Roman" w:hAnsi="Times New Roman" w:eastAsia="宋体" w:cs="Times New Roman"/>
                <w:color w:val="auto"/>
                <w:kern w:val="2"/>
                <w:sz w:val="21"/>
                <w:szCs w:val="21"/>
                <w:lang w:val="en-US" w:eastAsia="zh-CN" w:bidi="ar-SA"/>
              </w:rPr>
              <w:t>，密封发酵 12h~16h后杀菌，完成装罐即为成品发酵乳；</w:t>
            </w:r>
          </w:p>
          <w:p w14:paraId="71861BA0">
            <w:pPr>
              <w:pStyle w:val="62"/>
              <w:keepNext w:val="0"/>
              <w:keepLines w:val="0"/>
              <w:pageBreakBefore w:val="0"/>
              <w:widowControl w:val="0"/>
              <w:kinsoku/>
              <w:wordWrap/>
              <w:overflowPunct/>
              <w:topLinePunct w:val="0"/>
              <w:autoSpaceDE/>
              <w:autoSpaceDN/>
              <w:bidi w:val="0"/>
              <w:adjustRightInd/>
              <w:snapToGrid/>
              <w:spacing w:line="360" w:lineRule="auto"/>
              <w:ind w:left="0" w:right="0" w:firstLine="561"/>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乳饮料加工：</w:t>
            </w:r>
            <w:r>
              <w:rPr>
                <w:rFonts w:hint="default" w:ascii="Times New Roman" w:hAnsi="Times New Roman" w:eastAsia="宋体" w:cs="Times New Roman"/>
                <w:color w:val="auto"/>
                <w:kern w:val="2"/>
                <w:sz w:val="21"/>
                <w:szCs w:val="21"/>
                <w:lang w:val="en-US" w:eastAsia="zh-CN" w:bidi="ar-SA"/>
              </w:rPr>
              <w:t>将完成预处理的鲜奶中融入甜味剂、稳定剂等辅料后装罐，即为乳饮料；</w:t>
            </w:r>
          </w:p>
          <w:p w14:paraId="7BD432BA">
            <w:pPr>
              <w:pStyle w:val="6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w:t>
            </w:r>
            <w:r>
              <w:rPr>
                <w:rFonts w:hint="eastAsia" w:ascii="Times New Roman" w:hAnsi="Times New Roman" w:eastAsia="宋体" w:cs="Times New Roman"/>
                <w:b/>
                <w:bCs/>
                <w:color w:val="auto"/>
                <w:kern w:val="2"/>
                <w:sz w:val="21"/>
                <w:szCs w:val="21"/>
                <w:lang w:val="en-US" w:eastAsia="zh-CN" w:bidi="ar-SA"/>
              </w:rPr>
              <w:t>3</w:t>
            </w:r>
            <w:r>
              <w:rPr>
                <w:rFonts w:hint="default" w:ascii="Times New Roman" w:hAnsi="Times New Roman" w:eastAsia="宋体" w:cs="Times New Roman"/>
                <w:b/>
                <w:bCs/>
                <w:color w:val="auto"/>
                <w:kern w:val="2"/>
                <w:sz w:val="21"/>
                <w:szCs w:val="21"/>
                <w:lang w:val="en-US" w:eastAsia="zh-CN" w:bidi="ar-SA"/>
              </w:rPr>
              <w:t>）乳粉制作系统：</w:t>
            </w:r>
          </w:p>
          <w:p w14:paraId="6D4B03FD">
            <w:pPr>
              <w:pStyle w:val="6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三效蒸发：</w:t>
            </w:r>
            <w:r>
              <w:rPr>
                <w:rFonts w:hint="default" w:ascii="Times New Roman" w:hAnsi="Times New Roman" w:eastAsia="宋体" w:cs="Times New Roman"/>
                <w:color w:val="auto"/>
                <w:kern w:val="2"/>
                <w:sz w:val="21"/>
                <w:szCs w:val="21"/>
                <w:lang w:val="en-US" w:eastAsia="zh-CN" w:bidi="ar-SA"/>
              </w:rPr>
              <w:t>项目乳粉制作系统为全封闭设备，经预处理的鲜奶进入三效蒸发器，经蒸发器内蒸汽</w:t>
            </w:r>
            <w:r>
              <w:rPr>
                <w:rFonts w:hint="eastAsia" w:ascii="Times New Roman" w:hAnsi="Times New Roman" w:eastAsia="宋体" w:cs="Times New Roman"/>
                <w:color w:val="auto"/>
                <w:kern w:val="2"/>
                <w:sz w:val="21"/>
                <w:szCs w:val="21"/>
                <w:lang w:val="en-US" w:eastAsia="zh-CN" w:bidi="ar-SA"/>
              </w:rPr>
              <w:t>（电加热）</w:t>
            </w:r>
            <w:r>
              <w:rPr>
                <w:rFonts w:hint="default" w:ascii="Times New Roman" w:hAnsi="Times New Roman" w:eastAsia="宋体" w:cs="Times New Roman"/>
                <w:color w:val="auto"/>
                <w:kern w:val="2"/>
                <w:sz w:val="21"/>
                <w:szCs w:val="21"/>
                <w:lang w:val="en-US" w:eastAsia="zh-CN" w:bidi="ar-SA"/>
              </w:rPr>
              <w:t>加热恒温至 80℃蒸发 2~3h，不断散失水分浓缩，浓缩至干物质含量达到 45~50%时停止蒸发。</w:t>
            </w:r>
          </w:p>
          <w:p w14:paraId="0D4C81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22" w:firstLineChars="20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喷雾干燥、筛分：</w:t>
            </w:r>
            <w:r>
              <w:rPr>
                <w:rFonts w:hint="default" w:ascii="Times New Roman" w:hAnsi="Times New Roman" w:eastAsia="宋体" w:cs="Times New Roman"/>
                <w:color w:val="auto"/>
                <w:kern w:val="2"/>
                <w:sz w:val="21"/>
                <w:szCs w:val="21"/>
                <w:lang w:val="en-US" w:eastAsia="zh-CN" w:bidi="ar-SA"/>
              </w:rPr>
              <w:t>项目喷雾干燥塔为全封闭设备，浓缩后的浓奶送到喷雾干燥塔后</w:t>
            </w:r>
            <w:r>
              <w:rPr>
                <w:rFonts w:hint="eastAsia"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项目生产供热为</w:t>
            </w:r>
            <w:r>
              <w:rPr>
                <w:rFonts w:hint="eastAsia" w:cs="Times New Roman"/>
                <w:b w:val="0"/>
                <w:bCs w:val="0"/>
                <w:color w:val="auto"/>
                <w:sz w:val="21"/>
                <w:szCs w:val="21"/>
                <w:lang w:val="en-US" w:eastAsia="zh-CN"/>
              </w:rPr>
              <w:t>华电呼图壁电厂</w:t>
            </w:r>
            <w:r>
              <w:rPr>
                <w:rFonts w:hint="eastAsia" w:cs="Times New Roman"/>
                <w:b w:val="0"/>
                <w:bCs w:val="0"/>
                <w:color w:val="auto"/>
                <w:sz w:val="21"/>
                <w:szCs w:val="21"/>
                <w:highlight w:val="none"/>
                <w:lang w:val="en-US" w:eastAsia="zh-CN"/>
              </w:rPr>
              <w:t>热电联产</w:t>
            </w:r>
            <w:r>
              <w:rPr>
                <w:rFonts w:hint="eastAsia" w:ascii="Times New Roman" w:hAnsi="Times New Roman" w:eastAsia="宋体" w:cs="Times New Roman"/>
                <w:color w:val="auto"/>
                <w:kern w:val="2"/>
                <w:sz w:val="21"/>
                <w:szCs w:val="21"/>
                <w:lang w:val="en-US" w:eastAsia="zh-CN" w:bidi="ar-SA"/>
              </w:rPr>
              <w:t>供热</w:t>
            </w:r>
            <w:r>
              <w:rPr>
                <w:rFonts w:hint="eastAsia"/>
                <w:color w:val="auto"/>
                <w:lang w:val="en-US" w:eastAsia="zh-CN"/>
              </w:rPr>
              <w:t>蒸汽</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通过高压喷枪以雾化状态从塔顶被喷入干燥塔内，雾化乳粉在塔上部受热迅速干燥，再进入第二级内置流化床中进行造粒并继续干燥，在流化床末端缓慢冷却。乳粉经流化床及振动筛，最终采用重力输送至包装缓冲料仓，在仓内可加入益生菌搅拌，完成混合后进入打包、装罐</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装罐</w:t>
            </w:r>
            <w:r>
              <w:rPr>
                <w:rFonts w:hint="eastAsia" w:cs="Times New Roman"/>
                <w:color w:val="auto"/>
                <w:kern w:val="2"/>
                <w:sz w:val="21"/>
                <w:szCs w:val="21"/>
                <w:lang w:val="en-US" w:eastAsia="zh-CN" w:bidi="ar-SA"/>
              </w:rPr>
              <w:t>采用封闭式灌装，无粉尘产生</w:t>
            </w:r>
            <w:r>
              <w:rPr>
                <w:rFonts w:hint="default" w:ascii="Times New Roman" w:hAnsi="Times New Roman" w:eastAsia="宋体" w:cs="Times New Roman"/>
                <w:color w:val="auto"/>
                <w:kern w:val="2"/>
                <w:sz w:val="21"/>
                <w:szCs w:val="21"/>
                <w:lang w:val="en-US" w:eastAsia="zh-CN" w:bidi="ar-SA"/>
              </w:rPr>
              <w:t>。</w:t>
            </w:r>
          </w:p>
          <w:p w14:paraId="103F9EE9">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default" w:ascii="Times New Roman" w:hAnsi="Times New Roman" w:cs="Times New Roman"/>
                <w:color w:val="auto"/>
                <w:kern w:val="2"/>
                <w:sz w:val="21"/>
                <w:szCs w:val="21"/>
                <w:lang w:val="en-US" w:eastAsia="zh-CN" w:bidi="ar-SA"/>
              </w:rPr>
            </w:pPr>
          </w:p>
          <w:p w14:paraId="20D4CA81">
            <w:pPr>
              <w:pStyle w:val="26"/>
              <w:ind w:left="0" w:leftChars="0" w:firstLine="0" w:firstLineChars="0"/>
              <w:rPr>
                <w:rFonts w:hint="default" w:ascii="Times New Roman" w:hAnsi="Times New Roman" w:cs="Times New Roman"/>
                <w:color w:val="auto"/>
                <w:lang w:val="en-US" w:eastAsia="zh-CN"/>
              </w:rPr>
            </w:pPr>
          </w:p>
          <w:p w14:paraId="7B5F8071">
            <w:pPr>
              <w:pStyle w:val="26"/>
              <w:ind w:left="0" w:leftChars="0" w:firstLine="0" w:firstLineChars="0"/>
              <w:rPr>
                <w:rFonts w:hint="default" w:ascii="Times New Roman" w:hAnsi="Times New Roman" w:cs="Times New Roman"/>
                <w:color w:val="auto"/>
                <w:lang w:val="en-US" w:eastAsia="zh-CN"/>
              </w:rPr>
            </w:pPr>
          </w:p>
          <w:p w14:paraId="7BA901CD">
            <w:pPr>
              <w:ind w:left="0" w:leftChars="0" w:firstLine="0" w:firstLineChars="0"/>
              <w:rPr>
                <w:rFonts w:hint="default" w:ascii="Times New Roman" w:hAnsi="Times New Roman" w:cs="Times New Roman"/>
                <w:color w:val="auto"/>
                <w:lang w:val="en-US" w:eastAsia="zh-CN"/>
              </w:rPr>
            </w:pPr>
          </w:p>
        </w:tc>
      </w:tr>
      <w:tr w14:paraId="723AC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735" w:type="dxa"/>
            <w:vAlign w:val="center"/>
          </w:tcPr>
          <w:p w14:paraId="70D519E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hint="default" w:ascii="Times New Roman" w:hAnsi="Times New Roman" w:cs="Times New Roman"/>
                <w:bCs/>
                <w:color w:val="auto"/>
                <w:kern w:val="2"/>
                <w:sz w:val="21"/>
                <w:szCs w:val="21"/>
              </w:rPr>
              <w:t>与项目有关的原有环境污染问题</w:t>
            </w:r>
          </w:p>
        </w:tc>
        <w:tc>
          <w:tcPr>
            <w:tcW w:w="8166" w:type="dxa"/>
            <w:vAlign w:val="center"/>
          </w:tcPr>
          <w:p w14:paraId="535D4F8C">
            <w:pP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本项目</w:t>
            </w:r>
            <w:r>
              <w:rPr>
                <w:rFonts w:hint="default" w:ascii="Times New Roman" w:hAnsi="Times New Roman" w:cs="Times New Roman"/>
                <w:color w:val="auto"/>
                <w:kern w:val="2"/>
                <w:sz w:val="21"/>
                <w:szCs w:val="21"/>
                <w:lang w:val="en-US" w:eastAsia="zh-CN" w:bidi="ar-SA"/>
              </w:rPr>
              <w:t>为</w:t>
            </w:r>
            <w:r>
              <w:rPr>
                <w:rFonts w:hint="default" w:ascii="Times New Roman" w:hAnsi="Times New Roman" w:eastAsia="宋体" w:cs="Times New Roman"/>
                <w:color w:val="auto"/>
                <w:kern w:val="2"/>
                <w:sz w:val="21"/>
                <w:szCs w:val="21"/>
                <w:lang w:val="en-US" w:eastAsia="zh-CN" w:bidi="ar-SA"/>
              </w:rPr>
              <w:t>新建项目</w:t>
            </w:r>
            <w:r>
              <w:rPr>
                <w:rFonts w:hint="default" w:ascii="Times New Roman" w:hAnsi="Times New Roman" w:cs="Times New Roman"/>
                <w:color w:val="auto"/>
                <w:kern w:val="2"/>
                <w:sz w:val="21"/>
                <w:szCs w:val="21"/>
                <w:lang w:val="en-US" w:eastAsia="zh-CN" w:bidi="ar-SA"/>
              </w:rPr>
              <w:t>，项目未建设生产</w:t>
            </w: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color w:val="auto"/>
                <w:kern w:val="2"/>
                <w:sz w:val="21"/>
                <w:szCs w:val="21"/>
                <w:lang w:val="en-US" w:eastAsia="zh-CN" w:bidi="ar-SA"/>
              </w:rPr>
              <w:t>用地</w:t>
            </w:r>
            <w:r>
              <w:rPr>
                <w:rFonts w:hint="default" w:ascii="Times New Roman" w:hAnsi="Times New Roman" w:eastAsia="宋体" w:cs="Times New Roman"/>
                <w:color w:val="auto"/>
                <w:kern w:val="2"/>
                <w:sz w:val="21"/>
                <w:szCs w:val="21"/>
                <w:lang w:val="en-US" w:eastAsia="zh-CN" w:bidi="ar-SA"/>
              </w:rPr>
              <w:t>为</w:t>
            </w:r>
            <w:r>
              <w:rPr>
                <w:rFonts w:hint="default" w:ascii="Times New Roman" w:hAnsi="Times New Roman" w:cs="Times New Roman"/>
                <w:color w:val="auto"/>
                <w:kern w:val="2"/>
                <w:sz w:val="21"/>
                <w:szCs w:val="21"/>
                <w:lang w:val="en-US" w:eastAsia="zh-CN" w:bidi="ar-SA"/>
              </w:rPr>
              <w:t>工业用地</w:t>
            </w:r>
            <w:r>
              <w:rPr>
                <w:rFonts w:hint="default" w:ascii="Times New Roman" w:hAnsi="Times New Roman" w:eastAsia="宋体" w:cs="Times New Roman"/>
                <w:color w:val="auto"/>
                <w:kern w:val="2"/>
                <w:sz w:val="21"/>
                <w:szCs w:val="21"/>
                <w:lang w:val="en-US" w:eastAsia="zh-CN" w:bidi="ar-SA"/>
              </w:rPr>
              <w:t>，不存在与项目有关的原有污染。</w:t>
            </w:r>
          </w:p>
        </w:tc>
      </w:tr>
    </w:tbl>
    <w:p w14:paraId="219C3F1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三、区域环境质量现状、环境保护目标及评价标准</w:t>
      </w:r>
    </w:p>
    <w:tbl>
      <w:tblPr>
        <w:tblStyle w:val="20"/>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4A7D3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8" w:hRule="atLeast"/>
          <w:jc w:val="center"/>
        </w:trPr>
        <w:tc>
          <w:tcPr>
            <w:tcW w:w="800" w:type="dxa"/>
            <w:vAlign w:val="center"/>
          </w:tcPr>
          <w:p w14:paraId="45B509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区域</w:t>
            </w:r>
          </w:p>
          <w:p w14:paraId="24B5BF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环境</w:t>
            </w:r>
          </w:p>
          <w:p w14:paraId="363E73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质量</w:t>
            </w:r>
          </w:p>
          <w:p w14:paraId="47A355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现状</w:t>
            </w:r>
          </w:p>
        </w:tc>
        <w:tc>
          <w:tcPr>
            <w:tcW w:w="8190" w:type="dxa"/>
            <w:vAlign w:val="center"/>
          </w:tcPr>
          <w:p w14:paraId="029A3D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1、大气环境质量现状</w:t>
            </w:r>
          </w:p>
          <w:p w14:paraId="28EF6E8F">
            <w:pPr>
              <w:keepNext w:val="0"/>
              <w:keepLines w:val="0"/>
              <w:suppressLineNumbers w:val="0"/>
              <w:spacing w:before="0" w:beforeAutospacing="0" w:after="0" w:afterAutospacing="0"/>
              <w:ind w:left="0" w:right="0" w:firstLine="420"/>
              <w:rPr>
                <w:rFonts w:hint="default"/>
                <w:color w:val="auto"/>
              </w:rPr>
            </w:pPr>
            <w:r>
              <w:rPr>
                <w:rFonts w:hint="eastAsia"/>
                <w:color w:val="auto"/>
              </w:rPr>
              <w:t>（1）基本污染物环境质量现状</w:t>
            </w:r>
          </w:p>
          <w:p w14:paraId="3482C3DB">
            <w:pPr>
              <w:keepNext w:val="0"/>
              <w:keepLines w:val="0"/>
              <w:suppressLineNumbers w:val="0"/>
              <w:spacing w:before="0" w:beforeAutospacing="0" w:after="0" w:afterAutospacing="0"/>
              <w:ind w:left="0" w:right="0" w:firstLine="420"/>
              <w:rPr>
                <w:rFonts w:hint="default"/>
                <w:color w:val="auto"/>
              </w:rPr>
            </w:pPr>
            <w:r>
              <w:rPr>
                <w:rFonts w:hint="default"/>
                <w:color w:val="auto"/>
              </w:rPr>
              <w:t>本次大气环境质量引用呼图壁县人民政府发布的202</w:t>
            </w:r>
            <w:r>
              <w:rPr>
                <w:rFonts w:hint="eastAsia"/>
                <w:color w:val="auto"/>
              </w:rPr>
              <w:t>2</w:t>
            </w:r>
            <w:r>
              <w:rPr>
                <w:rFonts w:hint="default"/>
                <w:color w:val="auto"/>
              </w:rPr>
              <w:t>年全年的环境空气质量监测统计数据（http://www.htb.gov.cn/gk/kqzl/8</w:t>
            </w:r>
            <w:r>
              <w:rPr>
                <w:rFonts w:hint="eastAsia"/>
                <w:color w:val="auto"/>
              </w:rPr>
              <w:t>90194</w:t>
            </w:r>
            <w:r>
              <w:rPr>
                <w:rFonts w:hint="default"/>
                <w:color w:val="auto"/>
              </w:rPr>
              <w:t>.htm），</w:t>
            </w:r>
            <w:r>
              <w:rPr>
                <w:rFonts w:hint="default" w:hAnsi="宋体"/>
                <w:color w:val="auto"/>
                <w:kern w:val="0"/>
              </w:rPr>
              <w:t>作为本项目环境空气现状评价基本污染物</w:t>
            </w:r>
            <w:r>
              <w:rPr>
                <w:rFonts w:hint="default"/>
                <w:color w:val="auto"/>
                <w:kern w:val="0"/>
              </w:rPr>
              <w:t xml:space="preserve"> SO</w:t>
            </w:r>
            <w:r>
              <w:rPr>
                <w:rFonts w:hint="default"/>
                <w:color w:val="auto"/>
                <w:kern w:val="0"/>
                <w:vertAlign w:val="subscript"/>
              </w:rPr>
              <w:t>2</w:t>
            </w:r>
            <w:r>
              <w:rPr>
                <w:rFonts w:hint="default" w:hAnsi="宋体"/>
                <w:color w:val="auto"/>
                <w:kern w:val="0"/>
              </w:rPr>
              <w:t>、</w:t>
            </w:r>
            <w:r>
              <w:rPr>
                <w:rFonts w:hint="default"/>
                <w:color w:val="auto"/>
                <w:kern w:val="0"/>
              </w:rPr>
              <w:t>NO</w:t>
            </w:r>
            <w:r>
              <w:rPr>
                <w:rFonts w:hint="default"/>
                <w:color w:val="auto"/>
                <w:kern w:val="0"/>
                <w:vertAlign w:val="subscript"/>
              </w:rPr>
              <w:t>2</w:t>
            </w:r>
            <w:r>
              <w:rPr>
                <w:rFonts w:hint="default" w:hAnsi="宋体"/>
                <w:color w:val="auto"/>
                <w:kern w:val="0"/>
              </w:rPr>
              <w:t>、</w:t>
            </w:r>
            <w:r>
              <w:rPr>
                <w:rFonts w:hint="default"/>
                <w:color w:val="auto"/>
                <w:kern w:val="0"/>
              </w:rPr>
              <w:t>PM</w:t>
            </w:r>
            <w:r>
              <w:rPr>
                <w:rFonts w:hint="default"/>
                <w:color w:val="auto"/>
                <w:kern w:val="0"/>
                <w:vertAlign w:val="subscript"/>
              </w:rPr>
              <w:t>10</w:t>
            </w:r>
            <w:r>
              <w:rPr>
                <w:rFonts w:hint="default" w:hAnsi="宋体"/>
                <w:color w:val="auto"/>
                <w:kern w:val="0"/>
              </w:rPr>
              <w:t>、</w:t>
            </w:r>
            <w:r>
              <w:rPr>
                <w:rFonts w:hint="default"/>
                <w:color w:val="auto"/>
                <w:kern w:val="0"/>
              </w:rPr>
              <w:t>PM</w:t>
            </w:r>
            <w:r>
              <w:rPr>
                <w:rFonts w:hint="default"/>
                <w:color w:val="auto"/>
                <w:kern w:val="0"/>
                <w:vertAlign w:val="subscript"/>
              </w:rPr>
              <w:t>2.5</w:t>
            </w:r>
            <w:r>
              <w:rPr>
                <w:rFonts w:hint="default" w:hAnsi="宋体"/>
                <w:color w:val="auto"/>
                <w:kern w:val="0"/>
              </w:rPr>
              <w:t>、</w:t>
            </w:r>
            <w:r>
              <w:rPr>
                <w:rFonts w:hint="default"/>
                <w:color w:val="auto"/>
                <w:kern w:val="0"/>
              </w:rPr>
              <w:t xml:space="preserve">CO </w:t>
            </w:r>
            <w:r>
              <w:rPr>
                <w:rFonts w:hint="default" w:hAnsi="宋体"/>
                <w:color w:val="auto"/>
                <w:kern w:val="0"/>
              </w:rPr>
              <w:t>和</w:t>
            </w:r>
            <w:r>
              <w:rPr>
                <w:rFonts w:hint="default"/>
                <w:color w:val="auto"/>
                <w:kern w:val="0"/>
              </w:rPr>
              <w:t>O</w:t>
            </w:r>
            <w:r>
              <w:rPr>
                <w:rFonts w:hint="default"/>
                <w:color w:val="auto"/>
                <w:kern w:val="0"/>
                <w:vertAlign w:val="subscript"/>
              </w:rPr>
              <w:t>3</w:t>
            </w:r>
            <w:r>
              <w:rPr>
                <w:rFonts w:hint="default" w:hAnsi="宋体"/>
                <w:color w:val="auto"/>
                <w:kern w:val="0"/>
              </w:rPr>
              <w:t>的数据来源。</w:t>
            </w:r>
            <w:r>
              <w:rPr>
                <w:rFonts w:hint="default"/>
                <w:color w:val="auto"/>
              </w:rPr>
              <w:t>202</w:t>
            </w:r>
            <w:r>
              <w:rPr>
                <w:rFonts w:hint="eastAsia"/>
                <w:color w:val="auto"/>
              </w:rPr>
              <w:t>2</w:t>
            </w:r>
            <w:r>
              <w:rPr>
                <w:rFonts w:hint="default"/>
                <w:color w:val="auto"/>
              </w:rPr>
              <w:t>年1月1日~12月31日，呼图壁县应监测天数365天，有效监测天数362天</w:t>
            </w:r>
            <w:r>
              <w:rPr>
                <w:rFonts w:hint="eastAsia"/>
                <w:color w:val="auto"/>
              </w:rPr>
              <w:t>，空气质量优良天数为288天，同比减少2天。优良率为79.56%，同比减少0.55%。重污染天数18天（去除2022年4月20日沙尘天1天），同比增加1天（注：2021年5月1日、5日2天为沙尘天、12月27日为沙尘天）。其中：一级优83天，二级良195天，三级轻度污染44天，四级中度污染11天，五级重度污染18天。</w:t>
            </w:r>
          </w:p>
          <w:p w14:paraId="5524BC73">
            <w:pPr>
              <w:keepNext w:val="0"/>
              <w:keepLines w:val="0"/>
              <w:suppressLineNumbers w:val="0"/>
              <w:spacing w:before="0" w:beforeAutospacing="0" w:after="0" w:afterAutospacing="0"/>
              <w:ind w:left="0" w:right="0" w:firstLine="420"/>
              <w:rPr>
                <w:rFonts w:hint="default"/>
                <w:color w:val="auto"/>
              </w:rPr>
            </w:pPr>
            <w:r>
              <w:rPr>
                <w:rFonts w:hint="eastAsia"/>
                <w:color w:val="auto"/>
              </w:rPr>
              <w:t>二氧化硫平均浓度为10微克每立方米，较2021年同比下降0.45%；二氧化氮平均浓度为24微克每立方米，较2021年同比下降5.65%；可吸入颗粒物平均浓度为73微克每立方米，较2021年同比下降4.06%；一氧化碳平均浓度为0.9毫克每立方米，与2021年同比下降1.72%；臭氧八小时均值浓度为90微克每立方米，较2021年同比上升2.80%；细颗粒物平均浓度为38微克每立方米，较2021年同比上升0.40%。统计数据见下表</w:t>
            </w:r>
            <w:r>
              <w:rPr>
                <w:rFonts w:hint="eastAsia"/>
                <w:color w:val="auto"/>
                <w:lang w:val="en-US" w:eastAsia="zh-CN"/>
              </w:rPr>
              <w:t>3-1</w:t>
            </w:r>
            <w:r>
              <w:rPr>
                <w:rFonts w:hint="default"/>
                <w:color w:val="auto"/>
              </w:rPr>
              <w:t>。</w:t>
            </w:r>
          </w:p>
          <w:p w14:paraId="711EA476">
            <w:pPr>
              <w:keepNext w:val="0"/>
              <w:keepLines w:val="0"/>
              <w:suppressLineNumbers w:val="0"/>
              <w:spacing w:before="0" w:beforeAutospacing="0" w:after="0" w:afterAutospacing="0" w:line="240" w:lineRule="auto"/>
              <w:ind w:left="0" w:leftChars="0" w:right="0" w:firstLine="0" w:firstLineChars="0"/>
              <w:jc w:val="center"/>
              <w:rPr>
                <w:rFonts w:hint="default"/>
                <w:b/>
                <w:bCs/>
                <w:color w:val="auto"/>
              </w:rPr>
            </w:pPr>
            <w:r>
              <w:rPr>
                <w:rFonts w:hint="default"/>
                <w:b/>
                <w:bCs/>
                <w:color w:val="auto"/>
              </w:rPr>
              <w:t>表</w:t>
            </w:r>
            <w:r>
              <w:rPr>
                <w:rFonts w:hint="eastAsia"/>
                <w:b/>
                <w:bCs/>
                <w:color w:val="auto"/>
                <w:lang w:val="en-US" w:eastAsia="zh-CN"/>
              </w:rPr>
              <w:t xml:space="preserve">3-1  </w:t>
            </w:r>
            <w:r>
              <w:rPr>
                <w:rFonts w:hint="default"/>
                <w:b/>
                <w:bCs/>
                <w:color w:val="auto"/>
              </w:rPr>
              <w:t>20</w:t>
            </w:r>
            <w:r>
              <w:rPr>
                <w:rFonts w:hint="eastAsia"/>
                <w:b/>
                <w:bCs/>
                <w:color w:val="auto"/>
              </w:rPr>
              <w:t>22</w:t>
            </w:r>
            <w:r>
              <w:rPr>
                <w:rFonts w:hint="default"/>
                <w:b/>
                <w:bCs/>
                <w:color w:val="auto"/>
              </w:rPr>
              <w:t>年</w:t>
            </w:r>
            <w:r>
              <w:rPr>
                <w:rFonts w:hint="eastAsia"/>
                <w:b/>
                <w:bCs/>
                <w:color w:val="auto"/>
              </w:rPr>
              <w:t>呼图壁县空气质量现状评价表</w:t>
            </w:r>
            <w:r>
              <w:rPr>
                <w:rFonts w:hint="eastAsia"/>
                <w:b/>
                <w:bCs/>
                <w:color w:val="auto"/>
                <w:lang w:val="en-US" w:eastAsia="zh-CN"/>
              </w:rPr>
              <w:t xml:space="preserve">  </w:t>
            </w:r>
            <w:r>
              <w:rPr>
                <w:rFonts w:hint="eastAsia"/>
                <w:b/>
                <w:bCs/>
                <w:color w:val="auto"/>
              </w:rPr>
              <w:t>单位：ug/m</w:t>
            </w:r>
            <w:r>
              <w:rPr>
                <w:rFonts w:hint="eastAsia"/>
                <w:b/>
                <w:bCs/>
                <w:color w:val="auto"/>
                <w:vertAlign w:val="superscript"/>
              </w:rPr>
              <w:t>3</w:t>
            </w:r>
          </w:p>
          <w:tbl>
            <w:tblPr>
              <w:tblStyle w:val="20"/>
              <w:tblW w:w="79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41"/>
              <w:gridCol w:w="2444"/>
              <w:gridCol w:w="1200"/>
              <w:gridCol w:w="1402"/>
              <w:gridCol w:w="1211"/>
              <w:gridCol w:w="873"/>
            </w:tblGrid>
            <w:tr w14:paraId="1FF0B6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1" w:type="dxa"/>
                  <w:tcBorders>
                    <w:tl2br w:val="nil"/>
                    <w:tr2bl w:val="nil"/>
                  </w:tcBorders>
                  <w:vAlign w:val="center"/>
                </w:tcPr>
                <w:p w14:paraId="56D02958">
                  <w:pPr>
                    <w:pStyle w:val="36"/>
                    <w:keepNext w:val="0"/>
                    <w:keepLines w:val="0"/>
                    <w:suppressLineNumbers w:val="0"/>
                    <w:spacing w:before="0" w:beforeAutospacing="0" w:after="0" w:afterAutospacing="0"/>
                    <w:ind w:left="0" w:right="0"/>
                    <w:rPr>
                      <w:rFonts w:hint="default"/>
                      <w:color w:val="auto"/>
                    </w:rPr>
                  </w:pPr>
                  <w:r>
                    <w:rPr>
                      <w:rFonts w:hint="default"/>
                      <w:color w:val="auto"/>
                    </w:rPr>
                    <w:t>污染物</w:t>
                  </w:r>
                </w:p>
              </w:tc>
              <w:tc>
                <w:tcPr>
                  <w:tcW w:w="2444" w:type="dxa"/>
                  <w:tcBorders>
                    <w:tl2br w:val="nil"/>
                    <w:tr2bl w:val="nil"/>
                  </w:tcBorders>
                  <w:vAlign w:val="center"/>
                </w:tcPr>
                <w:p w14:paraId="7316A822">
                  <w:pPr>
                    <w:pStyle w:val="36"/>
                    <w:keepNext w:val="0"/>
                    <w:keepLines w:val="0"/>
                    <w:suppressLineNumbers w:val="0"/>
                    <w:spacing w:before="0" w:beforeAutospacing="0" w:after="0" w:afterAutospacing="0"/>
                    <w:ind w:left="0" w:right="0"/>
                    <w:rPr>
                      <w:rFonts w:hint="default"/>
                      <w:color w:val="auto"/>
                    </w:rPr>
                  </w:pPr>
                  <w:r>
                    <w:rPr>
                      <w:rFonts w:hint="default"/>
                      <w:color w:val="auto"/>
                    </w:rPr>
                    <w:t>年评价指标</w:t>
                  </w:r>
                </w:p>
              </w:tc>
              <w:tc>
                <w:tcPr>
                  <w:tcW w:w="1200" w:type="dxa"/>
                  <w:tcBorders>
                    <w:tl2br w:val="nil"/>
                    <w:tr2bl w:val="nil"/>
                  </w:tcBorders>
                  <w:vAlign w:val="center"/>
                </w:tcPr>
                <w:p w14:paraId="40D7BE17">
                  <w:pPr>
                    <w:pStyle w:val="36"/>
                    <w:keepNext w:val="0"/>
                    <w:keepLines w:val="0"/>
                    <w:suppressLineNumbers w:val="0"/>
                    <w:spacing w:before="0" w:beforeAutospacing="0" w:after="0" w:afterAutospacing="0"/>
                    <w:ind w:left="0" w:right="0"/>
                    <w:rPr>
                      <w:rFonts w:hint="default"/>
                      <w:color w:val="auto"/>
                    </w:rPr>
                  </w:pPr>
                  <w:r>
                    <w:rPr>
                      <w:rFonts w:hint="eastAsia"/>
                      <w:color w:val="auto"/>
                    </w:rPr>
                    <w:t>现状浓度</w:t>
                  </w:r>
                </w:p>
              </w:tc>
              <w:tc>
                <w:tcPr>
                  <w:tcW w:w="1402" w:type="dxa"/>
                  <w:tcBorders>
                    <w:tl2br w:val="nil"/>
                    <w:tr2bl w:val="nil"/>
                  </w:tcBorders>
                  <w:vAlign w:val="center"/>
                </w:tcPr>
                <w:p w14:paraId="11E2ECBE">
                  <w:pPr>
                    <w:pStyle w:val="36"/>
                    <w:keepNext w:val="0"/>
                    <w:keepLines w:val="0"/>
                    <w:suppressLineNumbers w:val="0"/>
                    <w:spacing w:before="0" w:beforeAutospacing="0" w:after="0" w:afterAutospacing="0"/>
                    <w:ind w:left="0" w:right="0"/>
                    <w:rPr>
                      <w:rFonts w:hint="default"/>
                      <w:color w:val="auto"/>
                    </w:rPr>
                  </w:pPr>
                  <w:r>
                    <w:rPr>
                      <w:rFonts w:hint="default"/>
                      <w:color w:val="auto"/>
                    </w:rPr>
                    <w:t>标准</w:t>
                  </w:r>
                  <w:r>
                    <w:rPr>
                      <w:rFonts w:hint="eastAsia"/>
                      <w:color w:val="auto"/>
                    </w:rPr>
                    <w:t>值</w:t>
                  </w:r>
                </w:p>
              </w:tc>
              <w:tc>
                <w:tcPr>
                  <w:tcW w:w="1211" w:type="dxa"/>
                  <w:tcBorders>
                    <w:tl2br w:val="nil"/>
                    <w:tr2bl w:val="nil"/>
                  </w:tcBorders>
                  <w:vAlign w:val="center"/>
                </w:tcPr>
                <w:p w14:paraId="333F28C7">
                  <w:pPr>
                    <w:pStyle w:val="36"/>
                    <w:keepNext w:val="0"/>
                    <w:keepLines w:val="0"/>
                    <w:suppressLineNumbers w:val="0"/>
                    <w:spacing w:before="0" w:beforeAutospacing="0" w:after="0" w:afterAutospacing="0"/>
                    <w:ind w:left="0" w:right="0"/>
                    <w:rPr>
                      <w:rFonts w:hint="default"/>
                      <w:color w:val="auto"/>
                    </w:rPr>
                  </w:pPr>
                  <w:r>
                    <w:rPr>
                      <w:rFonts w:hint="default"/>
                      <w:color w:val="auto"/>
                    </w:rPr>
                    <w:t>占标率%</w:t>
                  </w:r>
                </w:p>
              </w:tc>
              <w:tc>
                <w:tcPr>
                  <w:tcW w:w="873" w:type="dxa"/>
                  <w:tcBorders>
                    <w:tl2br w:val="nil"/>
                    <w:tr2bl w:val="nil"/>
                  </w:tcBorders>
                  <w:vAlign w:val="center"/>
                </w:tcPr>
                <w:p w14:paraId="48026B13">
                  <w:pPr>
                    <w:pStyle w:val="36"/>
                    <w:keepNext w:val="0"/>
                    <w:keepLines w:val="0"/>
                    <w:suppressLineNumbers w:val="0"/>
                    <w:spacing w:before="0" w:beforeAutospacing="0" w:after="0" w:afterAutospacing="0"/>
                    <w:ind w:left="0" w:right="0"/>
                    <w:rPr>
                      <w:rFonts w:hint="default"/>
                      <w:color w:val="auto"/>
                    </w:rPr>
                  </w:pPr>
                  <w:r>
                    <w:rPr>
                      <w:rFonts w:hint="default"/>
                      <w:color w:val="auto"/>
                    </w:rPr>
                    <w:t>达标</w:t>
                  </w:r>
                </w:p>
                <w:p w14:paraId="410D9978">
                  <w:pPr>
                    <w:pStyle w:val="36"/>
                    <w:keepNext w:val="0"/>
                    <w:keepLines w:val="0"/>
                    <w:suppressLineNumbers w:val="0"/>
                    <w:spacing w:before="0" w:beforeAutospacing="0" w:after="0" w:afterAutospacing="0"/>
                    <w:ind w:left="0" w:right="0"/>
                    <w:rPr>
                      <w:rFonts w:hint="default"/>
                      <w:color w:val="auto"/>
                    </w:rPr>
                  </w:pPr>
                  <w:r>
                    <w:rPr>
                      <w:rFonts w:hint="default"/>
                      <w:color w:val="auto"/>
                    </w:rPr>
                    <w:t>情况</w:t>
                  </w:r>
                </w:p>
              </w:tc>
            </w:tr>
            <w:tr w14:paraId="264BD3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1" w:type="dxa"/>
                  <w:tcBorders>
                    <w:tl2br w:val="nil"/>
                    <w:tr2bl w:val="nil"/>
                  </w:tcBorders>
                  <w:vAlign w:val="center"/>
                </w:tcPr>
                <w:p w14:paraId="15F6EAA1">
                  <w:pPr>
                    <w:pStyle w:val="36"/>
                    <w:keepNext w:val="0"/>
                    <w:keepLines w:val="0"/>
                    <w:suppressLineNumbers w:val="0"/>
                    <w:spacing w:before="0" w:beforeAutospacing="0" w:after="0" w:afterAutospacing="0"/>
                    <w:ind w:left="0" w:right="0"/>
                    <w:rPr>
                      <w:rFonts w:hint="default"/>
                      <w:color w:val="auto"/>
                    </w:rPr>
                  </w:pPr>
                  <w:r>
                    <w:rPr>
                      <w:rFonts w:hint="default"/>
                      <w:color w:val="auto"/>
                    </w:rPr>
                    <w:t>SO</w:t>
                  </w:r>
                  <w:r>
                    <w:rPr>
                      <w:rFonts w:hint="default"/>
                      <w:color w:val="auto"/>
                      <w:vertAlign w:val="subscript"/>
                    </w:rPr>
                    <w:t>2</w:t>
                  </w:r>
                </w:p>
              </w:tc>
              <w:tc>
                <w:tcPr>
                  <w:tcW w:w="2444" w:type="dxa"/>
                  <w:tcBorders>
                    <w:tl2br w:val="nil"/>
                    <w:tr2bl w:val="nil"/>
                  </w:tcBorders>
                  <w:vAlign w:val="center"/>
                </w:tcPr>
                <w:p w14:paraId="3D12E175">
                  <w:pPr>
                    <w:pStyle w:val="36"/>
                    <w:keepNext w:val="0"/>
                    <w:keepLines w:val="0"/>
                    <w:suppressLineNumbers w:val="0"/>
                    <w:spacing w:before="0" w:beforeAutospacing="0" w:after="0" w:afterAutospacing="0"/>
                    <w:ind w:left="0" w:right="0"/>
                    <w:rPr>
                      <w:rFonts w:hint="default"/>
                      <w:color w:val="auto"/>
                    </w:rPr>
                  </w:pPr>
                  <w:r>
                    <w:rPr>
                      <w:rFonts w:hint="default"/>
                      <w:color w:val="auto"/>
                    </w:rPr>
                    <w:t>年平均质量浓度</w:t>
                  </w:r>
                </w:p>
              </w:tc>
              <w:tc>
                <w:tcPr>
                  <w:tcW w:w="1200" w:type="dxa"/>
                  <w:tcBorders>
                    <w:tl2br w:val="nil"/>
                    <w:tr2bl w:val="nil"/>
                  </w:tcBorders>
                  <w:vAlign w:val="center"/>
                </w:tcPr>
                <w:p w14:paraId="7E8F9E7E">
                  <w:pPr>
                    <w:pStyle w:val="36"/>
                    <w:keepNext w:val="0"/>
                    <w:keepLines w:val="0"/>
                    <w:suppressLineNumbers w:val="0"/>
                    <w:spacing w:before="0" w:beforeAutospacing="0" w:after="0" w:afterAutospacing="0"/>
                    <w:ind w:left="0" w:right="0"/>
                    <w:rPr>
                      <w:rFonts w:hint="default"/>
                      <w:color w:val="auto"/>
                    </w:rPr>
                  </w:pPr>
                  <w:r>
                    <w:rPr>
                      <w:rFonts w:hint="eastAsia"/>
                      <w:color w:val="auto"/>
                    </w:rPr>
                    <w:t>10</w:t>
                  </w:r>
                </w:p>
              </w:tc>
              <w:tc>
                <w:tcPr>
                  <w:tcW w:w="1402" w:type="dxa"/>
                  <w:tcBorders>
                    <w:tl2br w:val="nil"/>
                    <w:tr2bl w:val="nil"/>
                  </w:tcBorders>
                  <w:vAlign w:val="center"/>
                </w:tcPr>
                <w:p w14:paraId="5B16A33F">
                  <w:pPr>
                    <w:pStyle w:val="36"/>
                    <w:keepNext w:val="0"/>
                    <w:keepLines w:val="0"/>
                    <w:suppressLineNumbers w:val="0"/>
                    <w:spacing w:before="0" w:beforeAutospacing="0" w:after="0" w:afterAutospacing="0"/>
                    <w:ind w:left="0" w:right="0"/>
                    <w:rPr>
                      <w:rFonts w:hint="default"/>
                      <w:color w:val="auto"/>
                    </w:rPr>
                  </w:pPr>
                  <w:r>
                    <w:rPr>
                      <w:rFonts w:hint="default"/>
                      <w:color w:val="auto"/>
                    </w:rPr>
                    <w:t>60</w:t>
                  </w:r>
                </w:p>
              </w:tc>
              <w:tc>
                <w:tcPr>
                  <w:tcW w:w="1211" w:type="dxa"/>
                  <w:tcBorders>
                    <w:tl2br w:val="nil"/>
                    <w:tr2bl w:val="nil"/>
                  </w:tcBorders>
                  <w:vAlign w:val="center"/>
                </w:tcPr>
                <w:p w14:paraId="672899B2">
                  <w:pPr>
                    <w:pStyle w:val="36"/>
                    <w:keepNext w:val="0"/>
                    <w:keepLines w:val="0"/>
                    <w:suppressLineNumbers w:val="0"/>
                    <w:spacing w:before="0" w:beforeAutospacing="0" w:after="0" w:afterAutospacing="0"/>
                    <w:ind w:left="0" w:right="0"/>
                    <w:rPr>
                      <w:rFonts w:hint="default"/>
                      <w:color w:val="auto"/>
                    </w:rPr>
                  </w:pPr>
                  <w:r>
                    <w:rPr>
                      <w:rFonts w:hint="eastAsia"/>
                      <w:color w:val="auto"/>
                    </w:rPr>
                    <w:t>16.7</w:t>
                  </w:r>
                </w:p>
              </w:tc>
              <w:tc>
                <w:tcPr>
                  <w:tcW w:w="873" w:type="dxa"/>
                  <w:tcBorders>
                    <w:tl2br w:val="nil"/>
                    <w:tr2bl w:val="nil"/>
                  </w:tcBorders>
                  <w:vAlign w:val="center"/>
                </w:tcPr>
                <w:p w14:paraId="23470150">
                  <w:pPr>
                    <w:pStyle w:val="36"/>
                    <w:keepNext w:val="0"/>
                    <w:keepLines w:val="0"/>
                    <w:suppressLineNumbers w:val="0"/>
                    <w:spacing w:before="0" w:beforeAutospacing="0" w:after="0" w:afterAutospacing="0"/>
                    <w:ind w:left="0" w:right="0"/>
                    <w:rPr>
                      <w:rFonts w:hint="default"/>
                      <w:color w:val="auto"/>
                    </w:rPr>
                  </w:pPr>
                  <w:r>
                    <w:rPr>
                      <w:rFonts w:hint="default"/>
                      <w:color w:val="auto"/>
                    </w:rPr>
                    <w:t>达标</w:t>
                  </w:r>
                </w:p>
              </w:tc>
            </w:tr>
            <w:tr w14:paraId="367AB7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1" w:type="dxa"/>
                  <w:tcBorders>
                    <w:tl2br w:val="nil"/>
                    <w:tr2bl w:val="nil"/>
                  </w:tcBorders>
                  <w:vAlign w:val="center"/>
                </w:tcPr>
                <w:p w14:paraId="70ACA5A1">
                  <w:pPr>
                    <w:pStyle w:val="36"/>
                    <w:keepNext w:val="0"/>
                    <w:keepLines w:val="0"/>
                    <w:suppressLineNumbers w:val="0"/>
                    <w:spacing w:before="0" w:beforeAutospacing="0" w:after="0" w:afterAutospacing="0"/>
                    <w:ind w:left="0" w:right="0"/>
                    <w:rPr>
                      <w:rFonts w:hint="default"/>
                      <w:color w:val="auto"/>
                    </w:rPr>
                  </w:pPr>
                  <w:r>
                    <w:rPr>
                      <w:rFonts w:hint="default"/>
                      <w:color w:val="auto"/>
                    </w:rPr>
                    <w:t>NO</w:t>
                  </w:r>
                  <w:r>
                    <w:rPr>
                      <w:rFonts w:hint="default"/>
                      <w:color w:val="auto"/>
                      <w:vertAlign w:val="subscript"/>
                    </w:rPr>
                    <w:t>2</w:t>
                  </w:r>
                </w:p>
              </w:tc>
              <w:tc>
                <w:tcPr>
                  <w:tcW w:w="2444" w:type="dxa"/>
                  <w:tcBorders>
                    <w:tl2br w:val="nil"/>
                    <w:tr2bl w:val="nil"/>
                  </w:tcBorders>
                  <w:vAlign w:val="center"/>
                </w:tcPr>
                <w:p w14:paraId="393CF621">
                  <w:pPr>
                    <w:pStyle w:val="36"/>
                    <w:keepNext w:val="0"/>
                    <w:keepLines w:val="0"/>
                    <w:suppressLineNumbers w:val="0"/>
                    <w:spacing w:before="0" w:beforeAutospacing="0" w:after="0" w:afterAutospacing="0"/>
                    <w:ind w:left="0" w:right="0"/>
                    <w:rPr>
                      <w:rFonts w:hint="default"/>
                      <w:color w:val="auto"/>
                    </w:rPr>
                  </w:pPr>
                  <w:r>
                    <w:rPr>
                      <w:rFonts w:hint="default"/>
                      <w:color w:val="auto"/>
                    </w:rPr>
                    <w:t>年平均质量浓度</w:t>
                  </w:r>
                </w:p>
              </w:tc>
              <w:tc>
                <w:tcPr>
                  <w:tcW w:w="1200" w:type="dxa"/>
                  <w:tcBorders>
                    <w:tl2br w:val="nil"/>
                    <w:tr2bl w:val="nil"/>
                  </w:tcBorders>
                  <w:vAlign w:val="center"/>
                </w:tcPr>
                <w:p w14:paraId="0CB3B75C">
                  <w:pPr>
                    <w:pStyle w:val="36"/>
                    <w:keepNext w:val="0"/>
                    <w:keepLines w:val="0"/>
                    <w:suppressLineNumbers w:val="0"/>
                    <w:spacing w:before="0" w:beforeAutospacing="0" w:after="0" w:afterAutospacing="0"/>
                    <w:ind w:left="0" w:right="0"/>
                    <w:rPr>
                      <w:rFonts w:hint="default"/>
                      <w:color w:val="auto"/>
                    </w:rPr>
                  </w:pPr>
                  <w:r>
                    <w:rPr>
                      <w:rFonts w:hint="eastAsia"/>
                      <w:color w:val="auto"/>
                    </w:rPr>
                    <w:t>24</w:t>
                  </w:r>
                </w:p>
              </w:tc>
              <w:tc>
                <w:tcPr>
                  <w:tcW w:w="1402" w:type="dxa"/>
                  <w:tcBorders>
                    <w:tl2br w:val="nil"/>
                    <w:tr2bl w:val="nil"/>
                  </w:tcBorders>
                  <w:vAlign w:val="center"/>
                </w:tcPr>
                <w:p w14:paraId="0D7796C0">
                  <w:pPr>
                    <w:pStyle w:val="36"/>
                    <w:keepNext w:val="0"/>
                    <w:keepLines w:val="0"/>
                    <w:suppressLineNumbers w:val="0"/>
                    <w:spacing w:before="0" w:beforeAutospacing="0" w:after="0" w:afterAutospacing="0"/>
                    <w:ind w:left="0" w:right="0"/>
                    <w:rPr>
                      <w:rFonts w:hint="default"/>
                      <w:color w:val="auto"/>
                    </w:rPr>
                  </w:pPr>
                  <w:r>
                    <w:rPr>
                      <w:rFonts w:hint="default"/>
                      <w:color w:val="auto"/>
                    </w:rPr>
                    <w:t>40</w:t>
                  </w:r>
                </w:p>
              </w:tc>
              <w:tc>
                <w:tcPr>
                  <w:tcW w:w="1211" w:type="dxa"/>
                  <w:tcBorders>
                    <w:tl2br w:val="nil"/>
                    <w:tr2bl w:val="nil"/>
                  </w:tcBorders>
                  <w:vAlign w:val="center"/>
                </w:tcPr>
                <w:p w14:paraId="3C039417">
                  <w:pPr>
                    <w:pStyle w:val="36"/>
                    <w:keepNext w:val="0"/>
                    <w:keepLines w:val="0"/>
                    <w:suppressLineNumbers w:val="0"/>
                    <w:spacing w:before="0" w:beforeAutospacing="0" w:after="0" w:afterAutospacing="0"/>
                    <w:ind w:left="0" w:right="0"/>
                    <w:rPr>
                      <w:rFonts w:hint="default"/>
                      <w:color w:val="auto"/>
                    </w:rPr>
                  </w:pPr>
                  <w:r>
                    <w:rPr>
                      <w:rFonts w:hint="eastAsia"/>
                      <w:color w:val="auto"/>
                    </w:rPr>
                    <w:t>60.0</w:t>
                  </w:r>
                </w:p>
              </w:tc>
              <w:tc>
                <w:tcPr>
                  <w:tcW w:w="873" w:type="dxa"/>
                  <w:tcBorders>
                    <w:tl2br w:val="nil"/>
                    <w:tr2bl w:val="nil"/>
                  </w:tcBorders>
                  <w:vAlign w:val="center"/>
                </w:tcPr>
                <w:p w14:paraId="549E2550">
                  <w:pPr>
                    <w:pStyle w:val="36"/>
                    <w:keepNext w:val="0"/>
                    <w:keepLines w:val="0"/>
                    <w:suppressLineNumbers w:val="0"/>
                    <w:spacing w:before="0" w:beforeAutospacing="0" w:after="0" w:afterAutospacing="0"/>
                    <w:ind w:left="0" w:right="0"/>
                    <w:rPr>
                      <w:rFonts w:hint="default"/>
                      <w:color w:val="auto"/>
                    </w:rPr>
                  </w:pPr>
                  <w:r>
                    <w:rPr>
                      <w:rFonts w:hint="default"/>
                      <w:color w:val="auto"/>
                    </w:rPr>
                    <w:t>达标</w:t>
                  </w:r>
                </w:p>
              </w:tc>
            </w:tr>
            <w:tr w14:paraId="55B625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1" w:type="dxa"/>
                  <w:tcBorders>
                    <w:tl2br w:val="nil"/>
                    <w:tr2bl w:val="nil"/>
                  </w:tcBorders>
                  <w:vAlign w:val="center"/>
                </w:tcPr>
                <w:p w14:paraId="522B6F8A">
                  <w:pPr>
                    <w:pStyle w:val="36"/>
                    <w:keepNext w:val="0"/>
                    <w:keepLines w:val="0"/>
                    <w:suppressLineNumbers w:val="0"/>
                    <w:spacing w:before="0" w:beforeAutospacing="0" w:after="0" w:afterAutospacing="0"/>
                    <w:ind w:left="0" w:right="0"/>
                    <w:rPr>
                      <w:rFonts w:hint="default"/>
                      <w:color w:val="auto"/>
                    </w:rPr>
                  </w:pPr>
                  <w:r>
                    <w:rPr>
                      <w:rFonts w:hint="default"/>
                      <w:color w:val="auto"/>
                    </w:rPr>
                    <w:t>PM</w:t>
                  </w:r>
                  <w:r>
                    <w:rPr>
                      <w:rFonts w:hint="default"/>
                      <w:color w:val="auto"/>
                      <w:vertAlign w:val="subscript"/>
                    </w:rPr>
                    <w:t>10</w:t>
                  </w:r>
                </w:p>
              </w:tc>
              <w:tc>
                <w:tcPr>
                  <w:tcW w:w="2444" w:type="dxa"/>
                  <w:tcBorders>
                    <w:tl2br w:val="nil"/>
                    <w:tr2bl w:val="nil"/>
                  </w:tcBorders>
                  <w:vAlign w:val="center"/>
                </w:tcPr>
                <w:p w14:paraId="4577DD28">
                  <w:pPr>
                    <w:pStyle w:val="36"/>
                    <w:keepNext w:val="0"/>
                    <w:keepLines w:val="0"/>
                    <w:suppressLineNumbers w:val="0"/>
                    <w:spacing w:before="0" w:beforeAutospacing="0" w:after="0" w:afterAutospacing="0"/>
                    <w:ind w:left="0" w:right="0"/>
                    <w:rPr>
                      <w:rFonts w:hint="default"/>
                      <w:color w:val="auto"/>
                    </w:rPr>
                  </w:pPr>
                  <w:r>
                    <w:rPr>
                      <w:rFonts w:hint="default"/>
                      <w:color w:val="auto"/>
                    </w:rPr>
                    <w:t>年平均质量浓度</w:t>
                  </w:r>
                </w:p>
              </w:tc>
              <w:tc>
                <w:tcPr>
                  <w:tcW w:w="1200" w:type="dxa"/>
                  <w:tcBorders>
                    <w:tl2br w:val="nil"/>
                    <w:tr2bl w:val="nil"/>
                  </w:tcBorders>
                  <w:vAlign w:val="center"/>
                </w:tcPr>
                <w:p w14:paraId="5BF82D8A">
                  <w:pPr>
                    <w:pStyle w:val="36"/>
                    <w:keepNext w:val="0"/>
                    <w:keepLines w:val="0"/>
                    <w:suppressLineNumbers w:val="0"/>
                    <w:spacing w:before="0" w:beforeAutospacing="0" w:after="0" w:afterAutospacing="0"/>
                    <w:ind w:left="0" w:right="0"/>
                    <w:rPr>
                      <w:rFonts w:hint="default"/>
                      <w:color w:val="auto"/>
                    </w:rPr>
                  </w:pPr>
                  <w:r>
                    <w:rPr>
                      <w:rFonts w:hint="eastAsia"/>
                      <w:color w:val="auto"/>
                    </w:rPr>
                    <w:t>73</w:t>
                  </w:r>
                </w:p>
              </w:tc>
              <w:tc>
                <w:tcPr>
                  <w:tcW w:w="1402" w:type="dxa"/>
                  <w:tcBorders>
                    <w:tl2br w:val="nil"/>
                    <w:tr2bl w:val="nil"/>
                  </w:tcBorders>
                  <w:vAlign w:val="center"/>
                </w:tcPr>
                <w:p w14:paraId="4F131435">
                  <w:pPr>
                    <w:pStyle w:val="36"/>
                    <w:keepNext w:val="0"/>
                    <w:keepLines w:val="0"/>
                    <w:suppressLineNumbers w:val="0"/>
                    <w:spacing w:before="0" w:beforeAutospacing="0" w:after="0" w:afterAutospacing="0"/>
                    <w:ind w:left="0" w:right="0"/>
                    <w:rPr>
                      <w:rFonts w:hint="default"/>
                      <w:color w:val="auto"/>
                    </w:rPr>
                  </w:pPr>
                  <w:r>
                    <w:rPr>
                      <w:rFonts w:hint="default"/>
                      <w:color w:val="auto"/>
                    </w:rPr>
                    <w:t>70</w:t>
                  </w:r>
                </w:p>
              </w:tc>
              <w:tc>
                <w:tcPr>
                  <w:tcW w:w="1211" w:type="dxa"/>
                  <w:tcBorders>
                    <w:tl2br w:val="nil"/>
                    <w:tr2bl w:val="nil"/>
                  </w:tcBorders>
                  <w:vAlign w:val="center"/>
                </w:tcPr>
                <w:p w14:paraId="16ED3BDA">
                  <w:pPr>
                    <w:pStyle w:val="36"/>
                    <w:keepNext w:val="0"/>
                    <w:keepLines w:val="0"/>
                    <w:suppressLineNumbers w:val="0"/>
                    <w:spacing w:before="0" w:beforeAutospacing="0" w:after="0" w:afterAutospacing="0"/>
                    <w:ind w:left="0" w:right="0"/>
                    <w:rPr>
                      <w:rFonts w:hint="default"/>
                      <w:color w:val="auto"/>
                    </w:rPr>
                  </w:pPr>
                  <w:r>
                    <w:rPr>
                      <w:rFonts w:hint="eastAsia"/>
                      <w:color w:val="auto"/>
                    </w:rPr>
                    <w:t>104.3</w:t>
                  </w:r>
                </w:p>
              </w:tc>
              <w:tc>
                <w:tcPr>
                  <w:tcW w:w="873" w:type="dxa"/>
                  <w:tcBorders>
                    <w:tl2br w:val="nil"/>
                    <w:tr2bl w:val="nil"/>
                  </w:tcBorders>
                  <w:vAlign w:val="center"/>
                </w:tcPr>
                <w:p w14:paraId="799ED76F">
                  <w:pPr>
                    <w:pStyle w:val="36"/>
                    <w:keepNext w:val="0"/>
                    <w:keepLines w:val="0"/>
                    <w:suppressLineNumbers w:val="0"/>
                    <w:spacing w:before="0" w:beforeAutospacing="0" w:after="0" w:afterAutospacing="0"/>
                    <w:ind w:left="0" w:right="0"/>
                    <w:rPr>
                      <w:rFonts w:hint="default"/>
                      <w:color w:val="auto"/>
                    </w:rPr>
                  </w:pPr>
                  <w:r>
                    <w:rPr>
                      <w:rFonts w:hint="default"/>
                      <w:color w:val="auto"/>
                    </w:rPr>
                    <w:t>不达标</w:t>
                  </w:r>
                </w:p>
              </w:tc>
            </w:tr>
            <w:tr w14:paraId="5EECB6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1" w:type="dxa"/>
                  <w:tcBorders>
                    <w:tl2br w:val="nil"/>
                    <w:tr2bl w:val="nil"/>
                  </w:tcBorders>
                  <w:vAlign w:val="center"/>
                </w:tcPr>
                <w:p w14:paraId="6886614C">
                  <w:pPr>
                    <w:pStyle w:val="36"/>
                    <w:keepNext w:val="0"/>
                    <w:keepLines w:val="0"/>
                    <w:suppressLineNumbers w:val="0"/>
                    <w:spacing w:before="0" w:beforeAutospacing="0" w:after="0" w:afterAutospacing="0"/>
                    <w:ind w:left="0" w:right="0"/>
                    <w:rPr>
                      <w:rFonts w:hint="default"/>
                      <w:color w:val="auto"/>
                    </w:rPr>
                  </w:pPr>
                  <w:r>
                    <w:rPr>
                      <w:rFonts w:hint="default"/>
                      <w:color w:val="auto"/>
                    </w:rPr>
                    <w:t>PM</w:t>
                  </w:r>
                  <w:r>
                    <w:rPr>
                      <w:rFonts w:hint="default"/>
                      <w:color w:val="auto"/>
                      <w:vertAlign w:val="subscript"/>
                    </w:rPr>
                    <w:t>2.5</w:t>
                  </w:r>
                </w:p>
              </w:tc>
              <w:tc>
                <w:tcPr>
                  <w:tcW w:w="2444" w:type="dxa"/>
                  <w:tcBorders>
                    <w:tl2br w:val="nil"/>
                    <w:tr2bl w:val="nil"/>
                  </w:tcBorders>
                  <w:vAlign w:val="center"/>
                </w:tcPr>
                <w:p w14:paraId="49ADCD47">
                  <w:pPr>
                    <w:pStyle w:val="36"/>
                    <w:keepNext w:val="0"/>
                    <w:keepLines w:val="0"/>
                    <w:suppressLineNumbers w:val="0"/>
                    <w:spacing w:before="0" w:beforeAutospacing="0" w:after="0" w:afterAutospacing="0"/>
                    <w:ind w:left="0" w:right="0"/>
                    <w:rPr>
                      <w:rFonts w:hint="default"/>
                      <w:color w:val="auto"/>
                    </w:rPr>
                  </w:pPr>
                  <w:r>
                    <w:rPr>
                      <w:rFonts w:hint="default"/>
                      <w:color w:val="auto"/>
                    </w:rPr>
                    <w:t>年平均质量浓度</w:t>
                  </w:r>
                </w:p>
              </w:tc>
              <w:tc>
                <w:tcPr>
                  <w:tcW w:w="1200" w:type="dxa"/>
                  <w:tcBorders>
                    <w:tl2br w:val="nil"/>
                    <w:tr2bl w:val="nil"/>
                  </w:tcBorders>
                  <w:vAlign w:val="center"/>
                </w:tcPr>
                <w:p w14:paraId="06058B88">
                  <w:pPr>
                    <w:pStyle w:val="36"/>
                    <w:keepNext w:val="0"/>
                    <w:keepLines w:val="0"/>
                    <w:suppressLineNumbers w:val="0"/>
                    <w:spacing w:before="0" w:beforeAutospacing="0" w:after="0" w:afterAutospacing="0"/>
                    <w:ind w:left="0" w:right="0"/>
                    <w:rPr>
                      <w:rFonts w:hint="default"/>
                      <w:color w:val="auto"/>
                    </w:rPr>
                  </w:pPr>
                  <w:r>
                    <w:rPr>
                      <w:rFonts w:hint="eastAsia"/>
                      <w:color w:val="auto"/>
                    </w:rPr>
                    <w:t>38</w:t>
                  </w:r>
                </w:p>
              </w:tc>
              <w:tc>
                <w:tcPr>
                  <w:tcW w:w="1402" w:type="dxa"/>
                  <w:tcBorders>
                    <w:tl2br w:val="nil"/>
                    <w:tr2bl w:val="nil"/>
                  </w:tcBorders>
                  <w:vAlign w:val="center"/>
                </w:tcPr>
                <w:p w14:paraId="45389E30">
                  <w:pPr>
                    <w:pStyle w:val="36"/>
                    <w:keepNext w:val="0"/>
                    <w:keepLines w:val="0"/>
                    <w:suppressLineNumbers w:val="0"/>
                    <w:spacing w:before="0" w:beforeAutospacing="0" w:after="0" w:afterAutospacing="0"/>
                    <w:ind w:left="0" w:right="0"/>
                    <w:rPr>
                      <w:rFonts w:hint="default"/>
                      <w:color w:val="auto"/>
                    </w:rPr>
                  </w:pPr>
                  <w:r>
                    <w:rPr>
                      <w:rFonts w:hint="default"/>
                      <w:color w:val="auto"/>
                    </w:rPr>
                    <w:t>35</w:t>
                  </w:r>
                </w:p>
              </w:tc>
              <w:tc>
                <w:tcPr>
                  <w:tcW w:w="1211" w:type="dxa"/>
                  <w:tcBorders>
                    <w:tl2br w:val="nil"/>
                    <w:tr2bl w:val="nil"/>
                  </w:tcBorders>
                  <w:vAlign w:val="center"/>
                </w:tcPr>
                <w:p w14:paraId="4F5CBA15">
                  <w:pPr>
                    <w:pStyle w:val="36"/>
                    <w:keepNext w:val="0"/>
                    <w:keepLines w:val="0"/>
                    <w:suppressLineNumbers w:val="0"/>
                    <w:spacing w:before="0" w:beforeAutospacing="0" w:after="0" w:afterAutospacing="0"/>
                    <w:ind w:left="0" w:right="0"/>
                    <w:rPr>
                      <w:rFonts w:hint="default"/>
                      <w:color w:val="auto"/>
                    </w:rPr>
                  </w:pPr>
                  <w:r>
                    <w:rPr>
                      <w:rFonts w:hint="default"/>
                      <w:color w:val="auto"/>
                    </w:rPr>
                    <w:t>1</w:t>
                  </w:r>
                  <w:r>
                    <w:rPr>
                      <w:rFonts w:hint="eastAsia"/>
                      <w:color w:val="auto"/>
                    </w:rPr>
                    <w:t>08.6</w:t>
                  </w:r>
                </w:p>
              </w:tc>
              <w:tc>
                <w:tcPr>
                  <w:tcW w:w="873" w:type="dxa"/>
                  <w:tcBorders>
                    <w:tl2br w:val="nil"/>
                    <w:tr2bl w:val="nil"/>
                  </w:tcBorders>
                  <w:vAlign w:val="center"/>
                </w:tcPr>
                <w:p w14:paraId="0179F7F2">
                  <w:pPr>
                    <w:pStyle w:val="36"/>
                    <w:keepNext w:val="0"/>
                    <w:keepLines w:val="0"/>
                    <w:suppressLineNumbers w:val="0"/>
                    <w:spacing w:before="0" w:beforeAutospacing="0" w:after="0" w:afterAutospacing="0"/>
                    <w:ind w:left="0" w:right="0"/>
                    <w:rPr>
                      <w:rFonts w:hint="default"/>
                      <w:color w:val="auto"/>
                    </w:rPr>
                  </w:pPr>
                  <w:r>
                    <w:rPr>
                      <w:rFonts w:hint="default"/>
                      <w:color w:val="auto"/>
                    </w:rPr>
                    <w:t>不达标</w:t>
                  </w:r>
                </w:p>
              </w:tc>
            </w:tr>
            <w:tr w14:paraId="6648AF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1" w:type="dxa"/>
                  <w:tcBorders>
                    <w:tl2br w:val="nil"/>
                    <w:tr2bl w:val="nil"/>
                  </w:tcBorders>
                  <w:vAlign w:val="center"/>
                </w:tcPr>
                <w:p w14:paraId="21EA8C20">
                  <w:pPr>
                    <w:pStyle w:val="36"/>
                    <w:keepNext w:val="0"/>
                    <w:keepLines w:val="0"/>
                    <w:suppressLineNumbers w:val="0"/>
                    <w:spacing w:before="0" w:beforeAutospacing="0" w:after="0" w:afterAutospacing="0"/>
                    <w:ind w:left="0" w:right="0"/>
                    <w:rPr>
                      <w:rFonts w:hint="default"/>
                      <w:color w:val="auto"/>
                    </w:rPr>
                  </w:pPr>
                  <w:r>
                    <w:rPr>
                      <w:rFonts w:hint="default"/>
                      <w:color w:val="auto"/>
                    </w:rPr>
                    <w:t>CO</w:t>
                  </w:r>
                </w:p>
              </w:tc>
              <w:tc>
                <w:tcPr>
                  <w:tcW w:w="2444" w:type="dxa"/>
                  <w:tcBorders>
                    <w:tl2br w:val="nil"/>
                    <w:tr2bl w:val="nil"/>
                  </w:tcBorders>
                  <w:vAlign w:val="center"/>
                </w:tcPr>
                <w:p w14:paraId="75F9AF29">
                  <w:pPr>
                    <w:pStyle w:val="36"/>
                    <w:keepNext w:val="0"/>
                    <w:keepLines w:val="0"/>
                    <w:suppressLineNumbers w:val="0"/>
                    <w:spacing w:before="0" w:beforeAutospacing="0" w:after="0" w:afterAutospacing="0"/>
                    <w:ind w:left="0" w:right="0"/>
                    <w:rPr>
                      <w:rFonts w:hint="default"/>
                      <w:color w:val="auto"/>
                    </w:rPr>
                  </w:pPr>
                  <w:r>
                    <w:rPr>
                      <w:rFonts w:hint="eastAsia"/>
                      <w:color w:val="auto"/>
                    </w:rPr>
                    <w:t>24h</w:t>
                  </w:r>
                  <w:r>
                    <w:rPr>
                      <w:rFonts w:hint="default"/>
                      <w:color w:val="auto"/>
                    </w:rPr>
                    <w:t>平均95百分位数</w:t>
                  </w:r>
                </w:p>
              </w:tc>
              <w:tc>
                <w:tcPr>
                  <w:tcW w:w="1200" w:type="dxa"/>
                  <w:tcBorders>
                    <w:tl2br w:val="nil"/>
                    <w:tr2bl w:val="nil"/>
                  </w:tcBorders>
                  <w:vAlign w:val="center"/>
                </w:tcPr>
                <w:p w14:paraId="54CCEE63">
                  <w:pPr>
                    <w:pStyle w:val="36"/>
                    <w:keepNext w:val="0"/>
                    <w:keepLines w:val="0"/>
                    <w:suppressLineNumbers w:val="0"/>
                    <w:spacing w:before="0" w:beforeAutospacing="0" w:after="0" w:afterAutospacing="0"/>
                    <w:ind w:left="0" w:right="0"/>
                    <w:rPr>
                      <w:rFonts w:hint="default"/>
                      <w:color w:val="auto"/>
                    </w:rPr>
                  </w:pPr>
                  <w:r>
                    <w:rPr>
                      <w:rFonts w:hint="eastAsia"/>
                      <w:color w:val="auto"/>
                    </w:rPr>
                    <w:t>900</w:t>
                  </w:r>
                </w:p>
              </w:tc>
              <w:tc>
                <w:tcPr>
                  <w:tcW w:w="1402" w:type="dxa"/>
                  <w:tcBorders>
                    <w:tl2br w:val="nil"/>
                    <w:tr2bl w:val="nil"/>
                  </w:tcBorders>
                  <w:vAlign w:val="center"/>
                </w:tcPr>
                <w:p w14:paraId="03776831">
                  <w:pPr>
                    <w:pStyle w:val="36"/>
                    <w:keepNext w:val="0"/>
                    <w:keepLines w:val="0"/>
                    <w:suppressLineNumbers w:val="0"/>
                    <w:spacing w:before="0" w:beforeAutospacing="0" w:after="0" w:afterAutospacing="0"/>
                    <w:ind w:left="0" w:right="0"/>
                    <w:rPr>
                      <w:rFonts w:hint="default"/>
                      <w:color w:val="auto"/>
                    </w:rPr>
                  </w:pPr>
                  <w:r>
                    <w:rPr>
                      <w:rFonts w:hint="eastAsia"/>
                      <w:color w:val="auto"/>
                    </w:rPr>
                    <w:t>4000</w:t>
                  </w:r>
                </w:p>
              </w:tc>
              <w:tc>
                <w:tcPr>
                  <w:tcW w:w="1211" w:type="dxa"/>
                  <w:tcBorders>
                    <w:tl2br w:val="nil"/>
                    <w:tr2bl w:val="nil"/>
                  </w:tcBorders>
                  <w:vAlign w:val="center"/>
                </w:tcPr>
                <w:p w14:paraId="4A0E8FC0">
                  <w:pPr>
                    <w:pStyle w:val="36"/>
                    <w:keepNext w:val="0"/>
                    <w:keepLines w:val="0"/>
                    <w:suppressLineNumbers w:val="0"/>
                    <w:spacing w:before="0" w:beforeAutospacing="0" w:after="0" w:afterAutospacing="0"/>
                    <w:ind w:left="0" w:right="0"/>
                    <w:rPr>
                      <w:rFonts w:hint="default"/>
                      <w:color w:val="auto"/>
                    </w:rPr>
                  </w:pPr>
                  <w:r>
                    <w:rPr>
                      <w:rFonts w:hint="eastAsia"/>
                      <w:color w:val="auto"/>
                    </w:rPr>
                    <w:t>22.5</w:t>
                  </w:r>
                </w:p>
              </w:tc>
              <w:tc>
                <w:tcPr>
                  <w:tcW w:w="873" w:type="dxa"/>
                  <w:tcBorders>
                    <w:tl2br w:val="nil"/>
                    <w:tr2bl w:val="nil"/>
                  </w:tcBorders>
                  <w:vAlign w:val="center"/>
                </w:tcPr>
                <w:p w14:paraId="486C5664">
                  <w:pPr>
                    <w:pStyle w:val="36"/>
                    <w:keepNext w:val="0"/>
                    <w:keepLines w:val="0"/>
                    <w:suppressLineNumbers w:val="0"/>
                    <w:spacing w:before="0" w:beforeAutospacing="0" w:after="0" w:afterAutospacing="0"/>
                    <w:ind w:left="0" w:right="0"/>
                    <w:rPr>
                      <w:rFonts w:hint="default"/>
                      <w:color w:val="auto"/>
                    </w:rPr>
                  </w:pPr>
                  <w:r>
                    <w:rPr>
                      <w:rFonts w:hint="default"/>
                      <w:color w:val="auto"/>
                    </w:rPr>
                    <w:t>达标</w:t>
                  </w:r>
                </w:p>
              </w:tc>
            </w:tr>
            <w:tr w14:paraId="424A01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1" w:type="dxa"/>
                  <w:tcBorders>
                    <w:tl2br w:val="nil"/>
                    <w:tr2bl w:val="nil"/>
                  </w:tcBorders>
                  <w:vAlign w:val="center"/>
                </w:tcPr>
                <w:p w14:paraId="32C21390">
                  <w:pPr>
                    <w:pStyle w:val="36"/>
                    <w:keepNext w:val="0"/>
                    <w:keepLines w:val="0"/>
                    <w:suppressLineNumbers w:val="0"/>
                    <w:spacing w:before="0" w:beforeAutospacing="0" w:after="0" w:afterAutospacing="0"/>
                    <w:ind w:left="0" w:right="0"/>
                    <w:rPr>
                      <w:rFonts w:hint="default"/>
                      <w:color w:val="auto"/>
                    </w:rPr>
                  </w:pPr>
                  <w:r>
                    <w:rPr>
                      <w:rFonts w:hint="default"/>
                      <w:color w:val="auto"/>
                    </w:rPr>
                    <w:t>O</w:t>
                  </w:r>
                  <w:r>
                    <w:rPr>
                      <w:rFonts w:hint="default"/>
                      <w:color w:val="auto"/>
                      <w:vertAlign w:val="subscript"/>
                    </w:rPr>
                    <w:t>3</w:t>
                  </w:r>
                </w:p>
              </w:tc>
              <w:tc>
                <w:tcPr>
                  <w:tcW w:w="2444" w:type="dxa"/>
                  <w:tcBorders>
                    <w:tl2br w:val="nil"/>
                    <w:tr2bl w:val="nil"/>
                  </w:tcBorders>
                  <w:vAlign w:val="center"/>
                </w:tcPr>
                <w:p w14:paraId="03A19D13">
                  <w:pPr>
                    <w:pStyle w:val="36"/>
                    <w:keepNext w:val="0"/>
                    <w:keepLines w:val="0"/>
                    <w:suppressLineNumbers w:val="0"/>
                    <w:spacing w:before="0" w:beforeAutospacing="0" w:after="0" w:afterAutospacing="0"/>
                    <w:ind w:left="0" w:right="0"/>
                    <w:rPr>
                      <w:rFonts w:hint="default"/>
                      <w:color w:val="auto"/>
                    </w:rPr>
                  </w:pPr>
                  <w:r>
                    <w:rPr>
                      <w:rFonts w:hint="default"/>
                      <w:color w:val="auto"/>
                    </w:rPr>
                    <w:t>最大8h第90百分位数</w:t>
                  </w:r>
                </w:p>
              </w:tc>
              <w:tc>
                <w:tcPr>
                  <w:tcW w:w="1200" w:type="dxa"/>
                  <w:tcBorders>
                    <w:tl2br w:val="nil"/>
                    <w:tr2bl w:val="nil"/>
                  </w:tcBorders>
                  <w:vAlign w:val="center"/>
                </w:tcPr>
                <w:p w14:paraId="21D21A07">
                  <w:pPr>
                    <w:pStyle w:val="36"/>
                    <w:keepNext w:val="0"/>
                    <w:keepLines w:val="0"/>
                    <w:suppressLineNumbers w:val="0"/>
                    <w:spacing w:before="0" w:beforeAutospacing="0" w:after="0" w:afterAutospacing="0"/>
                    <w:ind w:left="0" w:right="0"/>
                    <w:rPr>
                      <w:rFonts w:hint="default"/>
                      <w:color w:val="auto"/>
                    </w:rPr>
                  </w:pPr>
                  <w:r>
                    <w:rPr>
                      <w:rFonts w:hint="eastAsia"/>
                      <w:color w:val="auto"/>
                    </w:rPr>
                    <w:t>90</w:t>
                  </w:r>
                </w:p>
              </w:tc>
              <w:tc>
                <w:tcPr>
                  <w:tcW w:w="1402" w:type="dxa"/>
                  <w:tcBorders>
                    <w:tl2br w:val="nil"/>
                    <w:tr2bl w:val="nil"/>
                  </w:tcBorders>
                  <w:vAlign w:val="center"/>
                </w:tcPr>
                <w:p w14:paraId="3B494E6F">
                  <w:pPr>
                    <w:pStyle w:val="36"/>
                    <w:keepNext w:val="0"/>
                    <w:keepLines w:val="0"/>
                    <w:suppressLineNumbers w:val="0"/>
                    <w:spacing w:before="0" w:beforeAutospacing="0" w:after="0" w:afterAutospacing="0"/>
                    <w:ind w:left="0" w:right="0"/>
                    <w:rPr>
                      <w:rFonts w:hint="default"/>
                      <w:color w:val="auto"/>
                    </w:rPr>
                  </w:pPr>
                  <w:r>
                    <w:rPr>
                      <w:rFonts w:hint="default"/>
                      <w:color w:val="auto"/>
                    </w:rPr>
                    <w:t>160</w:t>
                  </w:r>
                </w:p>
              </w:tc>
              <w:tc>
                <w:tcPr>
                  <w:tcW w:w="1211" w:type="dxa"/>
                  <w:tcBorders>
                    <w:tl2br w:val="nil"/>
                    <w:tr2bl w:val="nil"/>
                  </w:tcBorders>
                  <w:vAlign w:val="center"/>
                </w:tcPr>
                <w:p w14:paraId="442C6944">
                  <w:pPr>
                    <w:pStyle w:val="36"/>
                    <w:keepNext w:val="0"/>
                    <w:keepLines w:val="0"/>
                    <w:suppressLineNumbers w:val="0"/>
                    <w:spacing w:before="0" w:beforeAutospacing="0" w:after="0" w:afterAutospacing="0"/>
                    <w:ind w:left="0" w:right="0"/>
                    <w:rPr>
                      <w:rFonts w:hint="default"/>
                      <w:color w:val="auto"/>
                    </w:rPr>
                  </w:pPr>
                  <w:r>
                    <w:rPr>
                      <w:rFonts w:hint="eastAsia"/>
                      <w:color w:val="auto"/>
                    </w:rPr>
                    <w:t>56.3</w:t>
                  </w:r>
                </w:p>
              </w:tc>
              <w:tc>
                <w:tcPr>
                  <w:tcW w:w="873" w:type="dxa"/>
                  <w:tcBorders>
                    <w:tl2br w:val="nil"/>
                    <w:tr2bl w:val="nil"/>
                  </w:tcBorders>
                  <w:vAlign w:val="center"/>
                </w:tcPr>
                <w:p w14:paraId="22DD7F5E">
                  <w:pPr>
                    <w:pStyle w:val="36"/>
                    <w:keepNext w:val="0"/>
                    <w:keepLines w:val="0"/>
                    <w:suppressLineNumbers w:val="0"/>
                    <w:spacing w:before="0" w:beforeAutospacing="0" w:after="0" w:afterAutospacing="0"/>
                    <w:ind w:left="0" w:right="0"/>
                    <w:rPr>
                      <w:rFonts w:hint="default"/>
                      <w:color w:val="auto"/>
                    </w:rPr>
                  </w:pPr>
                  <w:r>
                    <w:rPr>
                      <w:rFonts w:hint="default"/>
                      <w:color w:val="auto"/>
                    </w:rPr>
                    <w:t>达标</w:t>
                  </w:r>
                </w:p>
              </w:tc>
            </w:tr>
          </w:tbl>
          <w:p w14:paraId="660AF201">
            <w:pPr>
              <w:keepNext w:val="0"/>
              <w:keepLines w:val="0"/>
              <w:suppressLineNumbers w:val="0"/>
              <w:spacing w:before="0" w:beforeAutospacing="0" w:after="0" w:afterAutospacing="0"/>
              <w:ind w:left="0" w:right="0" w:firstLine="420"/>
              <w:jc w:val="left"/>
              <w:rPr>
                <w:rFonts w:hint="default"/>
                <w:color w:val="auto"/>
              </w:rPr>
            </w:pPr>
            <w:r>
              <w:rPr>
                <w:rFonts w:hint="eastAsia"/>
                <w:color w:val="auto"/>
              </w:rPr>
              <w:t>根据上表可知，</w:t>
            </w:r>
            <w:r>
              <w:rPr>
                <w:rFonts w:hint="default"/>
                <w:color w:val="auto"/>
              </w:rPr>
              <w:t>区域</w:t>
            </w:r>
            <w:r>
              <w:rPr>
                <w:rFonts w:hint="eastAsia"/>
                <w:color w:val="auto"/>
              </w:rPr>
              <w:t>污染物中</w:t>
            </w:r>
            <w:r>
              <w:rPr>
                <w:rFonts w:hint="default"/>
                <w:color w:val="auto"/>
              </w:rPr>
              <w:t>PM</w:t>
            </w:r>
            <w:r>
              <w:rPr>
                <w:rFonts w:hint="default"/>
                <w:color w:val="auto"/>
                <w:vertAlign w:val="subscript"/>
              </w:rPr>
              <w:t>10</w:t>
            </w:r>
            <w:r>
              <w:rPr>
                <w:rFonts w:hint="default"/>
                <w:color w:val="auto"/>
              </w:rPr>
              <w:t>、PM</w:t>
            </w:r>
            <w:r>
              <w:rPr>
                <w:rFonts w:hint="default"/>
                <w:color w:val="auto"/>
                <w:vertAlign w:val="subscript"/>
              </w:rPr>
              <w:t>2.5</w:t>
            </w:r>
            <w:r>
              <w:rPr>
                <w:rFonts w:hint="default"/>
                <w:color w:val="auto"/>
              </w:rPr>
              <w:t>年平均质量浓度超过《环境空气质量标准》（GB3095-2012）中二级标准限值</w:t>
            </w:r>
            <w:r>
              <w:rPr>
                <w:rFonts w:hint="eastAsia"/>
                <w:color w:val="auto"/>
              </w:rPr>
              <w:t>要求，其余污染物均可满足</w:t>
            </w:r>
            <w:r>
              <w:rPr>
                <w:rFonts w:hint="default"/>
                <w:color w:val="auto"/>
              </w:rPr>
              <w:t>二级标准限值</w:t>
            </w:r>
            <w:r>
              <w:rPr>
                <w:rFonts w:hint="eastAsia"/>
                <w:color w:val="auto"/>
              </w:rPr>
              <w:t>要求，项目所在地呼图壁县属于不达标区</w:t>
            </w:r>
            <w:r>
              <w:rPr>
                <w:rFonts w:hint="default"/>
                <w:color w:val="auto"/>
              </w:rPr>
              <w:t>。</w:t>
            </w:r>
          </w:p>
          <w:p w14:paraId="29EB14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2、地表水环境质量现状</w:t>
            </w:r>
          </w:p>
          <w:p w14:paraId="5CFA56F2">
            <w:pPr>
              <w:keepNext w:val="0"/>
              <w:keepLines w:val="0"/>
              <w:suppressLineNumbers w:val="0"/>
              <w:spacing w:before="0" w:beforeAutospacing="0" w:after="0" w:afterAutospacing="0"/>
              <w:ind w:left="0" w:right="0" w:firstLine="420"/>
              <w:rPr>
                <w:rFonts w:hint="default"/>
                <w:color w:val="auto"/>
              </w:rPr>
            </w:pPr>
            <w:r>
              <w:rPr>
                <w:rFonts w:hint="eastAsia"/>
                <w:color w:val="auto"/>
              </w:rPr>
              <w:t>本项目地表水环境质量引用昌吉州生态环境局发布的</w:t>
            </w:r>
            <w:r>
              <w:rPr>
                <w:rFonts w:hint="default"/>
                <w:color w:val="auto"/>
              </w:rPr>
              <w:t>202</w:t>
            </w:r>
            <w:r>
              <w:rPr>
                <w:rFonts w:hint="eastAsia"/>
                <w:color w:val="auto"/>
              </w:rPr>
              <w:t>3</w:t>
            </w:r>
            <w:r>
              <w:rPr>
                <w:rFonts w:hint="default"/>
                <w:color w:val="auto"/>
              </w:rPr>
              <w:t>年</w:t>
            </w:r>
            <w:r>
              <w:rPr>
                <w:rFonts w:hint="eastAsia"/>
                <w:color w:val="auto"/>
              </w:rPr>
              <w:t>1-12月</w:t>
            </w:r>
            <w:r>
              <w:rPr>
                <w:rFonts w:hint="default"/>
                <w:color w:val="auto"/>
              </w:rPr>
              <w:t>水质</w:t>
            </w:r>
            <w:r>
              <w:rPr>
                <w:rFonts w:hint="eastAsia"/>
                <w:color w:val="auto"/>
              </w:rPr>
              <w:t>监测</w:t>
            </w:r>
            <w:r>
              <w:rPr>
                <w:rFonts w:hint="default"/>
                <w:color w:val="auto"/>
              </w:rPr>
              <w:t>报告</w:t>
            </w:r>
            <w:r>
              <w:rPr>
                <w:rFonts w:hint="eastAsia"/>
                <w:color w:val="auto"/>
              </w:rPr>
              <w:t>，呼图壁县涉及河流主要为呼图壁河，监测断面名称为棉纺厂，属国控断面，断面坐标经度</w:t>
            </w:r>
            <w:r>
              <w:rPr>
                <w:rFonts w:hint="default" w:cs="Times New Roman"/>
                <w:color w:val="auto"/>
                <w:shd w:val="clear" w:color="auto" w:fill="FFFFFF"/>
              </w:rPr>
              <w:t>86.86502</w:t>
            </w:r>
            <w:r>
              <w:rPr>
                <w:rFonts w:hint="eastAsia" w:cs="Times New Roman"/>
                <w:color w:val="auto"/>
                <w:shd w:val="clear" w:color="auto" w:fill="FFFFFF"/>
              </w:rPr>
              <w:t>，纬度44.19136，</w:t>
            </w:r>
            <w:r>
              <w:rPr>
                <w:rFonts w:hint="eastAsia"/>
                <w:color w:val="auto"/>
              </w:rPr>
              <w:t>具体情况见下表</w:t>
            </w:r>
            <w:r>
              <w:rPr>
                <w:rFonts w:hint="eastAsia"/>
                <w:color w:val="auto"/>
                <w:lang w:val="en-US" w:eastAsia="zh-CN"/>
              </w:rPr>
              <w:t>3-2</w:t>
            </w:r>
            <w:r>
              <w:rPr>
                <w:rFonts w:hint="eastAsia"/>
                <w:color w:val="auto"/>
              </w:rPr>
              <w:t>。</w:t>
            </w:r>
          </w:p>
          <w:p w14:paraId="67378C4C">
            <w:pPr>
              <w:keepNext w:val="0"/>
              <w:keepLines w:val="0"/>
              <w:suppressLineNumbers w:val="0"/>
              <w:spacing w:before="0" w:beforeAutospacing="0" w:after="0" w:afterAutospacing="0" w:line="240" w:lineRule="auto"/>
              <w:ind w:left="0" w:leftChars="0" w:right="0" w:firstLine="0" w:firstLineChars="0"/>
              <w:jc w:val="center"/>
              <w:rPr>
                <w:rFonts w:hint="default"/>
                <w:b/>
                <w:bCs/>
                <w:color w:val="auto"/>
              </w:rPr>
            </w:pPr>
            <w:r>
              <w:rPr>
                <w:rFonts w:hint="default"/>
                <w:b/>
                <w:bCs/>
                <w:color w:val="auto"/>
              </w:rPr>
              <w:t>表</w:t>
            </w:r>
            <w:r>
              <w:rPr>
                <w:rFonts w:hint="eastAsia"/>
                <w:b/>
                <w:bCs/>
                <w:color w:val="auto"/>
                <w:lang w:val="en-US" w:eastAsia="zh-CN"/>
              </w:rPr>
              <w:t xml:space="preserve">3-2  </w:t>
            </w:r>
            <w:r>
              <w:rPr>
                <w:rFonts w:hint="default"/>
                <w:b/>
                <w:bCs/>
                <w:color w:val="auto"/>
              </w:rPr>
              <w:t>20</w:t>
            </w:r>
            <w:r>
              <w:rPr>
                <w:rFonts w:hint="eastAsia"/>
                <w:b/>
                <w:bCs/>
                <w:color w:val="auto"/>
              </w:rPr>
              <w:t>22</w:t>
            </w:r>
            <w:r>
              <w:rPr>
                <w:rFonts w:hint="default"/>
                <w:b/>
                <w:bCs/>
                <w:color w:val="auto"/>
              </w:rPr>
              <w:t>年</w:t>
            </w:r>
            <w:r>
              <w:rPr>
                <w:rFonts w:hint="eastAsia"/>
                <w:b/>
                <w:bCs/>
                <w:color w:val="auto"/>
              </w:rPr>
              <w:t>1-8呼图壁县主要河流断面水质状况</w:t>
            </w:r>
          </w:p>
          <w:tbl>
            <w:tblPr>
              <w:tblStyle w:val="21"/>
              <w:tblW w:w="79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137"/>
              <w:gridCol w:w="1132"/>
              <w:gridCol w:w="1771"/>
              <w:gridCol w:w="1157"/>
              <w:gridCol w:w="1529"/>
            </w:tblGrid>
            <w:tr w14:paraId="311D07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5" w:type="dxa"/>
                  <w:tcBorders>
                    <w:tl2br w:val="nil"/>
                    <w:tr2bl w:val="nil"/>
                  </w:tcBorders>
                  <w:vAlign w:val="center"/>
                </w:tcPr>
                <w:p w14:paraId="2C5788C8">
                  <w:pPr>
                    <w:pStyle w:val="36"/>
                    <w:keepNext w:val="0"/>
                    <w:keepLines w:val="0"/>
                    <w:suppressLineNumbers w:val="0"/>
                    <w:spacing w:before="0" w:beforeAutospacing="0" w:after="0" w:afterAutospacing="0"/>
                    <w:ind w:left="0" w:right="0"/>
                    <w:rPr>
                      <w:rFonts w:hint="default"/>
                      <w:color w:val="auto"/>
                    </w:rPr>
                  </w:pPr>
                  <w:r>
                    <w:rPr>
                      <w:rFonts w:hint="eastAsia"/>
                      <w:color w:val="auto"/>
                    </w:rPr>
                    <w:t>河流名称</w:t>
                  </w:r>
                </w:p>
              </w:tc>
              <w:tc>
                <w:tcPr>
                  <w:tcW w:w="1137" w:type="dxa"/>
                  <w:tcBorders>
                    <w:tl2br w:val="nil"/>
                    <w:tr2bl w:val="nil"/>
                  </w:tcBorders>
                  <w:vAlign w:val="center"/>
                </w:tcPr>
                <w:p w14:paraId="6DAFFF50">
                  <w:pPr>
                    <w:pStyle w:val="36"/>
                    <w:keepNext w:val="0"/>
                    <w:keepLines w:val="0"/>
                    <w:suppressLineNumbers w:val="0"/>
                    <w:spacing w:before="0" w:beforeAutospacing="0" w:after="0" w:afterAutospacing="0"/>
                    <w:ind w:left="0" w:right="0"/>
                    <w:rPr>
                      <w:rFonts w:hint="default"/>
                      <w:color w:val="auto"/>
                    </w:rPr>
                  </w:pPr>
                  <w:r>
                    <w:rPr>
                      <w:rFonts w:hint="eastAsia"/>
                      <w:color w:val="auto"/>
                    </w:rPr>
                    <w:t>断面名称</w:t>
                  </w:r>
                </w:p>
              </w:tc>
              <w:tc>
                <w:tcPr>
                  <w:tcW w:w="1132" w:type="dxa"/>
                  <w:tcBorders>
                    <w:tl2br w:val="nil"/>
                    <w:tr2bl w:val="nil"/>
                  </w:tcBorders>
                  <w:vAlign w:val="center"/>
                </w:tcPr>
                <w:p w14:paraId="1AD71036">
                  <w:pPr>
                    <w:pStyle w:val="36"/>
                    <w:keepNext w:val="0"/>
                    <w:keepLines w:val="0"/>
                    <w:suppressLineNumbers w:val="0"/>
                    <w:spacing w:before="0" w:beforeAutospacing="0" w:after="0" w:afterAutospacing="0"/>
                    <w:ind w:left="0" w:right="0"/>
                    <w:rPr>
                      <w:rFonts w:hint="default"/>
                      <w:color w:val="auto"/>
                    </w:rPr>
                  </w:pPr>
                  <w:r>
                    <w:rPr>
                      <w:rFonts w:hint="eastAsia"/>
                      <w:color w:val="auto"/>
                    </w:rPr>
                    <w:t>断面属性</w:t>
                  </w:r>
                </w:p>
              </w:tc>
              <w:tc>
                <w:tcPr>
                  <w:tcW w:w="1771" w:type="dxa"/>
                  <w:tcBorders>
                    <w:tl2br w:val="nil"/>
                    <w:tr2bl w:val="nil"/>
                  </w:tcBorders>
                  <w:vAlign w:val="center"/>
                </w:tcPr>
                <w:p w14:paraId="746E1F67">
                  <w:pPr>
                    <w:pStyle w:val="36"/>
                    <w:keepNext w:val="0"/>
                    <w:keepLines w:val="0"/>
                    <w:suppressLineNumbers w:val="0"/>
                    <w:spacing w:before="0" w:beforeAutospacing="0" w:after="0" w:afterAutospacing="0"/>
                    <w:ind w:left="0" w:right="0"/>
                    <w:rPr>
                      <w:rFonts w:hint="default"/>
                      <w:color w:val="auto"/>
                    </w:rPr>
                  </w:pPr>
                  <w:r>
                    <w:rPr>
                      <w:rFonts w:hint="eastAsia"/>
                      <w:color w:val="auto"/>
                    </w:rPr>
                    <w:t>1-12月水质类别</w:t>
                  </w:r>
                </w:p>
              </w:tc>
              <w:tc>
                <w:tcPr>
                  <w:tcW w:w="1157" w:type="dxa"/>
                  <w:tcBorders>
                    <w:tl2br w:val="nil"/>
                    <w:tr2bl w:val="nil"/>
                  </w:tcBorders>
                  <w:vAlign w:val="center"/>
                </w:tcPr>
                <w:p w14:paraId="6A35E4C3">
                  <w:pPr>
                    <w:pStyle w:val="36"/>
                    <w:keepNext w:val="0"/>
                    <w:keepLines w:val="0"/>
                    <w:suppressLineNumbers w:val="0"/>
                    <w:spacing w:before="0" w:beforeAutospacing="0" w:after="0" w:afterAutospacing="0"/>
                    <w:ind w:left="0" w:right="0"/>
                    <w:rPr>
                      <w:rFonts w:hint="default"/>
                      <w:color w:val="auto"/>
                    </w:rPr>
                  </w:pPr>
                  <w:r>
                    <w:rPr>
                      <w:rFonts w:hint="eastAsia"/>
                      <w:color w:val="auto"/>
                    </w:rPr>
                    <w:t>去年同期</w:t>
                  </w:r>
                </w:p>
              </w:tc>
              <w:tc>
                <w:tcPr>
                  <w:tcW w:w="1529" w:type="dxa"/>
                  <w:tcBorders>
                    <w:tl2br w:val="nil"/>
                    <w:tr2bl w:val="nil"/>
                  </w:tcBorders>
                  <w:vAlign w:val="center"/>
                </w:tcPr>
                <w:p w14:paraId="42A13D8A">
                  <w:pPr>
                    <w:pStyle w:val="36"/>
                    <w:keepNext w:val="0"/>
                    <w:keepLines w:val="0"/>
                    <w:suppressLineNumbers w:val="0"/>
                    <w:spacing w:before="0" w:beforeAutospacing="0" w:after="0" w:afterAutospacing="0"/>
                    <w:ind w:left="0" w:right="0"/>
                    <w:rPr>
                      <w:rFonts w:hint="default"/>
                      <w:color w:val="auto"/>
                    </w:rPr>
                  </w:pPr>
                  <w:r>
                    <w:rPr>
                      <w:rFonts w:hint="eastAsia"/>
                      <w:color w:val="auto"/>
                    </w:rPr>
                    <w:t>同比变化情况</w:t>
                  </w:r>
                </w:p>
              </w:tc>
            </w:tr>
            <w:tr w14:paraId="438924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5" w:type="dxa"/>
                  <w:tcBorders>
                    <w:tl2br w:val="nil"/>
                    <w:tr2bl w:val="nil"/>
                  </w:tcBorders>
                  <w:vAlign w:val="center"/>
                </w:tcPr>
                <w:p w14:paraId="46A9E463">
                  <w:pPr>
                    <w:pStyle w:val="36"/>
                    <w:keepNext w:val="0"/>
                    <w:keepLines w:val="0"/>
                    <w:suppressLineNumbers w:val="0"/>
                    <w:spacing w:before="0" w:beforeAutospacing="0" w:after="0" w:afterAutospacing="0"/>
                    <w:ind w:left="0" w:right="0"/>
                    <w:rPr>
                      <w:rFonts w:hint="default"/>
                      <w:color w:val="auto"/>
                    </w:rPr>
                  </w:pPr>
                  <w:r>
                    <w:rPr>
                      <w:rFonts w:hint="eastAsia"/>
                      <w:color w:val="auto"/>
                    </w:rPr>
                    <w:t>呼图壁河</w:t>
                  </w:r>
                </w:p>
              </w:tc>
              <w:tc>
                <w:tcPr>
                  <w:tcW w:w="1137" w:type="dxa"/>
                  <w:tcBorders>
                    <w:tl2br w:val="nil"/>
                    <w:tr2bl w:val="nil"/>
                  </w:tcBorders>
                  <w:vAlign w:val="center"/>
                </w:tcPr>
                <w:p w14:paraId="5F2173A6">
                  <w:pPr>
                    <w:pStyle w:val="36"/>
                    <w:keepNext w:val="0"/>
                    <w:keepLines w:val="0"/>
                    <w:suppressLineNumbers w:val="0"/>
                    <w:spacing w:before="0" w:beforeAutospacing="0" w:after="0" w:afterAutospacing="0"/>
                    <w:ind w:left="0" w:right="0"/>
                    <w:rPr>
                      <w:rFonts w:hint="default"/>
                      <w:color w:val="auto"/>
                    </w:rPr>
                  </w:pPr>
                  <w:r>
                    <w:rPr>
                      <w:rFonts w:hint="eastAsia"/>
                      <w:color w:val="auto"/>
                    </w:rPr>
                    <w:t>棉纺厂</w:t>
                  </w:r>
                </w:p>
              </w:tc>
              <w:tc>
                <w:tcPr>
                  <w:tcW w:w="1132" w:type="dxa"/>
                  <w:tcBorders>
                    <w:tl2br w:val="nil"/>
                    <w:tr2bl w:val="nil"/>
                  </w:tcBorders>
                  <w:vAlign w:val="center"/>
                </w:tcPr>
                <w:p w14:paraId="46B6BD54">
                  <w:pPr>
                    <w:pStyle w:val="36"/>
                    <w:keepNext w:val="0"/>
                    <w:keepLines w:val="0"/>
                    <w:suppressLineNumbers w:val="0"/>
                    <w:spacing w:before="0" w:beforeAutospacing="0" w:after="0" w:afterAutospacing="0"/>
                    <w:ind w:left="0" w:right="0"/>
                    <w:rPr>
                      <w:rFonts w:hint="default"/>
                      <w:color w:val="auto"/>
                    </w:rPr>
                  </w:pPr>
                  <w:r>
                    <w:rPr>
                      <w:rFonts w:hint="eastAsia"/>
                      <w:color w:val="auto"/>
                    </w:rPr>
                    <w:t>国控</w:t>
                  </w:r>
                </w:p>
              </w:tc>
              <w:tc>
                <w:tcPr>
                  <w:tcW w:w="1771" w:type="dxa"/>
                  <w:tcBorders>
                    <w:tl2br w:val="nil"/>
                    <w:tr2bl w:val="nil"/>
                  </w:tcBorders>
                  <w:vAlign w:val="center"/>
                </w:tcPr>
                <w:p w14:paraId="1AD4B47C">
                  <w:pPr>
                    <w:pStyle w:val="36"/>
                    <w:keepNext w:val="0"/>
                    <w:keepLines w:val="0"/>
                    <w:suppressLineNumbers w:val="0"/>
                    <w:spacing w:before="0" w:beforeAutospacing="0" w:after="0" w:afterAutospacing="0"/>
                    <w:ind w:left="0" w:right="0"/>
                    <w:rPr>
                      <w:rFonts w:hint="default"/>
                      <w:color w:val="auto"/>
                    </w:rPr>
                  </w:pPr>
                  <w:r>
                    <w:rPr>
                      <w:rFonts w:hint="eastAsia"/>
                      <w:color w:val="auto"/>
                    </w:rPr>
                    <w:t>Ⅰ</w:t>
                  </w:r>
                </w:p>
              </w:tc>
              <w:tc>
                <w:tcPr>
                  <w:tcW w:w="1157" w:type="dxa"/>
                  <w:tcBorders>
                    <w:tl2br w:val="nil"/>
                    <w:tr2bl w:val="nil"/>
                  </w:tcBorders>
                  <w:vAlign w:val="center"/>
                </w:tcPr>
                <w:p w14:paraId="62595421">
                  <w:pPr>
                    <w:pStyle w:val="36"/>
                    <w:keepNext w:val="0"/>
                    <w:keepLines w:val="0"/>
                    <w:suppressLineNumbers w:val="0"/>
                    <w:spacing w:before="0" w:beforeAutospacing="0" w:after="0" w:afterAutospacing="0"/>
                    <w:ind w:left="0" w:right="0"/>
                    <w:rPr>
                      <w:rFonts w:hint="default"/>
                      <w:color w:val="auto"/>
                    </w:rPr>
                  </w:pPr>
                  <w:r>
                    <w:rPr>
                      <w:rFonts w:hint="eastAsia"/>
                      <w:color w:val="auto"/>
                    </w:rPr>
                    <w:t>Ⅱ</w:t>
                  </w:r>
                </w:p>
              </w:tc>
              <w:tc>
                <w:tcPr>
                  <w:tcW w:w="1529" w:type="dxa"/>
                  <w:tcBorders>
                    <w:tl2br w:val="nil"/>
                    <w:tr2bl w:val="nil"/>
                  </w:tcBorders>
                  <w:vAlign w:val="center"/>
                </w:tcPr>
                <w:p w14:paraId="2FB810AC">
                  <w:pPr>
                    <w:pStyle w:val="36"/>
                    <w:keepNext w:val="0"/>
                    <w:keepLines w:val="0"/>
                    <w:suppressLineNumbers w:val="0"/>
                    <w:spacing w:before="0" w:beforeAutospacing="0" w:after="0" w:afterAutospacing="0"/>
                    <w:ind w:left="0" w:right="0"/>
                    <w:rPr>
                      <w:rFonts w:hint="default"/>
                      <w:color w:val="auto"/>
                    </w:rPr>
                  </w:pPr>
                  <w:r>
                    <w:rPr>
                      <w:rFonts w:hint="eastAsia"/>
                      <w:color w:val="auto"/>
                    </w:rPr>
                    <w:t>上升</w:t>
                  </w:r>
                </w:p>
              </w:tc>
            </w:tr>
            <w:tr w14:paraId="624590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971" w:type="dxa"/>
                  <w:gridSpan w:val="6"/>
                  <w:tcBorders>
                    <w:tl2br w:val="nil"/>
                    <w:tr2bl w:val="nil"/>
                  </w:tcBorders>
                  <w:vAlign w:val="center"/>
                </w:tcPr>
                <w:p w14:paraId="7AE867DB">
                  <w:pPr>
                    <w:pStyle w:val="36"/>
                    <w:keepNext w:val="0"/>
                    <w:keepLines w:val="0"/>
                    <w:suppressLineNumbers w:val="0"/>
                    <w:spacing w:before="0" w:beforeAutospacing="0" w:after="0" w:afterAutospacing="0"/>
                    <w:ind w:left="0" w:right="0"/>
                    <w:jc w:val="both"/>
                    <w:rPr>
                      <w:rFonts w:hint="default"/>
                      <w:color w:val="auto"/>
                    </w:rPr>
                  </w:pPr>
                  <w:r>
                    <w:rPr>
                      <w:rFonts w:hint="default"/>
                      <w:color w:val="auto"/>
                    </w:rPr>
                    <w:t>数据来源：</w:t>
                  </w:r>
                  <w:r>
                    <w:rPr>
                      <w:rFonts w:hint="default"/>
                      <w:color w:val="auto"/>
                    </w:rPr>
                    <w:fldChar w:fldCharType="begin"/>
                  </w:r>
                  <w:r>
                    <w:rPr>
                      <w:rFonts w:hint="default"/>
                      <w:color w:val="auto"/>
                    </w:rPr>
                    <w:instrText xml:space="preserve"> HYPERLINK "http://www.cj.gov.cn/gk/lmq/913219.htm" </w:instrText>
                  </w:r>
                  <w:r>
                    <w:rPr>
                      <w:rFonts w:hint="default"/>
                      <w:color w:val="auto"/>
                    </w:rPr>
                    <w:fldChar w:fldCharType="separate"/>
                  </w:r>
                  <w:r>
                    <w:rPr>
                      <w:rFonts w:hint="default"/>
                      <w:color w:val="auto"/>
                    </w:rPr>
                    <w:t>信息公开- 昌吉回族自治州人民政府网 (cj.gov.cn)</w:t>
                  </w:r>
                  <w:r>
                    <w:rPr>
                      <w:rFonts w:hint="default"/>
                      <w:color w:val="auto"/>
                    </w:rPr>
                    <w:fldChar w:fldCharType="end"/>
                  </w:r>
                </w:p>
                <w:p w14:paraId="24FBE736">
                  <w:pPr>
                    <w:keepNext w:val="0"/>
                    <w:keepLines w:val="0"/>
                    <w:suppressLineNumbers w:val="0"/>
                    <w:spacing w:before="0" w:beforeAutospacing="0" w:after="0" w:afterAutospacing="0" w:line="240" w:lineRule="auto"/>
                    <w:ind w:left="0" w:right="0" w:firstLine="0" w:firstLineChars="0"/>
                    <w:rPr>
                      <w:rFonts w:hint="default"/>
                      <w:color w:val="auto"/>
                    </w:rPr>
                  </w:pPr>
                  <w:r>
                    <w:rPr>
                      <w:rFonts w:hint="eastAsia"/>
                      <w:color w:val="auto"/>
                    </w:rPr>
                    <w:t>网站链接：http://www.cj.gov.cn/p122/zdwrfz/20240118/208679.html</w:t>
                  </w:r>
                </w:p>
              </w:tc>
            </w:tr>
          </w:tbl>
          <w:p w14:paraId="3EC8B9C4">
            <w:pPr>
              <w:keepNext w:val="0"/>
              <w:keepLines w:val="0"/>
              <w:suppressLineNumbers w:val="0"/>
              <w:spacing w:before="0" w:beforeAutospacing="0" w:after="0" w:afterAutospacing="0"/>
              <w:ind w:left="0" w:right="0" w:firstLine="420"/>
              <w:rPr>
                <w:rFonts w:hint="default"/>
                <w:color w:val="auto"/>
                <w:lang w:val="zh-CN"/>
              </w:rPr>
            </w:pPr>
            <w:r>
              <w:rPr>
                <w:rFonts w:hint="eastAsia"/>
                <w:color w:val="auto"/>
              </w:rPr>
              <w:t>根据上表可知，呼图壁河监测断面水质全部达到《地表水环境质量标准》（</w:t>
            </w:r>
            <w:r>
              <w:rPr>
                <w:rFonts w:hint="default"/>
                <w:color w:val="auto"/>
              </w:rPr>
              <w:t>GB3838-2002）</w:t>
            </w:r>
            <w:r>
              <w:rPr>
                <w:rFonts w:hint="eastAsia"/>
                <w:color w:val="auto"/>
              </w:rPr>
              <w:t>Ⅰ类标准，</w:t>
            </w:r>
            <w:r>
              <w:rPr>
                <w:rFonts w:hint="default"/>
                <w:color w:val="auto"/>
                <w:lang w:val="zh-CN"/>
              </w:rPr>
              <w:t>总体水质为优。</w:t>
            </w:r>
          </w:p>
          <w:p w14:paraId="7D3515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3、</w:t>
            </w:r>
            <w:r>
              <w:rPr>
                <w:rFonts w:hint="default" w:ascii="Times New Roman" w:hAnsi="Times New Roman" w:eastAsia="宋体" w:cs="Times New Roman"/>
                <w:b/>
                <w:bCs/>
                <w:color w:val="auto"/>
                <w:sz w:val="21"/>
                <w:szCs w:val="21"/>
                <w:lang w:val="en-US" w:eastAsia="zh-CN"/>
              </w:rPr>
              <w:t>声环境质量现状</w:t>
            </w:r>
          </w:p>
          <w:p w14:paraId="105A38D7">
            <w:pPr>
              <w:keepNext w:val="0"/>
              <w:keepLines w:val="0"/>
              <w:suppressLineNumbers w:val="0"/>
              <w:spacing w:before="0" w:beforeAutospacing="0" w:after="0" w:afterAutospacing="0"/>
              <w:ind w:left="0" w:right="0" w:firstLine="420"/>
              <w:rPr>
                <w:rFonts w:hint="default"/>
                <w:color w:val="auto"/>
              </w:rPr>
            </w:pPr>
            <w:r>
              <w:rPr>
                <w:rFonts w:hint="eastAsia"/>
                <w:color w:val="auto"/>
              </w:rPr>
              <w:t>本项目位于</w:t>
            </w:r>
            <w:r>
              <w:rPr>
                <w:rFonts w:hint="default" w:ascii="Times New Roman" w:hAnsi="Times New Roman" w:cs="Times New Roman"/>
                <w:color w:val="auto"/>
                <w:sz w:val="21"/>
                <w:szCs w:val="21"/>
                <w:lang w:val="en-US" w:eastAsia="zh-CN"/>
              </w:rPr>
              <w:t>呼图壁县</w:t>
            </w:r>
            <w:r>
              <w:rPr>
                <w:rFonts w:hint="eastAsia" w:cs="Times New Roman"/>
                <w:color w:val="auto"/>
                <w:sz w:val="21"/>
                <w:szCs w:val="21"/>
                <w:lang w:val="en-US" w:eastAsia="zh-CN"/>
              </w:rPr>
              <w:t>工业园区中区轻纺食品产业区</w:t>
            </w:r>
            <w:r>
              <w:rPr>
                <w:rFonts w:hint="eastAsia"/>
                <w:color w:val="auto"/>
              </w:rPr>
              <w:t>，项目区周边50m无声环境敏感目标，无需开展声环境质量监测。</w:t>
            </w:r>
          </w:p>
          <w:p w14:paraId="2FEAF1C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4、生态环境</w:t>
            </w:r>
          </w:p>
          <w:p w14:paraId="63EFC92E">
            <w:pPr>
              <w:keepNext w:val="0"/>
              <w:keepLines w:val="0"/>
              <w:suppressLineNumbers w:val="0"/>
              <w:spacing w:before="0" w:beforeAutospacing="0" w:after="0" w:afterAutospacing="0"/>
              <w:ind w:left="0" w:right="0" w:firstLine="420"/>
              <w:rPr>
                <w:rFonts w:hint="default"/>
                <w:color w:val="auto"/>
              </w:rPr>
            </w:pPr>
            <w:r>
              <w:rPr>
                <w:rFonts w:hint="eastAsia"/>
                <w:color w:val="auto"/>
              </w:rPr>
              <w:t>本项目位于</w:t>
            </w:r>
            <w:r>
              <w:rPr>
                <w:rFonts w:hint="default" w:ascii="Times New Roman" w:hAnsi="Times New Roman" w:cs="Times New Roman"/>
                <w:color w:val="auto"/>
                <w:sz w:val="21"/>
                <w:szCs w:val="21"/>
                <w:lang w:val="en-US" w:eastAsia="zh-CN"/>
              </w:rPr>
              <w:t>呼图壁县</w:t>
            </w:r>
            <w:r>
              <w:rPr>
                <w:rFonts w:hint="eastAsia" w:cs="Times New Roman"/>
                <w:color w:val="auto"/>
                <w:sz w:val="21"/>
                <w:szCs w:val="21"/>
                <w:lang w:val="en-US" w:eastAsia="zh-CN"/>
              </w:rPr>
              <w:t>工业园区中区轻纺食品产业区</w:t>
            </w:r>
            <w:r>
              <w:rPr>
                <w:rFonts w:hint="eastAsia"/>
                <w:color w:val="auto"/>
              </w:rPr>
              <w:t>，根据《建设项目环境影响报告表编制技术指南》（污染影响类）（试行），本项目不进行生态现状调查。</w:t>
            </w:r>
          </w:p>
          <w:p w14:paraId="7ABF89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b/>
                <w:bCs/>
                <w:color w:val="auto"/>
                <w:sz w:val="21"/>
                <w:szCs w:val="21"/>
                <w:lang w:val="en-US" w:eastAsia="zh-CN"/>
              </w:rPr>
            </w:pPr>
            <w:r>
              <w:rPr>
                <w:rFonts w:hint="eastAsia" w:cs="Times New Roman"/>
                <w:b/>
                <w:bCs/>
                <w:color w:val="auto"/>
                <w:sz w:val="21"/>
                <w:szCs w:val="21"/>
                <w:lang w:val="en-US" w:eastAsia="zh-CN"/>
              </w:rPr>
              <w:t>5</w:t>
            </w:r>
            <w:r>
              <w:rPr>
                <w:rFonts w:hint="default" w:ascii="Times New Roman" w:hAnsi="Times New Roman" w:cs="Times New Roman"/>
                <w:b/>
                <w:bCs/>
                <w:color w:val="auto"/>
                <w:sz w:val="21"/>
                <w:szCs w:val="21"/>
                <w:lang w:val="en-US" w:eastAsia="zh-CN"/>
              </w:rPr>
              <w:t>、地下水、土壤环境</w:t>
            </w:r>
          </w:p>
          <w:p w14:paraId="79FAE688">
            <w:pPr>
              <w:keepNext w:val="0"/>
              <w:keepLines w:val="0"/>
              <w:widowControl/>
              <w:suppressLineNumbers w:val="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根据《环境影响评价技术导则 地下水环境》（HJ610-2016），本项目属于“</w:t>
            </w:r>
            <w:r>
              <w:rPr>
                <w:rFonts w:hint="eastAsia" w:cs="Times New Roman"/>
                <w:color w:val="auto"/>
                <w:sz w:val="21"/>
                <w:szCs w:val="21"/>
                <w:lang w:val="en-US" w:eastAsia="zh-CN"/>
              </w:rPr>
              <w:t>N 轻工</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lang w:val="en-US" w:eastAsia="zh-CN"/>
              </w:rPr>
              <w:t>”的“</w:t>
            </w:r>
            <w:r>
              <w:rPr>
                <w:rFonts w:hint="eastAsia" w:cs="Times New Roman"/>
                <w:color w:val="auto"/>
                <w:sz w:val="21"/>
                <w:szCs w:val="21"/>
                <w:lang w:val="en-US" w:eastAsia="zh-CN"/>
              </w:rPr>
              <w:t>103</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乳制品加工</w:t>
            </w:r>
            <w:r>
              <w:rPr>
                <w:rFonts w:hint="default" w:ascii="Times New Roman" w:hAnsi="Times New Roman" w:eastAsia="宋体" w:cs="Times New Roman"/>
                <w:color w:val="auto"/>
                <w:sz w:val="21"/>
                <w:szCs w:val="21"/>
                <w:lang w:val="en-US" w:eastAsia="zh-CN"/>
              </w:rPr>
              <w:t>”，地下水环境影响评价项目类别属于Ⅳ类，Ⅳ类项目不开展地下水环境影响评价。</w:t>
            </w:r>
          </w:p>
          <w:p w14:paraId="5E7723D9">
            <w:pPr>
              <w:pStyle w:val="8"/>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根据《环境影响评价技术导则</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宋体" w:cs="Times New Roman"/>
                <w:color w:val="auto"/>
                <w:sz w:val="21"/>
                <w:szCs w:val="21"/>
                <w:lang w:val="en-US" w:eastAsia="zh-CN"/>
              </w:rPr>
              <w:t>土壤环境（试行）》（HJ964-2018）附录A—表A.1土壤环境影响评价项目类别表，本项目属于“</w:t>
            </w:r>
            <w:r>
              <w:rPr>
                <w:rFonts w:hint="eastAsia" w:cs="Times New Roman"/>
                <w:color w:val="auto"/>
                <w:sz w:val="21"/>
                <w:szCs w:val="21"/>
                <w:lang w:val="en-US" w:eastAsia="zh-CN"/>
              </w:rPr>
              <w:t>其他行业类别</w:t>
            </w:r>
            <w:r>
              <w:rPr>
                <w:rFonts w:hint="default" w:ascii="Times New Roman" w:hAnsi="Times New Roman" w:eastAsia="宋体" w:cs="Times New Roman"/>
                <w:color w:val="auto"/>
                <w:sz w:val="21"/>
                <w:szCs w:val="21"/>
                <w:lang w:val="en-US" w:eastAsia="zh-CN"/>
              </w:rPr>
              <w:t>”项目，列入Ⅳ类</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因此</w:t>
            </w:r>
            <w:r>
              <w:rPr>
                <w:rFonts w:hint="default" w:ascii="Times New Roman" w:hAnsi="Times New Roman" w:eastAsia="宋体" w:cs="Times New Roman"/>
                <w:color w:val="auto"/>
                <w:sz w:val="21"/>
                <w:szCs w:val="21"/>
                <w:lang w:val="en-US" w:eastAsia="zh-CN"/>
              </w:rPr>
              <w:t>项目可不开展土壤环境影响评价。</w:t>
            </w:r>
          </w:p>
        </w:tc>
      </w:tr>
      <w:tr w14:paraId="2F28E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7" w:hRule="atLeast"/>
          <w:jc w:val="center"/>
        </w:trPr>
        <w:tc>
          <w:tcPr>
            <w:tcW w:w="800" w:type="dxa"/>
            <w:vAlign w:val="center"/>
          </w:tcPr>
          <w:p w14:paraId="7D3442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环境</w:t>
            </w:r>
          </w:p>
          <w:p w14:paraId="441EFF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保护</w:t>
            </w:r>
          </w:p>
          <w:p w14:paraId="0D16A4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目标</w:t>
            </w:r>
          </w:p>
        </w:tc>
        <w:tc>
          <w:tcPr>
            <w:tcW w:w="8190" w:type="dxa"/>
            <w:vAlign w:val="center"/>
          </w:tcPr>
          <w:p w14:paraId="332427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1、大气环境保护目标：项目500m范围内无大气环境敏感目标。</w:t>
            </w:r>
          </w:p>
          <w:p w14:paraId="7AA157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2、声环境保护目标：项目50m范围内无声环境敏感保护目标。</w:t>
            </w:r>
          </w:p>
          <w:p w14:paraId="153CC6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3、地下水环境保护目标：项目厂界外500m范围内的无地下水集中式饮用水水源</w:t>
            </w:r>
            <w:r>
              <w:rPr>
                <w:rFonts w:hint="eastAsia" w:cs="Times New Roman"/>
                <w:color w:val="auto"/>
                <w:sz w:val="21"/>
                <w:szCs w:val="21"/>
                <w:lang w:val="en-US" w:eastAsia="zh-CN"/>
              </w:rPr>
              <w:t>地</w:t>
            </w:r>
            <w:r>
              <w:rPr>
                <w:rFonts w:hint="default" w:ascii="Times New Roman" w:hAnsi="Times New Roman" w:cs="Times New Roman"/>
                <w:color w:val="auto"/>
                <w:sz w:val="21"/>
                <w:szCs w:val="21"/>
                <w:lang w:val="en-US" w:eastAsia="zh-CN"/>
              </w:rPr>
              <w:t>和其他地下水敏感目标。</w:t>
            </w:r>
          </w:p>
          <w:p w14:paraId="06B0CD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4、生态环境敏感目标：项目选址位于</w:t>
            </w:r>
            <w:r>
              <w:rPr>
                <w:rFonts w:hint="eastAsia" w:cs="Times New Roman"/>
                <w:color w:val="auto"/>
                <w:sz w:val="21"/>
                <w:szCs w:val="21"/>
                <w:lang w:val="en-US" w:eastAsia="zh-CN"/>
              </w:rPr>
              <w:t>呼图壁县工业园区中区轻纺食品产业区</w:t>
            </w:r>
            <w:r>
              <w:rPr>
                <w:rFonts w:hint="default" w:ascii="Times New Roman" w:hAnsi="Times New Roman" w:cs="Times New Roman"/>
                <w:color w:val="auto"/>
                <w:sz w:val="21"/>
                <w:szCs w:val="21"/>
                <w:lang w:val="en-US" w:eastAsia="zh-CN"/>
              </w:rPr>
              <w:t>，无生态环境保护目标。</w:t>
            </w:r>
          </w:p>
          <w:p w14:paraId="41453D98">
            <w:pPr>
              <w:jc w:val="both"/>
              <w:rPr>
                <w:rFonts w:hint="default" w:ascii="Times New Roman" w:hAnsi="Times New Roman" w:cs="Times New Roman"/>
                <w:color w:val="auto"/>
                <w:sz w:val="21"/>
                <w:szCs w:val="21"/>
                <w:lang w:val="en-US" w:eastAsia="zh-CN"/>
              </w:rPr>
            </w:pPr>
          </w:p>
        </w:tc>
      </w:tr>
      <w:tr w14:paraId="0190C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50" w:hRule="atLeast"/>
          <w:jc w:val="center"/>
        </w:trPr>
        <w:tc>
          <w:tcPr>
            <w:tcW w:w="800" w:type="dxa"/>
            <w:tcMar>
              <w:left w:w="28" w:type="dxa"/>
              <w:right w:w="28" w:type="dxa"/>
            </w:tcMar>
            <w:vAlign w:val="center"/>
          </w:tcPr>
          <w:p w14:paraId="267E0D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w:t>
            </w:r>
          </w:p>
          <w:p w14:paraId="6A3D8A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物排</w:t>
            </w:r>
          </w:p>
          <w:p w14:paraId="47244B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放控</w:t>
            </w:r>
          </w:p>
          <w:p w14:paraId="4B93A8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制标</w:t>
            </w:r>
          </w:p>
          <w:p w14:paraId="145CF6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0"/>
                <w:sz w:val="21"/>
                <w:szCs w:val="21"/>
              </w:rPr>
              <w:t>准</w:t>
            </w:r>
          </w:p>
        </w:tc>
        <w:tc>
          <w:tcPr>
            <w:tcW w:w="8190" w:type="dxa"/>
            <w:vAlign w:val="center"/>
          </w:tcPr>
          <w:p w14:paraId="49675D6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1、废气排放标准</w:t>
            </w:r>
          </w:p>
          <w:p w14:paraId="1C5604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Cs w:val="21"/>
              </w:rPr>
              <w:t>本项目运营期间产生的</w:t>
            </w:r>
            <w:r>
              <w:rPr>
                <w:rFonts w:hint="default" w:ascii="Times New Roman" w:hAnsi="Times New Roman" w:eastAsia="宋体" w:cs="Times New Roman"/>
                <w:color w:val="auto"/>
                <w:sz w:val="21"/>
                <w:szCs w:val="21"/>
                <w:lang w:val="en-US" w:eastAsia="zh-CN"/>
              </w:rPr>
              <w:t>颗粒物执行《大气污染物综合排放标准》（GB16297-1996）表2的排放标准</w:t>
            </w:r>
            <w:r>
              <w:rPr>
                <w:rFonts w:hint="eastAsia" w:cs="Times New Roman"/>
                <w:color w:val="auto"/>
                <w:sz w:val="21"/>
                <w:szCs w:val="21"/>
                <w:lang w:val="en-US" w:eastAsia="zh-CN"/>
              </w:rPr>
              <w:t>，硫化氢、氨执行</w:t>
            </w:r>
            <w:r>
              <w:rPr>
                <w:rFonts w:hint="default" w:ascii="Times New Roman" w:hAnsi="Times New Roman" w:eastAsia="宋体" w:cs="Times New Roman"/>
                <w:color w:val="auto"/>
                <w:sz w:val="21"/>
                <w:szCs w:val="21"/>
                <w:lang w:val="en-US" w:eastAsia="zh-CN"/>
              </w:rPr>
              <w:t>《恶臭污染物排放标准》（GB14554-93）厂界标准，具体详见下表。</w:t>
            </w:r>
          </w:p>
          <w:p w14:paraId="78A2D5E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2" w:firstLineChars="20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表3-</w:t>
            </w:r>
            <w:r>
              <w:rPr>
                <w:rFonts w:hint="eastAsia" w:cs="Times New Roman"/>
                <w:b/>
                <w:bCs/>
                <w:color w:val="auto"/>
                <w:sz w:val="21"/>
                <w:szCs w:val="21"/>
                <w:lang w:val="en-US" w:eastAsia="zh-CN"/>
              </w:rPr>
              <w:t xml:space="preserve">5  </w:t>
            </w:r>
            <w:r>
              <w:rPr>
                <w:rFonts w:hint="default" w:ascii="Times New Roman" w:hAnsi="Times New Roman" w:eastAsia="宋体" w:cs="Times New Roman"/>
                <w:b/>
                <w:bCs/>
                <w:color w:val="auto"/>
                <w:sz w:val="21"/>
                <w:szCs w:val="21"/>
                <w:lang w:val="en-US" w:eastAsia="zh-CN"/>
              </w:rPr>
              <w:t>项目大气污染物排放标准限值</w:t>
            </w:r>
          </w:p>
          <w:tbl>
            <w:tblPr>
              <w:tblStyle w:val="20"/>
              <w:tblW w:w="797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512"/>
              <w:gridCol w:w="814"/>
              <w:gridCol w:w="965"/>
              <w:gridCol w:w="1833"/>
              <w:gridCol w:w="1943"/>
            </w:tblGrid>
            <w:tr w14:paraId="0DEA7D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4" w:type="dxa"/>
                  <w:tcBorders>
                    <w:tl2br w:val="nil"/>
                    <w:tr2bl w:val="nil"/>
                  </w:tcBorders>
                  <w:vAlign w:val="center"/>
                </w:tcPr>
                <w:p w14:paraId="2484D68F">
                  <w:pPr>
                    <w:autoSpaceDE w:val="0"/>
                    <w:autoSpaceDN w:val="0"/>
                    <w:adjustRightInd w:val="0"/>
                    <w:spacing w:line="240" w:lineRule="auto"/>
                    <w:ind w:firstLine="0" w:firstLineChars="0"/>
                    <w:jc w:val="center"/>
                    <w:textAlignment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污染物</w:t>
                  </w:r>
                </w:p>
              </w:tc>
              <w:tc>
                <w:tcPr>
                  <w:tcW w:w="1512" w:type="dxa"/>
                  <w:tcBorders>
                    <w:tl2br w:val="nil"/>
                    <w:tr2bl w:val="nil"/>
                  </w:tcBorders>
                  <w:vAlign w:val="center"/>
                </w:tcPr>
                <w:p w14:paraId="00E18375">
                  <w:pPr>
                    <w:autoSpaceDE w:val="0"/>
                    <w:autoSpaceDN w:val="0"/>
                    <w:adjustRightInd w:val="0"/>
                    <w:spacing w:line="240" w:lineRule="auto"/>
                    <w:ind w:firstLine="0" w:firstLineChars="0"/>
                    <w:jc w:val="center"/>
                    <w:textAlignment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最高允许排放浓度（mg/m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w:t>
                  </w:r>
                </w:p>
              </w:tc>
              <w:tc>
                <w:tcPr>
                  <w:tcW w:w="1779" w:type="dxa"/>
                  <w:gridSpan w:val="2"/>
                  <w:tcBorders>
                    <w:tl2br w:val="nil"/>
                    <w:tr2bl w:val="nil"/>
                  </w:tcBorders>
                  <w:vAlign w:val="center"/>
                </w:tcPr>
                <w:p w14:paraId="5B2962A4">
                  <w:pPr>
                    <w:autoSpaceDE w:val="0"/>
                    <w:autoSpaceDN w:val="0"/>
                    <w:adjustRightInd w:val="0"/>
                    <w:spacing w:line="240" w:lineRule="auto"/>
                    <w:ind w:firstLine="0" w:firstLineChars="0"/>
                    <w:jc w:val="center"/>
                    <w:textAlignment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最高允许排放速率（kg/h）</w:t>
                  </w:r>
                </w:p>
              </w:tc>
              <w:tc>
                <w:tcPr>
                  <w:tcW w:w="1833" w:type="dxa"/>
                  <w:tcBorders>
                    <w:tl2br w:val="nil"/>
                    <w:tr2bl w:val="nil"/>
                  </w:tcBorders>
                  <w:vAlign w:val="center"/>
                </w:tcPr>
                <w:p w14:paraId="3EF25A93">
                  <w:pPr>
                    <w:autoSpaceDE w:val="0"/>
                    <w:autoSpaceDN w:val="0"/>
                    <w:adjustRightInd w:val="0"/>
                    <w:spacing w:line="240" w:lineRule="auto"/>
                    <w:ind w:firstLine="0" w:firstLineChars="0"/>
                    <w:jc w:val="center"/>
                    <w:textAlignment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无组织排放监控浓度限值（mg/m</w:t>
                  </w:r>
                  <w:r>
                    <w:rPr>
                      <w:rFonts w:hint="default" w:ascii="Times New Roman" w:hAnsi="Times New Roman" w:eastAsia="宋体" w:cs="Times New Roman"/>
                      <w:bCs/>
                      <w:color w:val="auto"/>
                      <w:kern w:val="0"/>
                      <w:szCs w:val="21"/>
                      <w:vertAlign w:val="superscript"/>
                    </w:rPr>
                    <w:t>3</w:t>
                  </w:r>
                  <w:r>
                    <w:rPr>
                      <w:rFonts w:hint="default" w:ascii="Times New Roman" w:hAnsi="Times New Roman" w:eastAsia="宋体" w:cs="Times New Roman"/>
                      <w:bCs/>
                      <w:color w:val="auto"/>
                      <w:kern w:val="0"/>
                      <w:szCs w:val="21"/>
                    </w:rPr>
                    <w:t>）</w:t>
                  </w:r>
                </w:p>
              </w:tc>
              <w:tc>
                <w:tcPr>
                  <w:tcW w:w="1943" w:type="dxa"/>
                  <w:tcBorders>
                    <w:tl2br w:val="nil"/>
                    <w:tr2bl w:val="nil"/>
                  </w:tcBorders>
                  <w:vAlign w:val="center"/>
                </w:tcPr>
                <w:p w14:paraId="6BD92E5B">
                  <w:pPr>
                    <w:autoSpaceDE w:val="0"/>
                    <w:autoSpaceDN w:val="0"/>
                    <w:adjustRightInd w:val="0"/>
                    <w:spacing w:line="240" w:lineRule="auto"/>
                    <w:ind w:firstLine="0" w:firstLineChars="0"/>
                    <w:jc w:val="center"/>
                    <w:textAlignment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标准</w:t>
                  </w:r>
                </w:p>
              </w:tc>
            </w:tr>
            <w:tr w14:paraId="4FBF8C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4" w:type="dxa"/>
                  <w:tcBorders>
                    <w:tl2br w:val="nil"/>
                    <w:tr2bl w:val="nil"/>
                  </w:tcBorders>
                  <w:vAlign w:val="center"/>
                </w:tcPr>
                <w:p w14:paraId="35759355">
                  <w:pPr>
                    <w:autoSpaceDE w:val="0"/>
                    <w:autoSpaceDN w:val="0"/>
                    <w:adjustRightInd w:val="0"/>
                    <w:spacing w:line="240" w:lineRule="auto"/>
                    <w:ind w:firstLine="0" w:firstLineChars="0"/>
                    <w:jc w:val="center"/>
                    <w:textAlignment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颗粒物</w:t>
                  </w:r>
                </w:p>
              </w:tc>
              <w:tc>
                <w:tcPr>
                  <w:tcW w:w="1512" w:type="dxa"/>
                  <w:tcBorders>
                    <w:tl2br w:val="nil"/>
                    <w:tr2bl w:val="nil"/>
                  </w:tcBorders>
                  <w:vAlign w:val="center"/>
                </w:tcPr>
                <w:p w14:paraId="544C19F9">
                  <w:pPr>
                    <w:autoSpaceDE w:val="0"/>
                    <w:autoSpaceDN w:val="0"/>
                    <w:adjustRightInd w:val="0"/>
                    <w:spacing w:line="240" w:lineRule="auto"/>
                    <w:ind w:firstLine="0" w:firstLineChars="0"/>
                    <w:jc w:val="center"/>
                    <w:textAlignment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120</w:t>
                  </w:r>
                </w:p>
              </w:tc>
              <w:tc>
                <w:tcPr>
                  <w:tcW w:w="814" w:type="dxa"/>
                  <w:tcBorders>
                    <w:tl2br w:val="nil"/>
                    <w:tr2bl w:val="nil"/>
                  </w:tcBorders>
                  <w:vAlign w:val="center"/>
                </w:tcPr>
                <w:p w14:paraId="7800FFA5">
                  <w:pPr>
                    <w:autoSpaceDE w:val="0"/>
                    <w:autoSpaceDN w:val="0"/>
                    <w:adjustRightInd w:val="0"/>
                    <w:spacing w:line="240" w:lineRule="auto"/>
                    <w:ind w:firstLine="0" w:firstLineChars="0"/>
                    <w:jc w:val="center"/>
                    <w:textAlignment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15</w:t>
                  </w:r>
                </w:p>
              </w:tc>
              <w:tc>
                <w:tcPr>
                  <w:tcW w:w="965" w:type="dxa"/>
                  <w:tcBorders>
                    <w:tl2br w:val="nil"/>
                    <w:tr2bl w:val="nil"/>
                  </w:tcBorders>
                  <w:vAlign w:val="center"/>
                </w:tcPr>
                <w:p w14:paraId="4780A2F7">
                  <w:pPr>
                    <w:autoSpaceDE w:val="0"/>
                    <w:autoSpaceDN w:val="0"/>
                    <w:adjustRightInd w:val="0"/>
                    <w:spacing w:line="240" w:lineRule="auto"/>
                    <w:ind w:firstLine="0" w:firstLineChars="0"/>
                    <w:jc w:val="center"/>
                    <w:textAlignment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3.5</w:t>
                  </w:r>
                </w:p>
              </w:tc>
              <w:tc>
                <w:tcPr>
                  <w:tcW w:w="1833" w:type="dxa"/>
                  <w:tcBorders>
                    <w:tl2br w:val="nil"/>
                    <w:tr2bl w:val="nil"/>
                  </w:tcBorders>
                  <w:vAlign w:val="center"/>
                </w:tcPr>
                <w:p w14:paraId="4A5C22F1">
                  <w:pPr>
                    <w:autoSpaceDE w:val="0"/>
                    <w:autoSpaceDN w:val="0"/>
                    <w:adjustRightInd w:val="0"/>
                    <w:spacing w:line="240" w:lineRule="auto"/>
                    <w:ind w:firstLine="0" w:firstLineChars="0"/>
                    <w:jc w:val="center"/>
                    <w:textAlignment w:val="center"/>
                    <w:rPr>
                      <w:rFonts w:hint="default" w:ascii="Times New Roman" w:hAnsi="Times New Roman" w:eastAsia="宋体" w:cs="Times New Roman"/>
                      <w:bCs/>
                      <w:color w:val="auto"/>
                      <w:kern w:val="0"/>
                      <w:szCs w:val="21"/>
                      <w:lang w:val="en-US" w:eastAsia="zh-CN"/>
                    </w:rPr>
                  </w:pPr>
                  <w:r>
                    <w:rPr>
                      <w:rFonts w:hint="eastAsia" w:cs="Times New Roman"/>
                      <w:bCs/>
                      <w:color w:val="auto"/>
                      <w:kern w:val="0"/>
                      <w:szCs w:val="21"/>
                      <w:lang w:val="en-US" w:eastAsia="zh-CN"/>
                    </w:rPr>
                    <w:t>1.0</w:t>
                  </w:r>
                </w:p>
              </w:tc>
              <w:tc>
                <w:tcPr>
                  <w:tcW w:w="1943" w:type="dxa"/>
                  <w:tcBorders>
                    <w:tl2br w:val="nil"/>
                    <w:tr2bl w:val="nil"/>
                  </w:tcBorders>
                  <w:vAlign w:val="center"/>
                </w:tcPr>
                <w:p w14:paraId="2BBE8D3D">
                  <w:pPr>
                    <w:autoSpaceDE w:val="0"/>
                    <w:autoSpaceDN w:val="0"/>
                    <w:adjustRightInd w:val="0"/>
                    <w:spacing w:line="240" w:lineRule="auto"/>
                    <w:ind w:firstLine="0" w:firstLineChars="0"/>
                    <w:jc w:val="center"/>
                    <w:textAlignment w:val="center"/>
                    <w:rPr>
                      <w:rFonts w:hint="default" w:ascii="Times New Roman" w:hAnsi="Times New Roman" w:eastAsia="宋体" w:cs="Times New Roman"/>
                      <w:bCs/>
                      <w:color w:val="auto"/>
                      <w:kern w:val="0"/>
                      <w:szCs w:val="21"/>
                      <w:lang w:val="en-US" w:eastAsia="zh-CN"/>
                    </w:rPr>
                  </w:pPr>
                  <w:r>
                    <w:rPr>
                      <w:rFonts w:hint="default" w:ascii="Times New Roman" w:hAnsi="Times New Roman" w:eastAsia="宋体" w:cs="Times New Roman"/>
                      <w:bCs/>
                      <w:color w:val="auto"/>
                      <w:kern w:val="0"/>
                      <w:szCs w:val="21"/>
                    </w:rPr>
                    <w:t>《大气污染物综合排放标准》（GB16297-1996）</w:t>
                  </w:r>
                  <w:r>
                    <w:rPr>
                      <w:rFonts w:hint="default" w:ascii="Times New Roman" w:hAnsi="Times New Roman" w:cs="Times New Roman"/>
                      <w:bCs/>
                      <w:color w:val="auto"/>
                      <w:kern w:val="0"/>
                      <w:szCs w:val="21"/>
                      <w:lang w:val="en-US" w:eastAsia="zh-CN"/>
                    </w:rPr>
                    <w:t>表2排放标准</w:t>
                  </w:r>
                </w:p>
              </w:tc>
            </w:tr>
            <w:tr w14:paraId="6E9ED3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4" w:type="dxa"/>
                  <w:tcBorders>
                    <w:tl2br w:val="nil"/>
                    <w:tr2bl w:val="nil"/>
                  </w:tcBorders>
                  <w:vAlign w:val="center"/>
                </w:tcPr>
                <w:p w14:paraId="1C47FAAE">
                  <w:pPr>
                    <w:autoSpaceDE w:val="0"/>
                    <w:autoSpaceDN w:val="0"/>
                    <w:adjustRightInd w:val="0"/>
                    <w:spacing w:line="240" w:lineRule="auto"/>
                    <w:ind w:firstLine="0" w:firstLineChars="0"/>
                    <w:jc w:val="center"/>
                    <w:textAlignment w:val="center"/>
                    <w:rPr>
                      <w:rFonts w:hint="eastAsia" w:ascii="Times New Roman" w:hAnsi="Times New Roman" w:eastAsia="宋体" w:cs="Times New Roman"/>
                      <w:bCs/>
                      <w:color w:val="auto"/>
                      <w:kern w:val="0"/>
                      <w:szCs w:val="21"/>
                      <w:lang w:val="en-US" w:eastAsia="zh-CN"/>
                    </w:rPr>
                  </w:pPr>
                  <w:r>
                    <w:rPr>
                      <w:rFonts w:hint="eastAsia" w:cs="Times New Roman"/>
                      <w:bCs/>
                      <w:color w:val="auto"/>
                      <w:kern w:val="0"/>
                      <w:szCs w:val="21"/>
                      <w:lang w:val="en-US" w:eastAsia="zh-CN"/>
                    </w:rPr>
                    <w:t>氨</w:t>
                  </w:r>
                </w:p>
              </w:tc>
              <w:tc>
                <w:tcPr>
                  <w:tcW w:w="1512" w:type="dxa"/>
                  <w:tcBorders>
                    <w:tl2br w:val="nil"/>
                    <w:tr2bl w:val="nil"/>
                  </w:tcBorders>
                  <w:vAlign w:val="center"/>
                </w:tcPr>
                <w:p w14:paraId="1E85271B">
                  <w:pPr>
                    <w:autoSpaceDE w:val="0"/>
                    <w:autoSpaceDN w:val="0"/>
                    <w:adjustRightInd w:val="0"/>
                    <w:spacing w:line="240" w:lineRule="auto"/>
                    <w:ind w:firstLine="0" w:firstLineChars="0"/>
                    <w:jc w:val="center"/>
                    <w:textAlignment w:val="center"/>
                    <w:rPr>
                      <w:rFonts w:hint="default" w:ascii="Times New Roman" w:hAnsi="Times New Roman" w:eastAsia="宋体" w:cs="Times New Roman"/>
                      <w:bCs/>
                      <w:color w:val="auto"/>
                      <w:kern w:val="0"/>
                      <w:szCs w:val="21"/>
                      <w:lang w:val="en-US" w:eastAsia="zh-CN"/>
                    </w:rPr>
                  </w:pPr>
                  <w:r>
                    <w:rPr>
                      <w:rFonts w:hint="eastAsia" w:cs="Times New Roman"/>
                      <w:bCs/>
                      <w:color w:val="auto"/>
                      <w:kern w:val="0"/>
                      <w:szCs w:val="21"/>
                      <w:lang w:val="en-US" w:eastAsia="zh-CN"/>
                    </w:rPr>
                    <w:t>/</w:t>
                  </w:r>
                </w:p>
              </w:tc>
              <w:tc>
                <w:tcPr>
                  <w:tcW w:w="814" w:type="dxa"/>
                  <w:tcBorders>
                    <w:tl2br w:val="nil"/>
                    <w:tr2bl w:val="nil"/>
                  </w:tcBorders>
                  <w:vAlign w:val="center"/>
                </w:tcPr>
                <w:p w14:paraId="13849BAD">
                  <w:pPr>
                    <w:autoSpaceDE w:val="0"/>
                    <w:autoSpaceDN w:val="0"/>
                    <w:adjustRightInd w:val="0"/>
                    <w:spacing w:line="240" w:lineRule="auto"/>
                    <w:ind w:firstLine="0" w:firstLineChars="0"/>
                    <w:jc w:val="center"/>
                    <w:textAlignment w:val="center"/>
                    <w:rPr>
                      <w:rFonts w:hint="eastAsia" w:ascii="Times New Roman" w:hAnsi="Times New Roman" w:eastAsia="宋体" w:cs="Times New Roman"/>
                      <w:bCs/>
                      <w:color w:val="auto"/>
                      <w:kern w:val="0"/>
                      <w:szCs w:val="21"/>
                      <w:lang w:val="en-US" w:eastAsia="zh-CN"/>
                    </w:rPr>
                  </w:pPr>
                  <w:r>
                    <w:rPr>
                      <w:rFonts w:hint="eastAsia" w:cs="Times New Roman"/>
                      <w:bCs/>
                      <w:color w:val="auto"/>
                      <w:kern w:val="0"/>
                      <w:szCs w:val="21"/>
                      <w:lang w:val="en-US" w:eastAsia="zh-CN"/>
                    </w:rPr>
                    <w:t>/</w:t>
                  </w:r>
                </w:p>
              </w:tc>
              <w:tc>
                <w:tcPr>
                  <w:tcW w:w="965" w:type="dxa"/>
                  <w:tcBorders>
                    <w:tl2br w:val="nil"/>
                    <w:tr2bl w:val="nil"/>
                  </w:tcBorders>
                  <w:vAlign w:val="center"/>
                </w:tcPr>
                <w:p w14:paraId="5FA57CA7">
                  <w:pPr>
                    <w:autoSpaceDE w:val="0"/>
                    <w:autoSpaceDN w:val="0"/>
                    <w:adjustRightInd w:val="0"/>
                    <w:spacing w:line="240" w:lineRule="auto"/>
                    <w:ind w:firstLine="0" w:firstLineChars="0"/>
                    <w:jc w:val="center"/>
                    <w:textAlignment w:val="center"/>
                    <w:rPr>
                      <w:rFonts w:hint="eastAsia" w:ascii="Times New Roman" w:hAnsi="Times New Roman" w:eastAsia="宋体" w:cs="Times New Roman"/>
                      <w:bCs/>
                      <w:color w:val="auto"/>
                      <w:kern w:val="0"/>
                      <w:szCs w:val="21"/>
                      <w:lang w:val="en-US" w:eastAsia="zh-CN"/>
                    </w:rPr>
                  </w:pPr>
                  <w:r>
                    <w:rPr>
                      <w:rFonts w:hint="eastAsia" w:cs="Times New Roman"/>
                      <w:bCs/>
                      <w:color w:val="auto"/>
                      <w:kern w:val="0"/>
                      <w:szCs w:val="21"/>
                      <w:lang w:val="en-US" w:eastAsia="zh-CN"/>
                    </w:rPr>
                    <w:t>/</w:t>
                  </w:r>
                </w:p>
              </w:tc>
              <w:tc>
                <w:tcPr>
                  <w:tcW w:w="1833" w:type="dxa"/>
                  <w:tcBorders>
                    <w:tl2br w:val="nil"/>
                    <w:tr2bl w:val="nil"/>
                  </w:tcBorders>
                  <w:shd w:val="clear" w:color="auto" w:fill="auto"/>
                  <w:vAlign w:val="center"/>
                </w:tcPr>
                <w:p w14:paraId="69345BC2">
                  <w:pPr>
                    <w:autoSpaceDE w:val="0"/>
                    <w:autoSpaceDN w:val="0"/>
                    <w:adjustRightInd w:val="0"/>
                    <w:spacing w:line="240" w:lineRule="auto"/>
                    <w:ind w:firstLine="0" w:firstLineChars="0"/>
                    <w:jc w:val="center"/>
                    <w:textAlignment w:val="center"/>
                    <w:rPr>
                      <w:rFonts w:hint="eastAsia" w:ascii="Times New Roman" w:hAnsi="Times New Roman" w:eastAsia="宋体" w:cs="Times New Roman"/>
                      <w:bCs/>
                      <w:color w:val="auto"/>
                      <w:kern w:val="0"/>
                      <w:sz w:val="21"/>
                      <w:szCs w:val="21"/>
                      <w:lang w:val="en-US" w:eastAsia="zh-CN" w:bidi="ar-SA"/>
                    </w:rPr>
                  </w:pPr>
                  <w:r>
                    <w:rPr>
                      <w:rFonts w:hint="eastAsia" w:cs="Times New Roman"/>
                      <w:bCs/>
                      <w:color w:val="auto"/>
                      <w:kern w:val="0"/>
                      <w:szCs w:val="21"/>
                      <w:lang w:val="en-US" w:eastAsia="zh-CN"/>
                    </w:rPr>
                    <w:t>1.5</w:t>
                  </w:r>
                </w:p>
              </w:tc>
              <w:tc>
                <w:tcPr>
                  <w:tcW w:w="1943" w:type="dxa"/>
                  <w:vMerge w:val="restart"/>
                  <w:tcBorders>
                    <w:tl2br w:val="nil"/>
                    <w:tr2bl w:val="nil"/>
                  </w:tcBorders>
                  <w:vAlign w:val="center"/>
                </w:tcPr>
                <w:p w14:paraId="2DACF6CF">
                  <w:pPr>
                    <w:autoSpaceDE w:val="0"/>
                    <w:autoSpaceDN w:val="0"/>
                    <w:adjustRightInd w:val="0"/>
                    <w:spacing w:line="240" w:lineRule="auto"/>
                    <w:ind w:firstLine="0" w:firstLineChars="0"/>
                    <w:jc w:val="center"/>
                    <w:textAlignment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color w:val="auto"/>
                      <w:sz w:val="21"/>
                      <w:szCs w:val="21"/>
                      <w:lang w:val="en-US" w:eastAsia="zh-CN"/>
                    </w:rPr>
                    <w:t>《恶臭污染物排放标准》（GB14554-93）厂界标准</w:t>
                  </w:r>
                </w:p>
              </w:tc>
            </w:tr>
            <w:tr w14:paraId="7D10C3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4" w:type="dxa"/>
                  <w:tcBorders>
                    <w:tl2br w:val="nil"/>
                    <w:tr2bl w:val="nil"/>
                  </w:tcBorders>
                  <w:vAlign w:val="center"/>
                </w:tcPr>
                <w:p w14:paraId="73447C28">
                  <w:pPr>
                    <w:autoSpaceDE w:val="0"/>
                    <w:autoSpaceDN w:val="0"/>
                    <w:adjustRightInd w:val="0"/>
                    <w:spacing w:line="240" w:lineRule="auto"/>
                    <w:ind w:firstLine="0" w:firstLineChars="0"/>
                    <w:jc w:val="center"/>
                    <w:textAlignment w:val="center"/>
                    <w:rPr>
                      <w:rFonts w:hint="eastAsia" w:ascii="Times New Roman" w:hAnsi="Times New Roman" w:eastAsia="宋体" w:cs="Times New Roman"/>
                      <w:bCs/>
                      <w:color w:val="auto"/>
                      <w:kern w:val="0"/>
                      <w:szCs w:val="21"/>
                      <w:lang w:val="en-US" w:eastAsia="zh-CN"/>
                    </w:rPr>
                  </w:pPr>
                  <w:r>
                    <w:rPr>
                      <w:rFonts w:hint="eastAsia" w:cs="Times New Roman"/>
                      <w:bCs/>
                      <w:color w:val="auto"/>
                      <w:kern w:val="0"/>
                      <w:szCs w:val="21"/>
                      <w:lang w:val="en-US" w:eastAsia="zh-CN"/>
                    </w:rPr>
                    <w:t>硫化氢</w:t>
                  </w:r>
                </w:p>
              </w:tc>
              <w:tc>
                <w:tcPr>
                  <w:tcW w:w="1512" w:type="dxa"/>
                  <w:tcBorders>
                    <w:tl2br w:val="nil"/>
                    <w:tr2bl w:val="nil"/>
                  </w:tcBorders>
                  <w:vAlign w:val="center"/>
                </w:tcPr>
                <w:p w14:paraId="55278D32">
                  <w:pPr>
                    <w:autoSpaceDE w:val="0"/>
                    <w:autoSpaceDN w:val="0"/>
                    <w:adjustRightInd w:val="0"/>
                    <w:spacing w:line="240" w:lineRule="auto"/>
                    <w:ind w:firstLine="0" w:firstLineChars="0"/>
                    <w:jc w:val="center"/>
                    <w:textAlignment w:val="center"/>
                    <w:rPr>
                      <w:rFonts w:hint="default" w:cs="Times New Roman"/>
                      <w:bCs/>
                      <w:color w:val="auto"/>
                      <w:kern w:val="0"/>
                      <w:szCs w:val="21"/>
                      <w:lang w:val="en-US" w:eastAsia="zh-CN"/>
                    </w:rPr>
                  </w:pPr>
                  <w:r>
                    <w:rPr>
                      <w:rFonts w:hint="eastAsia" w:cs="Times New Roman"/>
                      <w:bCs/>
                      <w:color w:val="auto"/>
                      <w:kern w:val="0"/>
                      <w:szCs w:val="21"/>
                      <w:lang w:val="en-US" w:eastAsia="zh-CN"/>
                    </w:rPr>
                    <w:t>/</w:t>
                  </w:r>
                </w:p>
              </w:tc>
              <w:tc>
                <w:tcPr>
                  <w:tcW w:w="814" w:type="dxa"/>
                  <w:tcBorders>
                    <w:tl2br w:val="nil"/>
                    <w:tr2bl w:val="nil"/>
                  </w:tcBorders>
                  <w:vAlign w:val="center"/>
                </w:tcPr>
                <w:p w14:paraId="3AB2E19F">
                  <w:pPr>
                    <w:autoSpaceDE w:val="0"/>
                    <w:autoSpaceDN w:val="0"/>
                    <w:adjustRightInd w:val="0"/>
                    <w:spacing w:line="240" w:lineRule="auto"/>
                    <w:ind w:firstLine="0" w:firstLineChars="0"/>
                    <w:jc w:val="center"/>
                    <w:textAlignment w:val="center"/>
                    <w:rPr>
                      <w:rFonts w:hint="eastAsia" w:ascii="Times New Roman" w:hAnsi="Times New Roman" w:eastAsia="宋体" w:cs="Times New Roman"/>
                      <w:bCs/>
                      <w:color w:val="auto"/>
                      <w:kern w:val="0"/>
                      <w:szCs w:val="21"/>
                      <w:lang w:val="en-US" w:eastAsia="zh-CN"/>
                    </w:rPr>
                  </w:pPr>
                  <w:r>
                    <w:rPr>
                      <w:rFonts w:hint="eastAsia" w:cs="Times New Roman"/>
                      <w:bCs/>
                      <w:color w:val="auto"/>
                      <w:kern w:val="0"/>
                      <w:szCs w:val="21"/>
                      <w:lang w:val="en-US" w:eastAsia="zh-CN"/>
                    </w:rPr>
                    <w:t>/</w:t>
                  </w:r>
                </w:p>
              </w:tc>
              <w:tc>
                <w:tcPr>
                  <w:tcW w:w="965" w:type="dxa"/>
                  <w:tcBorders>
                    <w:tl2br w:val="nil"/>
                    <w:tr2bl w:val="nil"/>
                  </w:tcBorders>
                  <w:vAlign w:val="center"/>
                </w:tcPr>
                <w:p w14:paraId="421ED0BD">
                  <w:pPr>
                    <w:autoSpaceDE w:val="0"/>
                    <w:autoSpaceDN w:val="0"/>
                    <w:adjustRightInd w:val="0"/>
                    <w:spacing w:line="240" w:lineRule="auto"/>
                    <w:ind w:firstLine="0" w:firstLineChars="0"/>
                    <w:jc w:val="center"/>
                    <w:textAlignment w:val="center"/>
                    <w:rPr>
                      <w:rFonts w:hint="default" w:ascii="Times New Roman" w:hAnsi="Times New Roman" w:eastAsia="宋体" w:cs="Times New Roman"/>
                      <w:bCs/>
                      <w:color w:val="auto"/>
                      <w:kern w:val="0"/>
                      <w:szCs w:val="21"/>
                      <w:lang w:val="en-US" w:eastAsia="zh-CN"/>
                    </w:rPr>
                  </w:pPr>
                  <w:r>
                    <w:rPr>
                      <w:rFonts w:hint="eastAsia" w:cs="Times New Roman"/>
                      <w:bCs/>
                      <w:color w:val="auto"/>
                      <w:kern w:val="0"/>
                      <w:szCs w:val="21"/>
                      <w:lang w:val="en-US" w:eastAsia="zh-CN"/>
                    </w:rPr>
                    <w:t>/</w:t>
                  </w:r>
                </w:p>
              </w:tc>
              <w:tc>
                <w:tcPr>
                  <w:tcW w:w="1833" w:type="dxa"/>
                  <w:tcBorders>
                    <w:tl2br w:val="nil"/>
                    <w:tr2bl w:val="nil"/>
                  </w:tcBorders>
                  <w:shd w:val="clear" w:color="auto" w:fill="auto"/>
                  <w:vAlign w:val="center"/>
                </w:tcPr>
                <w:p w14:paraId="0D2CCD3F">
                  <w:pPr>
                    <w:autoSpaceDE w:val="0"/>
                    <w:autoSpaceDN w:val="0"/>
                    <w:adjustRightInd w:val="0"/>
                    <w:spacing w:line="240" w:lineRule="auto"/>
                    <w:ind w:firstLine="0" w:firstLineChars="0"/>
                    <w:jc w:val="center"/>
                    <w:textAlignment w:val="center"/>
                    <w:rPr>
                      <w:rFonts w:hint="eastAsia" w:ascii="Times New Roman" w:hAnsi="Times New Roman" w:eastAsia="宋体" w:cs="Times New Roman"/>
                      <w:bCs/>
                      <w:color w:val="auto"/>
                      <w:kern w:val="0"/>
                      <w:sz w:val="21"/>
                      <w:szCs w:val="21"/>
                      <w:lang w:val="en-US" w:eastAsia="zh-CN" w:bidi="ar-SA"/>
                    </w:rPr>
                  </w:pPr>
                  <w:r>
                    <w:rPr>
                      <w:rFonts w:hint="eastAsia" w:cs="Times New Roman"/>
                      <w:bCs/>
                      <w:color w:val="auto"/>
                      <w:kern w:val="0"/>
                      <w:szCs w:val="21"/>
                      <w:lang w:val="en-US" w:eastAsia="zh-CN"/>
                    </w:rPr>
                    <w:t>0.06</w:t>
                  </w:r>
                </w:p>
              </w:tc>
              <w:tc>
                <w:tcPr>
                  <w:tcW w:w="1943" w:type="dxa"/>
                  <w:vMerge w:val="continue"/>
                  <w:tcBorders>
                    <w:tl2br w:val="nil"/>
                    <w:tr2bl w:val="nil"/>
                  </w:tcBorders>
                  <w:vAlign w:val="center"/>
                </w:tcPr>
                <w:p w14:paraId="1814097F">
                  <w:pPr>
                    <w:autoSpaceDE w:val="0"/>
                    <w:autoSpaceDN w:val="0"/>
                    <w:adjustRightInd w:val="0"/>
                    <w:spacing w:line="240" w:lineRule="auto"/>
                    <w:ind w:firstLine="0" w:firstLineChars="0"/>
                    <w:jc w:val="center"/>
                    <w:textAlignment w:val="center"/>
                    <w:rPr>
                      <w:rFonts w:hint="default" w:ascii="Times New Roman" w:hAnsi="Times New Roman" w:eastAsia="宋体" w:cs="Times New Roman"/>
                      <w:bCs/>
                      <w:color w:val="auto"/>
                      <w:kern w:val="0"/>
                      <w:szCs w:val="21"/>
                    </w:rPr>
                  </w:pPr>
                </w:p>
              </w:tc>
            </w:tr>
          </w:tbl>
          <w:p w14:paraId="051ECBC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2、废水排放标准</w:t>
            </w:r>
          </w:p>
          <w:p w14:paraId="2D989A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color w:val="auto"/>
                <w:sz w:val="21"/>
                <w:szCs w:val="21"/>
                <w:lang w:val="en-US" w:eastAsia="zh-CN"/>
              </w:rPr>
            </w:pPr>
            <w:bookmarkStart w:id="2" w:name="OLE_LINK18"/>
            <w:r>
              <w:rPr>
                <w:rFonts w:hint="default" w:ascii="Times New Roman" w:hAnsi="Times New Roman" w:cs="Times New Roman"/>
                <w:color w:val="auto"/>
                <w:sz w:val="21"/>
                <w:szCs w:val="21"/>
                <w:lang w:val="en-US" w:eastAsia="zh-CN"/>
              </w:rPr>
              <w:t>生活污水</w:t>
            </w:r>
            <w:r>
              <w:rPr>
                <w:rFonts w:hint="eastAsia" w:cs="Times New Roman"/>
                <w:color w:val="auto"/>
                <w:sz w:val="21"/>
                <w:szCs w:val="21"/>
                <w:lang w:val="en-US" w:eastAsia="zh-CN"/>
              </w:rPr>
              <w:t>直接排入市政管网，生产废水经污水站处理后</w:t>
            </w:r>
            <w:r>
              <w:rPr>
                <w:rFonts w:hint="default" w:ascii="Times New Roman" w:hAnsi="Times New Roman" w:eastAsia="宋体" w:cs="Times New Roman"/>
                <w:color w:val="auto"/>
                <w:szCs w:val="21"/>
                <w:lang w:eastAsia="zh-CN"/>
              </w:rPr>
              <w:t>排入</w:t>
            </w:r>
            <w:r>
              <w:rPr>
                <w:rFonts w:hint="default" w:ascii="Times New Roman" w:hAnsi="Times New Roman" w:cs="Times New Roman"/>
                <w:color w:val="auto"/>
                <w:szCs w:val="21"/>
                <w:lang w:eastAsia="zh-CN"/>
              </w:rPr>
              <w:t>市政下水管网</w:t>
            </w:r>
            <w:r>
              <w:rPr>
                <w:rFonts w:hint="default" w:ascii="Times New Roman" w:hAnsi="Times New Roman" w:eastAsia="宋体" w:cs="Times New Roman"/>
                <w:color w:val="auto"/>
                <w:szCs w:val="21"/>
                <w:lang w:eastAsia="zh-CN"/>
              </w:rPr>
              <w:t>，</w:t>
            </w:r>
            <w:r>
              <w:rPr>
                <w:rFonts w:hint="default" w:ascii="Times New Roman" w:hAnsi="Times New Roman" w:cs="Times New Roman"/>
                <w:color w:val="auto"/>
                <w:sz w:val="21"/>
                <w:szCs w:val="21"/>
                <w:lang w:val="en-US" w:eastAsia="zh-CN"/>
              </w:rPr>
              <w:t>《污水综合排放标准》(GB8978-1996)三级标准</w:t>
            </w:r>
            <w:bookmarkEnd w:id="2"/>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具体详见下表。</w:t>
            </w:r>
          </w:p>
          <w:p w14:paraId="0264EBAC">
            <w:pPr>
              <w:numPr>
                <w:ilvl w:val="0"/>
                <w:numId w:val="0"/>
              </w:numPr>
              <w:spacing w:line="240" w:lineRule="auto"/>
              <w:ind w:firstLine="422" w:firstLineChars="200"/>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表3-7  水污染物排放标准</w:t>
            </w:r>
          </w:p>
          <w:tbl>
            <w:tblPr>
              <w:tblStyle w:val="20"/>
              <w:tblW w:w="79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4035"/>
              <w:gridCol w:w="1956"/>
            </w:tblGrid>
            <w:tr w14:paraId="31029A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81" w:type="dxa"/>
                  <w:tcBorders>
                    <w:tl2br w:val="nil"/>
                    <w:tr2bl w:val="nil"/>
                  </w:tcBorders>
                  <w:vAlign w:val="center"/>
                </w:tcPr>
                <w:p w14:paraId="6D9D2D14">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ind w:left="0" w:lef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tc>
              <w:tc>
                <w:tcPr>
                  <w:tcW w:w="4035" w:type="dxa"/>
                  <w:vMerge w:val="restart"/>
                  <w:tcBorders>
                    <w:tl2br w:val="nil"/>
                    <w:tr2bl w:val="nil"/>
                  </w:tcBorders>
                  <w:vAlign w:val="center"/>
                </w:tcPr>
                <w:p w14:paraId="5FE30926">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国家或地方污染物排放标准名称</w:t>
                  </w:r>
                </w:p>
              </w:tc>
              <w:tc>
                <w:tcPr>
                  <w:tcW w:w="1956" w:type="dxa"/>
                  <w:tcBorders>
                    <w:tl2br w:val="nil"/>
                    <w:tr2bl w:val="nil"/>
                  </w:tcBorders>
                  <w:vAlign w:val="center"/>
                </w:tcPr>
                <w:p w14:paraId="098DE8D1">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浓度限值/（mg/</w:t>
                  </w:r>
                  <w:r>
                    <w:rPr>
                      <w:rFonts w:hint="default" w:ascii="Times New Roman" w:hAnsi="Times New Roman" w:cs="Times New Roman"/>
                      <w:color w:val="auto"/>
                      <w:sz w:val="21"/>
                      <w:szCs w:val="21"/>
                      <w:lang w:val="en-US" w:eastAsia="zh-CN"/>
                    </w:rPr>
                    <w:t>L</w:t>
                  </w:r>
                  <w:r>
                    <w:rPr>
                      <w:rFonts w:hint="default" w:ascii="Times New Roman" w:hAnsi="Times New Roman" w:cs="Times New Roman"/>
                      <w:color w:val="auto"/>
                      <w:sz w:val="21"/>
                      <w:szCs w:val="21"/>
                    </w:rPr>
                    <w:t>）</w:t>
                  </w:r>
                </w:p>
              </w:tc>
            </w:tr>
            <w:tr w14:paraId="0A6D7E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tcBorders>
                    <w:tl2br w:val="nil"/>
                    <w:tr2bl w:val="nil"/>
                  </w:tcBorders>
                  <w:vAlign w:val="center"/>
                </w:tcPr>
                <w:p w14:paraId="72E01E42">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pH</w:t>
                  </w:r>
                </w:p>
              </w:tc>
              <w:tc>
                <w:tcPr>
                  <w:tcW w:w="4035" w:type="dxa"/>
                  <w:vMerge w:val="restart"/>
                  <w:tcBorders>
                    <w:tl2br w:val="nil"/>
                    <w:tr2bl w:val="nil"/>
                  </w:tcBorders>
                  <w:vAlign w:val="center"/>
                </w:tcPr>
                <w:p w14:paraId="49686FC8">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《污水综合排放标准》（GB8978-1996）</w:t>
                  </w:r>
                  <w:r>
                    <w:rPr>
                      <w:rFonts w:hint="default" w:ascii="Times New Roman" w:hAnsi="Times New Roman" w:cs="Times New Roman"/>
                      <w:color w:val="auto"/>
                      <w:sz w:val="21"/>
                      <w:szCs w:val="21"/>
                      <w:lang w:eastAsia="zh-CN"/>
                    </w:rPr>
                    <w:t>三级标准</w:t>
                  </w:r>
                </w:p>
              </w:tc>
              <w:tc>
                <w:tcPr>
                  <w:tcW w:w="1956" w:type="dxa"/>
                  <w:tcBorders>
                    <w:tl2br w:val="nil"/>
                    <w:tr2bl w:val="nil"/>
                  </w:tcBorders>
                  <w:vAlign w:val="center"/>
                </w:tcPr>
                <w:p w14:paraId="53003D58">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6-9</w:t>
                  </w:r>
                </w:p>
              </w:tc>
            </w:tr>
            <w:tr w14:paraId="595056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tcBorders>
                    <w:tl2br w:val="nil"/>
                    <w:tr2bl w:val="nil"/>
                  </w:tcBorders>
                  <w:vAlign w:val="center"/>
                </w:tcPr>
                <w:p w14:paraId="54F9E027">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COD</w:t>
                  </w:r>
                </w:p>
              </w:tc>
              <w:tc>
                <w:tcPr>
                  <w:tcW w:w="4035" w:type="dxa"/>
                  <w:vMerge w:val="continue"/>
                  <w:tcBorders>
                    <w:tl2br w:val="nil"/>
                    <w:tr2bl w:val="nil"/>
                  </w:tcBorders>
                  <w:vAlign w:val="center"/>
                </w:tcPr>
                <w:p w14:paraId="16F2A89E">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eastAsia="宋体" w:cs="Times New Roman"/>
                      <w:color w:val="auto"/>
                      <w:sz w:val="21"/>
                      <w:szCs w:val="21"/>
                      <w:lang w:val="en-US" w:eastAsia="zh-CN"/>
                    </w:rPr>
                  </w:pPr>
                </w:p>
              </w:tc>
              <w:tc>
                <w:tcPr>
                  <w:tcW w:w="1956" w:type="dxa"/>
                  <w:tcBorders>
                    <w:tl2br w:val="nil"/>
                    <w:tr2bl w:val="nil"/>
                  </w:tcBorders>
                  <w:vAlign w:val="center"/>
                </w:tcPr>
                <w:p w14:paraId="07703C98">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ind w:left="0" w:lef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500</w:t>
                  </w:r>
                </w:p>
              </w:tc>
            </w:tr>
            <w:tr w14:paraId="5F91BD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tcBorders>
                    <w:tl2br w:val="nil"/>
                    <w:tr2bl w:val="nil"/>
                  </w:tcBorders>
                  <w:vAlign w:val="center"/>
                </w:tcPr>
                <w:p w14:paraId="28608FED">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BOD</w:t>
                  </w:r>
                  <w:r>
                    <w:rPr>
                      <w:rFonts w:hint="default" w:ascii="Times New Roman" w:hAnsi="Times New Roman" w:cs="Times New Roman"/>
                      <w:color w:val="auto"/>
                      <w:sz w:val="21"/>
                      <w:szCs w:val="21"/>
                      <w:vertAlign w:val="subscript"/>
                      <w:lang w:val="en-US" w:eastAsia="zh-CN"/>
                    </w:rPr>
                    <w:t>5</w:t>
                  </w:r>
                </w:p>
              </w:tc>
              <w:tc>
                <w:tcPr>
                  <w:tcW w:w="4035" w:type="dxa"/>
                  <w:vMerge w:val="continue"/>
                  <w:tcBorders>
                    <w:tl2br w:val="nil"/>
                    <w:tr2bl w:val="nil"/>
                  </w:tcBorders>
                  <w:vAlign w:val="center"/>
                </w:tcPr>
                <w:p w14:paraId="1A59941F">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color w:val="auto"/>
                      <w:sz w:val="21"/>
                      <w:szCs w:val="21"/>
                    </w:rPr>
                  </w:pPr>
                </w:p>
              </w:tc>
              <w:tc>
                <w:tcPr>
                  <w:tcW w:w="1956" w:type="dxa"/>
                  <w:tcBorders>
                    <w:tl2br w:val="nil"/>
                    <w:tr2bl w:val="nil"/>
                  </w:tcBorders>
                  <w:vAlign w:val="center"/>
                </w:tcPr>
                <w:p w14:paraId="540EE507">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ind w:left="0" w:lef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300</w:t>
                  </w:r>
                </w:p>
              </w:tc>
            </w:tr>
            <w:tr w14:paraId="0A0667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tcBorders>
                    <w:tl2br w:val="nil"/>
                    <w:tr2bl w:val="nil"/>
                  </w:tcBorders>
                  <w:vAlign w:val="center"/>
                </w:tcPr>
                <w:p w14:paraId="18F23C75">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SS</w:t>
                  </w:r>
                </w:p>
              </w:tc>
              <w:tc>
                <w:tcPr>
                  <w:tcW w:w="4035" w:type="dxa"/>
                  <w:vMerge w:val="continue"/>
                  <w:tcBorders>
                    <w:tl2br w:val="nil"/>
                    <w:tr2bl w:val="nil"/>
                  </w:tcBorders>
                  <w:vAlign w:val="center"/>
                </w:tcPr>
                <w:p w14:paraId="6C77548A">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color w:val="auto"/>
                      <w:sz w:val="21"/>
                      <w:szCs w:val="21"/>
                    </w:rPr>
                  </w:pPr>
                </w:p>
              </w:tc>
              <w:tc>
                <w:tcPr>
                  <w:tcW w:w="1956" w:type="dxa"/>
                  <w:tcBorders>
                    <w:tl2br w:val="nil"/>
                    <w:tr2bl w:val="nil"/>
                  </w:tcBorders>
                  <w:vAlign w:val="center"/>
                </w:tcPr>
                <w:p w14:paraId="3D687CD2">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ind w:left="0" w:lef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400</w:t>
                  </w:r>
                </w:p>
              </w:tc>
            </w:tr>
            <w:tr w14:paraId="7520BC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tcBorders>
                    <w:tl2br w:val="nil"/>
                    <w:tr2bl w:val="nil"/>
                  </w:tcBorders>
                  <w:vAlign w:val="center"/>
                </w:tcPr>
                <w:p w14:paraId="5103F25B">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ind w:left="0" w:lef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NH</w:t>
                  </w:r>
                  <w:r>
                    <w:rPr>
                      <w:rFonts w:hint="default" w:ascii="Times New Roman" w:hAnsi="Times New Roman" w:cs="Times New Roman"/>
                      <w:color w:val="auto"/>
                      <w:sz w:val="21"/>
                      <w:szCs w:val="21"/>
                      <w:vertAlign w:val="subscript"/>
                      <w:lang w:val="en-US" w:eastAsia="zh-CN"/>
                    </w:rPr>
                    <w:t>3</w:t>
                  </w:r>
                  <w:r>
                    <w:rPr>
                      <w:rFonts w:hint="default" w:ascii="Times New Roman" w:hAnsi="Times New Roman" w:cs="Times New Roman"/>
                      <w:color w:val="auto"/>
                      <w:sz w:val="21"/>
                      <w:szCs w:val="21"/>
                      <w:lang w:val="en-US" w:eastAsia="zh-CN"/>
                    </w:rPr>
                    <w:t>-N</w:t>
                  </w:r>
                </w:p>
              </w:tc>
              <w:tc>
                <w:tcPr>
                  <w:tcW w:w="4035" w:type="dxa"/>
                  <w:vMerge w:val="continue"/>
                  <w:tcBorders>
                    <w:tl2br w:val="nil"/>
                    <w:tr2bl w:val="nil"/>
                  </w:tcBorders>
                  <w:vAlign w:val="center"/>
                </w:tcPr>
                <w:p w14:paraId="63E7922A">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jc w:val="center"/>
                    <w:textAlignment w:val="auto"/>
                    <w:rPr>
                      <w:rFonts w:hint="default" w:ascii="Times New Roman" w:hAnsi="Times New Roman" w:cs="Times New Roman"/>
                      <w:color w:val="auto"/>
                      <w:sz w:val="21"/>
                      <w:szCs w:val="21"/>
                    </w:rPr>
                  </w:pPr>
                </w:p>
              </w:tc>
              <w:tc>
                <w:tcPr>
                  <w:tcW w:w="1956" w:type="dxa"/>
                  <w:tcBorders>
                    <w:tl2br w:val="nil"/>
                    <w:tr2bl w:val="nil"/>
                  </w:tcBorders>
                  <w:vAlign w:val="center"/>
                </w:tcPr>
                <w:p w14:paraId="716E78CD">
                  <w:pPr>
                    <w:pStyle w:val="26"/>
                    <w:keepNext w:val="0"/>
                    <w:keepLines w:val="0"/>
                    <w:pageBreakBefore w:val="0"/>
                    <w:widowControl w:val="0"/>
                    <w:tabs>
                      <w:tab w:val="left" w:pos="1845"/>
                    </w:tabs>
                    <w:kinsoku/>
                    <w:wordWrap/>
                    <w:overflowPunct/>
                    <w:topLinePunct w:val="0"/>
                    <w:autoSpaceDE w:val="0"/>
                    <w:autoSpaceDN w:val="0"/>
                    <w:bidi w:val="0"/>
                    <w:adjustRightInd w:val="0"/>
                    <w:snapToGrid w:val="0"/>
                    <w:spacing w:line="240" w:lineRule="atLeast"/>
                    <w:ind w:left="0" w:lef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bl>
          <w:p w14:paraId="626E921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3、噪声排放标准</w:t>
            </w:r>
          </w:p>
          <w:p w14:paraId="747E16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Cs w:val="21"/>
                <w:lang w:val="en-US" w:eastAsia="zh-CN"/>
              </w:rPr>
              <w:t>厂界噪声执行</w:t>
            </w:r>
            <w:r>
              <w:rPr>
                <w:rFonts w:hint="default" w:ascii="Times New Roman" w:hAnsi="Times New Roman" w:eastAsia="宋体" w:cs="Times New Roman"/>
                <w:color w:val="auto"/>
                <w:szCs w:val="21"/>
                <w:lang w:eastAsia="zh-CN"/>
              </w:rPr>
              <w:t>《工业企业环境噪声排放标准》（GB12348-2008）</w:t>
            </w:r>
            <w:r>
              <w:rPr>
                <w:rFonts w:hint="eastAsia" w:cs="Times New Roman"/>
                <w:color w:val="auto"/>
                <w:szCs w:val="21"/>
                <w:lang w:val="en-US" w:eastAsia="zh-CN"/>
              </w:rPr>
              <w:t>3</w:t>
            </w:r>
            <w:r>
              <w:rPr>
                <w:rFonts w:hint="default" w:ascii="Times New Roman" w:hAnsi="Times New Roman" w:eastAsia="宋体" w:cs="Times New Roman"/>
                <w:color w:val="auto"/>
                <w:szCs w:val="21"/>
                <w:lang w:eastAsia="zh-CN"/>
              </w:rPr>
              <w:t>类标准限值</w:t>
            </w:r>
            <w:r>
              <w:rPr>
                <w:rFonts w:hint="default" w:ascii="Times New Roman" w:hAnsi="Times New Roman" w:cs="Times New Roman"/>
                <w:color w:val="auto"/>
                <w:sz w:val="21"/>
                <w:szCs w:val="21"/>
              </w:rPr>
              <w:t>；</w:t>
            </w:r>
          </w:p>
          <w:p w14:paraId="115E9D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default" w:ascii="Times New Roman" w:hAnsi="Times New Roman" w:cs="Times New Roman"/>
                <w:b/>
                <w:bCs/>
                <w:color w:val="auto"/>
                <w:sz w:val="21"/>
                <w:szCs w:val="21"/>
                <w:lang w:val="en-US" w:eastAsia="zh-CN"/>
              </w:rPr>
              <w:t>3-</w:t>
            </w:r>
            <w:r>
              <w:rPr>
                <w:rFonts w:hint="eastAsia" w:cs="Times New Roman"/>
                <w:b/>
                <w:bCs/>
                <w:color w:val="auto"/>
                <w:sz w:val="21"/>
                <w:szCs w:val="21"/>
                <w:lang w:val="en-US" w:eastAsia="zh-CN"/>
              </w:rPr>
              <w:t xml:space="preserve">8  </w:t>
            </w:r>
            <w:r>
              <w:rPr>
                <w:rFonts w:hint="default" w:ascii="Times New Roman" w:hAnsi="Times New Roman" w:cs="Times New Roman"/>
                <w:b/>
                <w:bCs/>
                <w:color w:val="auto"/>
                <w:sz w:val="21"/>
                <w:szCs w:val="21"/>
              </w:rPr>
              <w:t>工业企业厂界环境噪声排放限值</w:t>
            </w:r>
            <w:r>
              <w:rPr>
                <w:rFonts w:hint="eastAsia" w:cs="Times New Roman"/>
                <w:b/>
                <w:bCs/>
                <w:color w:val="auto"/>
                <w:sz w:val="21"/>
                <w:szCs w:val="21"/>
                <w:lang w:val="en-US" w:eastAsia="zh-CN"/>
              </w:rPr>
              <w:t xml:space="preserve">  </w:t>
            </w:r>
            <w:r>
              <w:rPr>
                <w:rFonts w:hint="default" w:ascii="Times New Roman" w:hAnsi="Times New Roman" w:cs="Times New Roman"/>
                <w:b/>
                <w:bCs/>
                <w:color w:val="auto"/>
                <w:sz w:val="21"/>
                <w:szCs w:val="21"/>
              </w:rPr>
              <w:t>单位：dB（A）</w:t>
            </w:r>
          </w:p>
          <w:tbl>
            <w:tblPr>
              <w:tblStyle w:val="20"/>
              <w:tblW w:w="797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30"/>
              <w:gridCol w:w="2271"/>
              <w:gridCol w:w="2273"/>
            </w:tblGrid>
            <w:tr w14:paraId="0899C5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30" w:type="dxa"/>
                  <w:vMerge w:val="restart"/>
                  <w:tcBorders>
                    <w:tl2br w:val="nil"/>
                    <w:tr2bl w:val="nil"/>
                  </w:tcBorders>
                  <w:vAlign w:val="center"/>
                </w:tcPr>
                <w:p w14:paraId="27E595D8">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厂界外声环境功能区类别</w:t>
                  </w:r>
                </w:p>
              </w:tc>
              <w:tc>
                <w:tcPr>
                  <w:tcW w:w="4544" w:type="dxa"/>
                  <w:gridSpan w:val="2"/>
                  <w:tcBorders>
                    <w:tl2br w:val="nil"/>
                    <w:tr2bl w:val="nil"/>
                  </w:tcBorders>
                  <w:vAlign w:val="center"/>
                </w:tcPr>
                <w:p w14:paraId="110757C9">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时段</w:t>
                  </w:r>
                </w:p>
              </w:tc>
            </w:tr>
            <w:tr w14:paraId="165BBD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30" w:type="dxa"/>
                  <w:vMerge w:val="continue"/>
                  <w:tcBorders>
                    <w:tl2br w:val="nil"/>
                    <w:tr2bl w:val="nil"/>
                  </w:tcBorders>
                  <w:vAlign w:val="center"/>
                </w:tcPr>
                <w:p w14:paraId="22EC46D1">
                  <w:pPr>
                    <w:pStyle w:val="36"/>
                    <w:rPr>
                      <w:rFonts w:hint="default" w:ascii="Times New Roman" w:hAnsi="Times New Roman" w:cs="Times New Roman"/>
                      <w:color w:val="auto"/>
                      <w:sz w:val="21"/>
                      <w:szCs w:val="21"/>
                    </w:rPr>
                  </w:pPr>
                </w:p>
              </w:tc>
              <w:tc>
                <w:tcPr>
                  <w:tcW w:w="2271" w:type="dxa"/>
                  <w:tcBorders>
                    <w:tl2br w:val="nil"/>
                    <w:tr2bl w:val="nil"/>
                  </w:tcBorders>
                  <w:vAlign w:val="center"/>
                </w:tcPr>
                <w:p w14:paraId="6A48209C">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昼间</w:t>
                  </w:r>
                </w:p>
              </w:tc>
              <w:tc>
                <w:tcPr>
                  <w:tcW w:w="2273" w:type="dxa"/>
                  <w:tcBorders>
                    <w:tl2br w:val="nil"/>
                    <w:tr2bl w:val="nil"/>
                  </w:tcBorders>
                  <w:vAlign w:val="center"/>
                </w:tcPr>
                <w:p w14:paraId="769BE0AC">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夜间</w:t>
                  </w:r>
                </w:p>
              </w:tc>
            </w:tr>
            <w:tr w14:paraId="627500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30" w:type="dxa"/>
                  <w:tcBorders>
                    <w:tl2br w:val="nil"/>
                    <w:tr2bl w:val="nil"/>
                  </w:tcBorders>
                  <w:vAlign w:val="center"/>
                </w:tcPr>
                <w:p w14:paraId="28E185FB">
                  <w:pPr>
                    <w:pStyle w:val="36"/>
                    <w:rPr>
                      <w:rFonts w:hint="default" w:ascii="Times New Roman" w:hAnsi="Times New Roman" w:cs="Times New Roman"/>
                      <w:color w:val="auto"/>
                      <w:sz w:val="21"/>
                      <w:szCs w:val="21"/>
                      <w:lang w:eastAsia="zh-CN"/>
                    </w:rPr>
                  </w:pPr>
                  <w:r>
                    <w:rPr>
                      <w:rFonts w:hint="eastAsia" w:cs="Times New Roman"/>
                      <w:color w:val="auto"/>
                      <w:sz w:val="21"/>
                      <w:szCs w:val="21"/>
                      <w:lang w:val="en-US" w:eastAsia="zh-CN"/>
                    </w:rPr>
                    <w:t>3</w:t>
                  </w:r>
                </w:p>
              </w:tc>
              <w:tc>
                <w:tcPr>
                  <w:tcW w:w="2271" w:type="dxa"/>
                  <w:tcBorders>
                    <w:tl2br w:val="nil"/>
                    <w:tr2bl w:val="nil"/>
                  </w:tcBorders>
                  <w:vAlign w:val="center"/>
                </w:tcPr>
                <w:p w14:paraId="7CEDFF15">
                  <w:pPr>
                    <w:pStyle w:val="36"/>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6</w:t>
                  </w:r>
                  <w:r>
                    <w:rPr>
                      <w:rFonts w:hint="eastAsia" w:cs="Times New Roman"/>
                      <w:color w:val="auto"/>
                      <w:sz w:val="21"/>
                      <w:szCs w:val="21"/>
                      <w:lang w:val="en-US" w:eastAsia="zh-CN"/>
                    </w:rPr>
                    <w:t>5</w:t>
                  </w:r>
                </w:p>
              </w:tc>
              <w:tc>
                <w:tcPr>
                  <w:tcW w:w="2273" w:type="dxa"/>
                  <w:tcBorders>
                    <w:tl2br w:val="nil"/>
                    <w:tr2bl w:val="nil"/>
                  </w:tcBorders>
                  <w:vAlign w:val="center"/>
                </w:tcPr>
                <w:p w14:paraId="4E4AD4A4">
                  <w:pPr>
                    <w:pStyle w:val="36"/>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r>
                    <w:rPr>
                      <w:rFonts w:hint="eastAsia" w:cs="Times New Roman"/>
                      <w:color w:val="auto"/>
                      <w:sz w:val="21"/>
                      <w:szCs w:val="21"/>
                      <w:lang w:val="en-US" w:eastAsia="zh-CN"/>
                    </w:rPr>
                    <w:t>5</w:t>
                  </w:r>
                </w:p>
              </w:tc>
            </w:tr>
          </w:tbl>
          <w:p w14:paraId="737FA6E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4、固废排放标准</w:t>
            </w:r>
          </w:p>
          <w:p w14:paraId="211317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项目运营期间一般固废贮存、处置参照执行</w:t>
            </w:r>
            <w:bookmarkStart w:id="3" w:name="OLE_LINK6"/>
            <w:r>
              <w:rPr>
                <w:rFonts w:hint="default" w:ascii="Times New Roman" w:hAnsi="Times New Roman" w:eastAsia="宋体" w:cs="Times New Roman"/>
                <w:color w:val="auto"/>
                <w:szCs w:val="21"/>
              </w:rPr>
              <w:t>《</w:t>
            </w:r>
            <w:r>
              <w:rPr>
                <w:rFonts w:hint="default" w:ascii="Times New Roman" w:hAnsi="Times New Roman" w:cs="Times New Roman"/>
                <w:color w:val="auto"/>
              </w:rPr>
              <w:t>一般工业固体废物贮存和填埋污染控制标准</w:t>
            </w:r>
            <w:r>
              <w:rPr>
                <w:rFonts w:hint="default" w:ascii="Times New Roman" w:hAnsi="Times New Roman" w:eastAsia="宋体" w:cs="Times New Roman"/>
                <w:color w:val="auto"/>
                <w:szCs w:val="21"/>
              </w:rPr>
              <w:t>》</w:t>
            </w:r>
            <w:bookmarkEnd w:id="3"/>
            <w:r>
              <w:rPr>
                <w:rFonts w:hint="default" w:ascii="Times New Roman" w:hAnsi="Times New Roman" w:eastAsia="宋体" w:cs="Times New Roman"/>
                <w:color w:val="auto"/>
                <w:szCs w:val="21"/>
              </w:rPr>
              <w:t>（GB18599-2020）</w:t>
            </w:r>
            <w:r>
              <w:rPr>
                <w:rFonts w:hint="default" w:ascii="Times New Roman" w:hAnsi="Times New Roman" w:eastAsia="宋体" w:cs="Times New Roman"/>
                <w:color w:val="auto"/>
                <w:sz w:val="21"/>
                <w:szCs w:val="21"/>
              </w:rPr>
              <w:t>中的</w:t>
            </w:r>
            <w:r>
              <w:rPr>
                <w:rFonts w:hint="default" w:ascii="Times New Roman" w:hAnsi="Times New Roman" w:eastAsia="宋体" w:cs="Times New Roman"/>
                <w:color w:val="auto"/>
                <w:sz w:val="21"/>
                <w:szCs w:val="21"/>
                <w:lang w:val="en-US" w:eastAsia="zh-CN"/>
              </w:rPr>
              <w:t>要求</w:t>
            </w:r>
            <w:r>
              <w:rPr>
                <w:rFonts w:hint="default" w:ascii="Times New Roman" w:hAnsi="Times New Roman" w:eastAsia="宋体" w:cs="Times New Roman"/>
                <w:color w:val="auto"/>
                <w:szCs w:val="21"/>
              </w:rPr>
              <w:t>。</w:t>
            </w:r>
          </w:p>
          <w:p w14:paraId="51523CFB">
            <w:pPr>
              <w:pStyle w:val="26"/>
              <w:rPr>
                <w:rFonts w:hint="default"/>
                <w:color w:val="auto"/>
                <w:lang w:val="en-US" w:eastAsia="zh-CN"/>
              </w:rPr>
            </w:pPr>
          </w:p>
        </w:tc>
      </w:tr>
    </w:tbl>
    <w:p w14:paraId="69FBBC2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四、主要环境影响和保护措施</w:t>
      </w:r>
    </w:p>
    <w:tbl>
      <w:tblPr>
        <w:tblStyle w:val="20"/>
        <w:tblW w:w="92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8"/>
        <w:gridCol w:w="8664"/>
      </w:tblGrid>
      <w:tr w14:paraId="6ABC1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8" w:type="dxa"/>
            <w:tcMar>
              <w:left w:w="28" w:type="dxa"/>
              <w:right w:w="28" w:type="dxa"/>
            </w:tcMar>
            <w:vAlign w:val="center"/>
          </w:tcPr>
          <w:p w14:paraId="5C34992F">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w:t>
            </w:r>
          </w:p>
          <w:p w14:paraId="2E395DB3">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期环</w:t>
            </w:r>
          </w:p>
          <w:p w14:paraId="13D5A7F6">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境保</w:t>
            </w:r>
          </w:p>
          <w:p w14:paraId="341B8D29">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护措</w:t>
            </w:r>
          </w:p>
          <w:p w14:paraId="6641F88C">
            <w:pPr>
              <w:pStyle w:val="36"/>
              <w:ind w:firstLine="0" w:firstLineChars="0"/>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施</w:t>
            </w:r>
          </w:p>
        </w:tc>
        <w:tc>
          <w:tcPr>
            <w:tcW w:w="8664" w:type="dxa"/>
            <w:vAlign w:val="center"/>
          </w:tcPr>
          <w:p w14:paraId="0D7C5810">
            <w:pPr>
              <w:bidi w:val="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lang w:val="en-US" w:eastAsia="zh-CN"/>
              </w:rPr>
              <w:t>项目租赁园区已建厂房，无相关土建工程内容，施工期主要进行设备安装、</w:t>
            </w:r>
            <w:r>
              <w:rPr>
                <w:rFonts w:hint="default" w:ascii="Times New Roman" w:hAnsi="Times New Roman" w:eastAsia="宋体" w:cs="Times New Roman"/>
                <w:color w:val="auto"/>
                <w:sz w:val="21"/>
                <w:szCs w:val="21"/>
                <w:lang w:val="en-US" w:eastAsia="zh-CN"/>
              </w:rPr>
              <w:t>配套附属设施建设和设备及环保设施安装、调试，施工期的环境影响</w:t>
            </w:r>
            <w:r>
              <w:rPr>
                <w:rFonts w:hint="default" w:ascii="Times New Roman" w:hAnsi="Times New Roman" w:cs="Times New Roman"/>
                <w:color w:val="auto"/>
                <w:sz w:val="21"/>
                <w:szCs w:val="21"/>
                <w:lang w:val="en-US" w:eastAsia="zh-CN"/>
              </w:rPr>
              <w:t>为噪声、固废等，其影响程度及范围有限，本次重点对</w:t>
            </w:r>
            <w:r>
              <w:rPr>
                <w:rFonts w:hint="default" w:ascii="Times New Roman" w:hAnsi="Times New Roman" w:eastAsia="宋体" w:cs="Times New Roman"/>
                <w:color w:val="auto"/>
                <w:sz w:val="21"/>
                <w:szCs w:val="21"/>
                <w:lang w:val="en-US" w:eastAsia="zh-CN"/>
              </w:rPr>
              <w:t>运营期的污染工序进行分析</w:t>
            </w:r>
            <w:r>
              <w:rPr>
                <w:rFonts w:hint="default" w:ascii="Times New Roman" w:hAnsi="Times New Roman" w:cs="Times New Roman"/>
                <w:color w:val="auto"/>
                <w:sz w:val="21"/>
                <w:szCs w:val="21"/>
                <w:lang w:val="en-US" w:eastAsia="zh-CN"/>
              </w:rPr>
              <w:t>。</w:t>
            </w:r>
          </w:p>
        </w:tc>
      </w:tr>
      <w:tr w14:paraId="52B6A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8" w:type="dxa"/>
            <w:shd w:val="clear" w:color="auto" w:fill="auto"/>
            <w:tcMar>
              <w:left w:w="28" w:type="dxa"/>
              <w:right w:w="28" w:type="dxa"/>
            </w:tcMar>
            <w:vAlign w:val="center"/>
          </w:tcPr>
          <w:p w14:paraId="471200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运营</w:t>
            </w:r>
          </w:p>
          <w:p w14:paraId="457863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期环</w:t>
            </w:r>
          </w:p>
          <w:p w14:paraId="2F6298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境影</w:t>
            </w:r>
          </w:p>
          <w:p w14:paraId="714F11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响和</w:t>
            </w:r>
          </w:p>
          <w:p w14:paraId="2F352F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保护</w:t>
            </w:r>
          </w:p>
          <w:p w14:paraId="4E60EA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措施</w:t>
            </w:r>
          </w:p>
        </w:tc>
        <w:tc>
          <w:tcPr>
            <w:tcW w:w="8664" w:type="dxa"/>
            <w:shd w:val="clear" w:color="auto" w:fill="auto"/>
            <w:vAlign w:val="center"/>
          </w:tcPr>
          <w:p w14:paraId="09815D7B">
            <w:pPr>
              <w:pStyle w:val="62"/>
              <w:keepNext w:val="0"/>
              <w:keepLines w:val="0"/>
              <w:pageBreakBefore w:val="0"/>
              <w:kinsoku/>
              <w:wordWrap/>
              <w:overflowPunct/>
              <w:topLinePunct w:val="0"/>
              <w:autoSpaceDE/>
              <w:autoSpaceDN/>
              <w:bidi w:val="0"/>
              <w:adjustRightInd/>
              <w:spacing w:line="360" w:lineRule="auto"/>
              <w:ind w:left="0" w:leftChars="0" w:right="0" w:firstLine="0" w:firstLineChars="0"/>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1 废气</w:t>
            </w:r>
          </w:p>
          <w:p w14:paraId="06928C8D">
            <w:pPr>
              <w:pStyle w:val="62"/>
              <w:keepNext w:val="0"/>
              <w:keepLines w:val="0"/>
              <w:pageBreakBefore w:val="0"/>
              <w:kinsoku/>
              <w:wordWrap/>
              <w:overflowPunct/>
              <w:topLinePunct w:val="0"/>
              <w:autoSpaceDE/>
              <w:autoSpaceDN/>
              <w:bidi w:val="0"/>
              <w:adjustRightInd/>
              <w:spacing w:line="360" w:lineRule="auto"/>
              <w:ind w:left="0" w:right="0" w:firstLine="559"/>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项目废气主要包括乳粉制作系统粉尘、污水处理站恶臭和食堂油烟，产生环境影响及措施如下：</w:t>
            </w:r>
          </w:p>
          <w:p w14:paraId="5659ADD7">
            <w:pPr>
              <w:pStyle w:val="62"/>
              <w:keepNext w:val="0"/>
              <w:keepLines w:val="0"/>
              <w:pageBreakBefore w:val="0"/>
              <w:kinsoku/>
              <w:wordWrap/>
              <w:overflowPunct/>
              <w:topLinePunct w:val="0"/>
              <w:autoSpaceDE/>
              <w:autoSpaceDN/>
              <w:bidi w:val="0"/>
              <w:adjustRightInd/>
              <w:spacing w:line="360" w:lineRule="auto"/>
              <w:ind w:left="0" w:right="0"/>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1.1 乳粉制作系统粉尘</w:t>
            </w:r>
          </w:p>
          <w:p w14:paraId="207D9DC6">
            <w:pPr>
              <w:pStyle w:val="62"/>
              <w:keepNext w:val="0"/>
              <w:keepLines w:val="0"/>
              <w:pageBreakBefore w:val="0"/>
              <w:kinsoku/>
              <w:wordWrap/>
              <w:overflowPunct/>
              <w:topLinePunct w:val="0"/>
              <w:autoSpaceDE/>
              <w:autoSpaceDN/>
              <w:bidi w:val="0"/>
              <w:adjustRightInd/>
              <w:spacing w:line="360" w:lineRule="auto"/>
              <w:ind w:left="0" w:right="0" w:firstLine="559"/>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根据1441液体乳制造行业系数手册中1441液体乳制造行业系数表，无大气源强核算系数，本项目根据物料衡算发进行核算。</w:t>
            </w:r>
          </w:p>
          <w:p w14:paraId="1CF804A3">
            <w:pPr>
              <w:pStyle w:val="62"/>
              <w:keepNext w:val="0"/>
              <w:keepLines w:val="0"/>
              <w:pageBreakBefore w:val="0"/>
              <w:kinsoku/>
              <w:wordWrap/>
              <w:overflowPunct/>
              <w:topLinePunct w:val="0"/>
              <w:autoSpaceDE/>
              <w:autoSpaceDN/>
              <w:bidi w:val="0"/>
              <w:adjustRightInd/>
              <w:spacing w:line="360" w:lineRule="auto"/>
              <w:ind w:left="0" w:right="0" w:firstLine="559"/>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项目粉尘主要来源于喷雾干燥塔干燥过程。项目干燥系统为全封闭设施，采用内置流化床的喷雾干燥塔，乳粉首先在上部分喷雾干燥塔内进行干燥，随后进入二级流化床进行进一步干燥造粒、冷却，乳粉颗粒经过振动筛后筛分最终进入缓冲包装仓，仓内乳粉可加入益生菌或搅拌或直接进入真空包装机罐装</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项目运行8h/d（2400h/a）</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项目乳粉</w:t>
            </w:r>
            <w:r>
              <w:rPr>
                <w:rFonts w:hint="eastAsia" w:ascii="Times New Roman" w:hAnsi="Times New Roman" w:eastAsia="宋体" w:cs="Times New Roman"/>
                <w:color w:val="auto"/>
                <w:kern w:val="2"/>
                <w:sz w:val="21"/>
                <w:szCs w:val="21"/>
                <w:lang w:val="en-US" w:eastAsia="zh-CN" w:bidi="ar-SA"/>
              </w:rPr>
              <w:t>生产和灌装粉尘分别集气罩收集后经袋式除尘器处理后</w:t>
            </w:r>
            <w:r>
              <w:rPr>
                <w:rFonts w:hint="default" w:ascii="Times New Roman" w:hAnsi="Times New Roman" w:eastAsia="宋体" w:cs="Times New Roman"/>
                <w:color w:val="auto"/>
                <w:sz w:val="21"/>
                <w:szCs w:val="21"/>
                <w:lang w:val="en-US" w:eastAsia="zh-CN"/>
              </w:rPr>
              <w:t>（集气效率为90</w:t>
            </w:r>
            <w:r>
              <w:rPr>
                <w:rFonts w:hint="default" w:ascii="Times New Roman" w:hAnsi="Times New Roman" w:eastAsia="宋体" w:cs="Times New Roman"/>
                <w:color w:val="auto"/>
              </w:rPr>
              <w:t>%</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rPr>
              <w:t>处理效率可达到99</w:t>
            </w:r>
            <w:r>
              <w:rPr>
                <w:rFonts w:hint="default" w:ascii="Times New Roman" w:hAnsi="Times New Roman" w:eastAsia="宋体" w:cs="Times New Roman"/>
                <w:color w:val="auto"/>
                <w:lang w:val="en-US" w:eastAsia="zh-CN"/>
              </w:rPr>
              <w:t>.7</w:t>
            </w:r>
            <w:r>
              <w:rPr>
                <w:rFonts w:hint="default" w:ascii="Times New Roman" w:hAnsi="Times New Roman" w:eastAsia="宋体" w:cs="Times New Roman"/>
                <w:color w:val="auto"/>
              </w:rPr>
              <w:t>%</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kern w:val="2"/>
                <w:sz w:val="21"/>
                <w:szCs w:val="21"/>
                <w:lang w:val="en-US" w:eastAsia="zh-CN" w:bidi="ar-SA"/>
              </w:rPr>
              <w:t>通过一根排气筒排放，设置</w:t>
            </w:r>
            <w:r>
              <w:rPr>
                <w:rFonts w:hint="default" w:ascii="Times New Roman" w:hAnsi="Times New Roman" w:eastAsia="宋体" w:cs="Times New Roman"/>
                <w:color w:val="auto"/>
                <w:kern w:val="2"/>
                <w:sz w:val="21"/>
                <w:szCs w:val="21"/>
                <w:lang w:val="en-US" w:eastAsia="zh-CN" w:bidi="ar-SA"/>
              </w:rPr>
              <w:t>风机风量为</w:t>
            </w:r>
            <w:r>
              <w:rPr>
                <w:rFonts w:hint="eastAsia" w:ascii="Times New Roman" w:hAnsi="Times New Roman" w:eastAsia="宋体" w:cs="Times New Roman"/>
                <w:color w:val="auto"/>
                <w:kern w:val="2"/>
                <w:sz w:val="21"/>
                <w:szCs w:val="21"/>
                <w:lang w:val="en-US" w:eastAsia="zh-CN" w:bidi="ar-SA"/>
              </w:rPr>
              <w:t>8</w:t>
            </w:r>
            <w:r>
              <w:rPr>
                <w:rFonts w:hint="default" w:ascii="Times New Roman" w:hAnsi="Times New Roman" w:eastAsia="宋体" w:cs="Times New Roman"/>
                <w:color w:val="auto"/>
                <w:kern w:val="2"/>
                <w:sz w:val="21"/>
                <w:szCs w:val="21"/>
                <w:lang w:val="en-US" w:eastAsia="zh-CN" w:bidi="ar-SA"/>
              </w:rPr>
              <w:t>000m</w:t>
            </w:r>
            <w:r>
              <w:rPr>
                <w:rFonts w:hint="default" w:ascii="Times New Roman" w:hAnsi="Times New Roman" w:eastAsia="宋体" w:cs="Times New Roman"/>
                <w:color w:val="auto"/>
                <w:kern w:val="2"/>
                <w:sz w:val="21"/>
                <w:szCs w:val="21"/>
                <w:vertAlign w:val="superscript"/>
                <w:lang w:val="en-US" w:eastAsia="zh-CN" w:bidi="ar-SA"/>
              </w:rPr>
              <w:t>3</w:t>
            </w:r>
            <w:r>
              <w:rPr>
                <w:rFonts w:hint="default" w:ascii="Times New Roman" w:hAnsi="Times New Roman" w:eastAsia="宋体" w:cs="Times New Roman"/>
                <w:color w:val="auto"/>
                <w:kern w:val="2"/>
                <w:sz w:val="21"/>
                <w:szCs w:val="21"/>
                <w:lang w:val="en-US" w:eastAsia="zh-CN" w:bidi="ar-SA"/>
              </w:rPr>
              <w:t>/h。</w:t>
            </w:r>
          </w:p>
          <w:p w14:paraId="3607BFC8">
            <w:pPr>
              <w:pStyle w:val="62"/>
              <w:keepNext w:val="0"/>
              <w:keepLines w:val="0"/>
              <w:pageBreakBefore w:val="0"/>
              <w:numPr>
                <w:ilvl w:val="0"/>
                <w:numId w:val="3"/>
              </w:numPr>
              <w:kinsoku/>
              <w:wordWrap/>
              <w:overflowPunct/>
              <w:topLinePunct w:val="0"/>
              <w:autoSpaceDE/>
              <w:autoSpaceDN/>
              <w:bidi w:val="0"/>
              <w:adjustRightInd/>
              <w:spacing w:line="360" w:lineRule="auto"/>
              <w:ind w:left="0" w:right="0" w:firstLine="559"/>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乳粉生产粉尘：</w:t>
            </w:r>
            <w:r>
              <w:rPr>
                <w:rFonts w:hint="default" w:ascii="Times New Roman" w:hAnsi="Times New Roman" w:eastAsia="宋体" w:cs="Times New Roman"/>
                <w:color w:val="auto"/>
                <w:kern w:val="2"/>
                <w:sz w:val="21"/>
                <w:szCs w:val="21"/>
                <w:lang w:val="en-US" w:eastAsia="zh-CN" w:bidi="ar-SA"/>
              </w:rPr>
              <w:t>项</w:t>
            </w:r>
            <w:r>
              <w:rPr>
                <w:rFonts w:hint="default" w:ascii="Times New Roman" w:hAnsi="Times New Roman" w:eastAsia="宋体" w:cs="Times New Roman"/>
                <w:color w:val="auto"/>
                <w:sz w:val="21"/>
                <w:szCs w:val="21"/>
                <w:lang w:val="en-US" w:eastAsia="zh-CN"/>
              </w:rPr>
              <w:t>目乳粉制作工序会有粉尘产生，经</w:t>
            </w:r>
            <w:r>
              <w:rPr>
                <w:rFonts w:hint="default" w:ascii="Times New Roman" w:hAnsi="Times New Roman" w:eastAsia="宋体" w:cs="Times New Roman"/>
                <w:color w:val="auto"/>
                <w:kern w:val="2"/>
                <w:sz w:val="21"/>
                <w:szCs w:val="21"/>
                <w:lang w:val="en-US" w:eastAsia="zh-CN" w:bidi="ar-SA"/>
              </w:rPr>
              <w:t>喷雾干燥的乳粉90%自然沉降，未沉降的乳粉90%经过内置旋风分离器</w:t>
            </w:r>
            <w:r>
              <w:rPr>
                <w:rFonts w:hint="eastAsia" w:ascii="Times New Roman" w:hAnsi="Times New Roman" w:eastAsia="宋体" w:cs="Times New Roman"/>
                <w:color w:val="auto"/>
                <w:kern w:val="2"/>
                <w:sz w:val="21"/>
                <w:szCs w:val="21"/>
                <w:lang w:val="en-US" w:eastAsia="zh-CN" w:bidi="ar-SA"/>
              </w:rPr>
              <w:t>排放，</w:t>
            </w:r>
            <w:r>
              <w:rPr>
                <w:rFonts w:hint="default" w:ascii="Times New Roman" w:hAnsi="Times New Roman" w:eastAsia="宋体" w:cs="Times New Roman"/>
                <w:color w:val="auto"/>
                <w:kern w:val="2"/>
                <w:sz w:val="21"/>
                <w:szCs w:val="21"/>
                <w:lang w:val="en-US" w:eastAsia="zh-CN" w:bidi="ar-SA"/>
              </w:rPr>
              <w:t>项目年需喷吹制造乳粉1000t，经自然沉降和旋风分离后产生乳粉粉尘10t/a</w:t>
            </w:r>
            <w:bookmarkStart w:id="4" w:name="OLE_LINK7"/>
            <w:bookmarkStart w:id="5" w:name="OLE_LINK5"/>
            <w:r>
              <w:rPr>
                <w:rFonts w:hint="default" w:ascii="Times New Roman" w:hAnsi="Times New Roman" w:eastAsia="宋体" w:cs="Times New Roman"/>
                <w:color w:val="auto"/>
                <w:kern w:val="2"/>
                <w:sz w:val="21"/>
                <w:szCs w:val="21"/>
                <w:lang w:val="en-US" w:eastAsia="zh-CN" w:bidi="ar-SA"/>
              </w:rPr>
              <w:t>。</w:t>
            </w:r>
            <w:bookmarkEnd w:id="4"/>
            <w:bookmarkEnd w:id="5"/>
          </w:p>
          <w:p w14:paraId="7D46537E">
            <w:pPr>
              <w:pStyle w:val="6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（2）乳粉灌装粉尘：驼奶粉中含有少量水分，一般含水率少于5%，</w:t>
            </w:r>
            <w:r>
              <w:rPr>
                <w:rFonts w:hint="default" w:ascii="Times New Roman" w:hAnsi="Times New Roman" w:eastAsia="宋体" w:cs="Times New Roman"/>
                <w:color w:val="auto"/>
                <w:kern w:val="2"/>
                <w:sz w:val="21"/>
                <w:szCs w:val="21"/>
                <w:lang w:val="en-US" w:eastAsia="zh-CN" w:bidi="ar-SA"/>
              </w:rPr>
              <w:t>项目年需</w:t>
            </w:r>
            <w:r>
              <w:rPr>
                <w:rFonts w:hint="eastAsia" w:ascii="Times New Roman" w:hAnsi="Times New Roman" w:eastAsia="宋体" w:cs="Times New Roman"/>
                <w:color w:val="auto"/>
                <w:kern w:val="2"/>
                <w:sz w:val="21"/>
                <w:szCs w:val="21"/>
                <w:lang w:val="en-US" w:eastAsia="zh-CN" w:bidi="ar-SA"/>
              </w:rPr>
              <w:t>灌装</w:t>
            </w:r>
            <w:r>
              <w:rPr>
                <w:rFonts w:hint="default" w:ascii="Times New Roman" w:hAnsi="Times New Roman" w:eastAsia="宋体" w:cs="Times New Roman"/>
                <w:color w:val="auto"/>
                <w:kern w:val="2"/>
                <w:sz w:val="21"/>
                <w:szCs w:val="21"/>
                <w:lang w:val="en-US" w:eastAsia="zh-CN" w:bidi="ar-SA"/>
              </w:rPr>
              <w:t>乳粉1000t，</w:t>
            </w:r>
            <w:r>
              <w:rPr>
                <w:rFonts w:hint="eastAsia" w:ascii="Times New Roman" w:hAnsi="Times New Roman" w:eastAsia="宋体" w:cs="Times New Roman"/>
                <w:color w:val="auto"/>
                <w:kern w:val="2"/>
                <w:sz w:val="21"/>
                <w:szCs w:val="21"/>
                <w:lang w:val="en-US" w:eastAsia="zh-CN" w:bidi="ar-SA"/>
              </w:rPr>
              <w:t>类比分析来源“</w:t>
            </w:r>
            <w:r>
              <w:rPr>
                <w:rFonts w:hint="default" w:ascii="Times New Roman" w:hAnsi="Times New Roman" w:eastAsia="宋体" w:cs="Times New Roman"/>
                <w:color w:val="auto"/>
                <w:kern w:val="2"/>
                <w:sz w:val="21"/>
                <w:szCs w:val="21"/>
                <w:lang w:val="en-US" w:eastAsia="zh-CN" w:bidi="ar-SA"/>
              </w:rPr>
              <w:t>《柯坪县驼奶加工基地基础设施建设项目》污染物产生浓度</w:t>
            </w:r>
            <w:r>
              <w:rPr>
                <w:rFonts w:hint="eastAsia" w:ascii="Times New Roman" w:hAnsi="Times New Roman" w:eastAsia="宋体" w:cs="Times New Roman"/>
                <w:color w:val="auto"/>
                <w:kern w:val="2"/>
                <w:sz w:val="21"/>
                <w:szCs w:val="21"/>
                <w:lang w:val="en-US" w:eastAsia="zh-CN" w:bidi="ar-SA"/>
              </w:rPr>
              <w:t>，该项目生产规模为年产乳粉1000吨，液态奶2000吨，工艺相同</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本项目年产乳粉1000吨，液态奶1500吨</w:t>
            </w:r>
            <w:r>
              <w:rPr>
                <w:rFonts w:hint="default" w:ascii="Times New Roman" w:hAnsi="Times New Roman" w:eastAsia="宋体" w:cs="Times New Roman"/>
                <w:color w:val="auto"/>
                <w:kern w:val="2"/>
                <w:sz w:val="21"/>
                <w:szCs w:val="21"/>
                <w:lang w:val="en-US" w:eastAsia="zh-CN" w:bidi="ar-SA"/>
              </w:rPr>
              <w:t>项目</w:t>
            </w:r>
            <w:r>
              <w:rPr>
                <w:rFonts w:hint="eastAsia" w:ascii="Times New Roman" w:hAnsi="Times New Roman" w:eastAsia="宋体" w:cs="Times New Roman"/>
                <w:color w:val="auto"/>
                <w:kern w:val="2"/>
                <w:sz w:val="21"/>
                <w:szCs w:val="21"/>
                <w:lang w:val="en-US" w:eastAsia="zh-CN" w:bidi="ar-SA"/>
              </w:rPr>
              <w:t>”，乳粉灌装产生量为原料的0.2%，则</w:t>
            </w:r>
            <w:r>
              <w:rPr>
                <w:rFonts w:hint="default" w:ascii="Times New Roman" w:hAnsi="Times New Roman" w:eastAsia="宋体" w:cs="Times New Roman"/>
                <w:color w:val="auto"/>
                <w:kern w:val="2"/>
                <w:sz w:val="21"/>
                <w:szCs w:val="21"/>
                <w:lang w:val="en-US" w:eastAsia="zh-CN" w:bidi="ar-SA"/>
              </w:rPr>
              <w:t>粉尘</w:t>
            </w:r>
            <w:r>
              <w:rPr>
                <w:rFonts w:hint="eastAsia" w:ascii="Times New Roman" w:hAnsi="Times New Roman" w:eastAsia="宋体"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t>t/a</w:t>
            </w:r>
            <w:r>
              <w:rPr>
                <w:rFonts w:hint="eastAsia" w:ascii="Times New Roman" w:hAnsi="Times New Roman" w:eastAsia="宋体" w:cs="Times New Roman"/>
                <w:color w:val="auto"/>
                <w:kern w:val="2"/>
                <w:sz w:val="21"/>
                <w:szCs w:val="21"/>
                <w:lang w:val="en-US" w:eastAsia="zh-CN" w:bidi="ar-SA"/>
              </w:rPr>
              <w:t>。</w:t>
            </w:r>
          </w:p>
          <w:p w14:paraId="7864E85F">
            <w:pPr>
              <w:bidi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乳粉生产粉尘和乳粉灌装粉尘粉尘产生量为12</w:t>
            </w:r>
            <w:r>
              <w:rPr>
                <w:rFonts w:hint="default" w:ascii="Times New Roman" w:hAnsi="Times New Roman" w:eastAsia="宋体" w:cs="Times New Roman"/>
                <w:color w:val="auto"/>
                <w:kern w:val="2"/>
                <w:sz w:val="21"/>
                <w:szCs w:val="21"/>
                <w:lang w:val="en-US" w:eastAsia="zh-CN" w:bidi="ar-SA"/>
              </w:rPr>
              <w:t>t/a</w:t>
            </w:r>
            <w:r>
              <w:rPr>
                <w:rFonts w:hint="eastAsia" w:ascii="Times New Roman" w:hAnsi="Times New Roman" w:eastAsia="宋体" w:cs="Times New Roman"/>
                <w:color w:val="auto"/>
                <w:kern w:val="2"/>
                <w:sz w:val="21"/>
                <w:szCs w:val="21"/>
                <w:lang w:val="en-US" w:eastAsia="zh-CN" w:bidi="ar-SA"/>
              </w:rPr>
              <w:t>，有组织废气</w:t>
            </w:r>
            <w:r>
              <w:rPr>
                <w:rFonts w:hint="default" w:ascii="Times New Roman" w:hAnsi="Times New Roman" w:eastAsia="宋体" w:cs="Times New Roman"/>
                <w:color w:val="auto"/>
                <w:kern w:val="2"/>
                <w:sz w:val="21"/>
                <w:szCs w:val="21"/>
                <w:lang w:val="en-US" w:eastAsia="zh-CN" w:bidi="ar-SA"/>
              </w:rPr>
              <w:t>粉尘产生量为</w:t>
            </w:r>
            <w:r>
              <w:rPr>
                <w:rFonts w:hint="eastAsia" w:ascii="Times New Roman" w:hAnsi="Times New Roman" w:eastAsia="宋体" w:cs="Times New Roman"/>
                <w:color w:val="auto"/>
                <w:kern w:val="2"/>
                <w:sz w:val="21"/>
                <w:szCs w:val="21"/>
                <w:lang w:val="en-US" w:eastAsia="zh-CN" w:bidi="ar-SA"/>
              </w:rPr>
              <w:t>10.8</w:t>
            </w:r>
            <w:r>
              <w:rPr>
                <w:rFonts w:hint="default" w:ascii="Times New Roman" w:hAnsi="Times New Roman" w:eastAsia="宋体" w:cs="Times New Roman"/>
                <w:color w:val="auto"/>
                <w:kern w:val="2"/>
                <w:sz w:val="21"/>
                <w:szCs w:val="21"/>
                <w:lang w:val="en-US" w:eastAsia="zh-CN" w:bidi="ar-SA"/>
              </w:rPr>
              <w:t>t/a，产生浓度为</w:t>
            </w:r>
            <w:r>
              <w:rPr>
                <w:rFonts w:hint="eastAsia" w:ascii="Times New Roman" w:hAnsi="Times New Roman" w:eastAsia="宋体" w:cs="Times New Roman"/>
                <w:color w:val="auto"/>
                <w:kern w:val="2"/>
                <w:sz w:val="21"/>
                <w:szCs w:val="21"/>
                <w:lang w:val="en-US" w:eastAsia="zh-CN" w:bidi="ar-SA"/>
              </w:rPr>
              <w:t>562.5</w:t>
            </w:r>
            <w:r>
              <w:rPr>
                <w:rFonts w:hint="default" w:ascii="Times New Roman" w:hAnsi="Times New Roman" w:eastAsia="宋体" w:cs="Times New Roman"/>
                <w:color w:val="auto"/>
                <w:kern w:val="2"/>
                <w:sz w:val="21"/>
                <w:szCs w:val="21"/>
                <w:lang w:val="en-US" w:eastAsia="zh-CN" w:bidi="ar-SA"/>
              </w:rPr>
              <w:t>mg/m</w:t>
            </w:r>
            <w:r>
              <w:rPr>
                <w:rFonts w:hint="default" w:ascii="Times New Roman" w:hAnsi="Times New Roman" w:eastAsia="宋体" w:cs="Times New Roman"/>
                <w:color w:val="auto"/>
                <w:kern w:val="2"/>
                <w:sz w:val="21"/>
                <w:szCs w:val="21"/>
                <w:vertAlign w:val="superscript"/>
                <w:lang w:val="en-US" w:eastAsia="zh-CN" w:bidi="ar-SA"/>
              </w:rPr>
              <w:t>3</w:t>
            </w:r>
            <w:r>
              <w:rPr>
                <w:rFonts w:hint="default" w:ascii="Times New Roman" w:hAnsi="Times New Roman" w:eastAsia="宋体" w:cs="Times New Roman"/>
                <w:color w:val="auto"/>
                <w:kern w:val="2"/>
                <w:sz w:val="21"/>
                <w:szCs w:val="21"/>
                <w:lang w:val="en-US" w:eastAsia="zh-CN" w:bidi="ar-SA"/>
              </w:rPr>
              <w:t>，产生速率为</w:t>
            </w:r>
            <w:r>
              <w:rPr>
                <w:rFonts w:hint="eastAsia" w:ascii="Times New Roman" w:hAnsi="Times New Roman" w:eastAsia="宋体" w:cs="Times New Roman"/>
                <w:color w:val="auto"/>
                <w:kern w:val="2"/>
                <w:sz w:val="21"/>
                <w:szCs w:val="21"/>
                <w:lang w:val="en-US" w:eastAsia="zh-CN" w:bidi="ar-SA"/>
              </w:rPr>
              <w:t>4.5.</w:t>
            </w:r>
            <w:r>
              <w:rPr>
                <w:rFonts w:hint="default" w:ascii="Times New Roman" w:hAnsi="Times New Roman" w:eastAsia="宋体" w:cs="Times New Roman"/>
                <w:color w:val="auto"/>
                <w:kern w:val="2"/>
                <w:sz w:val="21"/>
                <w:szCs w:val="21"/>
                <w:lang w:val="en-US" w:eastAsia="zh-CN" w:bidi="ar-SA"/>
              </w:rPr>
              <w:t>kg/h，经</w:t>
            </w:r>
            <w:r>
              <w:rPr>
                <w:rFonts w:hint="eastAsia" w:ascii="Times New Roman" w:hAnsi="Times New Roman" w:eastAsia="宋体" w:cs="Times New Roman"/>
                <w:color w:val="auto"/>
                <w:kern w:val="2"/>
                <w:sz w:val="21"/>
                <w:szCs w:val="21"/>
                <w:lang w:val="en-US" w:eastAsia="zh-CN" w:bidi="ar-SA"/>
              </w:rPr>
              <w:t>布袋除尘器</w:t>
            </w:r>
            <w:r>
              <w:rPr>
                <w:rFonts w:hint="default" w:ascii="Times New Roman" w:hAnsi="Times New Roman" w:eastAsia="宋体" w:cs="Times New Roman"/>
                <w:color w:val="auto"/>
                <w:kern w:val="2"/>
                <w:sz w:val="21"/>
                <w:szCs w:val="21"/>
                <w:lang w:val="en-US" w:eastAsia="zh-CN" w:bidi="ar-SA"/>
              </w:rPr>
              <w:t>处理后，粉尘排放量为</w:t>
            </w:r>
            <w:r>
              <w:rPr>
                <w:rFonts w:hint="eastAsia" w:ascii="Times New Roman" w:hAnsi="Times New Roman" w:eastAsia="宋体" w:cs="Times New Roman"/>
                <w:color w:val="auto"/>
                <w:kern w:val="2"/>
                <w:sz w:val="21"/>
                <w:szCs w:val="21"/>
                <w:lang w:val="en-US" w:eastAsia="zh-CN" w:bidi="ar-SA"/>
              </w:rPr>
              <w:t>0.108</w:t>
            </w:r>
            <w:r>
              <w:rPr>
                <w:rFonts w:hint="default" w:ascii="Times New Roman" w:hAnsi="Times New Roman" w:eastAsia="宋体" w:cs="Times New Roman"/>
                <w:color w:val="auto"/>
                <w:kern w:val="2"/>
                <w:sz w:val="21"/>
                <w:szCs w:val="21"/>
                <w:lang w:val="en-US" w:eastAsia="zh-CN" w:bidi="ar-SA"/>
              </w:rPr>
              <w:t>t/a，污染物排放浓度为</w:t>
            </w:r>
            <w:r>
              <w:rPr>
                <w:rFonts w:hint="eastAsia" w:ascii="Times New Roman" w:hAnsi="Times New Roman" w:eastAsia="宋体" w:cs="Times New Roman"/>
                <w:color w:val="auto"/>
                <w:kern w:val="2"/>
                <w:sz w:val="21"/>
                <w:szCs w:val="21"/>
                <w:lang w:val="en-US" w:eastAsia="zh-CN" w:bidi="ar-SA"/>
              </w:rPr>
              <w:t>5.625</w:t>
            </w:r>
            <w:r>
              <w:rPr>
                <w:rFonts w:hint="default" w:ascii="Times New Roman" w:hAnsi="Times New Roman" w:eastAsia="宋体" w:cs="Times New Roman"/>
                <w:color w:val="auto"/>
                <w:kern w:val="2"/>
                <w:sz w:val="21"/>
                <w:szCs w:val="21"/>
                <w:lang w:val="en-US" w:eastAsia="zh-CN" w:bidi="ar-SA"/>
              </w:rPr>
              <w:t>mg/m</w:t>
            </w:r>
            <w:r>
              <w:rPr>
                <w:rFonts w:hint="default" w:ascii="Times New Roman" w:hAnsi="Times New Roman" w:eastAsia="宋体" w:cs="Times New Roman"/>
                <w:color w:val="auto"/>
                <w:kern w:val="2"/>
                <w:sz w:val="21"/>
                <w:szCs w:val="21"/>
                <w:vertAlign w:val="superscript"/>
                <w:lang w:val="en-US" w:eastAsia="zh-CN" w:bidi="ar-SA"/>
              </w:rPr>
              <w:t>3</w:t>
            </w:r>
            <w:r>
              <w:rPr>
                <w:rFonts w:hint="default" w:ascii="Times New Roman" w:hAnsi="Times New Roman" w:eastAsia="宋体" w:cs="Times New Roman"/>
                <w:color w:val="auto"/>
                <w:kern w:val="2"/>
                <w:sz w:val="21"/>
                <w:szCs w:val="21"/>
                <w:lang w:val="en-US" w:eastAsia="zh-CN" w:bidi="ar-SA"/>
              </w:rPr>
              <w:t>，排放速率为0.0</w:t>
            </w:r>
            <w:r>
              <w:rPr>
                <w:rFonts w:hint="eastAsia" w:ascii="Times New Roman" w:hAnsi="Times New Roman" w:eastAsia="宋体" w:cs="Times New Roman"/>
                <w:color w:val="auto"/>
                <w:kern w:val="2"/>
                <w:sz w:val="21"/>
                <w:szCs w:val="21"/>
                <w:lang w:val="en-US" w:eastAsia="zh-CN" w:bidi="ar-SA"/>
              </w:rPr>
              <w:t>45</w:t>
            </w:r>
            <w:r>
              <w:rPr>
                <w:rFonts w:hint="default" w:ascii="Times New Roman" w:hAnsi="Times New Roman" w:eastAsia="宋体" w:cs="Times New Roman"/>
                <w:color w:val="auto"/>
                <w:kern w:val="2"/>
                <w:sz w:val="21"/>
                <w:szCs w:val="21"/>
                <w:lang w:val="en-US" w:eastAsia="zh-CN" w:bidi="ar-SA"/>
              </w:rPr>
              <w:t>kg/h</w:t>
            </w:r>
            <w:r>
              <w:rPr>
                <w:rFonts w:hint="eastAsia" w:ascii="Times New Roman" w:hAnsi="Times New Roman" w:eastAsia="宋体" w:cs="Times New Roman"/>
                <w:color w:val="auto"/>
                <w:kern w:val="2"/>
                <w:sz w:val="21"/>
                <w:szCs w:val="21"/>
                <w:lang w:val="en-US" w:eastAsia="zh-CN" w:bidi="ar-SA"/>
              </w:rPr>
              <w:t>。</w:t>
            </w:r>
          </w:p>
          <w:p w14:paraId="14C619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有组织废气产生、排放情况详见表</w:t>
            </w:r>
            <w:r>
              <w:rPr>
                <w:rFonts w:hint="default" w:ascii="Times New Roman" w:hAnsi="Times New Roman" w:eastAsia="宋体" w:cs="Times New Roman"/>
                <w:color w:val="auto"/>
                <w:lang w:val="en-US" w:eastAsia="zh-CN"/>
              </w:rPr>
              <w:t>4-</w:t>
            </w:r>
            <w:r>
              <w:rPr>
                <w:rFonts w:hint="eastAsia" w:cs="Times New Roman"/>
                <w:color w:val="auto"/>
                <w:lang w:val="en-US" w:eastAsia="zh-CN"/>
              </w:rPr>
              <w:t>1</w:t>
            </w:r>
            <w:r>
              <w:rPr>
                <w:rFonts w:hint="default" w:ascii="Times New Roman" w:hAnsi="Times New Roman" w:eastAsia="宋体" w:cs="Times New Roman"/>
                <w:color w:val="auto"/>
              </w:rPr>
              <w:t>。</w:t>
            </w:r>
          </w:p>
          <w:p w14:paraId="4D9FCF75">
            <w:pPr>
              <w:pStyle w:val="18"/>
              <w:keepNext w:val="0"/>
              <w:keepLines w:val="0"/>
              <w:pageBreakBefore w:val="0"/>
              <w:widowControl/>
              <w:kinsoku/>
              <w:wordWrap/>
              <w:overflowPunct/>
              <w:topLinePunct w:val="0"/>
              <w:autoSpaceDE/>
              <w:autoSpaceDN/>
              <w:bidi w:val="0"/>
              <w:adjustRightInd/>
              <w:snapToGrid w:val="0"/>
              <w:spacing w:before="0" w:after="0"/>
              <w:ind w:right="0"/>
              <w:textAlignment w:val="auto"/>
              <w:rPr>
                <w:rFonts w:hint="default" w:ascii="Times New Roman" w:hAnsi="Times New Roman" w:eastAsia="宋体" w:cs="Times New Roman"/>
                <w:b/>
                <w:bCs w:val="0"/>
                <w:color w:val="auto"/>
                <w:kern w:val="2"/>
                <w:sz w:val="21"/>
                <w:szCs w:val="21"/>
                <w:lang w:val="en-US" w:eastAsia="zh-CN" w:bidi="ar-SA"/>
              </w:rPr>
            </w:pPr>
            <w:r>
              <w:rPr>
                <w:rFonts w:hint="default" w:ascii="Times New Roman" w:hAnsi="Times New Roman" w:eastAsia="宋体" w:cs="Times New Roman"/>
                <w:b/>
                <w:bCs w:val="0"/>
                <w:color w:val="auto"/>
                <w:kern w:val="2"/>
                <w:sz w:val="21"/>
                <w:szCs w:val="21"/>
                <w:lang w:val="en-US" w:eastAsia="zh-CN" w:bidi="ar-SA"/>
              </w:rPr>
              <w:t>表4-</w:t>
            </w:r>
            <w:r>
              <w:rPr>
                <w:rFonts w:hint="eastAsia" w:cs="Times New Roman"/>
                <w:b/>
                <w:bCs w:val="0"/>
                <w:color w:val="auto"/>
                <w:kern w:val="2"/>
                <w:sz w:val="21"/>
                <w:szCs w:val="21"/>
                <w:lang w:val="en-US" w:eastAsia="zh-CN" w:bidi="ar-SA"/>
              </w:rPr>
              <w:t>1</w:t>
            </w:r>
            <w:r>
              <w:rPr>
                <w:rFonts w:hint="default" w:ascii="Times New Roman" w:hAnsi="Times New Roman" w:eastAsia="宋体" w:cs="Times New Roman"/>
                <w:b/>
                <w:bCs w:val="0"/>
                <w:color w:val="auto"/>
                <w:kern w:val="2"/>
                <w:sz w:val="21"/>
                <w:szCs w:val="21"/>
                <w:lang w:val="en-US" w:eastAsia="zh-CN" w:bidi="ar-SA"/>
              </w:rPr>
              <w:t xml:space="preserve">         废气污染源源强核算结果及相关参数一览表（有组织）</w:t>
            </w:r>
          </w:p>
          <w:tbl>
            <w:tblPr>
              <w:tblStyle w:val="21"/>
              <w:tblW w:w="844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7"/>
              <w:gridCol w:w="844"/>
              <w:gridCol w:w="672"/>
              <w:gridCol w:w="846"/>
              <w:gridCol w:w="1254"/>
              <w:gridCol w:w="831"/>
              <w:gridCol w:w="730"/>
              <w:gridCol w:w="846"/>
              <w:gridCol w:w="860"/>
              <w:gridCol w:w="674"/>
            </w:tblGrid>
            <w:tr w14:paraId="70DD39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7" w:type="dxa"/>
                  <w:vMerge w:val="restart"/>
                  <w:tcBorders>
                    <w:tl2br w:val="nil"/>
                    <w:tr2bl w:val="nil"/>
                  </w:tcBorders>
                  <w:noWrap w:val="0"/>
                  <w:vAlign w:val="center"/>
                </w:tcPr>
                <w:p w14:paraId="08AC0C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编号</w:t>
                  </w:r>
                </w:p>
              </w:tc>
              <w:tc>
                <w:tcPr>
                  <w:tcW w:w="2362" w:type="dxa"/>
                  <w:gridSpan w:val="3"/>
                  <w:tcBorders>
                    <w:tl2br w:val="nil"/>
                    <w:tr2bl w:val="nil"/>
                  </w:tcBorders>
                  <w:noWrap w:val="0"/>
                  <w:vAlign w:val="center"/>
                </w:tcPr>
                <w:p w14:paraId="282047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产生情况</w:t>
                  </w:r>
                </w:p>
              </w:tc>
              <w:tc>
                <w:tcPr>
                  <w:tcW w:w="1254" w:type="dxa"/>
                  <w:tcBorders>
                    <w:tl2br w:val="nil"/>
                    <w:tr2bl w:val="nil"/>
                  </w:tcBorders>
                  <w:noWrap w:val="0"/>
                  <w:vAlign w:val="center"/>
                </w:tcPr>
                <w:p w14:paraId="423B07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治理措施</w:t>
                  </w:r>
                </w:p>
              </w:tc>
              <w:tc>
                <w:tcPr>
                  <w:tcW w:w="2407" w:type="dxa"/>
                  <w:gridSpan w:val="3"/>
                  <w:tcBorders>
                    <w:tl2br w:val="nil"/>
                    <w:tr2bl w:val="nil"/>
                  </w:tcBorders>
                  <w:noWrap w:val="0"/>
                  <w:vAlign w:val="center"/>
                </w:tcPr>
                <w:p w14:paraId="2E5881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排放情况</w:t>
                  </w:r>
                </w:p>
              </w:tc>
              <w:tc>
                <w:tcPr>
                  <w:tcW w:w="1534" w:type="dxa"/>
                  <w:gridSpan w:val="2"/>
                  <w:tcBorders>
                    <w:tl2br w:val="nil"/>
                    <w:tr2bl w:val="nil"/>
                  </w:tcBorders>
                  <w:noWrap w:val="0"/>
                  <w:vAlign w:val="center"/>
                </w:tcPr>
                <w:p w14:paraId="5D67C2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执行标准</w:t>
                  </w:r>
                </w:p>
              </w:tc>
            </w:tr>
            <w:tr w14:paraId="234107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7" w:type="dxa"/>
                  <w:vMerge w:val="continue"/>
                  <w:tcBorders>
                    <w:tl2br w:val="nil"/>
                    <w:tr2bl w:val="nil"/>
                  </w:tcBorders>
                  <w:noWrap w:val="0"/>
                  <w:vAlign w:val="center"/>
                </w:tcPr>
                <w:p w14:paraId="32163D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val="en-US" w:eastAsia="zh-CN"/>
                    </w:rPr>
                  </w:pPr>
                </w:p>
              </w:tc>
              <w:tc>
                <w:tcPr>
                  <w:tcW w:w="844" w:type="dxa"/>
                  <w:tcBorders>
                    <w:tl2br w:val="nil"/>
                    <w:tr2bl w:val="nil"/>
                  </w:tcBorders>
                  <w:noWrap w:val="0"/>
                  <w:vAlign w:val="center"/>
                </w:tcPr>
                <w:p w14:paraId="3E306D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浓度</w:t>
                  </w:r>
                  <w:r>
                    <w:rPr>
                      <w:rFonts w:hint="default" w:ascii="Times New Roman" w:hAnsi="Times New Roman" w:eastAsia="宋体" w:cs="Times New Roman"/>
                      <w:color w:val="auto"/>
                      <w:szCs w:val="24"/>
                      <w:lang w:val="en-US" w:eastAsia="zh-CN"/>
                    </w:rPr>
                    <w:t>mg/m</w:t>
                  </w:r>
                  <w:r>
                    <w:rPr>
                      <w:rFonts w:hint="default" w:ascii="Times New Roman" w:hAnsi="Times New Roman" w:eastAsia="宋体" w:cs="Times New Roman"/>
                      <w:color w:val="auto"/>
                      <w:szCs w:val="24"/>
                      <w:vertAlign w:val="superscript"/>
                      <w:lang w:val="en-US" w:eastAsia="zh-CN"/>
                    </w:rPr>
                    <w:t>3</w:t>
                  </w:r>
                </w:p>
              </w:tc>
              <w:tc>
                <w:tcPr>
                  <w:tcW w:w="672" w:type="dxa"/>
                  <w:tcBorders>
                    <w:tl2br w:val="nil"/>
                    <w:tr2bl w:val="nil"/>
                  </w:tcBorders>
                  <w:noWrap w:val="0"/>
                  <w:vAlign w:val="center"/>
                </w:tcPr>
                <w:p w14:paraId="421231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速率kg/h</w:t>
                  </w:r>
                </w:p>
              </w:tc>
              <w:tc>
                <w:tcPr>
                  <w:tcW w:w="846" w:type="dxa"/>
                  <w:tcBorders>
                    <w:tl2br w:val="nil"/>
                    <w:tr2bl w:val="nil"/>
                  </w:tcBorders>
                  <w:noWrap w:val="0"/>
                  <w:vAlign w:val="center"/>
                </w:tcPr>
                <w:p w14:paraId="7D77DF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产生量t/a</w:t>
                  </w:r>
                </w:p>
              </w:tc>
              <w:tc>
                <w:tcPr>
                  <w:tcW w:w="1254" w:type="dxa"/>
                  <w:vMerge w:val="restart"/>
                  <w:tcBorders>
                    <w:tl2br w:val="nil"/>
                    <w:tr2bl w:val="nil"/>
                  </w:tcBorders>
                  <w:noWrap w:val="0"/>
                  <w:vAlign w:val="center"/>
                </w:tcPr>
                <w:p w14:paraId="32DF38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eastAsia="zh-CN"/>
                    </w:rPr>
                  </w:pPr>
                  <w:r>
                    <w:rPr>
                      <w:rFonts w:hint="eastAsia" w:cs="Times New Roman"/>
                      <w:color w:val="auto"/>
                      <w:szCs w:val="24"/>
                      <w:lang w:val="en-US" w:eastAsia="zh-CN"/>
                    </w:rPr>
                    <w:t>布袋除尘器</w:t>
                  </w:r>
                  <w:r>
                    <w:rPr>
                      <w:rFonts w:hint="default" w:ascii="Times New Roman" w:hAnsi="Times New Roman" w:eastAsia="宋体" w:cs="Times New Roman"/>
                      <w:color w:val="auto"/>
                      <w:szCs w:val="24"/>
                      <w:lang w:val="en-US" w:eastAsia="zh-CN"/>
                    </w:rPr>
                    <w:t>（99%）</w:t>
                  </w:r>
                </w:p>
              </w:tc>
              <w:tc>
                <w:tcPr>
                  <w:tcW w:w="831" w:type="dxa"/>
                  <w:tcBorders>
                    <w:tl2br w:val="nil"/>
                    <w:tr2bl w:val="nil"/>
                  </w:tcBorders>
                  <w:noWrap w:val="0"/>
                  <w:vAlign w:val="center"/>
                </w:tcPr>
                <w:p w14:paraId="5049C0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eastAsia="zh-CN"/>
                    </w:rPr>
                    <w:t>浓度</w:t>
                  </w:r>
                  <w:r>
                    <w:rPr>
                      <w:rFonts w:hint="default" w:ascii="Times New Roman" w:hAnsi="Times New Roman" w:eastAsia="宋体" w:cs="Times New Roman"/>
                      <w:color w:val="auto"/>
                      <w:szCs w:val="24"/>
                      <w:lang w:val="en-US" w:eastAsia="zh-CN"/>
                    </w:rPr>
                    <w:t>mg/m</w:t>
                  </w:r>
                  <w:r>
                    <w:rPr>
                      <w:rFonts w:hint="default" w:ascii="Times New Roman" w:hAnsi="Times New Roman" w:eastAsia="宋体" w:cs="Times New Roman"/>
                      <w:color w:val="auto"/>
                      <w:szCs w:val="24"/>
                      <w:vertAlign w:val="superscript"/>
                      <w:lang w:val="en-US" w:eastAsia="zh-CN"/>
                    </w:rPr>
                    <w:t>3</w:t>
                  </w:r>
                </w:p>
              </w:tc>
              <w:tc>
                <w:tcPr>
                  <w:tcW w:w="730" w:type="dxa"/>
                  <w:tcBorders>
                    <w:tl2br w:val="nil"/>
                    <w:tr2bl w:val="nil"/>
                  </w:tcBorders>
                  <w:noWrap w:val="0"/>
                  <w:vAlign w:val="center"/>
                </w:tcPr>
                <w:p w14:paraId="6F1EFB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eastAsia="zh-CN"/>
                    </w:rPr>
                    <w:t>速率kg/h</w:t>
                  </w:r>
                </w:p>
              </w:tc>
              <w:tc>
                <w:tcPr>
                  <w:tcW w:w="846" w:type="dxa"/>
                  <w:tcBorders>
                    <w:tl2br w:val="nil"/>
                    <w:tr2bl w:val="nil"/>
                  </w:tcBorders>
                  <w:noWrap w:val="0"/>
                  <w:vAlign w:val="center"/>
                </w:tcPr>
                <w:p w14:paraId="30C89E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eastAsia="zh-CN"/>
                    </w:rPr>
                    <w:t>排放量t/a</w:t>
                  </w:r>
                </w:p>
              </w:tc>
              <w:tc>
                <w:tcPr>
                  <w:tcW w:w="860" w:type="dxa"/>
                  <w:tcBorders>
                    <w:tl2br w:val="nil"/>
                    <w:tr2bl w:val="nil"/>
                  </w:tcBorders>
                  <w:noWrap w:val="0"/>
                  <w:vAlign w:val="center"/>
                </w:tcPr>
                <w:p w14:paraId="3E7539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eastAsia="zh-CN"/>
                    </w:rPr>
                    <w:t>浓度</w:t>
                  </w:r>
                  <w:r>
                    <w:rPr>
                      <w:rFonts w:hint="default" w:ascii="Times New Roman" w:hAnsi="Times New Roman" w:eastAsia="宋体" w:cs="Times New Roman"/>
                      <w:color w:val="auto"/>
                      <w:szCs w:val="24"/>
                      <w:lang w:val="en-US" w:eastAsia="zh-CN"/>
                    </w:rPr>
                    <w:t>mg/m</w:t>
                  </w:r>
                  <w:r>
                    <w:rPr>
                      <w:rFonts w:hint="default" w:ascii="Times New Roman" w:hAnsi="Times New Roman" w:eastAsia="宋体" w:cs="Times New Roman"/>
                      <w:color w:val="auto"/>
                      <w:szCs w:val="24"/>
                      <w:vertAlign w:val="superscript"/>
                      <w:lang w:val="en-US" w:eastAsia="zh-CN"/>
                    </w:rPr>
                    <w:t>3</w:t>
                  </w:r>
                </w:p>
              </w:tc>
              <w:tc>
                <w:tcPr>
                  <w:tcW w:w="674" w:type="dxa"/>
                  <w:tcBorders>
                    <w:tl2br w:val="nil"/>
                    <w:tr2bl w:val="nil"/>
                  </w:tcBorders>
                  <w:noWrap w:val="0"/>
                  <w:vAlign w:val="center"/>
                </w:tcPr>
                <w:p w14:paraId="26FC4A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eastAsia="zh-CN"/>
                    </w:rPr>
                    <w:t>速率kg/h</w:t>
                  </w:r>
                </w:p>
              </w:tc>
            </w:tr>
            <w:tr w14:paraId="696699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7" w:type="dxa"/>
                  <w:tcBorders>
                    <w:tl2br w:val="nil"/>
                    <w:tr2bl w:val="nil"/>
                  </w:tcBorders>
                  <w:noWrap w:val="0"/>
                  <w:vAlign w:val="center"/>
                </w:tcPr>
                <w:p w14:paraId="056AC6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lang w:val="en-US" w:eastAsia="zh-CN"/>
                    </w:rPr>
                    <w:t>DA001</w:t>
                  </w:r>
                </w:p>
              </w:tc>
              <w:tc>
                <w:tcPr>
                  <w:tcW w:w="844" w:type="dxa"/>
                  <w:tcBorders>
                    <w:tl2br w:val="nil"/>
                    <w:tr2bl w:val="nil"/>
                  </w:tcBorders>
                  <w:noWrap w:val="0"/>
                  <w:vAlign w:val="center"/>
                </w:tcPr>
                <w:p w14:paraId="0946E7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val="en-US" w:eastAsia="zh-CN"/>
                    </w:rPr>
                  </w:pPr>
                  <w:r>
                    <w:rPr>
                      <w:rFonts w:hint="eastAsia" w:cs="Times New Roman"/>
                      <w:color w:val="auto"/>
                      <w:lang w:val="en-US" w:eastAsia="zh-CN"/>
                    </w:rPr>
                    <w:t>562.5</w:t>
                  </w:r>
                </w:p>
              </w:tc>
              <w:tc>
                <w:tcPr>
                  <w:tcW w:w="672" w:type="dxa"/>
                  <w:tcBorders>
                    <w:tl2br w:val="nil"/>
                    <w:tr2bl w:val="nil"/>
                  </w:tcBorders>
                  <w:noWrap w:val="0"/>
                  <w:vAlign w:val="center"/>
                </w:tcPr>
                <w:p w14:paraId="103ECE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val="en-US" w:eastAsia="zh-CN"/>
                    </w:rPr>
                  </w:pPr>
                  <w:r>
                    <w:rPr>
                      <w:rFonts w:hint="eastAsia" w:cs="Times New Roman"/>
                      <w:color w:val="auto"/>
                      <w:szCs w:val="24"/>
                      <w:lang w:val="en-US" w:eastAsia="zh-CN"/>
                    </w:rPr>
                    <w:t>4.5</w:t>
                  </w:r>
                </w:p>
              </w:tc>
              <w:tc>
                <w:tcPr>
                  <w:tcW w:w="846" w:type="dxa"/>
                  <w:tcBorders>
                    <w:tl2br w:val="nil"/>
                    <w:tr2bl w:val="nil"/>
                  </w:tcBorders>
                  <w:noWrap w:val="0"/>
                  <w:vAlign w:val="center"/>
                </w:tcPr>
                <w:p w14:paraId="139112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val="en-US" w:eastAsia="zh-CN"/>
                    </w:rPr>
                  </w:pPr>
                  <w:r>
                    <w:rPr>
                      <w:rFonts w:hint="eastAsia" w:cs="Times New Roman"/>
                      <w:color w:val="auto"/>
                      <w:lang w:val="en-US" w:eastAsia="zh-CN"/>
                    </w:rPr>
                    <w:t>10.8</w:t>
                  </w:r>
                </w:p>
              </w:tc>
              <w:tc>
                <w:tcPr>
                  <w:tcW w:w="1254" w:type="dxa"/>
                  <w:vMerge w:val="continue"/>
                  <w:tcBorders>
                    <w:tl2br w:val="nil"/>
                    <w:tr2bl w:val="nil"/>
                  </w:tcBorders>
                  <w:noWrap w:val="0"/>
                  <w:vAlign w:val="center"/>
                </w:tcPr>
                <w:p w14:paraId="79A2DC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eastAsia="zh-CN"/>
                    </w:rPr>
                  </w:pPr>
                </w:p>
              </w:tc>
              <w:tc>
                <w:tcPr>
                  <w:tcW w:w="831" w:type="dxa"/>
                  <w:tcBorders>
                    <w:tl2br w:val="nil"/>
                    <w:tr2bl w:val="nil"/>
                  </w:tcBorders>
                  <w:noWrap w:val="0"/>
                  <w:vAlign w:val="center"/>
                </w:tcPr>
                <w:p w14:paraId="5B40F9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val="en-US" w:eastAsia="zh-CN"/>
                    </w:rPr>
                  </w:pPr>
                  <w:r>
                    <w:rPr>
                      <w:rFonts w:hint="eastAsia" w:cs="Times New Roman"/>
                      <w:color w:val="auto"/>
                      <w:lang w:val="en-US" w:eastAsia="zh-CN"/>
                    </w:rPr>
                    <w:t>5.625</w:t>
                  </w:r>
                </w:p>
              </w:tc>
              <w:tc>
                <w:tcPr>
                  <w:tcW w:w="730" w:type="dxa"/>
                  <w:tcBorders>
                    <w:tl2br w:val="nil"/>
                    <w:tr2bl w:val="nil"/>
                  </w:tcBorders>
                  <w:noWrap w:val="0"/>
                  <w:vAlign w:val="center"/>
                </w:tcPr>
                <w:p w14:paraId="3C3289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val="en-US" w:eastAsia="zh-CN"/>
                    </w:rPr>
                  </w:pPr>
                  <w:r>
                    <w:rPr>
                      <w:rFonts w:hint="eastAsia" w:cs="Times New Roman"/>
                      <w:color w:val="auto"/>
                      <w:lang w:val="en-US" w:eastAsia="zh-CN"/>
                    </w:rPr>
                    <w:t>0.045</w:t>
                  </w:r>
                </w:p>
              </w:tc>
              <w:tc>
                <w:tcPr>
                  <w:tcW w:w="846" w:type="dxa"/>
                  <w:tcBorders>
                    <w:tl2br w:val="nil"/>
                    <w:tr2bl w:val="nil"/>
                  </w:tcBorders>
                  <w:noWrap w:val="0"/>
                  <w:vAlign w:val="center"/>
                </w:tcPr>
                <w:p w14:paraId="334EC9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val="en-US" w:eastAsia="zh-CN"/>
                    </w:rPr>
                  </w:pPr>
                  <w:r>
                    <w:rPr>
                      <w:rFonts w:hint="eastAsia" w:cs="Times New Roman"/>
                      <w:color w:val="auto"/>
                      <w:lang w:val="en-US" w:eastAsia="zh-CN"/>
                    </w:rPr>
                    <w:t>0.108</w:t>
                  </w:r>
                </w:p>
              </w:tc>
              <w:tc>
                <w:tcPr>
                  <w:tcW w:w="860" w:type="dxa"/>
                  <w:tcBorders>
                    <w:tl2br w:val="nil"/>
                    <w:tr2bl w:val="nil"/>
                  </w:tcBorders>
                  <w:noWrap w:val="0"/>
                  <w:vAlign w:val="center"/>
                </w:tcPr>
                <w:p w14:paraId="0E1479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120</w:t>
                  </w:r>
                </w:p>
              </w:tc>
              <w:tc>
                <w:tcPr>
                  <w:tcW w:w="674" w:type="dxa"/>
                  <w:tcBorders>
                    <w:tl2br w:val="nil"/>
                    <w:tr2bl w:val="nil"/>
                  </w:tcBorders>
                  <w:noWrap w:val="0"/>
                  <w:vAlign w:val="center"/>
                </w:tcPr>
                <w:p w14:paraId="6858F3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3.5</w:t>
                  </w:r>
                </w:p>
              </w:tc>
            </w:tr>
          </w:tbl>
          <w:p w14:paraId="7FF478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未收集的</w:t>
            </w:r>
            <w:r>
              <w:rPr>
                <w:rFonts w:hint="default" w:ascii="Times New Roman" w:hAnsi="Times New Roman" w:eastAsia="宋体" w:cs="Times New Roman"/>
                <w:color w:val="auto"/>
                <w:lang w:eastAsia="zh-CN"/>
              </w:rPr>
              <w:t>粉尘</w:t>
            </w:r>
            <w:r>
              <w:rPr>
                <w:rFonts w:hint="default" w:ascii="Times New Roman" w:hAnsi="Times New Roman" w:eastAsia="宋体" w:cs="Times New Roman"/>
                <w:color w:val="auto"/>
              </w:rPr>
              <w:t>无组织排放，排放量约为</w:t>
            </w:r>
            <w:r>
              <w:rPr>
                <w:rFonts w:hint="eastAsia" w:cs="Times New Roman"/>
                <w:color w:val="auto"/>
                <w:lang w:val="en-US" w:eastAsia="zh-CN"/>
              </w:rPr>
              <w:t>1.2</w:t>
            </w:r>
            <w:r>
              <w:rPr>
                <w:rFonts w:hint="default" w:ascii="Times New Roman" w:hAnsi="Times New Roman" w:eastAsia="宋体" w:cs="Times New Roman"/>
                <w:color w:val="auto"/>
              </w:rPr>
              <w:t>t/a。</w:t>
            </w:r>
          </w:p>
          <w:p w14:paraId="43A484B6">
            <w:pPr>
              <w:pStyle w:val="62"/>
              <w:keepNext w:val="0"/>
              <w:keepLines w:val="0"/>
              <w:pageBreakBefore w:val="0"/>
              <w:kinsoku/>
              <w:wordWrap/>
              <w:overflowPunct/>
              <w:topLinePunct w:val="0"/>
              <w:autoSpaceDE/>
              <w:autoSpaceDN/>
              <w:bidi w:val="0"/>
              <w:adjustRightInd/>
              <w:spacing w:line="360" w:lineRule="auto"/>
              <w:ind w:left="0" w:right="0"/>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1.2 污水处理站恶臭</w:t>
            </w:r>
          </w:p>
          <w:p w14:paraId="41A6D8DE">
            <w:pPr>
              <w:pStyle w:val="62"/>
              <w:keepNext w:val="0"/>
              <w:keepLines w:val="0"/>
              <w:pageBreakBefore w:val="0"/>
              <w:kinsoku/>
              <w:wordWrap/>
              <w:overflowPunct/>
              <w:topLinePunct w:val="0"/>
              <w:autoSpaceDE/>
              <w:autoSpaceDN/>
              <w:bidi w:val="0"/>
              <w:adjustRightInd/>
              <w:spacing w:line="360" w:lineRule="auto"/>
              <w:ind w:left="0" w:right="0" w:firstLine="559"/>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污水站恶臭无相关源强核算方法，污水站源强核算</w:t>
            </w:r>
            <w:r>
              <w:rPr>
                <w:rFonts w:hint="default" w:ascii="Times New Roman" w:hAnsi="Times New Roman" w:eastAsia="宋体" w:cs="Times New Roman"/>
                <w:color w:val="auto"/>
                <w:kern w:val="2"/>
                <w:sz w:val="21"/>
                <w:szCs w:val="21"/>
                <w:lang w:val="en-US" w:eastAsia="zh-CN" w:bidi="ar-SA"/>
              </w:rPr>
              <w:t>根据美国EPA对城市污水处理厂恶臭污染物产生情况的研究可知，污水站每处理1gBOD</w:t>
            </w:r>
            <w:r>
              <w:rPr>
                <w:rFonts w:hint="default" w:ascii="Times New Roman" w:hAnsi="Times New Roman" w:eastAsia="宋体" w:cs="Times New Roman"/>
                <w:color w:val="auto"/>
                <w:kern w:val="2"/>
                <w:sz w:val="21"/>
                <w:szCs w:val="21"/>
                <w:vertAlign w:val="subscript"/>
                <w:lang w:val="en-US" w:eastAsia="zh-CN" w:bidi="ar-SA"/>
              </w:rPr>
              <w:t>5</w:t>
            </w:r>
            <w:r>
              <w:rPr>
                <w:rFonts w:hint="default" w:ascii="Times New Roman" w:hAnsi="Times New Roman" w:eastAsia="宋体" w:cs="Times New Roman"/>
                <w:color w:val="auto"/>
                <w:kern w:val="2"/>
                <w:sz w:val="21"/>
                <w:szCs w:val="21"/>
                <w:lang w:val="en-US" w:eastAsia="zh-CN" w:bidi="ar-SA"/>
              </w:rPr>
              <w:t>可产生0.0031g氨和0.00012g硫化氢。</w:t>
            </w:r>
          </w:p>
          <w:p w14:paraId="35038C66">
            <w:pPr>
              <w:pStyle w:val="62"/>
              <w:keepNext w:val="0"/>
              <w:keepLines w:val="0"/>
              <w:pageBreakBefore w:val="0"/>
              <w:kinsoku/>
              <w:wordWrap/>
              <w:overflowPunct/>
              <w:topLinePunct w:val="0"/>
              <w:autoSpaceDE/>
              <w:autoSpaceDN/>
              <w:bidi w:val="0"/>
              <w:adjustRightInd/>
              <w:spacing w:line="360" w:lineRule="auto"/>
              <w:ind w:left="0" w:right="0" w:firstLine="559"/>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项目污水站年处理废水</w:t>
            </w:r>
            <w:r>
              <w:rPr>
                <w:rFonts w:hint="eastAsia" w:ascii="Times New Roman" w:hAnsi="Times New Roman" w:eastAsia="宋体" w:cs="Times New Roman"/>
                <w:color w:val="auto"/>
                <w:kern w:val="2"/>
                <w:sz w:val="21"/>
                <w:szCs w:val="21"/>
                <w:lang w:val="en-US" w:eastAsia="zh-CN" w:bidi="ar-SA"/>
              </w:rPr>
              <w:t>35185</w:t>
            </w:r>
            <w:r>
              <w:rPr>
                <w:rFonts w:hint="default" w:ascii="Times New Roman" w:hAnsi="Times New Roman" w:eastAsia="宋体" w:cs="Times New Roman"/>
                <w:color w:val="auto"/>
                <w:kern w:val="2"/>
                <w:sz w:val="21"/>
                <w:szCs w:val="21"/>
                <w:lang w:val="en-US" w:eastAsia="zh-CN" w:bidi="ar-SA"/>
              </w:rPr>
              <w:t>m</w:t>
            </w:r>
            <w:r>
              <w:rPr>
                <w:rFonts w:hint="default" w:ascii="Times New Roman" w:hAnsi="Times New Roman" w:eastAsia="宋体" w:cs="Times New Roman"/>
                <w:color w:val="auto"/>
                <w:kern w:val="2"/>
                <w:sz w:val="21"/>
                <w:szCs w:val="21"/>
                <w:vertAlign w:val="superscript"/>
                <w:lang w:val="en-US" w:eastAsia="zh-CN" w:bidi="ar-SA"/>
              </w:rPr>
              <w:t>3</w:t>
            </w:r>
            <w:r>
              <w:rPr>
                <w:rFonts w:hint="default" w:ascii="Times New Roman" w:hAnsi="Times New Roman" w:eastAsia="宋体" w:cs="Times New Roman"/>
                <w:color w:val="auto"/>
                <w:kern w:val="2"/>
                <w:sz w:val="21"/>
                <w:szCs w:val="21"/>
                <w:lang w:val="en-US" w:eastAsia="zh-CN" w:bidi="ar-SA"/>
              </w:rPr>
              <w:t>，BOD</w:t>
            </w:r>
            <w:r>
              <w:rPr>
                <w:rFonts w:hint="default" w:ascii="Times New Roman" w:hAnsi="Times New Roman" w:eastAsia="宋体" w:cs="Times New Roman"/>
                <w:color w:val="auto"/>
                <w:kern w:val="2"/>
                <w:sz w:val="21"/>
                <w:szCs w:val="21"/>
                <w:vertAlign w:val="subscript"/>
                <w:lang w:val="en-US" w:eastAsia="zh-CN" w:bidi="ar-SA"/>
              </w:rPr>
              <w:t>5</w:t>
            </w:r>
            <w:r>
              <w:rPr>
                <w:rFonts w:hint="default" w:ascii="Times New Roman" w:hAnsi="Times New Roman" w:eastAsia="宋体" w:cs="Times New Roman"/>
                <w:color w:val="auto"/>
                <w:kern w:val="2"/>
                <w:sz w:val="21"/>
                <w:szCs w:val="21"/>
                <w:lang w:val="en-US" w:eastAsia="zh-CN" w:bidi="ar-SA"/>
              </w:rPr>
              <w:t>处理量</w:t>
            </w:r>
            <w:r>
              <w:rPr>
                <w:rFonts w:hint="eastAsia" w:ascii="Times New Roman" w:hAnsi="Times New Roman" w:eastAsia="宋体" w:cs="Times New Roman"/>
                <w:color w:val="auto"/>
                <w:kern w:val="2"/>
                <w:sz w:val="21"/>
                <w:szCs w:val="21"/>
                <w:lang w:val="en-US" w:eastAsia="zh-CN" w:bidi="ar-SA"/>
              </w:rPr>
              <w:t>5.99</w:t>
            </w:r>
            <w:r>
              <w:rPr>
                <w:rFonts w:hint="default" w:ascii="Times New Roman" w:hAnsi="Times New Roman" w:eastAsia="宋体" w:cs="Times New Roman"/>
                <w:color w:val="auto"/>
                <w:kern w:val="2"/>
                <w:sz w:val="21"/>
                <w:szCs w:val="21"/>
                <w:lang w:val="en-US" w:eastAsia="zh-CN" w:bidi="ar-SA"/>
              </w:rPr>
              <w:t>t，氨产生量增加0.01</w:t>
            </w:r>
            <w:r>
              <w:rPr>
                <w:rFonts w:hint="eastAsia" w:ascii="Times New Roman" w:hAnsi="Times New Roman" w:eastAsia="宋体" w:cs="Times New Roman"/>
                <w:color w:val="auto"/>
                <w:kern w:val="2"/>
                <w:sz w:val="21"/>
                <w:szCs w:val="21"/>
                <w:lang w:val="en-US" w:eastAsia="zh-CN" w:bidi="ar-SA"/>
              </w:rPr>
              <w:t>9</w:t>
            </w:r>
            <w:r>
              <w:rPr>
                <w:rFonts w:hint="default" w:ascii="Times New Roman" w:hAnsi="Times New Roman" w:eastAsia="宋体" w:cs="Times New Roman"/>
                <w:color w:val="auto"/>
                <w:kern w:val="2"/>
                <w:sz w:val="21"/>
                <w:szCs w:val="21"/>
                <w:lang w:val="en-US" w:eastAsia="zh-CN" w:bidi="ar-SA"/>
              </w:rPr>
              <w:t>t/a，硫化氢增加0.000</w:t>
            </w:r>
            <w:r>
              <w:rPr>
                <w:rFonts w:hint="eastAsia" w:ascii="Times New Roman" w:hAnsi="Times New Roman" w:eastAsia="宋体" w:cs="Times New Roman"/>
                <w:color w:val="auto"/>
                <w:kern w:val="2"/>
                <w:sz w:val="21"/>
                <w:szCs w:val="21"/>
                <w:lang w:val="en-US" w:eastAsia="zh-CN" w:bidi="ar-SA"/>
              </w:rPr>
              <w:t>72</w:t>
            </w:r>
            <w:r>
              <w:rPr>
                <w:rFonts w:hint="default" w:ascii="Times New Roman" w:hAnsi="Times New Roman" w:eastAsia="宋体" w:cs="Times New Roman"/>
                <w:color w:val="auto"/>
                <w:kern w:val="2"/>
                <w:sz w:val="21"/>
                <w:szCs w:val="21"/>
                <w:lang w:val="en-US" w:eastAsia="zh-CN" w:bidi="ar-SA"/>
              </w:rPr>
              <w:t>t/a，污水站全年运行，</w:t>
            </w:r>
            <w:bookmarkStart w:id="6" w:name="OLE_LINK2"/>
            <w:r>
              <w:rPr>
                <w:rFonts w:hint="default" w:ascii="Times New Roman" w:hAnsi="Times New Roman" w:eastAsia="宋体" w:cs="Times New Roman"/>
                <w:color w:val="auto"/>
                <w:kern w:val="2"/>
                <w:sz w:val="21"/>
                <w:szCs w:val="21"/>
                <w:lang w:val="en-US" w:eastAsia="zh-CN" w:bidi="ar-SA"/>
              </w:rPr>
              <w:t>氨排放速率增加0.007</w:t>
            </w:r>
            <w:r>
              <w:rPr>
                <w:rFonts w:hint="eastAsia" w:ascii="Times New Roman" w:hAnsi="Times New Roman" w:eastAsia="宋体" w:cs="Times New Roman"/>
                <w:color w:val="auto"/>
                <w:kern w:val="2"/>
                <w:sz w:val="21"/>
                <w:szCs w:val="21"/>
                <w:lang w:val="en-US" w:eastAsia="zh-CN" w:bidi="ar-SA"/>
              </w:rPr>
              <w:t>9</w:t>
            </w:r>
            <w:r>
              <w:rPr>
                <w:rFonts w:hint="default" w:ascii="Times New Roman" w:hAnsi="Times New Roman" w:eastAsia="宋体" w:cs="Times New Roman"/>
                <w:color w:val="auto"/>
                <w:kern w:val="2"/>
                <w:sz w:val="21"/>
                <w:szCs w:val="21"/>
                <w:lang w:val="en-US" w:eastAsia="zh-CN" w:bidi="ar-SA"/>
              </w:rPr>
              <w:t>kg/h，硫化氢</w:t>
            </w:r>
            <w:bookmarkEnd w:id="6"/>
            <w:r>
              <w:rPr>
                <w:rFonts w:hint="default" w:ascii="Times New Roman" w:hAnsi="Times New Roman" w:eastAsia="宋体" w:cs="Times New Roman"/>
                <w:color w:val="auto"/>
                <w:kern w:val="2"/>
                <w:sz w:val="21"/>
                <w:szCs w:val="21"/>
                <w:lang w:val="en-US" w:eastAsia="zh-CN" w:bidi="ar-SA"/>
              </w:rPr>
              <w:t>排放速率增加0.000</w:t>
            </w:r>
            <w:r>
              <w:rPr>
                <w:rFonts w:hint="eastAsia" w:ascii="Times New Roman" w:hAnsi="Times New Roman" w:eastAsia="宋体"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kg/h。</w:t>
            </w:r>
          </w:p>
          <w:p w14:paraId="6902AB72">
            <w:pPr>
              <w:pStyle w:val="62"/>
              <w:keepNext w:val="0"/>
              <w:keepLines w:val="0"/>
              <w:pageBreakBefore w:val="0"/>
              <w:kinsoku/>
              <w:wordWrap/>
              <w:overflowPunct/>
              <w:topLinePunct w:val="0"/>
              <w:autoSpaceDE/>
              <w:autoSpaceDN/>
              <w:bidi w:val="0"/>
              <w:adjustRightInd/>
              <w:spacing w:line="360" w:lineRule="auto"/>
              <w:ind w:left="0" w:right="0" w:firstLine="559"/>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项目污水站采用半地下式设计，主要构筑物加盖，可有效减少恶臭气体逸散，污水站周边绿化可有效阻隔恶臭气体传播。</w:t>
            </w:r>
          </w:p>
          <w:p w14:paraId="111C1213">
            <w:pPr>
              <w:keepNext w:val="0"/>
              <w:keepLines w:val="0"/>
              <w:suppressLineNumbers w:val="0"/>
              <w:spacing w:before="0" w:beforeAutospacing="0" w:after="0" w:afterAutospacing="0"/>
              <w:ind w:left="0" w:right="0" w:firstLine="420"/>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1.3食堂油烟</w:t>
            </w:r>
          </w:p>
          <w:p w14:paraId="7031276A">
            <w:pPr>
              <w:keepNext w:val="0"/>
              <w:keepLines w:val="0"/>
              <w:suppressLineNumbers w:val="0"/>
              <w:spacing w:before="0" w:beforeAutospacing="0" w:after="0" w:afterAutospacing="0"/>
              <w:ind w:left="0" w:right="0" w:firstLine="420"/>
              <w:rPr>
                <w:rFonts w:hint="default" w:ascii="Times New Roman" w:hAnsi="Times New Roman" w:eastAsia="宋体" w:cs="Times New Roman"/>
                <w:color w:val="auto"/>
                <w:lang w:val="en-US" w:eastAsia="zh-CN"/>
              </w:rPr>
            </w:pPr>
            <w:r>
              <w:rPr>
                <w:rFonts w:hint="default" w:ascii="Times New Roman" w:hAnsi="Times New Roman" w:cs="Times New Roman"/>
                <w:color w:val="auto"/>
              </w:rPr>
              <w:t>本项目设有食堂，</w:t>
            </w:r>
            <w:r>
              <w:rPr>
                <w:rFonts w:hint="default" w:ascii="Times New Roman" w:hAnsi="Times New Roman" w:cs="Times New Roman"/>
                <w:color w:val="auto"/>
                <w:lang w:val="en-US" w:eastAsia="zh-CN"/>
              </w:rPr>
              <w:t>食宿</w:t>
            </w:r>
            <w:r>
              <w:rPr>
                <w:rFonts w:hint="eastAsia" w:cs="Times New Roman"/>
                <w:color w:val="auto"/>
                <w:lang w:val="en-US" w:eastAsia="zh-CN"/>
              </w:rPr>
              <w:t>40</w:t>
            </w:r>
            <w:r>
              <w:rPr>
                <w:rFonts w:hint="default" w:ascii="Times New Roman" w:hAnsi="Times New Roman" w:cs="Times New Roman"/>
                <w:color w:val="auto"/>
                <w:lang w:val="en-US" w:eastAsia="zh-CN"/>
              </w:rPr>
              <w:t>人，</w:t>
            </w:r>
            <w:r>
              <w:rPr>
                <w:rFonts w:hint="default" w:ascii="Times New Roman" w:hAnsi="Times New Roman" w:cs="Times New Roman"/>
                <w:color w:val="auto"/>
              </w:rPr>
              <w:t>人均耗油量按30g/人</w:t>
            </w:r>
            <w:r>
              <w:rPr>
                <w:rFonts w:hint="default" w:ascii="Times New Roman" w:hAnsi="Times New Roman" w:cs="Times New Roman"/>
                <w:color w:val="auto"/>
                <w:lang w:val="en-US" w:eastAsia="zh-CN"/>
              </w:rPr>
              <w:t>·</w:t>
            </w:r>
            <w:r>
              <w:rPr>
                <w:rFonts w:hint="default" w:ascii="Times New Roman" w:hAnsi="Times New Roman" w:cs="Times New Roman"/>
                <w:color w:val="auto"/>
              </w:rPr>
              <w:t>天计，则食用油用量为</w:t>
            </w:r>
            <w:r>
              <w:rPr>
                <w:rFonts w:hint="eastAsia" w:cs="Times New Roman"/>
                <w:color w:val="auto"/>
                <w:lang w:val="en-US" w:eastAsia="zh-CN"/>
              </w:rPr>
              <w:t>1.2</w:t>
            </w:r>
            <w:r>
              <w:rPr>
                <w:rFonts w:hint="default" w:ascii="Times New Roman" w:hAnsi="Times New Roman" w:cs="Times New Roman"/>
                <w:color w:val="auto"/>
              </w:rPr>
              <w:t>kg/d、</w:t>
            </w:r>
            <w:r>
              <w:rPr>
                <w:rFonts w:hint="default" w:ascii="Times New Roman" w:hAnsi="Times New Roman" w:cs="Times New Roman"/>
                <w:color w:val="auto"/>
                <w:lang w:val="en-US" w:eastAsia="zh-CN"/>
              </w:rPr>
              <w:t>0.</w:t>
            </w:r>
            <w:r>
              <w:rPr>
                <w:rFonts w:hint="eastAsia" w:cs="Times New Roman"/>
                <w:color w:val="auto"/>
                <w:lang w:val="en-US" w:eastAsia="zh-CN"/>
              </w:rPr>
              <w:t>36</w:t>
            </w:r>
            <w:r>
              <w:rPr>
                <w:rFonts w:hint="default" w:ascii="Times New Roman" w:hAnsi="Times New Roman" w:cs="Times New Roman"/>
                <w:color w:val="auto"/>
              </w:rPr>
              <w:t>t/a。烹饪过程中油的挥发损失率约1%~3%，本环评取3%，则食堂油烟废气产生量为</w:t>
            </w:r>
            <w:r>
              <w:rPr>
                <w:rFonts w:hint="eastAsia" w:cs="Times New Roman"/>
                <w:color w:val="auto"/>
                <w:lang w:val="en-US" w:eastAsia="zh-CN"/>
              </w:rPr>
              <w:t>10.8</w:t>
            </w:r>
            <w:r>
              <w:rPr>
                <w:rFonts w:hint="default" w:ascii="Times New Roman" w:hAnsi="Times New Roman" w:cs="Times New Roman"/>
                <w:color w:val="auto"/>
              </w:rPr>
              <w:t>kg</w:t>
            </w:r>
            <w:r>
              <w:rPr>
                <w:rFonts w:hint="default" w:ascii="Times New Roman" w:hAnsi="Times New Roman" w:eastAsia="宋体" w:cs="Times New Roman"/>
                <w:color w:val="auto"/>
              </w:rPr>
              <w:t>/a</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项目食堂设置</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个灶头，每天平均使用时间约为</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个小时，烹饪过程中产生的油烟废气量按照</w:t>
            </w:r>
            <w:r>
              <w:rPr>
                <w:rFonts w:hint="eastAsia" w:cs="Times New Roman"/>
                <w:color w:val="auto"/>
                <w:lang w:val="en-US" w:eastAsia="zh-CN"/>
              </w:rPr>
              <w:t>30</w:t>
            </w:r>
            <w:r>
              <w:rPr>
                <w:rFonts w:hint="default" w:ascii="Times New Roman" w:hAnsi="Times New Roman" w:eastAsia="宋体" w:cs="Times New Roman"/>
                <w:color w:val="auto"/>
              </w:rPr>
              <w:t>00m</w:t>
            </w:r>
            <w:r>
              <w:rPr>
                <w:rFonts w:hint="default" w:ascii="Times New Roman" w:hAnsi="Times New Roman" w:eastAsia="宋体" w:cs="Times New Roman"/>
                <w:color w:val="auto"/>
                <w:vertAlign w:val="superscript"/>
                <w:lang w:val="en-US" w:eastAsia="zh-CN"/>
              </w:rPr>
              <w:t>3</w:t>
            </w:r>
            <w:r>
              <w:rPr>
                <w:rFonts w:hint="default" w:ascii="Times New Roman" w:hAnsi="Times New Roman" w:eastAsia="宋体" w:cs="Times New Roman"/>
                <w:color w:val="auto"/>
              </w:rPr>
              <w:t>/h计算，则油烟废气量合计</w:t>
            </w:r>
            <w:r>
              <w:rPr>
                <w:rFonts w:hint="eastAsia" w:cs="Times New Roman"/>
                <w:color w:val="auto"/>
                <w:lang w:val="en-US" w:eastAsia="zh-CN"/>
              </w:rPr>
              <w:t>270</w:t>
            </w:r>
            <w:r>
              <w:rPr>
                <w:rFonts w:hint="default" w:ascii="Times New Roman" w:hAnsi="Times New Roman" w:eastAsia="宋体" w:cs="Times New Roman"/>
                <w:color w:val="auto"/>
              </w:rPr>
              <w:t>万m</w:t>
            </w:r>
            <w:r>
              <w:rPr>
                <w:rFonts w:hint="default" w:ascii="Times New Roman" w:hAnsi="Times New Roman" w:eastAsia="宋体" w:cs="Times New Roman"/>
                <w:color w:val="auto"/>
                <w:vertAlign w:val="superscript"/>
                <w:lang w:val="en-US" w:eastAsia="zh-CN"/>
              </w:rPr>
              <w:t>3</w:t>
            </w:r>
            <w:r>
              <w:rPr>
                <w:rFonts w:hint="default" w:ascii="Times New Roman" w:hAnsi="Times New Roman" w:eastAsia="宋体" w:cs="Times New Roman"/>
                <w:color w:val="auto"/>
              </w:rPr>
              <w:t>/a。油烟的产生浓度为</w:t>
            </w: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rPr>
              <w:t>mg/m</w:t>
            </w:r>
            <w:r>
              <w:rPr>
                <w:rFonts w:hint="default" w:ascii="Times New Roman" w:hAnsi="Times New Roman" w:eastAsia="宋体" w:cs="Times New Roman"/>
                <w:color w:val="auto"/>
                <w:vertAlign w:val="superscript"/>
                <w:lang w:val="en-US" w:eastAsia="zh-CN"/>
              </w:rPr>
              <w:t>3</w:t>
            </w:r>
            <w:r>
              <w:rPr>
                <w:rFonts w:hint="default" w:ascii="Times New Roman" w:hAnsi="Times New Roman" w:eastAsia="宋体" w:cs="Times New Roman"/>
                <w:color w:val="auto"/>
              </w:rPr>
              <w:t>。油烟废气经过油烟净化处理后通过排气筒引至屋顶排放，油烟净化器的去除效率按照</w:t>
            </w:r>
            <w:r>
              <w:rPr>
                <w:rFonts w:hint="default" w:ascii="Times New Roman" w:hAnsi="Times New Roman" w:eastAsia="宋体" w:cs="Times New Roman"/>
                <w:color w:val="auto"/>
                <w:lang w:val="en-US" w:eastAsia="zh-CN"/>
              </w:rPr>
              <w:t>60</w:t>
            </w:r>
            <w:r>
              <w:rPr>
                <w:rFonts w:hint="default" w:ascii="Times New Roman" w:hAnsi="Times New Roman" w:eastAsia="宋体" w:cs="Times New Roman"/>
                <w:color w:val="auto"/>
              </w:rPr>
              <w:t>%计算，则经处理后的油烟排放浓度为</w:t>
            </w:r>
            <w:r>
              <w:rPr>
                <w:rFonts w:hint="default" w:ascii="Times New Roman" w:hAnsi="Times New Roman" w:eastAsia="宋体" w:cs="Times New Roman"/>
                <w:color w:val="auto"/>
                <w:lang w:val="en-US" w:eastAsia="zh-CN"/>
              </w:rPr>
              <w:t>1.6</w:t>
            </w:r>
            <w:r>
              <w:rPr>
                <w:rFonts w:hint="default" w:ascii="Times New Roman" w:hAnsi="Times New Roman" w:eastAsia="宋体" w:cs="Times New Roman"/>
                <w:color w:val="auto"/>
              </w:rPr>
              <w:t>mg/m</w:t>
            </w:r>
            <w:r>
              <w:rPr>
                <w:rFonts w:hint="default" w:ascii="Times New Roman" w:hAnsi="Times New Roman" w:eastAsia="宋体" w:cs="Times New Roman"/>
                <w:color w:val="auto"/>
                <w:vertAlign w:val="superscript"/>
                <w:lang w:val="en-US" w:eastAsia="zh-CN"/>
              </w:rPr>
              <w:t>3</w:t>
            </w:r>
            <w:r>
              <w:rPr>
                <w:rFonts w:hint="default" w:ascii="Times New Roman" w:hAnsi="Times New Roman" w:eastAsia="宋体" w:cs="Times New Roman"/>
                <w:color w:val="auto"/>
              </w:rPr>
              <w:t>，油烟排放量为</w:t>
            </w:r>
            <w:r>
              <w:rPr>
                <w:rFonts w:hint="default" w:ascii="Times New Roman" w:hAnsi="Times New Roman" w:eastAsia="宋体" w:cs="Times New Roman"/>
                <w:color w:val="auto"/>
                <w:lang w:val="en-US" w:eastAsia="zh-CN"/>
              </w:rPr>
              <w:t>2.16</w:t>
            </w:r>
            <w:r>
              <w:rPr>
                <w:rFonts w:hint="default" w:ascii="Times New Roman" w:hAnsi="Times New Roman" w:eastAsia="宋体" w:cs="Times New Roman"/>
                <w:color w:val="auto"/>
              </w:rPr>
              <w:t>kg/a。本项目油烟排放情况见表</w:t>
            </w:r>
            <w:r>
              <w:rPr>
                <w:rFonts w:hint="default" w:ascii="Times New Roman" w:hAnsi="Times New Roman" w:eastAsia="宋体" w:cs="Times New Roman"/>
                <w:color w:val="auto"/>
                <w:lang w:val="en-US" w:eastAsia="zh-CN"/>
              </w:rPr>
              <w:t>4-</w:t>
            </w:r>
            <w:r>
              <w:rPr>
                <w:rFonts w:hint="eastAsia" w:cs="Times New Roman"/>
                <w:color w:val="auto"/>
                <w:lang w:val="en-US" w:eastAsia="zh-CN"/>
              </w:rPr>
              <w:t>2</w:t>
            </w:r>
            <w:r>
              <w:rPr>
                <w:rFonts w:hint="default" w:ascii="Times New Roman" w:hAnsi="Times New Roman" w:eastAsia="宋体" w:cs="Times New Roman"/>
                <w:color w:val="auto"/>
              </w:rPr>
              <w:t>。</w:t>
            </w:r>
          </w:p>
          <w:p w14:paraId="3DFB183E">
            <w:pPr>
              <w:pStyle w:val="58"/>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表4-</w:t>
            </w:r>
            <w:r>
              <w:rPr>
                <w:rFonts w:hint="eastAsia" w:eastAsia="宋体" w:cs="Times New Roman"/>
                <w:b/>
                <w:bCs/>
                <w:color w:val="auto"/>
                <w:kern w:val="0"/>
                <w:sz w:val="21"/>
                <w:szCs w:val="21"/>
                <w:lang w:val="en-US" w:eastAsia="zh-CN" w:bidi="ar-SA"/>
              </w:rPr>
              <w:t>2</w:t>
            </w:r>
            <w:r>
              <w:rPr>
                <w:rFonts w:hint="default" w:ascii="Times New Roman" w:hAnsi="Times New Roman" w:eastAsia="宋体" w:cs="Times New Roman"/>
                <w:b/>
                <w:bCs/>
                <w:color w:val="auto"/>
                <w:kern w:val="0"/>
                <w:sz w:val="21"/>
                <w:szCs w:val="21"/>
                <w:lang w:val="en-US" w:eastAsia="zh-CN" w:bidi="ar-SA"/>
              </w:rPr>
              <w:t xml:space="preserve">  项目油烟排放情况一览表</w:t>
            </w:r>
          </w:p>
          <w:tbl>
            <w:tblPr>
              <w:tblStyle w:val="20"/>
              <w:tblW w:w="8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503"/>
              <w:gridCol w:w="1414"/>
              <w:gridCol w:w="1393"/>
              <w:gridCol w:w="1431"/>
              <w:gridCol w:w="1536"/>
            </w:tblGrid>
            <w:tr w14:paraId="40CF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tcBorders>
                    <w:top w:val="single" w:color="auto" w:sz="12" w:space="0"/>
                  </w:tcBorders>
                  <w:vAlign w:val="center"/>
                </w:tcPr>
                <w:p w14:paraId="4ABB35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类型</w:t>
                  </w:r>
                </w:p>
              </w:tc>
              <w:tc>
                <w:tcPr>
                  <w:tcW w:w="1503" w:type="dxa"/>
                  <w:tcBorders>
                    <w:top w:val="single" w:color="auto" w:sz="12" w:space="0"/>
                  </w:tcBorders>
                  <w:vAlign w:val="center"/>
                </w:tcPr>
                <w:p w14:paraId="35BC1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油烟产生量</w:t>
                  </w:r>
                </w:p>
              </w:tc>
              <w:tc>
                <w:tcPr>
                  <w:tcW w:w="1414" w:type="dxa"/>
                  <w:tcBorders>
                    <w:top w:val="single" w:color="auto" w:sz="12" w:space="0"/>
                  </w:tcBorders>
                  <w:vAlign w:val="center"/>
                </w:tcPr>
                <w:p w14:paraId="605AB0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产生浓度</w:t>
                  </w:r>
                </w:p>
              </w:tc>
              <w:tc>
                <w:tcPr>
                  <w:tcW w:w="1393" w:type="dxa"/>
                  <w:tcBorders>
                    <w:top w:val="single" w:color="auto" w:sz="12" w:space="0"/>
                  </w:tcBorders>
                  <w:vAlign w:val="center"/>
                </w:tcPr>
                <w:p w14:paraId="1FC26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去除效率</w:t>
                  </w:r>
                </w:p>
              </w:tc>
              <w:tc>
                <w:tcPr>
                  <w:tcW w:w="1431" w:type="dxa"/>
                  <w:tcBorders>
                    <w:top w:val="single" w:color="auto" w:sz="12" w:space="0"/>
                  </w:tcBorders>
                  <w:vAlign w:val="center"/>
                </w:tcPr>
                <w:p w14:paraId="6A4FA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油烟排放量</w:t>
                  </w:r>
                </w:p>
              </w:tc>
              <w:tc>
                <w:tcPr>
                  <w:tcW w:w="1536" w:type="dxa"/>
                  <w:tcBorders>
                    <w:top w:val="single" w:color="auto" w:sz="12" w:space="0"/>
                    <w:right w:val="nil"/>
                  </w:tcBorders>
                  <w:vAlign w:val="center"/>
                </w:tcPr>
                <w:p w14:paraId="7EED86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排放浓度</w:t>
                  </w:r>
                </w:p>
              </w:tc>
            </w:tr>
            <w:tr w14:paraId="5042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4" w:type="dxa"/>
                  <w:tcBorders>
                    <w:left w:val="nil"/>
                    <w:bottom w:val="single" w:color="auto" w:sz="12" w:space="0"/>
                  </w:tcBorders>
                  <w:vAlign w:val="center"/>
                </w:tcPr>
                <w:p w14:paraId="6FFD2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油烟</w:t>
                  </w:r>
                </w:p>
              </w:tc>
              <w:tc>
                <w:tcPr>
                  <w:tcW w:w="1503" w:type="dxa"/>
                  <w:tcBorders>
                    <w:bottom w:val="single" w:color="auto" w:sz="12" w:space="0"/>
                  </w:tcBorders>
                  <w:vAlign w:val="center"/>
                </w:tcPr>
                <w:p w14:paraId="1457FD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10.8</w:t>
                  </w:r>
                  <w:r>
                    <w:rPr>
                      <w:rFonts w:hint="default" w:ascii="Times New Roman" w:hAnsi="Times New Roman" w:eastAsia="宋体" w:cs="Times New Roman"/>
                      <w:color w:val="auto"/>
                      <w:sz w:val="21"/>
                      <w:szCs w:val="21"/>
                      <w:highlight w:val="none"/>
                    </w:rPr>
                    <w:t>kg/a</w:t>
                  </w:r>
                </w:p>
              </w:tc>
              <w:tc>
                <w:tcPr>
                  <w:tcW w:w="1414" w:type="dxa"/>
                  <w:tcBorders>
                    <w:bottom w:val="single" w:color="auto" w:sz="12" w:space="0"/>
                  </w:tcBorders>
                  <w:vAlign w:val="center"/>
                </w:tcPr>
                <w:p w14:paraId="1FE8EA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p>
              </w:tc>
              <w:tc>
                <w:tcPr>
                  <w:tcW w:w="1393" w:type="dxa"/>
                  <w:tcBorders>
                    <w:bottom w:val="single" w:color="auto" w:sz="12" w:space="0"/>
                  </w:tcBorders>
                  <w:vAlign w:val="center"/>
                </w:tcPr>
                <w:p w14:paraId="4CE6CF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60</w:t>
                  </w:r>
                  <w:r>
                    <w:rPr>
                      <w:rFonts w:hint="default" w:ascii="Times New Roman" w:hAnsi="Times New Roman" w:eastAsia="宋体" w:cs="Times New Roman"/>
                      <w:color w:val="auto"/>
                      <w:sz w:val="21"/>
                      <w:szCs w:val="21"/>
                      <w:highlight w:val="none"/>
                    </w:rPr>
                    <w:t>%</w:t>
                  </w:r>
                </w:p>
              </w:tc>
              <w:tc>
                <w:tcPr>
                  <w:tcW w:w="1431" w:type="dxa"/>
                  <w:tcBorders>
                    <w:bottom w:val="single" w:color="auto" w:sz="12" w:space="0"/>
                  </w:tcBorders>
                  <w:vAlign w:val="center"/>
                </w:tcPr>
                <w:p w14:paraId="09FBF5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4.32</w:t>
                  </w:r>
                  <w:r>
                    <w:rPr>
                      <w:rFonts w:hint="default" w:ascii="Times New Roman" w:hAnsi="Times New Roman" w:eastAsia="宋体" w:cs="Times New Roman"/>
                      <w:color w:val="auto"/>
                      <w:sz w:val="21"/>
                      <w:szCs w:val="21"/>
                      <w:highlight w:val="none"/>
                    </w:rPr>
                    <w:t>kg/a</w:t>
                  </w:r>
                </w:p>
              </w:tc>
              <w:tc>
                <w:tcPr>
                  <w:tcW w:w="1536" w:type="dxa"/>
                  <w:tcBorders>
                    <w:bottom w:val="single" w:color="auto" w:sz="12" w:space="0"/>
                    <w:right w:val="nil"/>
                  </w:tcBorders>
                  <w:vAlign w:val="center"/>
                </w:tcPr>
                <w:p w14:paraId="6624DD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p>
              </w:tc>
            </w:tr>
          </w:tbl>
          <w:p w14:paraId="55E1CA63">
            <w:pPr>
              <w:keepNext w:val="0"/>
              <w:keepLines w:val="0"/>
              <w:suppressLineNumbers w:val="0"/>
              <w:spacing w:before="0" w:beforeAutospacing="0" w:after="0" w:afterAutospacing="0" w:line="360" w:lineRule="auto"/>
              <w:ind w:left="0" w:right="0" w:firstLine="42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综上，</w:t>
            </w:r>
            <w:r>
              <w:rPr>
                <w:rFonts w:hint="default" w:ascii="Times New Roman" w:hAnsi="Times New Roman" w:cs="Times New Roman"/>
                <w:color w:val="auto"/>
              </w:rPr>
              <w:t>食堂油烟经处理后，满足《饮食业油烟排放标准（试行）》（GB18483-2001）限值要求（油烟≤2mg/m</w:t>
            </w:r>
            <w:r>
              <w:rPr>
                <w:rFonts w:hint="default" w:ascii="Times New Roman" w:hAnsi="Times New Roman" w:cs="Times New Roman"/>
                <w:color w:val="auto"/>
                <w:vertAlign w:val="superscript"/>
              </w:rPr>
              <w:t>3</w:t>
            </w:r>
            <w:r>
              <w:rPr>
                <w:rFonts w:hint="default" w:ascii="Times New Roman" w:hAnsi="Times New Roman" w:cs="Times New Roman"/>
                <w:color w:val="auto"/>
              </w:rPr>
              <w:t>），因此对项目环境空气质量影响</w:t>
            </w:r>
            <w:r>
              <w:rPr>
                <w:rFonts w:hint="default" w:ascii="Times New Roman" w:hAnsi="Times New Roman" w:cs="Times New Roman"/>
                <w:color w:val="auto"/>
                <w:lang w:val="en-US" w:eastAsia="zh-CN"/>
              </w:rPr>
              <w:t>可接受</w:t>
            </w:r>
            <w:r>
              <w:rPr>
                <w:rFonts w:hint="default" w:ascii="Times New Roman" w:hAnsi="Times New Roman" w:cs="Times New Roman"/>
                <w:color w:val="auto"/>
              </w:rPr>
              <w:t>。</w:t>
            </w:r>
          </w:p>
          <w:p w14:paraId="162BC3F8">
            <w:pPr>
              <w:bidi w:val="0"/>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1.</w:t>
            </w:r>
            <w:r>
              <w:rPr>
                <w:rFonts w:hint="default" w:ascii="Times New Roman" w:hAnsi="Times New Roman" w:cs="Times New Roman"/>
                <w:b/>
                <w:bCs/>
                <w:color w:val="auto"/>
                <w:sz w:val="21"/>
                <w:szCs w:val="21"/>
                <w:lang w:val="en-US" w:eastAsia="zh-CN"/>
              </w:rPr>
              <w:t>4</w:t>
            </w:r>
            <w:r>
              <w:rPr>
                <w:rFonts w:hint="default" w:ascii="Times New Roman" w:hAnsi="Times New Roman" w:eastAsia="宋体" w:cs="Times New Roman"/>
                <w:b/>
                <w:bCs/>
                <w:color w:val="auto"/>
                <w:sz w:val="21"/>
                <w:szCs w:val="21"/>
                <w:lang w:val="en-US" w:eastAsia="zh-CN"/>
              </w:rPr>
              <w:t>治理措施可行性分析</w:t>
            </w:r>
          </w:p>
          <w:p w14:paraId="2F24BBA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color w:val="auto"/>
                <w:lang w:eastAsia="zh-CN"/>
              </w:rPr>
            </w:pPr>
            <w:r>
              <w:rPr>
                <w:rFonts w:hint="default" w:ascii="Times New Roman" w:hAnsi="Times New Roman" w:eastAsia="宋体" w:cs="Times New Roman"/>
                <w:b/>
                <w:bCs/>
                <w:color w:val="auto"/>
                <w:lang w:eastAsia="zh-CN"/>
              </w:rPr>
              <w:t>（</w:t>
            </w:r>
            <w:r>
              <w:rPr>
                <w:rFonts w:hint="default" w:ascii="Times New Roman" w:hAnsi="Times New Roman" w:eastAsia="宋体" w:cs="Times New Roman"/>
                <w:b/>
                <w:bCs/>
                <w:color w:val="auto"/>
                <w:lang w:val="en-US" w:eastAsia="zh-CN"/>
              </w:rPr>
              <w:t>1</w:t>
            </w:r>
            <w:r>
              <w:rPr>
                <w:rFonts w:hint="default" w:ascii="Times New Roman" w:hAnsi="Times New Roman" w:eastAsia="宋体" w:cs="Times New Roman"/>
                <w:b/>
                <w:bCs/>
                <w:color w:val="auto"/>
                <w:lang w:eastAsia="zh-CN"/>
              </w:rPr>
              <w:t>）有组织废气</w:t>
            </w:r>
          </w:p>
          <w:p w14:paraId="21FEE8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lang w:val="en-US" w:eastAsia="zh-CN"/>
              </w:rPr>
            </w:pPr>
            <w:bookmarkStart w:id="7" w:name="OLE_LINK4"/>
            <w:r>
              <w:rPr>
                <w:rFonts w:hint="default" w:ascii="Times New Roman" w:hAnsi="Times New Roman" w:cs="Times New Roman"/>
                <w:color w:val="auto"/>
                <w:lang w:val="en-US" w:eastAsia="zh-CN"/>
              </w:rPr>
              <w:t>根据《</w:t>
            </w:r>
            <w:bookmarkStart w:id="8" w:name="OLE_LINK1"/>
            <w:r>
              <w:rPr>
                <w:rFonts w:hint="default" w:ascii="Times New Roman" w:hAnsi="Times New Roman" w:eastAsia="宋体" w:cs="Times New Roman"/>
                <w:color w:val="auto"/>
                <w:lang w:val="en-US" w:eastAsia="zh-CN"/>
              </w:rPr>
              <w:t>排污许可证申请与核发技术规范食品制造工业—乳制品制造工业</w:t>
            </w:r>
            <w:bookmarkEnd w:id="8"/>
            <w:r>
              <w:rPr>
                <w:rFonts w:hint="default" w:ascii="Times New Roman" w:hAnsi="Times New Roman" w:cs="Times New Roman"/>
                <w:color w:val="auto"/>
                <w:lang w:val="en-US" w:eastAsia="zh-CN"/>
              </w:rPr>
              <w:t>》（HJ 1030.1—2019）</w:t>
            </w:r>
            <w:r>
              <w:rPr>
                <w:rFonts w:hint="eastAsia" w:cs="Times New Roman"/>
                <w:color w:val="auto"/>
                <w:lang w:val="en-US" w:eastAsia="zh-CN"/>
              </w:rPr>
              <w:t>中表 8 乳制品制造工业排污单位废气污染防治可行技术参考表</w:t>
            </w:r>
            <w:r>
              <w:rPr>
                <w:rFonts w:hint="default" w:ascii="Times New Roman" w:hAnsi="Times New Roman" w:cs="Times New Roman"/>
                <w:color w:val="auto"/>
                <w:lang w:val="en-US" w:eastAsia="zh-CN"/>
              </w:rPr>
              <w:t>，颗粒物</w:t>
            </w:r>
            <w:r>
              <w:rPr>
                <w:rFonts w:hint="eastAsia" w:cs="Times New Roman"/>
                <w:color w:val="auto"/>
                <w:lang w:val="en-US" w:eastAsia="zh-CN"/>
              </w:rPr>
              <w:t>处理可行技术为</w:t>
            </w:r>
            <w:r>
              <w:rPr>
                <w:rFonts w:hint="default" w:ascii="Times New Roman" w:hAnsi="Times New Roman" w:cs="Times New Roman"/>
                <w:color w:val="auto"/>
                <w:lang w:val="en-US" w:eastAsia="zh-CN"/>
              </w:rPr>
              <w:t>采用</w:t>
            </w:r>
            <w:r>
              <w:rPr>
                <w:rFonts w:hint="default" w:ascii="Times New Roman" w:hAnsi="Times New Roman" w:cs="Times New Roman"/>
                <w:color w:val="auto"/>
                <w:szCs w:val="24"/>
                <w:lang w:val="en-US" w:eastAsia="zh-CN"/>
              </w:rPr>
              <w:t>布袋除尘器</w:t>
            </w:r>
            <w:r>
              <w:rPr>
                <w:rFonts w:hint="eastAsia" w:cs="Times New Roman"/>
                <w:color w:val="auto"/>
                <w:lang w:val="en-US" w:eastAsia="zh-CN"/>
              </w:rPr>
              <w:t>。</w:t>
            </w:r>
          </w:p>
          <w:bookmarkEnd w:id="7"/>
          <w:p w14:paraId="0A5C06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本</w:t>
            </w:r>
            <w:r>
              <w:rPr>
                <w:rFonts w:hint="default" w:ascii="Times New Roman" w:hAnsi="Times New Roman" w:eastAsia="宋体" w:cs="Times New Roman"/>
                <w:color w:val="auto"/>
                <w:lang w:val="en-US" w:eastAsia="zh-CN"/>
              </w:rPr>
              <w:t>项目颗粒物</w:t>
            </w:r>
            <w:r>
              <w:rPr>
                <w:rFonts w:hint="default" w:ascii="Times New Roman" w:hAnsi="Times New Roman" w:eastAsia="宋体" w:cs="Times New Roman"/>
                <w:color w:val="auto"/>
                <w:lang w:eastAsia="zh-CN"/>
              </w:rPr>
              <w:t>通过集气罩收集后引风机至</w:t>
            </w:r>
            <w:r>
              <w:rPr>
                <w:rFonts w:hint="default" w:ascii="Times New Roman" w:hAnsi="Times New Roman" w:cs="Times New Roman"/>
                <w:color w:val="auto"/>
                <w:szCs w:val="24"/>
                <w:lang w:val="en-US" w:eastAsia="zh-CN"/>
              </w:rPr>
              <w:t>布袋除尘器</w:t>
            </w:r>
            <w:r>
              <w:rPr>
                <w:rFonts w:hint="default" w:ascii="Times New Roman" w:hAnsi="Times New Roman" w:eastAsia="宋体" w:cs="Times New Roman"/>
                <w:color w:val="auto"/>
                <w:szCs w:val="24"/>
                <w:lang w:val="en-US" w:eastAsia="zh-CN"/>
              </w:rPr>
              <w:t>（处理效率99%）</w:t>
            </w:r>
            <w:r>
              <w:rPr>
                <w:rFonts w:hint="default" w:ascii="Times New Roman" w:hAnsi="Times New Roman" w:eastAsia="宋体" w:cs="Times New Roman"/>
                <w:color w:val="auto"/>
                <w:lang w:eastAsia="zh-CN"/>
              </w:rPr>
              <w:t>处理</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最终通过</w:t>
            </w:r>
            <w:r>
              <w:rPr>
                <w:rFonts w:hint="default" w:ascii="Times New Roman" w:hAnsi="Times New Roman" w:eastAsia="宋体" w:cs="Times New Roman"/>
                <w:color w:val="auto"/>
              </w:rPr>
              <w:t>15m高的排气筒排放</w:t>
            </w:r>
            <w:r>
              <w:rPr>
                <w:rFonts w:hint="default" w:ascii="Times New Roman" w:hAnsi="Times New Roman" w:eastAsia="宋体" w:cs="Times New Roman"/>
                <w:color w:val="auto"/>
                <w:lang w:val="en-US" w:eastAsia="zh-CN"/>
              </w:rPr>
              <w:t>，所采取措施可行。</w:t>
            </w:r>
          </w:p>
          <w:p w14:paraId="20219D1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eastAsia="zh-CN"/>
              </w:rPr>
              <w:t>（</w:t>
            </w:r>
            <w:r>
              <w:rPr>
                <w:rFonts w:hint="default" w:ascii="Times New Roman" w:hAnsi="Times New Roman" w:eastAsia="宋体" w:cs="Times New Roman"/>
                <w:b/>
                <w:bCs/>
                <w:color w:val="auto"/>
                <w:lang w:val="en-US" w:eastAsia="zh-CN"/>
              </w:rPr>
              <w:t>2</w:t>
            </w:r>
            <w:r>
              <w:rPr>
                <w:rFonts w:hint="default" w:ascii="Times New Roman" w:hAnsi="Times New Roman" w:eastAsia="宋体" w:cs="Times New Roman"/>
                <w:b/>
                <w:bCs/>
                <w:color w:val="auto"/>
                <w:lang w:eastAsia="zh-CN"/>
              </w:rPr>
              <w:t>）无组织废气</w:t>
            </w:r>
          </w:p>
          <w:p w14:paraId="1D02518C">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加强对无组织排放废气的控制监管，尽量减少无组织废气的排放，具体应做到以下几个方面：</w:t>
            </w:r>
          </w:p>
          <w:p w14:paraId="056C81AA">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①生产开线先启动环保措施设施再开启加工机组，停线先停止生产机组再关闭环保设施设备</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经常检查设备工况，保证设备的完好率，防止泄露；</w:t>
            </w:r>
          </w:p>
          <w:p w14:paraId="60EFAC09">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②在生产过程中加强对废气收集装置的维护，保证有组织废气捕集效率，以尽量将无组织排放的废气量减小到最低限度；</w:t>
            </w:r>
          </w:p>
          <w:p w14:paraId="6904144D">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③加强车间通排风，通过加强车间气流通畅，为员工配备必要的防护用品。</w:t>
            </w:r>
          </w:p>
          <w:p w14:paraId="1237C7C3">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④项目污水站采用半地下式设计，主要构筑物加盖，可有效减少恶臭气体逸散，污水站周边绿化可有效阻隔恶臭气体传播。</w:t>
            </w:r>
          </w:p>
          <w:p w14:paraId="7DC3FE8B">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⑤</w:t>
            </w:r>
            <w:r>
              <w:rPr>
                <w:rFonts w:hint="default" w:ascii="Times New Roman" w:hAnsi="Times New Roman" w:cs="Times New Roman"/>
                <w:color w:val="auto"/>
              </w:rPr>
              <w:t>食堂油烟经</w:t>
            </w:r>
            <w:r>
              <w:rPr>
                <w:rFonts w:hint="default" w:ascii="Times New Roman" w:hAnsi="Times New Roman" w:cs="Times New Roman"/>
                <w:color w:val="auto"/>
                <w:lang w:val="en-US" w:eastAsia="zh-CN"/>
              </w:rPr>
              <w:t>油烟净化装置</w:t>
            </w:r>
            <w:r>
              <w:rPr>
                <w:rFonts w:hint="default" w:ascii="Times New Roman" w:hAnsi="Times New Roman" w:cs="Times New Roman"/>
                <w:color w:val="auto"/>
              </w:rPr>
              <w:t>处理后</w:t>
            </w:r>
            <w:r>
              <w:rPr>
                <w:rFonts w:hint="default" w:ascii="Times New Roman" w:hAnsi="Times New Roman" w:cs="Times New Roman"/>
                <w:color w:val="auto"/>
                <w:lang w:val="en-US" w:eastAsia="zh-CN"/>
              </w:rPr>
              <w:t>达标排放。</w:t>
            </w:r>
          </w:p>
          <w:p w14:paraId="47D15373">
            <w:pPr>
              <w:keepNext w:val="0"/>
              <w:keepLines w:val="0"/>
              <w:pageBreakBefore w:val="0"/>
              <w:widowControl w:val="0"/>
              <w:kinsoku/>
              <w:wordWrap/>
              <w:overflowPunct/>
              <w:topLinePunct w:val="0"/>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通过以上分析，采取以上无组织废气控制措施后，无组织废气外排对周围环境影响较轻，无组织废气</w:t>
            </w:r>
            <w:r>
              <w:rPr>
                <w:rFonts w:hint="default" w:ascii="Times New Roman" w:hAnsi="Times New Roman" w:eastAsia="宋体" w:cs="Times New Roman"/>
                <w:color w:val="auto"/>
                <w:sz w:val="21"/>
                <w:szCs w:val="21"/>
                <w:lang w:eastAsia="zh-CN"/>
              </w:rPr>
              <w:t>可</w:t>
            </w:r>
            <w:r>
              <w:rPr>
                <w:rFonts w:hint="default" w:ascii="Times New Roman" w:hAnsi="Times New Roman" w:eastAsia="宋体" w:cs="Times New Roman"/>
                <w:color w:val="auto"/>
                <w:sz w:val="21"/>
                <w:szCs w:val="21"/>
              </w:rPr>
              <w:t>满足</w:t>
            </w:r>
            <w:r>
              <w:rPr>
                <w:rFonts w:hint="default" w:ascii="Times New Roman" w:hAnsi="Times New Roman" w:eastAsia="宋体" w:cs="Times New Roman"/>
                <w:bCs/>
                <w:color w:val="auto"/>
                <w:kern w:val="0"/>
                <w:szCs w:val="21"/>
              </w:rPr>
              <w:t>《大气污染物综合排放标准》（GB16297-1996）</w:t>
            </w:r>
            <w:r>
              <w:rPr>
                <w:rFonts w:hint="default" w:ascii="Times New Roman" w:hAnsi="Times New Roman" w:cs="Times New Roman"/>
                <w:bCs/>
                <w:color w:val="auto"/>
                <w:kern w:val="0"/>
                <w:szCs w:val="21"/>
                <w:lang w:val="en-US" w:eastAsia="zh-CN"/>
              </w:rPr>
              <w:t>表2排放标准</w:t>
            </w:r>
            <w:r>
              <w:rPr>
                <w:rFonts w:hint="default" w:ascii="Times New Roman" w:hAnsi="Times New Roman" w:eastAsia="宋体" w:cs="Times New Roman"/>
                <w:color w:val="auto"/>
                <w:sz w:val="21"/>
                <w:szCs w:val="21"/>
              </w:rPr>
              <w:t>要求即项目无组织废气治理工艺可行。</w:t>
            </w:r>
          </w:p>
          <w:p w14:paraId="53572928">
            <w:pPr>
              <w:keepNext w:val="0"/>
              <w:keepLines w:val="0"/>
              <w:pageBreakBefore w:val="0"/>
              <w:widowControl w:val="0"/>
              <w:kinsoku/>
              <w:wordWrap/>
              <w:overflowPunct/>
              <w:topLinePunct w:val="0"/>
              <w:autoSpaceDE/>
              <w:autoSpaceDN/>
              <w:bidi w:val="0"/>
              <w:adjustRightInd/>
              <w:snapToGrid/>
              <w:spacing w:after="0" w:afterLines="0" w:line="36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1.3非正常情况分析</w:t>
            </w:r>
          </w:p>
          <w:p w14:paraId="2035D0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结合源强核算指南，本次非正常工况考虑</w:t>
            </w:r>
            <w:r>
              <w:rPr>
                <w:rFonts w:hint="default" w:ascii="Times New Roman" w:hAnsi="Times New Roman" w:cs="Times New Roman"/>
                <w:color w:val="auto"/>
                <w:sz w:val="21"/>
                <w:szCs w:val="21"/>
                <w:lang w:val="en-US" w:eastAsia="zh-CN"/>
              </w:rPr>
              <w:t>布袋除尘器</w:t>
            </w:r>
            <w:r>
              <w:rPr>
                <w:rFonts w:hint="default" w:ascii="Times New Roman" w:hAnsi="Times New Roman" w:eastAsia="宋体" w:cs="Times New Roman"/>
                <w:color w:val="auto"/>
                <w:sz w:val="21"/>
                <w:szCs w:val="21"/>
                <w:lang w:val="en-US" w:eastAsia="zh-CN"/>
              </w:rPr>
              <w:t>设施运行失效，除尘效率按0%计，非正常工况持续时间2h，则非正常工况下污染物排放情况见下表4-</w:t>
            </w: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w:t>
            </w:r>
          </w:p>
          <w:p w14:paraId="50868C20">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表4-</w:t>
            </w:r>
            <w:r>
              <w:rPr>
                <w:rFonts w:hint="eastAsia" w:cs="Times New Roman"/>
                <w:b/>
                <w:bCs/>
                <w:color w:val="auto"/>
                <w:lang w:val="en-US" w:eastAsia="zh-CN"/>
              </w:rPr>
              <w:t>3</w:t>
            </w:r>
            <w:r>
              <w:rPr>
                <w:rFonts w:hint="default" w:ascii="Times New Roman" w:hAnsi="Times New Roman" w:cs="Times New Roman"/>
                <w:b/>
                <w:bCs/>
                <w:color w:val="auto"/>
                <w:lang w:val="en-US" w:eastAsia="zh-CN"/>
              </w:rPr>
              <w:t xml:space="preserve">  </w:t>
            </w:r>
            <w:r>
              <w:rPr>
                <w:rFonts w:hint="default" w:ascii="Times New Roman" w:hAnsi="Times New Roman" w:eastAsia="宋体" w:cs="Times New Roman"/>
                <w:b/>
                <w:bCs/>
                <w:color w:val="auto"/>
                <w:lang w:val="en-US" w:eastAsia="zh-CN"/>
              </w:rPr>
              <w:t>非正常工况下污染物排放情况</w:t>
            </w:r>
          </w:p>
          <w:tbl>
            <w:tblPr>
              <w:tblStyle w:val="21"/>
              <w:tblW w:w="828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47"/>
              <w:gridCol w:w="1079"/>
              <w:gridCol w:w="997"/>
              <w:gridCol w:w="1335"/>
              <w:gridCol w:w="1118"/>
              <w:gridCol w:w="768"/>
              <w:gridCol w:w="756"/>
              <w:gridCol w:w="924"/>
            </w:tblGrid>
            <w:tr w14:paraId="627516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9" w:type="dxa"/>
                  <w:tcBorders>
                    <w:tl2br w:val="nil"/>
                    <w:tr2bl w:val="nil"/>
                  </w:tcBorders>
                  <w:vAlign w:val="center"/>
                </w:tcPr>
                <w:p w14:paraId="3321EC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序号</w:t>
                  </w:r>
                </w:p>
              </w:tc>
              <w:tc>
                <w:tcPr>
                  <w:tcW w:w="847" w:type="dxa"/>
                  <w:tcBorders>
                    <w:tl2br w:val="nil"/>
                    <w:tr2bl w:val="nil"/>
                  </w:tcBorders>
                  <w:vAlign w:val="center"/>
                </w:tcPr>
                <w:p w14:paraId="755FF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污染源</w:t>
                  </w:r>
                </w:p>
              </w:tc>
              <w:tc>
                <w:tcPr>
                  <w:tcW w:w="1079" w:type="dxa"/>
                  <w:tcBorders>
                    <w:tl2br w:val="nil"/>
                    <w:tr2bl w:val="nil"/>
                  </w:tcBorders>
                  <w:vAlign w:val="center"/>
                </w:tcPr>
                <w:p w14:paraId="2796C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非正常原因</w:t>
                  </w:r>
                </w:p>
              </w:tc>
              <w:tc>
                <w:tcPr>
                  <w:tcW w:w="997" w:type="dxa"/>
                  <w:tcBorders>
                    <w:tl2br w:val="nil"/>
                    <w:tr2bl w:val="nil"/>
                  </w:tcBorders>
                  <w:vAlign w:val="center"/>
                </w:tcPr>
                <w:p w14:paraId="1C534A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污染物</w:t>
                  </w:r>
                </w:p>
              </w:tc>
              <w:tc>
                <w:tcPr>
                  <w:tcW w:w="1335" w:type="dxa"/>
                  <w:tcBorders>
                    <w:tl2br w:val="nil"/>
                    <w:tr2bl w:val="nil"/>
                  </w:tcBorders>
                  <w:vAlign w:val="center"/>
                </w:tcPr>
                <w:p w14:paraId="1BECF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非正常</w:t>
                  </w:r>
                  <w:r>
                    <w:rPr>
                      <w:rFonts w:hint="default" w:ascii="Times New Roman" w:hAnsi="Times New Roman" w:cs="Times New Roman"/>
                      <w:color w:val="auto"/>
                      <w:sz w:val="21"/>
                      <w:szCs w:val="21"/>
                      <w:highlight w:val="none"/>
                      <w:lang w:val="en-US" w:eastAsia="zh-CN"/>
                    </w:rPr>
                    <w:t>排放</w:t>
                  </w:r>
                  <w:r>
                    <w:rPr>
                      <w:rFonts w:hint="default" w:ascii="Times New Roman" w:hAnsi="Times New Roman" w:eastAsia="宋体" w:cs="Times New Roman"/>
                      <w:color w:val="auto"/>
                      <w:sz w:val="21"/>
                      <w:szCs w:val="21"/>
                      <w:highlight w:val="none"/>
                      <w:lang w:val="en-US" w:eastAsia="zh-CN"/>
                    </w:rPr>
                    <w:t>浓度（mg/m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p>
              </w:tc>
              <w:tc>
                <w:tcPr>
                  <w:tcW w:w="1118" w:type="dxa"/>
                  <w:tcBorders>
                    <w:tl2br w:val="nil"/>
                    <w:tr2bl w:val="nil"/>
                  </w:tcBorders>
                  <w:vAlign w:val="center"/>
                </w:tcPr>
                <w:p w14:paraId="2BEBD7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非正常排放速率（kg/h）</w:t>
                  </w:r>
                </w:p>
              </w:tc>
              <w:tc>
                <w:tcPr>
                  <w:tcW w:w="768" w:type="dxa"/>
                  <w:tcBorders>
                    <w:tl2br w:val="nil"/>
                    <w:tr2bl w:val="nil"/>
                  </w:tcBorders>
                  <w:vAlign w:val="center"/>
                </w:tcPr>
                <w:p w14:paraId="5B490C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单次持续时间</w:t>
                  </w:r>
                </w:p>
              </w:tc>
              <w:tc>
                <w:tcPr>
                  <w:tcW w:w="756" w:type="dxa"/>
                  <w:tcBorders>
                    <w:tl2br w:val="nil"/>
                    <w:tr2bl w:val="nil"/>
                  </w:tcBorders>
                  <w:vAlign w:val="center"/>
                </w:tcPr>
                <w:p w14:paraId="002CE9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年发生频次</w:t>
                  </w:r>
                </w:p>
              </w:tc>
              <w:tc>
                <w:tcPr>
                  <w:tcW w:w="924" w:type="dxa"/>
                  <w:tcBorders>
                    <w:tl2br w:val="nil"/>
                    <w:tr2bl w:val="nil"/>
                  </w:tcBorders>
                  <w:vAlign w:val="center"/>
                </w:tcPr>
                <w:p w14:paraId="12604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应对</w:t>
                  </w:r>
                </w:p>
                <w:p w14:paraId="414B20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措施</w:t>
                  </w:r>
                </w:p>
              </w:tc>
            </w:tr>
            <w:tr w14:paraId="1E5039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9" w:type="dxa"/>
                  <w:tcBorders>
                    <w:tl2br w:val="nil"/>
                    <w:tr2bl w:val="nil"/>
                  </w:tcBorders>
                  <w:vAlign w:val="center"/>
                </w:tcPr>
                <w:p w14:paraId="219890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847" w:type="dxa"/>
                  <w:tcBorders>
                    <w:tl2br w:val="nil"/>
                    <w:tr2bl w:val="nil"/>
                  </w:tcBorders>
                  <w:vAlign w:val="center"/>
                </w:tcPr>
                <w:p w14:paraId="58A564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DA001</w:t>
                  </w:r>
                </w:p>
              </w:tc>
              <w:tc>
                <w:tcPr>
                  <w:tcW w:w="1079" w:type="dxa"/>
                  <w:tcBorders>
                    <w:tl2br w:val="nil"/>
                    <w:tr2bl w:val="nil"/>
                  </w:tcBorders>
                  <w:vAlign w:val="center"/>
                </w:tcPr>
                <w:p w14:paraId="2E99DA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处理设施故障</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处理效率</w:t>
                  </w:r>
                  <w:r>
                    <w:rPr>
                      <w:rFonts w:hint="default" w:ascii="Times New Roman" w:hAnsi="Times New Roman" w:cs="Times New Roman"/>
                      <w:color w:val="auto"/>
                      <w:sz w:val="21"/>
                      <w:szCs w:val="21"/>
                      <w:highlight w:val="none"/>
                      <w:lang w:val="en-US" w:eastAsia="zh-CN"/>
                    </w:rPr>
                    <w:t>达不到应有效率</w:t>
                  </w:r>
                </w:p>
              </w:tc>
              <w:tc>
                <w:tcPr>
                  <w:tcW w:w="997" w:type="dxa"/>
                  <w:tcBorders>
                    <w:tl2br w:val="nil"/>
                    <w:tr2bl w:val="nil"/>
                  </w:tcBorders>
                  <w:vAlign w:val="center"/>
                </w:tcPr>
                <w:p w14:paraId="7FD4CA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Cs w:val="24"/>
                      <w:lang w:val="en-US" w:eastAsia="zh-CN"/>
                    </w:rPr>
                    <w:t>布袋除尘器</w:t>
                  </w:r>
                  <w:r>
                    <w:rPr>
                      <w:rFonts w:hint="default" w:ascii="Times New Roman" w:hAnsi="Times New Roman" w:cs="Times New Roman"/>
                      <w:color w:val="auto"/>
                      <w:sz w:val="21"/>
                      <w:szCs w:val="21"/>
                      <w:highlight w:val="none"/>
                      <w:lang w:val="en-US" w:eastAsia="zh-CN"/>
                    </w:rPr>
                    <w:t>（除尘过程）</w:t>
                  </w:r>
                </w:p>
              </w:tc>
              <w:tc>
                <w:tcPr>
                  <w:tcW w:w="1335" w:type="dxa"/>
                  <w:tcBorders>
                    <w:tl2br w:val="nil"/>
                    <w:tr2bl w:val="nil"/>
                  </w:tcBorders>
                  <w:vAlign w:val="center"/>
                </w:tcPr>
                <w:p w14:paraId="08E6CE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lang w:val="en-US" w:eastAsia="zh-CN"/>
                    </w:rPr>
                    <w:t>562.5</w:t>
                  </w:r>
                </w:p>
              </w:tc>
              <w:tc>
                <w:tcPr>
                  <w:tcW w:w="1118" w:type="dxa"/>
                  <w:tcBorders>
                    <w:tl2br w:val="nil"/>
                    <w:tr2bl w:val="nil"/>
                  </w:tcBorders>
                  <w:vAlign w:val="center"/>
                </w:tcPr>
                <w:p w14:paraId="4089C4D0">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lang w:val="en-US" w:eastAsia="zh-CN"/>
                    </w:rPr>
                    <w:t>4.5</w:t>
                  </w:r>
                </w:p>
              </w:tc>
              <w:tc>
                <w:tcPr>
                  <w:tcW w:w="768" w:type="dxa"/>
                  <w:tcBorders>
                    <w:tl2br w:val="nil"/>
                    <w:tr2bl w:val="nil"/>
                  </w:tcBorders>
                  <w:vAlign w:val="center"/>
                </w:tcPr>
                <w:p w14:paraId="79129E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2h</w:t>
                  </w:r>
                </w:p>
              </w:tc>
              <w:tc>
                <w:tcPr>
                  <w:tcW w:w="756" w:type="dxa"/>
                  <w:tcBorders>
                    <w:tl2br w:val="nil"/>
                    <w:tr2bl w:val="nil"/>
                  </w:tcBorders>
                  <w:vAlign w:val="center"/>
                </w:tcPr>
                <w:p w14:paraId="1F7E81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1次</w:t>
                  </w:r>
                </w:p>
              </w:tc>
              <w:tc>
                <w:tcPr>
                  <w:tcW w:w="924" w:type="dxa"/>
                  <w:tcBorders>
                    <w:tl2br w:val="nil"/>
                    <w:tr2bl w:val="nil"/>
                  </w:tcBorders>
                  <w:vAlign w:val="center"/>
                </w:tcPr>
                <w:p w14:paraId="656BF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日常加强有机废气处理设施维护</w:t>
                  </w:r>
                </w:p>
              </w:tc>
            </w:tr>
          </w:tbl>
          <w:p w14:paraId="0F2BE6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非正常工况下，本项目排气筒出口颗粒物排放浓度</w:t>
            </w:r>
            <w:r>
              <w:rPr>
                <w:rFonts w:hint="eastAsia" w:cs="Times New Roman"/>
                <w:color w:val="auto"/>
                <w:sz w:val="21"/>
                <w:szCs w:val="21"/>
                <w:lang w:val="en-US" w:eastAsia="zh-CN"/>
              </w:rPr>
              <w:t>满足</w:t>
            </w:r>
            <w:r>
              <w:rPr>
                <w:rFonts w:hint="default" w:ascii="Times New Roman" w:hAnsi="Times New Roman" w:eastAsia="宋体" w:cs="Times New Roman"/>
                <w:color w:val="auto"/>
                <w:sz w:val="21"/>
                <w:szCs w:val="21"/>
                <w:lang w:val="en-US" w:eastAsia="zh-CN"/>
              </w:rPr>
              <w:t>《大气污染物综合排放标准》（GB16297-1996）表2中15m排气筒排放</w:t>
            </w:r>
            <w:r>
              <w:rPr>
                <w:rFonts w:hint="eastAsia" w:cs="Times New Roman"/>
                <w:color w:val="auto"/>
                <w:sz w:val="21"/>
                <w:szCs w:val="21"/>
                <w:lang w:val="en-US" w:eastAsia="zh-CN"/>
              </w:rPr>
              <w:t>浓度要求，排放速率</w:t>
            </w:r>
            <w:r>
              <w:rPr>
                <w:rFonts w:hint="eastAsia" w:ascii="Times New Roman" w:hAnsi="Times New Roman" w:cs="Times New Roman"/>
                <w:color w:val="auto"/>
                <w:sz w:val="21"/>
                <w:szCs w:val="21"/>
                <w:lang w:val="en-US" w:eastAsia="zh-CN"/>
              </w:rPr>
              <w:t>超过</w:t>
            </w:r>
            <w:r>
              <w:rPr>
                <w:rFonts w:hint="default" w:ascii="Times New Roman" w:hAnsi="Times New Roman" w:eastAsia="宋体" w:cs="Times New Roman"/>
                <w:color w:val="auto"/>
                <w:sz w:val="21"/>
                <w:szCs w:val="21"/>
                <w:lang w:val="en-US" w:eastAsia="zh-CN"/>
              </w:rPr>
              <w:t>《大气污染物综合排放标准》（GB16297-1996）表2中15m排气筒排放速率要求</w:t>
            </w:r>
            <w:r>
              <w:rPr>
                <w:rFonts w:hint="default" w:ascii="Times New Roman" w:hAnsi="Times New Roman" w:cs="Times New Roman"/>
                <w:color w:val="auto"/>
                <w:lang w:eastAsia="zh-CN"/>
              </w:rPr>
              <w:t>，</w:t>
            </w:r>
            <w:r>
              <w:rPr>
                <w:rFonts w:hint="default" w:ascii="Times New Roman" w:hAnsi="Times New Roman" w:eastAsia="宋体" w:cs="Times New Roman"/>
                <w:color w:val="auto"/>
                <w:sz w:val="21"/>
                <w:szCs w:val="21"/>
                <w:lang w:val="en-US" w:eastAsia="zh-CN"/>
              </w:rPr>
              <w:t>建设单位应强化对</w:t>
            </w:r>
            <w:r>
              <w:rPr>
                <w:rFonts w:hint="eastAsia" w:cs="Times New Roman"/>
                <w:color w:val="auto"/>
                <w:sz w:val="21"/>
                <w:szCs w:val="21"/>
                <w:lang w:val="en-US" w:eastAsia="zh-CN"/>
              </w:rPr>
              <w:t>布袋除尘器</w:t>
            </w:r>
            <w:r>
              <w:rPr>
                <w:rFonts w:hint="default" w:ascii="Times New Roman" w:hAnsi="Times New Roman" w:eastAsia="宋体" w:cs="Times New Roman"/>
                <w:color w:val="auto"/>
                <w:sz w:val="21"/>
                <w:szCs w:val="21"/>
                <w:lang w:val="en-US" w:eastAsia="zh-CN"/>
              </w:rPr>
              <w:t>进行检修，降低非正常工况的发生频次，减少非正常工况的持续时间。</w:t>
            </w:r>
          </w:p>
          <w:p w14:paraId="09AE87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1.4监测计划</w:t>
            </w:r>
          </w:p>
          <w:p w14:paraId="4B9EA8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w:t>
            </w:r>
            <w:r>
              <w:rPr>
                <w:rFonts w:hint="default" w:ascii="Times New Roman" w:hAnsi="Times New Roman" w:cs="Times New Roman"/>
                <w:color w:val="auto"/>
                <w:spacing w:val="-3"/>
              </w:rPr>
              <w:t>排污许可证申请与核发技术规范食品制造工业</w:t>
            </w:r>
            <w:r>
              <w:rPr>
                <w:rFonts w:hint="default" w:ascii="Times New Roman" w:hAnsi="Times New Roman" w:eastAsia="Times New Roman" w:cs="Times New Roman"/>
                <w:color w:val="auto"/>
              </w:rPr>
              <w:t>—</w:t>
            </w:r>
            <w:r>
              <w:rPr>
                <w:rFonts w:hint="default" w:ascii="Times New Roman" w:hAnsi="Times New Roman" w:cs="Times New Roman"/>
                <w:color w:val="auto"/>
                <w:spacing w:val="-13"/>
              </w:rPr>
              <w:t>乳制品制造工业</w:t>
            </w:r>
            <w:r>
              <w:rPr>
                <w:rFonts w:hint="default" w:ascii="Times New Roman" w:hAnsi="Times New Roman" w:cs="Times New Roman"/>
                <w:color w:val="auto"/>
                <w:spacing w:val="-5"/>
              </w:rPr>
              <w:t>（</w:t>
            </w:r>
            <w:r>
              <w:rPr>
                <w:rFonts w:hint="default" w:ascii="Times New Roman" w:hAnsi="Times New Roman" w:eastAsia="Times New Roman" w:cs="Times New Roman"/>
                <w:color w:val="auto"/>
                <w:spacing w:val="-5"/>
              </w:rPr>
              <w:t>HJ1030.1-2019</w:t>
            </w:r>
            <w:r>
              <w:rPr>
                <w:rFonts w:hint="default" w:ascii="Times New Roman" w:hAnsi="Times New Roman" w:cs="Times New Roman"/>
                <w:color w:val="auto"/>
                <w:spacing w:val="-5"/>
              </w:rPr>
              <w:t>）</w:t>
            </w:r>
            <w:r>
              <w:rPr>
                <w:rFonts w:hint="default" w:ascii="Times New Roman" w:hAnsi="Times New Roman" w:eastAsia="宋体" w:cs="Times New Roman"/>
                <w:color w:val="auto"/>
                <w:sz w:val="21"/>
                <w:szCs w:val="21"/>
                <w:lang w:val="en-US" w:eastAsia="zh-CN"/>
              </w:rPr>
              <w:t>》制定本项目营运期大气污染物监测方案计划，详见表4-</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w:t>
            </w:r>
          </w:p>
          <w:p w14:paraId="376F0CB4">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表4-</w:t>
            </w:r>
            <w:r>
              <w:rPr>
                <w:rFonts w:hint="eastAsia" w:cs="Times New Roman"/>
                <w:b/>
                <w:bCs/>
                <w:color w:val="auto"/>
                <w:lang w:val="en-US" w:eastAsia="zh-CN"/>
              </w:rPr>
              <w:t>4</w:t>
            </w:r>
            <w:r>
              <w:rPr>
                <w:rFonts w:hint="default" w:ascii="Times New Roman" w:hAnsi="Times New Roman" w:cs="Times New Roman"/>
                <w:b/>
                <w:bCs/>
                <w:color w:val="auto"/>
                <w:lang w:val="en-US" w:eastAsia="zh-CN"/>
              </w:rPr>
              <w:t xml:space="preserve">  </w:t>
            </w:r>
            <w:r>
              <w:rPr>
                <w:rFonts w:hint="default" w:ascii="Times New Roman" w:hAnsi="Times New Roman" w:eastAsia="宋体" w:cs="Times New Roman"/>
                <w:b/>
                <w:bCs/>
                <w:color w:val="auto"/>
                <w:lang w:val="en-US" w:eastAsia="zh-CN"/>
              </w:rPr>
              <w:t>运营期大气污染物监测计划表</w:t>
            </w:r>
          </w:p>
          <w:tbl>
            <w:tblPr>
              <w:tblStyle w:val="20"/>
              <w:tblW w:w="82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443"/>
              <w:gridCol w:w="1286"/>
              <w:gridCol w:w="4023"/>
            </w:tblGrid>
            <w:tr w14:paraId="68D5C9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51" w:hRule="atLeast"/>
                <w:tblHeader/>
                <w:jc w:val="center"/>
              </w:trPr>
              <w:tc>
                <w:tcPr>
                  <w:tcW w:w="1485" w:type="dxa"/>
                  <w:vAlign w:val="center"/>
                </w:tcPr>
                <w:p w14:paraId="64EA9519">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监测点位</w:t>
                  </w:r>
                </w:p>
              </w:tc>
              <w:tc>
                <w:tcPr>
                  <w:tcW w:w="1443" w:type="dxa"/>
                  <w:vAlign w:val="center"/>
                </w:tcPr>
                <w:p w14:paraId="47222810">
                  <w:pPr>
                    <w:pStyle w:val="36"/>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监测</w:t>
                  </w:r>
                  <w:r>
                    <w:rPr>
                      <w:rFonts w:hint="default" w:ascii="Times New Roman" w:hAnsi="Times New Roman" w:eastAsia="宋体" w:cs="Times New Roman"/>
                      <w:color w:val="auto"/>
                      <w:sz w:val="21"/>
                      <w:szCs w:val="21"/>
                      <w:lang w:eastAsia="zh-CN"/>
                    </w:rPr>
                    <w:t>指标</w:t>
                  </w:r>
                </w:p>
              </w:tc>
              <w:tc>
                <w:tcPr>
                  <w:tcW w:w="1286" w:type="dxa"/>
                  <w:vAlign w:val="center"/>
                </w:tcPr>
                <w:p w14:paraId="3F623045">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监测频次</w:t>
                  </w:r>
                </w:p>
              </w:tc>
              <w:tc>
                <w:tcPr>
                  <w:tcW w:w="4023" w:type="dxa"/>
                  <w:vAlign w:val="center"/>
                </w:tcPr>
                <w:p w14:paraId="69D9801B">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执行排放标准</w:t>
                  </w:r>
                </w:p>
              </w:tc>
            </w:tr>
            <w:tr w14:paraId="45CC77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1" w:hRule="atLeast"/>
                <w:tblHeader/>
                <w:jc w:val="center"/>
              </w:trPr>
              <w:tc>
                <w:tcPr>
                  <w:tcW w:w="1485" w:type="dxa"/>
                  <w:vAlign w:val="center"/>
                </w:tcPr>
                <w:p w14:paraId="252C8022">
                  <w:pPr>
                    <w:pStyle w:val="36"/>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排气筒（DA001）</w:t>
                  </w:r>
                </w:p>
              </w:tc>
              <w:tc>
                <w:tcPr>
                  <w:tcW w:w="1443" w:type="dxa"/>
                  <w:vAlign w:val="center"/>
                </w:tcPr>
                <w:p w14:paraId="5D7B47D8">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1286" w:type="dxa"/>
                  <w:vAlign w:val="center"/>
                </w:tcPr>
                <w:p w14:paraId="2B844EDF">
                  <w:pPr>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一次/</w:t>
                  </w:r>
                  <w:r>
                    <w:rPr>
                      <w:rFonts w:hint="default" w:ascii="Times New Roman" w:hAnsi="Times New Roman" w:cs="Times New Roman"/>
                      <w:color w:val="auto"/>
                      <w:sz w:val="21"/>
                      <w:szCs w:val="21"/>
                      <w:lang w:val="en-US" w:eastAsia="zh-CN"/>
                    </w:rPr>
                    <w:t>半</w:t>
                  </w:r>
                  <w:r>
                    <w:rPr>
                      <w:rFonts w:hint="default" w:ascii="Times New Roman" w:hAnsi="Times New Roman" w:eastAsia="宋体" w:cs="Times New Roman"/>
                      <w:color w:val="auto"/>
                      <w:sz w:val="21"/>
                      <w:szCs w:val="21"/>
                      <w:lang w:val="en-US" w:eastAsia="zh-CN"/>
                    </w:rPr>
                    <w:t>年</w:t>
                  </w:r>
                </w:p>
              </w:tc>
              <w:tc>
                <w:tcPr>
                  <w:tcW w:w="4023" w:type="dxa"/>
                  <w:vAlign w:val="center"/>
                </w:tcPr>
                <w:p w14:paraId="20F00153">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《大气污染物综合排放标准》（GB16297-1996）表2中15m排气筒排放速率及浓度要求</w:t>
                  </w:r>
                </w:p>
              </w:tc>
            </w:tr>
            <w:tr w14:paraId="70C703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1" w:hRule="atLeast"/>
                <w:tblHeader/>
                <w:jc w:val="center"/>
              </w:trPr>
              <w:tc>
                <w:tcPr>
                  <w:tcW w:w="1485" w:type="dxa"/>
                  <w:shd w:val="clear" w:color="auto" w:fill="auto"/>
                  <w:vAlign w:val="center"/>
                </w:tcPr>
                <w:p w14:paraId="79A2308A">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厂界</w:t>
                  </w:r>
                </w:p>
              </w:tc>
              <w:tc>
                <w:tcPr>
                  <w:tcW w:w="1443" w:type="dxa"/>
                  <w:shd w:val="clear" w:color="auto" w:fill="auto"/>
                  <w:vAlign w:val="center"/>
                </w:tcPr>
                <w:p w14:paraId="1967ACB5">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1286" w:type="dxa"/>
                  <w:shd w:val="clear" w:color="auto" w:fill="auto"/>
                  <w:vAlign w:val="center"/>
                </w:tcPr>
                <w:p w14:paraId="01763F4C">
                  <w:pPr>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一次/年</w:t>
                  </w:r>
                </w:p>
              </w:tc>
              <w:tc>
                <w:tcPr>
                  <w:tcW w:w="4023" w:type="dxa"/>
                  <w:shd w:val="clear" w:color="auto" w:fill="auto"/>
                  <w:vAlign w:val="center"/>
                </w:tcPr>
                <w:p w14:paraId="59A2452E">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《大气污染物综合排放标准》（GB16297-1996）表2中</w:t>
                  </w:r>
                  <w:r>
                    <w:rPr>
                      <w:rFonts w:hint="eastAsia" w:ascii="Times New Roman" w:hAnsi="Times New Roman" w:eastAsia="宋体" w:cs="Times New Roman"/>
                      <w:color w:val="auto"/>
                      <w:sz w:val="21"/>
                      <w:szCs w:val="21"/>
                      <w:lang w:val="en-US" w:eastAsia="zh-CN"/>
                    </w:rPr>
                    <w:t>无组织排放限制</w:t>
                  </w:r>
                  <w:r>
                    <w:rPr>
                      <w:rFonts w:hint="default" w:ascii="Times New Roman" w:hAnsi="Times New Roman" w:eastAsia="宋体" w:cs="Times New Roman"/>
                      <w:color w:val="auto"/>
                      <w:sz w:val="21"/>
                      <w:szCs w:val="21"/>
                      <w:lang w:val="en-US" w:eastAsia="zh-CN"/>
                    </w:rPr>
                    <w:t>要求</w:t>
                  </w:r>
                </w:p>
              </w:tc>
            </w:tr>
            <w:tr w14:paraId="48853F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485" w:type="dxa"/>
                  <w:vAlign w:val="center"/>
                </w:tcPr>
                <w:p w14:paraId="67F9A41D">
                  <w:pPr>
                    <w:pStyle w:val="36"/>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污水站</w:t>
                  </w:r>
                </w:p>
              </w:tc>
              <w:tc>
                <w:tcPr>
                  <w:tcW w:w="1443" w:type="dxa"/>
                  <w:vAlign w:val="center"/>
                </w:tcPr>
                <w:p w14:paraId="60F66BB1">
                  <w:pPr>
                    <w:pStyle w:val="36"/>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硫化氢、氨气</w:t>
                  </w:r>
                </w:p>
              </w:tc>
              <w:tc>
                <w:tcPr>
                  <w:tcW w:w="1286" w:type="dxa"/>
                  <w:vAlign w:val="center"/>
                </w:tcPr>
                <w:p w14:paraId="73636C04">
                  <w:pPr>
                    <w:pStyle w:val="36"/>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一次/</w:t>
                  </w:r>
                  <w:r>
                    <w:rPr>
                      <w:rFonts w:hint="default" w:ascii="Times New Roman" w:hAnsi="Times New Roman" w:cs="Times New Roman"/>
                      <w:color w:val="auto"/>
                      <w:sz w:val="21"/>
                      <w:szCs w:val="21"/>
                      <w:lang w:val="en-US" w:eastAsia="zh-CN"/>
                    </w:rPr>
                    <w:t>半</w:t>
                  </w:r>
                  <w:r>
                    <w:rPr>
                      <w:rFonts w:hint="default" w:ascii="Times New Roman" w:hAnsi="Times New Roman" w:eastAsia="宋体" w:cs="Times New Roman"/>
                      <w:color w:val="auto"/>
                      <w:sz w:val="21"/>
                      <w:szCs w:val="21"/>
                      <w:lang w:val="en-US" w:eastAsia="zh-CN"/>
                    </w:rPr>
                    <w:t>年</w:t>
                  </w:r>
                </w:p>
              </w:tc>
              <w:tc>
                <w:tcPr>
                  <w:tcW w:w="4023" w:type="dxa"/>
                  <w:vAlign w:val="center"/>
                </w:tcPr>
                <w:p w14:paraId="5F0C4545">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《恶臭污染物排放标准》（GB14554-93）厂界标准</w:t>
                  </w:r>
                </w:p>
              </w:tc>
            </w:tr>
          </w:tbl>
          <w:p w14:paraId="38C3EB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2、水环境影响及保护措施</w:t>
            </w:r>
          </w:p>
          <w:p w14:paraId="6BD24F4E">
            <w:pPr>
              <w:spacing w:line="360" w:lineRule="auto"/>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2.1废水</w:t>
            </w:r>
          </w:p>
          <w:p w14:paraId="0D06EC37">
            <w:pPr>
              <w:spacing w:line="360" w:lineRule="auto"/>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（1）生活废水</w:t>
            </w:r>
          </w:p>
          <w:p w14:paraId="14FF1945">
            <w:pPr>
              <w:spacing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本项目劳动定员</w:t>
            </w:r>
            <w:r>
              <w:rPr>
                <w:rFonts w:hint="eastAsia" w:cs="Times New Roman"/>
                <w:color w:val="auto"/>
                <w:sz w:val="21"/>
                <w:szCs w:val="21"/>
                <w:lang w:val="en-US" w:eastAsia="zh-CN"/>
              </w:rPr>
              <w:t>40</w:t>
            </w:r>
            <w:r>
              <w:rPr>
                <w:rFonts w:hint="default" w:ascii="Times New Roman" w:hAnsi="Times New Roman" w:eastAsia="宋体" w:cs="Times New Roman"/>
                <w:color w:val="auto"/>
                <w:sz w:val="21"/>
                <w:szCs w:val="21"/>
                <w:lang w:val="en-US" w:eastAsia="zh-CN"/>
              </w:rPr>
              <w:t>人，生活污水产生量约为</w:t>
            </w:r>
            <w:r>
              <w:rPr>
                <w:rFonts w:hint="default" w:ascii="Times New Roman" w:hAnsi="Times New Roman" w:cs="Times New Roman"/>
                <w:color w:val="auto"/>
                <w:sz w:val="21"/>
                <w:szCs w:val="21"/>
                <w:lang w:val="en-US" w:eastAsia="zh-CN"/>
              </w:rPr>
              <w:t>3.836</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/d（</w:t>
            </w:r>
            <w:r>
              <w:rPr>
                <w:rFonts w:hint="default" w:ascii="Times New Roman" w:hAnsi="Times New Roman" w:cs="Times New Roman"/>
                <w:color w:val="auto"/>
                <w:sz w:val="21"/>
                <w:szCs w:val="21"/>
                <w:lang w:val="en-US" w:eastAsia="zh-CN"/>
              </w:rPr>
              <w:t>1150.8</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/a），生活污水排入市政下水管网，最终进入</w:t>
            </w:r>
            <w:r>
              <w:rPr>
                <w:rFonts w:hint="default" w:ascii="Times New Roman" w:hAnsi="Times New Roman" w:cs="Times New Roman"/>
                <w:color w:val="auto"/>
                <w:sz w:val="21"/>
                <w:szCs w:val="21"/>
                <w:lang w:val="en-US" w:eastAsia="zh-CN"/>
              </w:rPr>
              <w:t>园区污水处理厂</w:t>
            </w:r>
            <w:r>
              <w:rPr>
                <w:rFonts w:hint="default" w:ascii="Times New Roman" w:hAnsi="Times New Roman" w:eastAsia="宋体" w:cs="Times New Roman"/>
                <w:color w:val="auto"/>
                <w:sz w:val="21"/>
                <w:szCs w:val="21"/>
                <w:lang w:val="en-US" w:eastAsia="zh-CN"/>
              </w:rPr>
              <w:t>。</w:t>
            </w:r>
          </w:p>
          <w:p w14:paraId="56C45238">
            <w:pPr>
              <w:keepNext w:val="0"/>
              <w:keepLines w:val="0"/>
              <w:pageBreakBefore w:val="0"/>
              <w:widowControl w:val="0"/>
              <w:tabs>
                <w:tab w:val="left" w:pos="3485"/>
                <w:tab w:val="left" w:pos="7063"/>
              </w:tabs>
              <w:kinsoku/>
              <w:wordWrap/>
              <w:overflowPunct/>
              <w:topLinePunct w:val="0"/>
              <w:autoSpaceDE/>
              <w:autoSpaceDN/>
              <w:bidi w:val="0"/>
              <w:adjustRightInd/>
              <w:snapToGrid/>
              <w:spacing w:before="0" w:line="360" w:lineRule="auto"/>
              <w:ind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lang w:val="en-US" w:eastAsia="zh-CN"/>
              </w:rPr>
              <w:t>生产废水</w:t>
            </w:r>
          </w:p>
          <w:p w14:paraId="5865472F">
            <w:pPr>
              <w:keepNext w:val="0"/>
              <w:keepLines w:val="0"/>
              <w:pageBreakBefore w:val="0"/>
              <w:widowControl w:val="0"/>
              <w:tabs>
                <w:tab w:val="left" w:pos="3485"/>
                <w:tab w:val="left" w:pos="7063"/>
              </w:tabs>
              <w:kinsoku/>
              <w:wordWrap/>
              <w:overflowPunct/>
              <w:topLinePunct w:val="0"/>
              <w:autoSpaceDE/>
              <w:autoSpaceDN/>
              <w:bidi w:val="0"/>
              <w:adjustRightInd/>
              <w:snapToGrid/>
              <w:spacing w:before="0" w:line="360" w:lineRule="auto"/>
              <w:ind w:right="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根据1441液体乳制造行业系数手册中1441液体乳制造行业系数表</w:t>
            </w:r>
            <w:r>
              <w:rPr>
                <w:rFonts w:hint="default" w:ascii="Times New Roman" w:hAnsi="Times New Roman" w:cs="Times New Roman"/>
                <w:color w:val="auto"/>
                <w:sz w:val="21"/>
                <w:szCs w:val="21"/>
                <w:lang w:val="en-US" w:eastAsia="zh-CN"/>
              </w:rPr>
              <w:t>，类比同类型项目，BOD</w:t>
            </w:r>
            <w:r>
              <w:rPr>
                <w:rFonts w:hint="default" w:ascii="Times New Roman" w:hAnsi="Times New Roman" w:cs="Times New Roman"/>
                <w:color w:val="auto"/>
                <w:sz w:val="21"/>
                <w:szCs w:val="21"/>
                <w:vertAlign w:val="subscript"/>
                <w:lang w:val="en-US" w:eastAsia="zh-CN"/>
              </w:rPr>
              <w:t>5</w:t>
            </w:r>
            <w:r>
              <w:rPr>
                <w:rFonts w:hint="default" w:ascii="Times New Roman" w:hAnsi="Times New Roman" w:eastAsia="宋体" w:cs="Times New Roman"/>
                <w:color w:val="auto"/>
                <w:sz w:val="21"/>
                <w:szCs w:val="21"/>
                <w:lang w:val="en-US" w:eastAsia="zh-CN"/>
              </w:rPr>
              <w:t>产</w:t>
            </w:r>
            <w:r>
              <w:rPr>
                <w:rFonts w:hint="default" w:ascii="Times New Roman" w:hAnsi="Times New Roman" w:cs="Times New Roman"/>
                <w:color w:val="auto"/>
                <w:sz w:val="21"/>
                <w:szCs w:val="21"/>
                <w:lang w:val="en-US" w:eastAsia="zh-CN"/>
              </w:rPr>
              <w:t>污</w:t>
            </w:r>
            <w:r>
              <w:rPr>
                <w:rFonts w:hint="default" w:ascii="Times New Roman" w:hAnsi="Times New Roman" w:eastAsia="宋体" w:cs="Times New Roman"/>
                <w:color w:val="auto"/>
                <w:sz w:val="21"/>
                <w:szCs w:val="21"/>
                <w:lang w:val="en-US" w:eastAsia="zh-CN"/>
              </w:rPr>
              <w:t>系数为1800mg/L。</w:t>
            </w:r>
          </w:p>
          <w:p w14:paraId="68E67BA5">
            <w:pPr>
              <w:tabs>
                <w:tab w:val="left" w:pos="3485"/>
                <w:tab w:val="left" w:pos="7063"/>
              </w:tabs>
              <w:spacing w:before="0" w:after="3" w:line="266" w:lineRule="exact"/>
              <w:ind w:left="1472" w:right="0" w:firstLine="0"/>
              <w:jc w:val="left"/>
              <w:rPr>
                <w:rFonts w:hint="default" w:ascii="Times New Roman" w:hAnsi="Times New Roman" w:eastAsia="Times New Roman" w:cs="Times New Roman"/>
                <w:b/>
                <w:color w:val="auto"/>
                <w:sz w:val="21"/>
              </w:rPr>
            </w:pPr>
            <w:r>
              <w:rPr>
                <w:rFonts w:hint="default" w:ascii="Times New Roman" w:hAnsi="Times New Roman" w:cs="Times New Roman"/>
                <w:b/>
                <w:color w:val="auto"/>
                <w:sz w:val="21"/>
              </w:rPr>
              <w:t>表</w:t>
            </w:r>
            <w:r>
              <w:rPr>
                <w:rFonts w:hint="default" w:ascii="Times New Roman" w:hAnsi="Times New Roman" w:cs="Times New Roman"/>
                <w:b/>
                <w:color w:val="auto"/>
                <w:spacing w:val="-53"/>
                <w:sz w:val="21"/>
              </w:rPr>
              <w:t xml:space="preserve"> </w:t>
            </w:r>
            <w:r>
              <w:rPr>
                <w:rFonts w:hint="default" w:ascii="Times New Roman" w:hAnsi="Times New Roman" w:eastAsia="Times New Roman" w:cs="Times New Roman"/>
                <w:b/>
                <w:color w:val="auto"/>
                <w:sz w:val="21"/>
              </w:rPr>
              <w:t>4-</w:t>
            </w:r>
            <w:r>
              <w:rPr>
                <w:rFonts w:hint="eastAsia" w:cs="Times New Roman"/>
                <w:b/>
                <w:color w:val="auto"/>
                <w:sz w:val="21"/>
                <w:lang w:val="en-US" w:eastAsia="zh-CN"/>
              </w:rPr>
              <w:t>5</w:t>
            </w:r>
            <w:r>
              <w:rPr>
                <w:rFonts w:hint="default" w:ascii="Times New Roman" w:hAnsi="Times New Roman" w:eastAsia="Times New Roman" w:cs="Times New Roman"/>
                <w:b/>
                <w:color w:val="auto"/>
                <w:sz w:val="21"/>
              </w:rPr>
              <w:tab/>
            </w:r>
            <w:r>
              <w:rPr>
                <w:rFonts w:hint="default" w:ascii="Times New Roman" w:hAnsi="Times New Roman" w:eastAsia="宋体" w:cs="Times New Roman"/>
                <w:b/>
                <w:color w:val="auto"/>
                <w:sz w:val="21"/>
                <w:lang w:val="en-US" w:eastAsia="zh-CN"/>
              </w:rPr>
              <w:t>液体乳制造行业系数表</w:t>
            </w:r>
            <w:r>
              <w:rPr>
                <w:rFonts w:hint="default" w:ascii="Times New Roman" w:hAnsi="Times New Roman" w:cs="Times New Roman"/>
                <w:b/>
                <w:color w:val="auto"/>
                <w:sz w:val="21"/>
              </w:rPr>
              <w:tab/>
            </w:r>
          </w:p>
          <w:tbl>
            <w:tblPr>
              <w:tblStyle w:val="20"/>
              <w:tblW w:w="8283"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91"/>
              <w:gridCol w:w="804"/>
              <w:gridCol w:w="1015"/>
              <w:gridCol w:w="1197"/>
              <w:gridCol w:w="1152"/>
              <w:gridCol w:w="1041"/>
              <w:gridCol w:w="1041"/>
              <w:gridCol w:w="1042"/>
            </w:tblGrid>
            <w:tr w14:paraId="4099747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1" w:type="dxa"/>
                  <w:tcBorders>
                    <w:tl2br w:val="nil"/>
                    <w:tr2bl w:val="nil"/>
                  </w:tcBorders>
                  <w:shd w:val="clear" w:color="auto" w:fill="auto"/>
                  <w:vAlign w:val="center"/>
                </w:tcPr>
                <w:p w14:paraId="46A0DCDC">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废水名称</w:t>
                  </w:r>
                </w:p>
              </w:tc>
              <w:tc>
                <w:tcPr>
                  <w:tcW w:w="804" w:type="dxa"/>
                  <w:tcBorders>
                    <w:tl2br w:val="nil"/>
                    <w:tr2bl w:val="nil"/>
                  </w:tcBorders>
                  <w:shd w:val="clear" w:color="auto" w:fill="auto"/>
                  <w:vAlign w:val="center"/>
                </w:tcPr>
                <w:p w14:paraId="74840394">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3"/>
                      <w:szCs w:val="24"/>
                    </w:rPr>
                    <w:t>污染物指标</w:t>
                  </w:r>
                </w:p>
              </w:tc>
              <w:tc>
                <w:tcPr>
                  <w:tcW w:w="1015" w:type="dxa"/>
                  <w:tcBorders>
                    <w:tl2br w:val="nil"/>
                    <w:tr2bl w:val="nil"/>
                  </w:tcBorders>
                  <w:vAlign w:val="center"/>
                </w:tcPr>
                <w:p w14:paraId="7EBFD52F">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系数单位</w:t>
                  </w:r>
                </w:p>
              </w:tc>
              <w:tc>
                <w:tcPr>
                  <w:tcW w:w="1197" w:type="dxa"/>
                  <w:tcBorders>
                    <w:tl2br w:val="nil"/>
                    <w:tr2bl w:val="nil"/>
                  </w:tcBorders>
                  <w:vAlign w:val="center"/>
                </w:tcPr>
                <w:p w14:paraId="2F9AF85A">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产物系数</w:t>
                  </w:r>
                </w:p>
              </w:tc>
              <w:tc>
                <w:tcPr>
                  <w:tcW w:w="1152" w:type="dxa"/>
                  <w:tcBorders>
                    <w:tl2br w:val="nil"/>
                    <w:tr2bl w:val="nil"/>
                  </w:tcBorders>
                  <w:vAlign w:val="center"/>
                </w:tcPr>
                <w:p w14:paraId="566F4B1F">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末端治理技术名称</w:t>
                  </w:r>
                </w:p>
              </w:tc>
              <w:tc>
                <w:tcPr>
                  <w:tcW w:w="1041" w:type="dxa"/>
                  <w:tcBorders>
                    <w:tl2br w:val="nil"/>
                    <w:tr2bl w:val="nil"/>
                  </w:tcBorders>
                  <w:vAlign w:val="center"/>
                </w:tcPr>
                <w:p w14:paraId="4AAEF313">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去除效率</w:t>
                  </w:r>
                </w:p>
              </w:tc>
              <w:tc>
                <w:tcPr>
                  <w:tcW w:w="1041" w:type="dxa"/>
                  <w:tcBorders>
                    <w:tl2br w:val="nil"/>
                    <w:tr2bl w:val="nil"/>
                  </w:tcBorders>
                  <w:vAlign w:val="center"/>
                </w:tcPr>
                <w:p w14:paraId="16E5E9AB">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排放浓度mg/L</w:t>
                  </w:r>
                </w:p>
              </w:tc>
              <w:tc>
                <w:tcPr>
                  <w:tcW w:w="1042" w:type="dxa"/>
                  <w:tcBorders>
                    <w:tl2br w:val="nil"/>
                    <w:tr2bl w:val="nil"/>
                  </w:tcBorders>
                  <w:vAlign w:val="center"/>
                </w:tcPr>
                <w:p w14:paraId="55B33116">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排放量</w:t>
                  </w:r>
                </w:p>
                <w:p w14:paraId="13A9B3F5">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r>
            <w:tr w14:paraId="021EEFB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8" w:hRule="atLeast"/>
                <w:jc w:val="center"/>
              </w:trPr>
              <w:tc>
                <w:tcPr>
                  <w:tcW w:w="991" w:type="dxa"/>
                  <w:vMerge w:val="restart"/>
                  <w:tcBorders>
                    <w:tl2br w:val="nil"/>
                    <w:tr2bl w:val="nil"/>
                  </w:tcBorders>
                  <w:vAlign w:val="center"/>
                </w:tcPr>
                <w:p w14:paraId="51ABB29D">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液体乳制造废水</w:t>
                  </w:r>
                </w:p>
              </w:tc>
              <w:tc>
                <w:tcPr>
                  <w:tcW w:w="804" w:type="dxa"/>
                  <w:tcBorders>
                    <w:tl2br w:val="nil"/>
                    <w:tr2bl w:val="nil"/>
                  </w:tcBorders>
                  <w:vAlign w:val="center"/>
                </w:tcPr>
                <w:p w14:paraId="7ECA73AB">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工业废水量</w:t>
                  </w:r>
                </w:p>
              </w:tc>
              <w:tc>
                <w:tcPr>
                  <w:tcW w:w="1015" w:type="dxa"/>
                  <w:tcBorders>
                    <w:tl2br w:val="nil"/>
                    <w:tr2bl w:val="nil"/>
                  </w:tcBorders>
                  <w:vAlign w:val="center"/>
                </w:tcPr>
                <w:p w14:paraId="2C91536F">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吨/吨-产品</w:t>
                  </w:r>
                </w:p>
              </w:tc>
              <w:tc>
                <w:tcPr>
                  <w:tcW w:w="1197" w:type="dxa"/>
                  <w:tcBorders>
                    <w:tl2br w:val="nil"/>
                    <w:tr2bl w:val="nil"/>
                  </w:tcBorders>
                  <w:vAlign w:val="center"/>
                </w:tcPr>
                <w:p w14:paraId="3A039309">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5.69</w:t>
                  </w:r>
                </w:p>
              </w:tc>
              <w:tc>
                <w:tcPr>
                  <w:tcW w:w="1152" w:type="dxa"/>
                  <w:vMerge w:val="restart"/>
                  <w:tcBorders>
                    <w:tl2br w:val="nil"/>
                    <w:tr2bl w:val="nil"/>
                  </w:tcBorders>
                  <w:vAlign w:val="center"/>
                </w:tcPr>
                <w:p w14:paraId="4C1E792E">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厌氧生物处理法+好氧生物处理法</w:t>
                  </w:r>
                </w:p>
              </w:tc>
              <w:tc>
                <w:tcPr>
                  <w:tcW w:w="1041" w:type="dxa"/>
                  <w:tcBorders>
                    <w:tl2br w:val="nil"/>
                    <w:tr2bl w:val="nil"/>
                  </w:tcBorders>
                  <w:vAlign w:val="center"/>
                </w:tcPr>
                <w:p w14:paraId="7C64BE14">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041" w:type="dxa"/>
                  <w:tcBorders>
                    <w:tl2br w:val="nil"/>
                    <w:tr2bl w:val="nil"/>
                  </w:tcBorders>
                  <w:vAlign w:val="center"/>
                </w:tcPr>
                <w:p w14:paraId="6F2465EF">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042" w:type="dxa"/>
                  <w:tcBorders>
                    <w:tl2br w:val="nil"/>
                    <w:tr2bl w:val="nil"/>
                  </w:tcBorders>
                  <w:vAlign w:val="center"/>
                </w:tcPr>
                <w:p w14:paraId="79F9D2F6">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8535</w:t>
                  </w:r>
                </w:p>
              </w:tc>
            </w:tr>
            <w:tr w14:paraId="469455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8" w:hRule="atLeast"/>
                <w:jc w:val="center"/>
              </w:trPr>
              <w:tc>
                <w:tcPr>
                  <w:tcW w:w="991" w:type="dxa"/>
                  <w:vMerge w:val="continue"/>
                  <w:tcBorders>
                    <w:tl2br w:val="nil"/>
                    <w:tr2bl w:val="nil"/>
                  </w:tcBorders>
                  <w:vAlign w:val="center"/>
                </w:tcPr>
                <w:p w14:paraId="3F2B8148">
                  <w:pPr>
                    <w:pStyle w:val="36"/>
                    <w:rPr>
                      <w:rFonts w:hint="default" w:ascii="Times New Roman" w:hAnsi="Times New Roman" w:eastAsia="宋体" w:cs="Times New Roman"/>
                      <w:color w:val="auto"/>
                      <w:sz w:val="21"/>
                      <w:szCs w:val="21"/>
                      <w:lang w:val="en-US" w:eastAsia="zh-CN"/>
                    </w:rPr>
                  </w:pPr>
                </w:p>
              </w:tc>
              <w:tc>
                <w:tcPr>
                  <w:tcW w:w="804" w:type="dxa"/>
                  <w:tcBorders>
                    <w:tl2br w:val="nil"/>
                    <w:tr2bl w:val="nil"/>
                  </w:tcBorders>
                  <w:shd w:val="clear" w:color="auto" w:fill="auto"/>
                  <w:vAlign w:val="center"/>
                </w:tcPr>
                <w:p w14:paraId="57BFC1B5">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COD</w:t>
                  </w:r>
                </w:p>
              </w:tc>
              <w:tc>
                <w:tcPr>
                  <w:tcW w:w="1015" w:type="dxa"/>
                  <w:tcBorders>
                    <w:tl2br w:val="nil"/>
                    <w:tr2bl w:val="nil"/>
                  </w:tcBorders>
                  <w:shd w:val="clear" w:color="auto" w:fill="auto"/>
                  <w:vAlign w:val="center"/>
                </w:tcPr>
                <w:p w14:paraId="38985078">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克/吨-产品</w:t>
                  </w:r>
                </w:p>
              </w:tc>
              <w:tc>
                <w:tcPr>
                  <w:tcW w:w="1197" w:type="dxa"/>
                  <w:tcBorders>
                    <w:tl2br w:val="nil"/>
                    <w:tr2bl w:val="nil"/>
                  </w:tcBorders>
                  <w:vAlign w:val="center"/>
                </w:tcPr>
                <w:p w14:paraId="153A003E">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8474.38</w:t>
                  </w:r>
                </w:p>
              </w:tc>
              <w:tc>
                <w:tcPr>
                  <w:tcW w:w="1152" w:type="dxa"/>
                  <w:vMerge w:val="continue"/>
                  <w:tcBorders>
                    <w:tl2br w:val="nil"/>
                    <w:tr2bl w:val="nil"/>
                  </w:tcBorders>
                  <w:vAlign w:val="center"/>
                </w:tcPr>
                <w:p w14:paraId="5604FB9F">
                  <w:pPr>
                    <w:pStyle w:val="36"/>
                    <w:rPr>
                      <w:rFonts w:hint="default" w:ascii="Times New Roman" w:hAnsi="Times New Roman" w:eastAsia="宋体" w:cs="Times New Roman"/>
                      <w:color w:val="auto"/>
                      <w:sz w:val="21"/>
                      <w:szCs w:val="21"/>
                      <w:lang w:val="en-US" w:eastAsia="zh-CN"/>
                    </w:rPr>
                  </w:pPr>
                </w:p>
              </w:tc>
              <w:tc>
                <w:tcPr>
                  <w:tcW w:w="1041" w:type="dxa"/>
                  <w:tcBorders>
                    <w:tl2br w:val="nil"/>
                    <w:tr2bl w:val="nil"/>
                  </w:tcBorders>
                  <w:shd w:val="clear" w:color="auto" w:fill="auto"/>
                  <w:vAlign w:val="center"/>
                </w:tcPr>
                <w:p w14:paraId="00120C40">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98.83</w:t>
                  </w:r>
                </w:p>
              </w:tc>
              <w:tc>
                <w:tcPr>
                  <w:tcW w:w="1041" w:type="dxa"/>
                  <w:tcBorders>
                    <w:tl2br w:val="nil"/>
                    <w:tr2bl w:val="nil"/>
                  </w:tcBorders>
                  <w:shd w:val="clear" w:color="auto" w:fill="auto"/>
                  <w:vAlign w:val="center"/>
                </w:tcPr>
                <w:p w14:paraId="3E6E2DED">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17.46</w:t>
                  </w:r>
                </w:p>
              </w:tc>
              <w:tc>
                <w:tcPr>
                  <w:tcW w:w="1042" w:type="dxa"/>
                  <w:tcBorders>
                    <w:tl2br w:val="nil"/>
                    <w:tr2bl w:val="nil"/>
                  </w:tcBorders>
                  <w:shd w:val="clear" w:color="auto" w:fill="auto"/>
                  <w:vAlign w:val="center"/>
                </w:tcPr>
                <w:p w14:paraId="10BB731E">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0.149</w:t>
                  </w:r>
                </w:p>
              </w:tc>
            </w:tr>
            <w:tr w14:paraId="7525EC7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1" w:type="dxa"/>
                  <w:vMerge w:val="continue"/>
                  <w:tcBorders>
                    <w:tl2br w:val="nil"/>
                    <w:tr2bl w:val="nil"/>
                  </w:tcBorders>
                  <w:vAlign w:val="center"/>
                </w:tcPr>
                <w:p w14:paraId="24CB0BED">
                  <w:pPr>
                    <w:pStyle w:val="36"/>
                    <w:rPr>
                      <w:rFonts w:hint="default" w:ascii="Times New Roman" w:hAnsi="Times New Roman" w:eastAsia="宋体" w:cs="Times New Roman"/>
                      <w:color w:val="auto"/>
                      <w:sz w:val="21"/>
                      <w:szCs w:val="21"/>
                      <w:lang w:val="en-US" w:eastAsia="zh-CN"/>
                    </w:rPr>
                  </w:pPr>
                </w:p>
              </w:tc>
              <w:tc>
                <w:tcPr>
                  <w:tcW w:w="804" w:type="dxa"/>
                  <w:tcBorders>
                    <w:tl2br w:val="nil"/>
                    <w:tr2bl w:val="nil"/>
                  </w:tcBorders>
                  <w:vAlign w:val="center"/>
                </w:tcPr>
                <w:p w14:paraId="297600C8">
                  <w:pPr>
                    <w:pStyle w:val="36"/>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BOD</w:t>
                  </w:r>
                  <w:r>
                    <w:rPr>
                      <w:rFonts w:hint="default" w:ascii="Times New Roman" w:hAnsi="Times New Roman" w:cs="Times New Roman"/>
                      <w:color w:val="auto"/>
                      <w:sz w:val="21"/>
                      <w:szCs w:val="21"/>
                      <w:vertAlign w:val="subscript"/>
                      <w:lang w:val="en-US" w:eastAsia="zh-CN"/>
                    </w:rPr>
                    <w:t>5</w:t>
                  </w:r>
                </w:p>
              </w:tc>
              <w:tc>
                <w:tcPr>
                  <w:tcW w:w="1015" w:type="dxa"/>
                  <w:tcBorders>
                    <w:tl2br w:val="nil"/>
                    <w:tr2bl w:val="nil"/>
                  </w:tcBorders>
                  <w:vAlign w:val="center"/>
                </w:tcPr>
                <w:p w14:paraId="4D6169B4">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197" w:type="dxa"/>
                  <w:tcBorders>
                    <w:tl2br w:val="nil"/>
                    <w:tr2bl w:val="nil"/>
                  </w:tcBorders>
                  <w:vAlign w:val="center"/>
                </w:tcPr>
                <w:p w14:paraId="69BDD768">
                  <w:pPr>
                    <w:pStyle w:val="36"/>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1800</w:t>
                  </w:r>
                  <w:r>
                    <w:rPr>
                      <w:rFonts w:hint="default" w:ascii="Times New Roman" w:hAnsi="Times New Roman" w:eastAsia="宋体" w:cs="Times New Roman"/>
                      <w:color w:val="auto"/>
                      <w:sz w:val="21"/>
                      <w:szCs w:val="21"/>
                      <w:lang w:val="en-US" w:eastAsia="zh-CN"/>
                    </w:rPr>
                    <w:t>mg/L</w:t>
                  </w:r>
                </w:p>
              </w:tc>
              <w:tc>
                <w:tcPr>
                  <w:tcW w:w="1152" w:type="dxa"/>
                  <w:vMerge w:val="continue"/>
                  <w:tcBorders>
                    <w:tl2br w:val="nil"/>
                    <w:tr2bl w:val="nil"/>
                  </w:tcBorders>
                  <w:vAlign w:val="center"/>
                </w:tcPr>
                <w:p w14:paraId="08EDFBC7">
                  <w:pPr>
                    <w:pStyle w:val="36"/>
                    <w:rPr>
                      <w:rFonts w:hint="default" w:ascii="Times New Roman" w:hAnsi="Times New Roman" w:eastAsia="宋体" w:cs="Times New Roman"/>
                      <w:color w:val="auto"/>
                      <w:sz w:val="21"/>
                      <w:szCs w:val="21"/>
                      <w:lang w:val="en-US" w:eastAsia="zh-CN"/>
                    </w:rPr>
                  </w:pPr>
                </w:p>
              </w:tc>
              <w:tc>
                <w:tcPr>
                  <w:tcW w:w="1041" w:type="dxa"/>
                  <w:tcBorders>
                    <w:tl2br w:val="nil"/>
                    <w:tr2bl w:val="nil"/>
                  </w:tcBorders>
                  <w:shd w:val="clear" w:color="auto" w:fill="auto"/>
                  <w:vAlign w:val="center"/>
                </w:tcPr>
                <w:p w14:paraId="10028542">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90.54</w:t>
                  </w:r>
                </w:p>
              </w:tc>
              <w:tc>
                <w:tcPr>
                  <w:tcW w:w="1041" w:type="dxa"/>
                  <w:tcBorders>
                    <w:tl2br w:val="nil"/>
                    <w:tr2bl w:val="nil"/>
                  </w:tcBorders>
                  <w:shd w:val="clear" w:color="auto" w:fill="auto"/>
                  <w:vAlign w:val="center"/>
                </w:tcPr>
                <w:p w14:paraId="76481573">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170.28</w:t>
                  </w:r>
                </w:p>
              </w:tc>
              <w:tc>
                <w:tcPr>
                  <w:tcW w:w="1042" w:type="dxa"/>
                  <w:tcBorders>
                    <w:tl2br w:val="nil"/>
                    <w:tr2bl w:val="nil"/>
                  </w:tcBorders>
                  <w:shd w:val="clear" w:color="auto" w:fill="auto"/>
                  <w:vAlign w:val="center"/>
                </w:tcPr>
                <w:p w14:paraId="1A260993">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1.453</w:t>
                  </w:r>
                </w:p>
              </w:tc>
            </w:tr>
            <w:tr w14:paraId="30CD319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1" w:type="dxa"/>
                  <w:vMerge w:val="continue"/>
                  <w:tcBorders>
                    <w:tl2br w:val="nil"/>
                    <w:tr2bl w:val="nil"/>
                  </w:tcBorders>
                  <w:vAlign w:val="center"/>
                </w:tcPr>
                <w:p w14:paraId="69242D26">
                  <w:pPr>
                    <w:pStyle w:val="36"/>
                    <w:rPr>
                      <w:rFonts w:hint="default" w:ascii="Times New Roman" w:hAnsi="Times New Roman" w:eastAsia="宋体" w:cs="Times New Roman"/>
                      <w:color w:val="auto"/>
                      <w:sz w:val="21"/>
                      <w:szCs w:val="21"/>
                      <w:lang w:val="en-US" w:eastAsia="zh-CN"/>
                    </w:rPr>
                  </w:pPr>
                </w:p>
              </w:tc>
              <w:tc>
                <w:tcPr>
                  <w:tcW w:w="804" w:type="dxa"/>
                  <w:tcBorders>
                    <w:tl2br w:val="nil"/>
                    <w:tr2bl w:val="nil"/>
                  </w:tcBorders>
                  <w:vAlign w:val="center"/>
                </w:tcPr>
                <w:p w14:paraId="0353AACE">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氨氮</w:t>
                  </w:r>
                </w:p>
              </w:tc>
              <w:tc>
                <w:tcPr>
                  <w:tcW w:w="1015" w:type="dxa"/>
                  <w:tcBorders>
                    <w:tl2br w:val="nil"/>
                    <w:tr2bl w:val="nil"/>
                  </w:tcBorders>
                  <w:vAlign w:val="center"/>
                </w:tcPr>
                <w:p w14:paraId="61787A1D">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克/吨-产品</w:t>
                  </w:r>
                </w:p>
              </w:tc>
              <w:tc>
                <w:tcPr>
                  <w:tcW w:w="1197" w:type="dxa"/>
                  <w:tcBorders>
                    <w:tl2br w:val="nil"/>
                    <w:tr2bl w:val="nil"/>
                  </w:tcBorders>
                  <w:vAlign w:val="center"/>
                </w:tcPr>
                <w:p w14:paraId="43ECE932">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115.61</w:t>
                  </w:r>
                </w:p>
              </w:tc>
              <w:tc>
                <w:tcPr>
                  <w:tcW w:w="1152" w:type="dxa"/>
                  <w:vMerge w:val="continue"/>
                  <w:tcBorders>
                    <w:tl2br w:val="nil"/>
                    <w:tr2bl w:val="nil"/>
                  </w:tcBorders>
                  <w:vAlign w:val="center"/>
                </w:tcPr>
                <w:p w14:paraId="78983AD3">
                  <w:pPr>
                    <w:pStyle w:val="36"/>
                    <w:rPr>
                      <w:rFonts w:hint="default" w:ascii="Times New Roman" w:hAnsi="Times New Roman" w:eastAsia="宋体" w:cs="Times New Roman"/>
                      <w:color w:val="auto"/>
                      <w:sz w:val="21"/>
                      <w:szCs w:val="21"/>
                      <w:lang w:val="en-US" w:eastAsia="zh-CN"/>
                    </w:rPr>
                  </w:pPr>
                </w:p>
              </w:tc>
              <w:tc>
                <w:tcPr>
                  <w:tcW w:w="1041" w:type="dxa"/>
                  <w:tcBorders>
                    <w:tl2br w:val="nil"/>
                    <w:tr2bl w:val="nil"/>
                  </w:tcBorders>
                  <w:shd w:val="clear" w:color="auto" w:fill="auto"/>
                  <w:vAlign w:val="center"/>
                </w:tcPr>
                <w:p w14:paraId="6659115A">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91.07</w:t>
                  </w:r>
                </w:p>
              </w:tc>
              <w:tc>
                <w:tcPr>
                  <w:tcW w:w="1041" w:type="dxa"/>
                  <w:tcBorders>
                    <w:tl2br w:val="nil"/>
                    <w:tr2bl w:val="nil"/>
                  </w:tcBorders>
                  <w:shd w:val="clear" w:color="auto" w:fill="auto"/>
                  <w:vAlign w:val="center"/>
                </w:tcPr>
                <w:p w14:paraId="705BD683">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1.76</w:t>
                  </w:r>
                </w:p>
              </w:tc>
              <w:tc>
                <w:tcPr>
                  <w:tcW w:w="1042" w:type="dxa"/>
                  <w:tcBorders>
                    <w:tl2br w:val="nil"/>
                    <w:tr2bl w:val="nil"/>
                  </w:tcBorders>
                  <w:shd w:val="clear" w:color="auto" w:fill="auto"/>
                  <w:vAlign w:val="center"/>
                </w:tcPr>
                <w:p w14:paraId="5080A9E7">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0.015</w:t>
                  </w:r>
                </w:p>
              </w:tc>
            </w:tr>
            <w:tr w14:paraId="1CAA956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1" w:type="dxa"/>
                  <w:vMerge w:val="continue"/>
                  <w:tcBorders>
                    <w:tl2br w:val="nil"/>
                    <w:tr2bl w:val="nil"/>
                  </w:tcBorders>
                  <w:vAlign w:val="center"/>
                </w:tcPr>
                <w:p w14:paraId="10DC4713">
                  <w:pPr>
                    <w:pStyle w:val="36"/>
                    <w:rPr>
                      <w:rFonts w:hint="default" w:ascii="Times New Roman" w:hAnsi="Times New Roman" w:eastAsia="宋体" w:cs="Times New Roman"/>
                      <w:color w:val="auto"/>
                      <w:sz w:val="21"/>
                      <w:szCs w:val="21"/>
                      <w:lang w:val="en-US" w:eastAsia="zh-CN"/>
                    </w:rPr>
                  </w:pPr>
                </w:p>
              </w:tc>
              <w:tc>
                <w:tcPr>
                  <w:tcW w:w="804" w:type="dxa"/>
                  <w:tcBorders>
                    <w:tl2br w:val="nil"/>
                    <w:tr2bl w:val="nil"/>
                  </w:tcBorders>
                  <w:vAlign w:val="center"/>
                </w:tcPr>
                <w:p w14:paraId="3D43EAB5">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总氮</w:t>
                  </w:r>
                </w:p>
              </w:tc>
              <w:tc>
                <w:tcPr>
                  <w:tcW w:w="1015" w:type="dxa"/>
                  <w:tcBorders>
                    <w:tl2br w:val="nil"/>
                    <w:tr2bl w:val="nil"/>
                  </w:tcBorders>
                  <w:vAlign w:val="center"/>
                </w:tcPr>
                <w:p w14:paraId="57C5DEBB">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克/吨-产品</w:t>
                  </w:r>
                </w:p>
              </w:tc>
              <w:tc>
                <w:tcPr>
                  <w:tcW w:w="1197" w:type="dxa"/>
                  <w:tcBorders>
                    <w:tl2br w:val="nil"/>
                    <w:tr2bl w:val="nil"/>
                  </w:tcBorders>
                  <w:vAlign w:val="center"/>
                </w:tcPr>
                <w:p w14:paraId="3E55B050">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583.22</w:t>
                  </w:r>
                </w:p>
              </w:tc>
              <w:tc>
                <w:tcPr>
                  <w:tcW w:w="1152" w:type="dxa"/>
                  <w:vMerge w:val="continue"/>
                  <w:tcBorders>
                    <w:tl2br w:val="nil"/>
                    <w:tr2bl w:val="nil"/>
                  </w:tcBorders>
                  <w:vAlign w:val="center"/>
                </w:tcPr>
                <w:p w14:paraId="4242A6B9">
                  <w:pPr>
                    <w:pStyle w:val="36"/>
                    <w:rPr>
                      <w:rFonts w:hint="default" w:ascii="Times New Roman" w:hAnsi="Times New Roman" w:eastAsia="宋体" w:cs="Times New Roman"/>
                      <w:color w:val="auto"/>
                      <w:sz w:val="21"/>
                      <w:szCs w:val="21"/>
                      <w:lang w:val="en-US" w:eastAsia="zh-CN"/>
                    </w:rPr>
                  </w:pPr>
                </w:p>
              </w:tc>
              <w:tc>
                <w:tcPr>
                  <w:tcW w:w="1041" w:type="dxa"/>
                  <w:tcBorders>
                    <w:tl2br w:val="nil"/>
                    <w:tr2bl w:val="nil"/>
                  </w:tcBorders>
                  <w:shd w:val="clear" w:color="auto" w:fill="auto"/>
                  <w:vAlign w:val="center"/>
                </w:tcPr>
                <w:p w14:paraId="4C4346CD">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80.13</w:t>
                  </w:r>
                </w:p>
              </w:tc>
              <w:tc>
                <w:tcPr>
                  <w:tcW w:w="1041" w:type="dxa"/>
                  <w:tcBorders>
                    <w:tl2br w:val="nil"/>
                    <w:tr2bl w:val="nil"/>
                  </w:tcBorders>
                  <w:shd w:val="clear" w:color="auto" w:fill="auto"/>
                  <w:vAlign w:val="center"/>
                </w:tcPr>
                <w:p w14:paraId="6A79F6FC">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20.39</w:t>
                  </w:r>
                </w:p>
              </w:tc>
              <w:tc>
                <w:tcPr>
                  <w:tcW w:w="1042" w:type="dxa"/>
                  <w:tcBorders>
                    <w:tl2br w:val="nil"/>
                    <w:tr2bl w:val="nil"/>
                  </w:tcBorders>
                  <w:shd w:val="clear" w:color="auto" w:fill="auto"/>
                  <w:vAlign w:val="center"/>
                </w:tcPr>
                <w:p w14:paraId="32AECCA4">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0.174</w:t>
                  </w:r>
                </w:p>
              </w:tc>
            </w:tr>
          </w:tbl>
          <w:p w14:paraId="42AF1E14">
            <w:pPr>
              <w:keepNext w:val="0"/>
              <w:keepLines w:val="0"/>
              <w:pageBreakBefore w:val="0"/>
              <w:widowControl w:val="0"/>
              <w:tabs>
                <w:tab w:val="left" w:pos="3485"/>
                <w:tab w:val="left" w:pos="7063"/>
              </w:tabs>
              <w:kinsoku/>
              <w:wordWrap/>
              <w:overflowPunct/>
              <w:topLinePunct w:val="0"/>
              <w:autoSpaceDE/>
              <w:autoSpaceDN/>
              <w:bidi w:val="0"/>
              <w:adjustRightInd/>
              <w:snapToGrid/>
              <w:spacing w:before="0" w:line="360" w:lineRule="auto"/>
              <w:ind w:right="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根据1442乳粉制造行业系数手册中1442乳粉制造行业系数表</w:t>
            </w:r>
          </w:p>
          <w:p w14:paraId="727BCA40">
            <w:pPr>
              <w:tabs>
                <w:tab w:val="left" w:pos="3485"/>
                <w:tab w:val="left" w:pos="7063"/>
              </w:tabs>
              <w:spacing w:before="0" w:after="3" w:line="266" w:lineRule="exact"/>
              <w:ind w:left="1472" w:right="0" w:firstLine="0"/>
              <w:jc w:val="left"/>
              <w:rPr>
                <w:rFonts w:hint="default" w:ascii="Times New Roman" w:hAnsi="Times New Roman" w:eastAsia="Times New Roman" w:cs="Times New Roman"/>
                <w:b/>
                <w:color w:val="auto"/>
                <w:sz w:val="21"/>
              </w:rPr>
            </w:pPr>
            <w:r>
              <w:rPr>
                <w:rFonts w:hint="default" w:ascii="Times New Roman" w:hAnsi="Times New Roman" w:cs="Times New Roman"/>
                <w:b/>
                <w:color w:val="auto"/>
                <w:sz w:val="21"/>
              </w:rPr>
              <w:t>表</w:t>
            </w:r>
            <w:r>
              <w:rPr>
                <w:rFonts w:hint="default" w:ascii="Times New Roman" w:hAnsi="Times New Roman" w:cs="Times New Roman"/>
                <w:b/>
                <w:color w:val="auto"/>
                <w:spacing w:val="-53"/>
                <w:sz w:val="21"/>
              </w:rPr>
              <w:t xml:space="preserve"> </w:t>
            </w:r>
            <w:r>
              <w:rPr>
                <w:rFonts w:hint="default" w:ascii="Times New Roman" w:hAnsi="Times New Roman" w:eastAsia="Times New Roman" w:cs="Times New Roman"/>
                <w:b/>
                <w:color w:val="auto"/>
                <w:sz w:val="21"/>
              </w:rPr>
              <w:t>4-</w:t>
            </w:r>
            <w:r>
              <w:rPr>
                <w:rFonts w:hint="eastAsia" w:cs="Times New Roman"/>
                <w:b/>
                <w:color w:val="auto"/>
                <w:sz w:val="21"/>
                <w:lang w:val="en-US" w:eastAsia="zh-CN"/>
              </w:rPr>
              <w:t>6</w:t>
            </w:r>
            <w:r>
              <w:rPr>
                <w:rFonts w:hint="default" w:ascii="Times New Roman" w:hAnsi="Times New Roman" w:eastAsia="Times New Roman" w:cs="Times New Roman"/>
                <w:b/>
                <w:color w:val="auto"/>
                <w:sz w:val="21"/>
              </w:rPr>
              <w:tab/>
            </w:r>
            <w:r>
              <w:rPr>
                <w:rFonts w:hint="default" w:ascii="Times New Roman" w:hAnsi="Times New Roman" w:eastAsia="宋体" w:cs="Times New Roman"/>
                <w:b/>
                <w:color w:val="auto"/>
                <w:sz w:val="21"/>
                <w:lang w:val="en-US" w:eastAsia="zh-CN"/>
              </w:rPr>
              <w:t>乳粉制造行业系数表</w:t>
            </w:r>
            <w:r>
              <w:rPr>
                <w:rFonts w:hint="default" w:ascii="Times New Roman" w:hAnsi="Times New Roman" w:cs="Times New Roman"/>
                <w:b/>
                <w:color w:val="auto"/>
                <w:sz w:val="21"/>
              </w:rPr>
              <w:tab/>
            </w:r>
          </w:p>
          <w:tbl>
            <w:tblPr>
              <w:tblStyle w:val="20"/>
              <w:tblW w:w="828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92"/>
              <w:gridCol w:w="804"/>
              <w:gridCol w:w="1015"/>
              <w:gridCol w:w="1197"/>
              <w:gridCol w:w="1152"/>
              <w:gridCol w:w="1041"/>
              <w:gridCol w:w="1041"/>
              <w:gridCol w:w="1042"/>
            </w:tblGrid>
            <w:tr w14:paraId="0ACC7D1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2" w:type="dxa"/>
                  <w:tcBorders>
                    <w:tl2br w:val="nil"/>
                    <w:tr2bl w:val="nil"/>
                  </w:tcBorders>
                  <w:shd w:val="clear" w:color="auto" w:fill="auto"/>
                  <w:vAlign w:val="center"/>
                </w:tcPr>
                <w:p w14:paraId="1AFCDF53">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废水名称</w:t>
                  </w:r>
                </w:p>
              </w:tc>
              <w:tc>
                <w:tcPr>
                  <w:tcW w:w="804" w:type="dxa"/>
                  <w:tcBorders>
                    <w:tl2br w:val="nil"/>
                    <w:tr2bl w:val="nil"/>
                  </w:tcBorders>
                  <w:shd w:val="clear" w:color="auto" w:fill="auto"/>
                  <w:vAlign w:val="center"/>
                </w:tcPr>
                <w:p w14:paraId="1213A635">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3"/>
                      <w:szCs w:val="24"/>
                    </w:rPr>
                    <w:t>污染物指标</w:t>
                  </w:r>
                </w:p>
              </w:tc>
              <w:tc>
                <w:tcPr>
                  <w:tcW w:w="1015" w:type="dxa"/>
                  <w:tcBorders>
                    <w:tl2br w:val="nil"/>
                    <w:tr2bl w:val="nil"/>
                  </w:tcBorders>
                  <w:vAlign w:val="center"/>
                </w:tcPr>
                <w:p w14:paraId="3DE91D4B">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系数单位</w:t>
                  </w:r>
                </w:p>
              </w:tc>
              <w:tc>
                <w:tcPr>
                  <w:tcW w:w="1197" w:type="dxa"/>
                  <w:tcBorders>
                    <w:tl2br w:val="nil"/>
                    <w:tr2bl w:val="nil"/>
                  </w:tcBorders>
                  <w:vAlign w:val="center"/>
                </w:tcPr>
                <w:p w14:paraId="30CEA354">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产物系数</w:t>
                  </w:r>
                </w:p>
              </w:tc>
              <w:tc>
                <w:tcPr>
                  <w:tcW w:w="1152" w:type="dxa"/>
                  <w:tcBorders>
                    <w:tl2br w:val="nil"/>
                    <w:tr2bl w:val="nil"/>
                  </w:tcBorders>
                  <w:vAlign w:val="center"/>
                </w:tcPr>
                <w:p w14:paraId="3AB773D5">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末端治理技术名称</w:t>
                  </w:r>
                </w:p>
              </w:tc>
              <w:tc>
                <w:tcPr>
                  <w:tcW w:w="1041" w:type="dxa"/>
                  <w:tcBorders>
                    <w:tl2br w:val="nil"/>
                    <w:tr2bl w:val="nil"/>
                  </w:tcBorders>
                  <w:vAlign w:val="center"/>
                </w:tcPr>
                <w:p w14:paraId="70633249">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去除效率</w:t>
                  </w:r>
                </w:p>
              </w:tc>
              <w:tc>
                <w:tcPr>
                  <w:tcW w:w="1041" w:type="dxa"/>
                  <w:tcBorders>
                    <w:tl2br w:val="nil"/>
                    <w:tr2bl w:val="nil"/>
                  </w:tcBorders>
                  <w:vAlign w:val="center"/>
                </w:tcPr>
                <w:p w14:paraId="6A9FD70C">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排放浓度mg/L</w:t>
                  </w:r>
                </w:p>
              </w:tc>
              <w:tc>
                <w:tcPr>
                  <w:tcW w:w="1042" w:type="dxa"/>
                  <w:tcBorders>
                    <w:tl2br w:val="nil"/>
                    <w:tr2bl w:val="nil"/>
                  </w:tcBorders>
                  <w:vAlign w:val="center"/>
                </w:tcPr>
                <w:p w14:paraId="091C8ECE">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排放量</w:t>
                  </w:r>
                </w:p>
                <w:p w14:paraId="436BD707">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r>
            <w:tr w14:paraId="6A5E284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8" w:hRule="atLeast"/>
                <w:jc w:val="center"/>
              </w:trPr>
              <w:tc>
                <w:tcPr>
                  <w:tcW w:w="992" w:type="dxa"/>
                  <w:vMerge w:val="restart"/>
                  <w:tcBorders>
                    <w:tl2br w:val="nil"/>
                    <w:tr2bl w:val="nil"/>
                  </w:tcBorders>
                  <w:vAlign w:val="center"/>
                </w:tcPr>
                <w:p w14:paraId="4B39F8A4">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乳粉制造</w:t>
                  </w:r>
                </w:p>
                <w:p w14:paraId="1BAEDA7A">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废水</w:t>
                  </w:r>
                </w:p>
              </w:tc>
              <w:tc>
                <w:tcPr>
                  <w:tcW w:w="804" w:type="dxa"/>
                  <w:tcBorders>
                    <w:tl2br w:val="nil"/>
                    <w:tr2bl w:val="nil"/>
                  </w:tcBorders>
                  <w:vAlign w:val="center"/>
                </w:tcPr>
                <w:p w14:paraId="106C6545">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工业废水量</w:t>
                  </w:r>
                </w:p>
              </w:tc>
              <w:tc>
                <w:tcPr>
                  <w:tcW w:w="1015" w:type="dxa"/>
                  <w:tcBorders>
                    <w:tl2br w:val="nil"/>
                    <w:tr2bl w:val="nil"/>
                  </w:tcBorders>
                  <w:vAlign w:val="center"/>
                </w:tcPr>
                <w:p w14:paraId="729F5237">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吨/吨-产品</w:t>
                  </w:r>
                </w:p>
              </w:tc>
              <w:tc>
                <w:tcPr>
                  <w:tcW w:w="1197" w:type="dxa"/>
                  <w:tcBorders>
                    <w:tl2br w:val="nil"/>
                    <w:tr2bl w:val="nil"/>
                  </w:tcBorders>
                  <w:vAlign w:val="center"/>
                </w:tcPr>
                <w:p w14:paraId="28D4BA46">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25.15</w:t>
                  </w:r>
                </w:p>
              </w:tc>
              <w:tc>
                <w:tcPr>
                  <w:tcW w:w="1152" w:type="dxa"/>
                  <w:vMerge w:val="restart"/>
                  <w:tcBorders>
                    <w:tl2br w:val="nil"/>
                    <w:tr2bl w:val="nil"/>
                  </w:tcBorders>
                  <w:vAlign w:val="center"/>
                </w:tcPr>
                <w:p w14:paraId="05CAB7F3">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厌氧生物处理法+好氧生物处理法</w:t>
                  </w:r>
                </w:p>
              </w:tc>
              <w:tc>
                <w:tcPr>
                  <w:tcW w:w="1041" w:type="dxa"/>
                  <w:tcBorders>
                    <w:tl2br w:val="nil"/>
                    <w:tr2bl w:val="nil"/>
                  </w:tcBorders>
                  <w:vAlign w:val="center"/>
                </w:tcPr>
                <w:p w14:paraId="36F99801">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041" w:type="dxa"/>
                  <w:tcBorders>
                    <w:tl2br w:val="nil"/>
                    <w:tr2bl w:val="nil"/>
                  </w:tcBorders>
                  <w:vAlign w:val="center"/>
                </w:tcPr>
                <w:p w14:paraId="3554AE78">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042" w:type="dxa"/>
                  <w:tcBorders>
                    <w:tl2br w:val="nil"/>
                    <w:tr2bl w:val="nil"/>
                  </w:tcBorders>
                  <w:vAlign w:val="center"/>
                </w:tcPr>
                <w:p w14:paraId="71CA76B0">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25150</w:t>
                  </w:r>
                </w:p>
              </w:tc>
            </w:tr>
            <w:tr w14:paraId="50E639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vMerge w:val="continue"/>
                  <w:tcBorders>
                    <w:tl2br w:val="nil"/>
                    <w:tr2bl w:val="nil"/>
                  </w:tcBorders>
                  <w:vAlign w:val="center"/>
                </w:tcPr>
                <w:p w14:paraId="27407CE8">
                  <w:pPr>
                    <w:pStyle w:val="36"/>
                    <w:rPr>
                      <w:rFonts w:hint="default" w:ascii="Times New Roman" w:hAnsi="Times New Roman" w:eastAsia="宋体" w:cs="Times New Roman"/>
                      <w:color w:val="auto"/>
                      <w:sz w:val="21"/>
                      <w:szCs w:val="21"/>
                      <w:lang w:val="en-US" w:eastAsia="zh-CN"/>
                    </w:rPr>
                  </w:pPr>
                </w:p>
              </w:tc>
              <w:tc>
                <w:tcPr>
                  <w:tcW w:w="804" w:type="dxa"/>
                  <w:tcBorders>
                    <w:tl2br w:val="nil"/>
                    <w:tr2bl w:val="nil"/>
                  </w:tcBorders>
                  <w:shd w:val="clear" w:color="auto" w:fill="auto"/>
                  <w:vAlign w:val="center"/>
                </w:tcPr>
                <w:p w14:paraId="266C4B2C">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COD</w:t>
                  </w:r>
                </w:p>
              </w:tc>
              <w:tc>
                <w:tcPr>
                  <w:tcW w:w="1015" w:type="dxa"/>
                  <w:tcBorders>
                    <w:tl2br w:val="nil"/>
                    <w:tr2bl w:val="nil"/>
                  </w:tcBorders>
                  <w:shd w:val="clear" w:color="auto" w:fill="auto"/>
                  <w:vAlign w:val="center"/>
                </w:tcPr>
                <w:p w14:paraId="0AF87AAF">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克/吨-产品</w:t>
                  </w:r>
                </w:p>
              </w:tc>
              <w:tc>
                <w:tcPr>
                  <w:tcW w:w="1197" w:type="dxa"/>
                  <w:tcBorders>
                    <w:tl2br w:val="nil"/>
                    <w:tr2bl w:val="nil"/>
                  </w:tcBorders>
                  <w:vAlign w:val="center"/>
                </w:tcPr>
                <w:p w14:paraId="6CCCB12D">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26950.30</w:t>
                  </w:r>
                </w:p>
              </w:tc>
              <w:tc>
                <w:tcPr>
                  <w:tcW w:w="1152" w:type="dxa"/>
                  <w:vMerge w:val="continue"/>
                  <w:tcBorders>
                    <w:tl2br w:val="nil"/>
                    <w:tr2bl w:val="nil"/>
                  </w:tcBorders>
                  <w:vAlign w:val="center"/>
                </w:tcPr>
                <w:p w14:paraId="1AC8204F">
                  <w:pPr>
                    <w:pStyle w:val="36"/>
                    <w:rPr>
                      <w:rFonts w:hint="default" w:ascii="Times New Roman" w:hAnsi="Times New Roman" w:eastAsia="宋体" w:cs="Times New Roman"/>
                      <w:color w:val="auto"/>
                      <w:sz w:val="21"/>
                      <w:szCs w:val="21"/>
                      <w:lang w:val="en-US" w:eastAsia="zh-CN"/>
                    </w:rPr>
                  </w:pPr>
                </w:p>
              </w:tc>
              <w:tc>
                <w:tcPr>
                  <w:tcW w:w="1041" w:type="dxa"/>
                  <w:tcBorders>
                    <w:tl2br w:val="nil"/>
                    <w:tr2bl w:val="nil"/>
                  </w:tcBorders>
                  <w:shd w:val="clear" w:color="auto" w:fill="auto"/>
                  <w:vAlign w:val="center"/>
                </w:tcPr>
                <w:p w14:paraId="1DF326D3">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97.97</w:t>
                  </w:r>
                </w:p>
              </w:tc>
              <w:tc>
                <w:tcPr>
                  <w:tcW w:w="1041" w:type="dxa"/>
                  <w:tcBorders>
                    <w:tl2br w:val="nil"/>
                    <w:tr2bl w:val="nil"/>
                  </w:tcBorders>
                  <w:shd w:val="clear" w:color="auto" w:fill="auto"/>
                  <w:vAlign w:val="center"/>
                </w:tcPr>
                <w:p w14:paraId="13178888">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21.75</w:t>
                  </w:r>
                </w:p>
              </w:tc>
              <w:tc>
                <w:tcPr>
                  <w:tcW w:w="1042" w:type="dxa"/>
                  <w:tcBorders>
                    <w:tl2br w:val="nil"/>
                    <w:tr2bl w:val="nil"/>
                  </w:tcBorders>
                  <w:shd w:val="clear" w:color="auto" w:fill="auto"/>
                  <w:vAlign w:val="center"/>
                </w:tcPr>
                <w:p w14:paraId="0100619D">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0.547</w:t>
                  </w:r>
                </w:p>
              </w:tc>
            </w:tr>
            <w:tr w14:paraId="2BDF208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2" w:type="dxa"/>
                  <w:vMerge w:val="continue"/>
                  <w:tcBorders>
                    <w:tl2br w:val="nil"/>
                    <w:tr2bl w:val="nil"/>
                  </w:tcBorders>
                  <w:vAlign w:val="center"/>
                </w:tcPr>
                <w:p w14:paraId="5884F9C1">
                  <w:pPr>
                    <w:pStyle w:val="36"/>
                    <w:rPr>
                      <w:rFonts w:hint="default" w:ascii="Times New Roman" w:hAnsi="Times New Roman" w:eastAsia="宋体" w:cs="Times New Roman"/>
                      <w:color w:val="auto"/>
                      <w:sz w:val="21"/>
                      <w:szCs w:val="21"/>
                      <w:lang w:val="en-US" w:eastAsia="zh-CN"/>
                    </w:rPr>
                  </w:pPr>
                </w:p>
              </w:tc>
              <w:tc>
                <w:tcPr>
                  <w:tcW w:w="804" w:type="dxa"/>
                  <w:tcBorders>
                    <w:tl2br w:val="nil"/>
                    <w:tr2bl w:val="nil"/>
                  </w:tcBorders>
                  <w:vAlign w:val="center"/>
                </w:tcPr>
                <w:p w14:paraId="6679777F">
                  <w:pPr>
                    <w:pStyle w:val="36"/>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BOD</w:t>
                  </w:r>
                  <w:r>
                    <w:rPr>
                      <w:rFonts w:hint="default" w:ascii="Times New Roman" w:hAnsi="Times New Roman" w:cs="Times New Roman"/>
                      <w:color w:val="auto"/>
                      <w:sz w:val="21"/>
                      <w:szCs w:val="21"/>
                      <w:vertAlign w:val="subscript"/>
                      <w:lang w:val="en-US" w:eastAsia="zh-CN"/>
                    </w:rPr>
                    <w:t>5</w:t>
                  </w:r>
                </w:p>
              </w:tc>
              <w:tc>
                <w:tcPr>
                  <w:tcW w:w="1015" w:type="dxa"/>
                  <w:tcBorders>
                    <w:tl2br w:val="nil"/>
                    <w:tr2bl w:val="nil"/>
                  </w:tcBorders>
                  <w:vAlign w:val="center"/>
                </w:tcPr>
                <w:p w14:paraId="26A1B147">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197" w:type="dxa"/>
                  <w:tcBorders>
                    <w:tl2br w:val="nil"/>
                    <w:tr2bl w:val="nil"/>
                  </w:tcBorders>
                  <w:vAlign w:val="center"/>
                </w:tcPr>
                <w:p w14:paraId="1F31358E">
                  <w:pPr>
                    <w:pStyle w:val="36"/>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1800</w:t>
                  </w:r>
                  <w:r>
                    <w:rPr>
                      <w:rFonts w:hint="default" w:ascii="Times New Roman" w:hAnsi="Times New Roman" w:eastAsia="宋体" w:cs="Times New Roman"/>
                      <w:color w:val="auto"/>
                      <w:sz w:val="21"/>
                      <w:szCs w:val="21"/>
                      <w:lang w:val="en-US" w:eastAsia="zh-CN"/>
                    </w:rPr>
                    <w:t>mg/L</w:t>
                  </w:r>
                </w:p>
              </w:tc>
              <w:tc>
                <w:tcPr>
                  <w:tcW w:w="1152" w:type="dxa"/>
                  <w:vMerge w:val="continue"/>
                  <w:tcBorders>
                    <w:tl2br w:val="nil"/>
                    <w:tr2bl w:val="nil"/>
                  </w:tcBorders>
                  <w:vAlign w:val="center"/>
                </w:tcPr>
                <w:p w14:paraId="31574E7D">
                  <w:pPr>
                    <w:pStyle w:val="36"/>
                    <w:rPr>
                      <w:rFonts w:hint="default" w:ascii="Times New Roman" w:hAnsi="Times New Roman" w:eastAsia="宋体" w:cs="Times New Roman"/>
                      <w:color w:val="auto"/>
                      <w:sz w:val="21"/>
                      <w:szCs w:val="21"/>
                      <w:lang w:val="en-US" w:eastAsia="zh-CN"/>
                    </w:rPr>
                  </w:pPr>
                </w:p>
              </w:tc>
              <w:tc>
                <w:tcPr>
                  <w:tcW w:w="1041" w:type="dxa"/>
                  <w:tcBorders>
                    <w:tl2br w:val="nil"/>
                    <w:tr2bl w:val="nil"/>
                  </w:tcBorders>
                  <w:shd w:val="clear" w:color="auto" w:fill="auto"/>
                  <w:vAlign w:val="center"/>
                </w:tcPr>
                <w:p w14:paraId="205178D7">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90.54</w:t>
                  </w:r>
                </w:p>
              </w:tc>
              <w:tc>
                <w:tcPr>
                  <w:tcW w:w="1041" w:type="dxa"/>
                  <w:tcBorders>
                    <w:tl2br w:val="nil"/>
                    <w:tr2bl w:val="nil"/>
                  </w:tcBorders>
                  <w:shd w:val="clear" w:color="auto" w:fill="auto"/>
                  <w:vAlign w:val="center"/>
                </w:tcPr>
                <w:p w14:paraId="01ABC696">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170.28</w:t>
                  </w:r>
                </w:p>
              </w:tc>
              <w:tc>
                <w:tcPr>
                  <w:tcW w:w="1042" w:type="dxa"/>
                  <w:tcBorders>
                    <w:tl2br w:val="nil"/>
                    <w:tr2bl w:val="nil"/>
                  </w:tcBorders>
                  <w:shd w:val="clear" w:color="auto" w:fill="auto"/>
                  <w:vAlign w:val="center"/>
                </w:tcPr>
                <w:p w14:paraId="2FB06272">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4.282</w:t>
                  </w:r>
                </w:p>
              </w:tc>
            </w:tr>
            <w:tr w14:paraId="44C763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2" w:type="dxa"/>
                  <w:vMerge w:val="continue"/>
                  <w:tcBorders>
                    <w:tl2br w:val="nil"/>
                    <w:tr2bl w:val="nil"/>
                  </w:tcBorders>
                  <w:vAlign w:val="center"/>
                </w:tcPr>
                <w:p w14:paraId="6F499639">
                  <w:pPr>
                    <w:pStyle w:val="36"/>
                    <w:rPr>
                      <w:rFonts w:hint="default" w:ascii="Times New Roman" w:hAnsi="Times New Roman" w:eastAsia="宋体" w:cs="Times New Roman"/>
                      <w:color w:val="auto"/>
                      <w:sz w:val="21"/>
                      <w:szCs w:val="21"/>
                      <w:lang w:val="en-US" w:eastAsia="zh-CN"/>
                    </w:rPr>
                  </w:pPr>
                </w:p>
              </w:tc>
              <w:tc>
                <w:tcPr>
                  <w:tcW w:w="804" w:type="dxa"/>
                  <w:tcBorders>
                    <w:tl2br w:val="nil"/>
                    <w:tr2bl w:val="nil"/>
                  </w:tcBorders>
                  <w:vAlign w:val="center"/>
                </w:tcPr>
                <w:p w14:paraId="54455D57">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氨氮</w:t>
                  </w:r>
                </w:p>
              </w:tc>
              <w:tc>
                <w:tcPr>
                  <w:tcW w:w="1015" w:type="dxa"/>
                  <w:tcBorders>
                    <w:tl2br w:val="nil"/>
                    <w:tr2bl w:val="nil"/>
                  </w:tcBorders>
                  <w:vAlign w:val="center"/>
                </w:tcPr>
                <w:p w14:paraId="40CF69EC">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克/吨-产品</w:t>
                  </w:r>
                </w:p>
              </w:tc>
              <w:tc>
                <w:tcPr>
                  <w:tcW w:w="1197" w:type="dxa"/>
                  <w:tcBorders>
                    <w:tl2br w:val="nil"/>
                    <w:tr2bl w:val="nil"/>
                  </w:tcBorders>
                  <w:vAlign w:val="center"/>
                </w:tcPr>
                <w:p w14:paraId="27FF7B0B">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308.90</w:t>
                  </w:r>
                </w:p>
              </w:tc>
              <w:tc>
                <w:tcPr>
                  <w:tcW w:w="1152" w:type="dxa"/>
                  <w:vMerge w:val="continue"/>
                  <w:tcBorders>
                    <w:tl2br w:val="nil"/>
                    <w:tr2bl w:val="nil"/>
                  </w:tcBorders>
                  <w:vAlign w:val="center"/>
                </w:tcPr>
                <w:p w14:paraId="7DC2B72A">
                  <w:pPr>
                    <w:pStyle w:val="36"/>
                    <w:rPr>
                      <w:rFonts w:hint="default" w:ascii="Times New Roman" w:hAnsi="Times New Roman" w:eastAsia="宋体" w:cs="Times New Roman"/>
                      <w:color w:val="auto"/>
                      <w:sz w:val="21"/>
                      <w:szCs w:val="21"/>
                      <w:lang w:val="en-US" w:eastAsia="zh-CN"/>
                    </w:rPr>
                  </w:pPr>
                </w:p>
              </w:tc>
              <w:tc>
                <w:tcPr>
                  <w:tcW w:w="1041" w:type="dxa"/>
                  <w:tcBorders>
                    <w:tl2br w:val="nil"/>
                    <w:tr2bl w:val="nil"/>
                  </w:tcBorders>
                  <w:shd w:val="clear" w:color="auto" w:fill="auto"/>
                  <w:vAlign w:val="center"/>
                </w:tcPr>
                <w:p w14:paraId="4C95E963">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89.20</w:t>
                  </w:r>
                </w:p>
              </w:tc>
              <w:tc>
                <w:tcPr>
                  <w:tcW w:w="1041" w:type="dxa"/>
                  <w:tcBorders>
                    <w:tl2br w:val="nil"/>
                    <w:tr2bl w:val="nil"/>
                  </w:tcBorders>
                  <w:shd w:val="clear" w:color="auto" w:fill="auto"/>
                  <w:vAlign w:val="center"/>
                </w:tcPr>
                <w:p w14:paraId="230F40E6">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1.31</w:t>
                  </w:r>
                </w:p>
              </w:tc>
              <w:tc>
                <w:tcPr>
                  <w:tcW w:w="1042" w:type="dxa"/>
                  <w:tcBorders>
                    <w:tl2br w:val="nil"/>
                    <w:tr2bl w:val="nil"/>
                  </w:tcBorders>
                  <w:shd w:val="clear" w:color="auto" w:fill="auto"/>
                  <w:vAlign w:val="center"/>
                </w:tcPr>
                <w:p w14:paraId="70C2C437">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0.033</w:t>
                  </w:r>
                </w:p>
              </w:tc>
            </w:tr>
            <w:tr w14:paraId="26B433F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92" w:type="dxa"/>
                  <w:vMerge w:val="continue"/>
                  <w:tcBorders>
                    <w:tl2br w:val="nil"/>
                    <w:tr2bl w:val="nil"/>
                  </w:tcBorders>
                  <w:vAlign w:val="center"/>
                </w:tcPr>
                <w:p w14:paraId="36E3599C">
                  <w:pPr>
                    <w:pStyle w:val="36"/>
                    <w:rPr>
                      <w:rFonts w:hint="default" w:ascii="Times New Roman" w:hAnsi="Times New Roman" w:eastAsia="宋体" w:cs="Times New Roman"/>
                      <w:color w:val="auto"/>
                      <w:sz w:val="21"/>
                      <w:szCs w:val="21"/>
                      <w:lang w:val="en-US" w:eastAsia="zh-CN"/>
                    </w:rPr>
                  </w:pPr>
                </w:p>
              </w:tc>
              <w:tc>
                <w:tcPr>
                  <w:tcW w:w="804" w:type="dxa"/>
                  <w:tcBorders>
                    <w:tl2br w:val="nil"/>
                    <w:tr2bl w:val="nil"/>
                  </w:tcBorders>
                  <w:vAlign w:val="center"/>
                </w:tcPr>
                <w:p w14:paraId="3C839177">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总氮</w:t>
                  </w:r>
                </w:p>
              </w:tc>
              <w:tc>
                <w:tcPr>
                  <w:tcW w:w="1015" w:type="dxa"/>
                  <w:tcBorders>
                    <w:tl2br w:val="nil"/>
                    <w:tr2bl w:val="nil"/>
                  </w:tcBorders>
                  <w:vAlign w:val="center"/>
                </w:tcPr>
                <w:p w14:paraId="579CD07B">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克/吨-产品</w:t>
                  </w:r>
                </w:p>
              </w:tc>
              <w:tc>
                <w:tcPr>
                  <w:tcW w:w="1197" w:type="dxa"/>
                  <w:tcBorders>
                    <w:tl2br w:val="nil"/>
                    <w:tr2bl w:val="nil"/>
                  </w:tcBorders>
                  <w:vAlign w:val="center"/>
                </w:tcPr>
                <w:p w14:paraId="6A597DBF">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540.85</w:t>
                  </w:r>
                </w:p>
              </w:tc>
              <w:tc>
                <w:tcPr>
                  <w:tcW w:w="1152" w:type="dxa"/>
                  <w:vMerge w:val="continue"/>
                  <w:tcBorders>
                    <w:tl2br w:val="nil"/>
                    <w:tr2bl w:val="nil"/>
                  </w:tcBorders>
                  <w:vAlign w:val="center"/>
                </w:tcPr>
                <w:p w14:paraId="70084061">
                  <w:pPr>
                    <w:pStyle w:val="36"/>
                    <w:rPr>
                      <w:rFonts w:hint="default" w:ascii="Times New Roman" w:hAnsi="Times New Roman" w:eastAsia="宋体" w:cs="Times New Roman"/>
                      <w:color w:val="auto"/>
                      <w:sz w:val="21"/>
                      <w:szCs w:val="21"/>
                      <w:lang w:val="en-US" w:eastAsia="zh-CN"/>
                    </w:rPr>
                  </w:pPr>
                </w:p>
              </w:tc>
              <w:tc>
                <w:tcPr>
                  <w:tcW w:w="1041" w:type="dxa"/>
                  <w:tcBorders>
                    <w:tl2br w:val="nil"/>
                    <w:tr2bl w:val="nil"/>
                  </w:tcBorders>
                  <w:shd w:val="clear" w:color="auto" w:fill="auto"/>
                  <w:vAlign w:val="center"/>
                </w:tcPr>
                <w:p w14:paraId="31C184A3">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85.50</w:t>
                  </w:r>
                </w:p>
              </w:tc>
              <w:tc>
                <w:tcPr>
                  <w:tcW w:w="1041" w:type="dxa"/>
                  <w:tcBorders>
                    <w:tl2br w:val="nil"/>
                    <w:tr2bl w:val="nil"/>
                  </w:tcBorders>
                  <w:shd w:val="clear" w:color="auto" w:fill="auto"/>
                  <w:vAlign w:val="center"/>
                </w:tcPr>
                <w:p w14:paraId="394BCBB6">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3.10</w:t>
                  </w:r>
                </w:p>
              </w:tc>
              <w:tc>
                <w:tcPr>
                  <w:tcW w:w="1042" w:type="dxa"/>
                  <w:tcBorders>
                    <w:tl2br w:val="nil"/>
                    <w:tr2bl w:val="nil"/>
                  </w:tcBorders>
                  <w:shd w:val="clear" w:color="auto" w:fill="auto"/>
                  <w:vAlign w:val="center"/>
                </w:tcPr>
                <w:p w14:paraId="14496493">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0.078</w:t>
                  </w:r>
                </w:p>
              </w:tc>
            </w:tr>
          </w:tbl>
          <w:p w14:paraId="4F84C1D7">
            <w:pPr>
              <w:keepNext w:val="0"/>
              <w:keepLines w:val="0"/>
              <w:pageBreakBefore w:val="0"/>
              <w:widowControl w:val="0"/>
              <w:tabs>
                <w:tab w:val="left" w:pos="3485"/>
                <w:tab w:val="left" w:pos="7063"/>
              </w:tabs>
              <w:kinsoku/>
              <w:wordWrap/>
              <w:overflowPunct/>
              <w:topLinePunct w:val="0"/>
              <w:autoSpaceDE/>
              <w:autoSpaceDN/>
              <w:bidi w:val="0"/>
              <w:adjustRightInd/>
              <w:snapToGrid/>
              <w:spacing w:before="0" w:line="360" w:lineRule="auto"/>
              <w:ind w:right="0"/>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清洗废水参照《</w:t>
            </w:r>
            <w:bookmarkStart w:id="9" w:name="OLE_LINK3"/>
            <w:r>
              <w:rPr>
                <w:rFonts w:hint="default" w:ascii="Times New Roman" w:hAnsi="Times New Roman" w:cs="Times New Roman"/>
                <w:color w:val="auto"/>
                <w:sz w:val="21"/>
                <w:szCs w:val="21"/>
                <w:lang w:val="en-US" w:eastAsia="zh-CN"/>
              </w:rPr>
              <w:t>柯坪县驼奶加工基地基础设施建设项目</w:t>
            </w:r>
            <w:bookmarkEnd w:id="9"/>
            <w:r>
              <w:rPr>
                <w:rFonts w:hint="default" w:ascii="Times New Roman" w:hAnsi="Times New Roman" w:cs="Times New Roman"/>
                <w:color w:val="auto"/>
                <w:sz w:val="21"/>
                <w:szCs w:val="21"/>
                <w:lang w:val="en-US" w:eastAsia="zh-CN"/>
              </w:rPr>
              <w:t>》污染物产生浓度</w:t>
            </w:r>
            <w:r>
              <w:rPr>
                <w:rFonts w:hint="eastAsia" w:cs="Times New Roman"/>
                <w:color w:val="auto"/>
                <w:sz w:val="21"/>
                <w:szCs w:val="21"/>
                <w:lang w:val="en-US" w:eastAsia="zh-CN"/>
              </w:rPr>
              <w:t>，该项目生产规模为年产乳粉1000吨，液态奶2000吨，工艺相同</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本项目年产乳粉1000吨，液态奶1500吨</w:t>
            </w:r>
            <w:r>
              <w:rPr>
                <w:rFonts w:hint="default" w:ascii="Times New Roman" w:hAnsi="Times New Roman" w:cs="Times New Roman"/>
                <w:color w:val="auto"/>
                <w:sz w:val="21"/>
                <w:szCs w:val="21"/>
                <w:lang w:val="en-US" w:eastAsia="zh-CN"/>
              </w:rPr>
              <w:t>项目</w:t>
            </w:r>
            <w:r>
              <w:rPr>
                <w:rFonts w:hint="eastAsia" w:cs="Times New Roman"/>
                <w:color w:val="auto"/>
                <w:sz w:val="21"/>
                <w:szCs w:val="21"/>
                <w:lang w:val="en-US" w:eastAsia="zh-CN"/>
              </w:rPr>
              <w:t>，</w:t>
            </w:r>
            <w:r>
              <w:rPr>
                <w:rFonts w:hint="default" w:ascii="Times New Roman" w:hAnsi="Times New Roman" w:cs="Times New Roman"/>
                <w:color w:val="auto"/>
                <w:sz w:val="21"/>
                <w:szCs w:val="21"/>
                <w:lang w:val="en-US" w:eastAsia="zh-CN"/>
              </w:rPr>
              <w:t>清洗废水产排系数表见表4-</w:t>
            </w:r>
            <w:r>
              <w:rPr>
                <w:rFonts w:hint="eastAsia" w:cs="Times New Roman"/>
                <w:color w:val="auto"/>
                <w:sz w:val="21"/>
                <w:szCs w:val="21"/>
                <w:lang w:val="en-US" w:eastAsia="zh-CN"/>
              </w:rPr>
              <w:t>7</w:t>
            </w:r>
            <w:r>
              <w:rPr>
                <w:rFonts w:hint="default" w:ascii="Times New Roman" w:hAnsi="Times New Roman" w:cs="Times New Roman"/>
                <w:color w:val="auto"/>
                <w:sz w:val="21"/>
                <w:szCs w:val="21"/>
                <w:lang w:val="en-US" w:eastAsia="zh-CN"/>
              </w:rPr>
              <w:t>。</w:t>
            </w:r>
          </w:p>
          <w:p w14:paraId="62DC2ECC">
            <w:pPr>
              <w:tabs>
                <w:tab w:val="left" w:pos="3485"/>
                <w:tab w:val="left" w:pos="7063"/>
              </w:tabs>
              <w:spacing w:before="0" w:after="3" w:line="266" w:lineRule="exact"/>
              <w:ind w:left="1472" w:right="0" w:firstLine="0"/>
              <w:jc w:val="left"/>
              <w:rPr>
                <w:rFonts w:hint="default" w:ascii="Times New Roman" w:hAnsi="Times New Roman" w:eastAsia="Times New Roman" w:cs="Times New Roman"/>
                <w:b/>
                <w:color w:val="auto"/>
                <w:sz w:val="21"/>
              </w:rPr>
            </w:pPr>
            <w:r>
              <w:rPr>
                <w:rFonts w:hint="default" w:ascii="Times New Roman" w:hAnsi="Times New Roman" w:cs="Times New Roman"/>
                <w:b/>
                <w:color w:val="auto"/>
                <w:sz w:val="21"/>
              </w:rPr>
              <w:t>表</w:t>
            </w:r>
            <w:r>
              <w:rPr>
                <w:rFonts w:hint="default" w:ascii="Times New Roman" w:hAnsi="Times New Roman" w:cs="Times New Roman"/>
                <w:b/>
                <w:color w:val="auto"/>
                <w:spacing w:val="-53"/>
                <w:sz w:val="21"/>
              </w:rPr>
              <w:t xml:space="preserve"> </w:t>
            </w:r>
            <w:r>
              <w:rPr>
                <w:rFonts w:hint="default" w:ascii="Times New Roman" w:hAnsi="Times New Roman" w:eastAsia="Times New Roman" w:cs="Times New Roman"/>
                <w:b/>
                <w:color w:val="auto"/>
                <w:sz w:val="21"/>
              </w:rPr>
              <w:t>4-</w:t>
            </w:r>
            <w:r>
              <w:rPr>
                <w:rFonts w:hint="eastAsia" w:cs="Times New Roman"/>
                <w:b/>
                <w:color w:val="auto"/>
                <w:sz w:val="21"/>
                <w:lang w:val="en-US" w:eastAsia="zh-CN"/>
              </w:rPr>
              <w:t>7</w:t>
            </w:r>
            <w:r>
              <w:rPr>
                <w:rFonts w:hint="default" w:ascii="Times New Roman" w:hAnsi="Times New Roman" w:eastAsia="Times New Roman" w:cs="Times New Roman"/>
                <w:b/>
                <w:color w:val="auto"/>
                <w:sz w:val="21"/>
              </w:rPr>
              <w:tab/>
            </w:r>
            <w:r>
              <w:rPr>
                <w:rFonts w:hint="default" w:ascii="Times New Roman" w:hAnsi="Times New Roman" w:cs="Times New Roman"/>
                <w:b/>
                <w:color w:val="auto"/>
                <w:sz w:val="21"/>
                <w:lang w:val="en-US" w:eastAsia="zh-CN"/>
              </w:rPr>
              <w:t>清洗废水产排</w:t>
            </w:r>
            <w:r>
              <w:rPr>
                <w:rFonts w:hint="default" w:ascii="Times New Roman" w:hAnsi="Times New Roman" w:eastAsia="宋体" w:cs="Times New Roman"/>
                <w:b/>
                <w:color w:val="auto"/>
                <w:sz w:val="21"/>
                <w:lang w:val="en-US" w:eastAsia="zh-CN"/>
              </w:rPr>
              <w:t>系数表</w:t>
            </w:r>
            <w:r>
              <w:rPr>
                <w:rFonts w:hint="default" w:ascii="Times New Roman" w:hAnsi="Times New Roman" w:cs="Times New Roman"/>
                <w:b/>
                <w:bCs w:val="0"/>
                <w:color w:val="auto"/>
                <w:sz w:val="21"/>
                <w:lang w:val="en-US" w:eastAsia="zh-CN"/>
              </w:rPr>
              <w:t xml:space="preserve">    </w:t>
            </w:r>
            <w:r>
              <w:rPr>
                <w:rFonts w:hint="default" w:ascii="Times New Roman" w:hAnsi="Times New Roman" w:cs="Times New Roman"/>
                <w:b/>
                <w:color w:val="auto"/>
                <w:sz w:val="21"/>
              </w:rPr>
              <w:tab/>
            </w:r>
          </w:p>
          <w:tbl>
            <w:tblPr>
              <w:tblStyle w:val="20"/>
              <w:tblW w:w="8286"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69"/>
              <w:gridCol w:w="785"/>
              <w:gridCol w:w="1176"/>
              <w:gridCol w:w="1176"/>
              <w:gridCol w:w="1125"/>
              <w:gridCol w:w="1017"/>
              <w:gridCol w:w="1018"/>
              <w:gridCol w:w="1020"/>
            </w:tblGrid>
            <w:tr w14:paraId="271B407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69" w:type="dxa"/>
                  <w:tcBorders>
                    <w:tl2br w:val="nil"/>
                    <w:tr2bl w:val="nil"/>
                  </w:tcBorders>
                  <w:shd w:val="clear" w:color="auto" w:fill="auto"/>
                  <w:vAlign w:val="center"/>
                </w:tcPr>
                <w:p w14:paraId="24F1EBCA">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废水名称</w:t>
                  </w:r>
                </w:p>
              </w:tc>
              <w:tc>
                <w:tcPr>
                  <w:tcW w:w="785" w:type="dxa"/>
                  <w:tcBorders>
                    <w:tl2br w:val="nil"/>
                    <w:tr2bl w:val="nil"/>
                  </w:tcBorders>
                  <w:shd w:val="clear" w:color="auto" w:fill="auto"/>
                  <w:vAlign w:val="center"/>
                </w:tcPr>
                <w:p w14:paraId="7169EE2B">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3"/>
                      <w:szCs w:val="24"/>
                    </w:rPr>
                    <w:t>污染物指标</w:t>
                  </w:r>
                </w:p>
              </w:tc>
              <w:tc>
                <w:tcPr>
                  <w:tcW w:w="1176" w:type="dxa"/>
                  <w:tcBorders>
                    <w:tl2br w:val="nil"/>
                    <w:tr2bl w:val="nil"/>
                  </w:tcBorders>
                  <w:vAlign w:val="center"/>
                </w:tcPr>
                <w:p w14:paraId="250EC9B7">
                  <w:pPr>
                    <w:pStyle w:val="36"/>
                    <w:ind w:firstLine="0" w:firstLineChars="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类比</w:t>
                  </w:r>
                  <w:r>
                    <w:rPr>
                      <w:rFonts w:hint="default" w:ascii="Times New Roman" w:hAnsi="Times New Roman" w:cs="Times New Roman"/>
                      <w:color w:val="auto"/>
                      <w:sz w:val="21"/>
                      <w:szCs w:val="21"/>
                      <w:lang w:val="en-US" w:eastAsia="zh-CN"/>
                    </w:rPr>
                    <w:t>产生</w:t>
                  </w:r>
                  <w:r>
                    <w:rPr>
                      <w:rFonts w:hint="default" w:ascii="Times New Roman" w:hAnsi="Times New Roman" w:eastAsia="宋体" w:cs="Times New Roman"/>
                      <w:color w:val="auto"/>
                      <w:sz w:val="21"/>
                      <w:szCs w:val="21"/>
                      <w:lang w:val="en-US" w:eastAsia="zh-CN"/>
                    </w:rPr>
                    <w:t>浓度mg/L</w:t>
                  </w:r>
                </w:p>
              </w:tc>
              <w:tc>
                <w:tcPr>
                  <w:tcW w:w="1176" w:type="dxa"/>
                  <w:tcBorders>
                    <w:tl2br w:val="nil"/>
                    <w:tr2bl w:val="nil"/>
                  </w:tcBorders>
                  <w:vAlign w:val="center"/>
                </w:tcPr>
                <w:p w14:paraId="77E6F7A5">
                  <w:pPr>
                    <w:pStyle w:val="36"/>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产生</w:t>
                  </w:r>
                  <w:r>
                    <w:rPr>
                      <w:rFonts w:hint="default" w:ascii="Times New Roman" w:hAnsi="Times New Roman" w:eastAsia="宋体" w:cs="Times New Roman"/>
                      <w:color w:val="auto"/>
                      <w:sz w:val="21"/>
                      <w:szCs w:val="21"/>
                      <w:lang w:val="en-US" w:eastAsia="zh-CN"/>
                    </w:rPr>
                    <w:t>量</w:t>
                  </w:r>
                </w:p>
                <w:p w14:paraId="6C65B2F5">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c>
                <w:tcPr>
                  <w:tcW w:w="1125" w:type="dxa"/>
                  <w:tcBorders>
                    <w:tl2br w:val="nil"/>
                    <w:tr2bl w:val="nil"/>
                  </w:tcBorders>
                  <w:vAlign w:val="center"/>
                </w:tcPr>
                <w:p w14:paraId="30A2EE63">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末端治理技术名称</w:t>
                  </w:r>
                </w:p>
              </w:tc>
              <w:tc>
                <w:tcPr>
                  <w:tcW w:w="1017" w:type="dxa"/>
                  <w:tcBorders>
                    <w:tl2br w:val="nil"/>
                    <w:tr2bl w:val="nil"/>
                  </w:tcBorders>
                  <w:vAlign w:val="center"/>
                </w:tcPr>
                <w:p w14:paraId="65608EB7">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去除效率</w:t>
                  </w:r>
                </w:p>
              </w:tc>
              <w:tc>
                <w:tcPr>
                  <w:tcW w:w="1018" w:type="dxa"/>
                  <w:tcBorders>
                    <w:tl2br w:val="nil"/>
                    <w:tr2bl w:val="nil"/>
                  </w:tcBorders>
                  <w:vAlign w:val="center"/>
                </w:tcPr>
                <w:p w14:paraId="65602F61">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排放浓度mg/L</w:t>
                  </w:r>
                </w:p>
              </w:tc>
              <w:tc>
                <w:tcPr>
                  <w:tcW w:w="1020" w:type="dxa"/>
                  <w:tcBorders>
                    <w:tl2br w:val="nil"/>
                    <w:tr2bl w:val="nil"/>
                  </w:tcBorders>
                  <w:vAlign w:val="center"/>
                </w:tcPr>
                <w:p w14:paraId="33841BB1">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排放量</w:t>
                  </w:r>
                </w:p>
                <w:p w14:paraId="1F20B046">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t/a</w:t>
                  </w:r>
                </w:p>
              </w:tc>
            </w:tr>
            <w:tr w14:paraId="705434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58" w:hRule="atLeast"/>
                <w:jc w:val="center"/>
              </w:trPr>
              <w:tc>
                <w:tcPr>
                  <w:tcW w:w="969" w:type="dxa"/>
                  <w:vMerge w:val="restart"/>
                  <w:tcBorders>
                    <w:tl2br w:val="nil"/>
                    <w:tr2bl w:val="nil"/>
                  </w:tcBorders>
                  <w:vAlign w:val="center"/>
                </w:tcPr>
                <w:p w14:paraId="0AF10680">
                  <w:pPr>
                    <w:pStyle w:val="36"/>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清洗废水</w:t>
                  </w:r>
                </w:p>
              </w:tc>
              <w:tc>
                <w:tcPr>
                  <w:tcW w:w="785" w:type="dxa"/>
                  <w:tcBorders>
                    <w:tl2br w:val="nil"/>
                    <w:tr2bl w:val="nil"/>
                  </w:tcBorders>
                  <w:vAlign w:val="center"/>
                </w:tcPr>
                <w:p w14:paraId="446DB6ED">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工业废水量</w:t>
                  </w:r>
                </w:p>
              </w:tc>
              <w:tc>
                <w:tcPr>
                  <w:tcW w:w="1176" w:type="dxa"/>
                  <w:tcBorders>
                    <w:tl2br w:val="nil"/>
                    <w:tr2bl w:val="nil"/>
                  </w:tcBorders>
                  <w:vAlign w:val="center"/>
                </w:tcPr>
                <w:p w14:paraId="73911264">
                  <w:pPr>
                    <w:pStyle w:val="36"/>
                    <w:ind w:firstLine="0" w:firstLineChars="0"/>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176" w:type="dxa"/>
                  <w:tcBorders>
                    <w:tl2br w:val="nil"/>
                    <w:tr2bl w:val="nil"/>
                  </w:tcBorders>
                  <w:vAlign w:val="center"/>
                </w:tcPr>
                <w:p w14:paraId="608D4666">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1500</w:t>
                  </w:r>
                </w:p>
              </w:tc>
              <w:tc>
                <w:tcPr>
                  <w:tcW w:w="1125" w:type="dxa"/>
                  <w:vMerge w:val="restart"/>
                  <w:tcBorders>
                    <w:tl2br w:val="nil"/>
                    <w:tr2bl w:val="nil"/>
                  </w:tcBorders>
                  <w:vAlign w:val="center"/>
                </w:tcPr>
                <w:p w14:paraId="681BEE42">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厌氧生物处理法+好氧生物处理法</w:t>
                  </w:r>
                </w:p>
              </w:tc>
              <w:tc>
                <w:tcPr>
                  <w:tcW w:w="1017" w:type="dxa"/>
                  <w:tcBorders>
                    <w:tl2br w:val="nil"/>
                    <w:tr2bl w:val="nil"/>
                  </w:tcBorders>
                  <w:vAlign w:val="center"/>
                </w:tcPr>
                <w:p w14:paraId="43089849">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018" w:type="dxa"/>
                  <w:tcBorders>
                    <w:tl2br w:val="nil"/>
                    <w:tr2bl w:val="nil"/>
                  </w:tcBorders>
                  <w:vAlign w:val="center"/>
                </w:tcPr>
                <w:p w14:paraId="09BD8865">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020" w:type="dxa"/>
                  <w:tcBorders>
                    <w:tl2br w:val="nil"/>
                    <w:tr2bl w:val="nil"/>
                  </w:tcBorders>
                  <w:vAlign w:val="center"/>
                </w:tcPr>
                <w:p w14:paraId="37B88D8A">
                  <w:pPr>
                    <w:pStyle w:val="36"/>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1500</w:t>
                  </w:r>
                </w:p>
              </w:tc>
            </w:tr>
            <w:tr w14:paraId="7232422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9" w:type="dxa"/>
                  <w:vMerge w:val="continue"/>
                  <w:tcBorders>
                    <w:tl2br w:val="nil"/>
                    <w:tr2bl w:val="nil"/>
                  </w:tcBorders>
                  <w:vAlign w:val="center"/>
                </w:tcPr>
                <w:p w14:paraId="44F80E54">
                  <w:pPr>
                    <w:pStyle w:val="36"/>
                    <w:rPr>
                      <w:rFonts w:hint="default" w:ascii="Times New Roman" w:hAnsi="Times New Roman" w:eastAsia="宋体" w:cs="Times New Roman"/>
                      <w:color w:val="auto"/>
                      <w:sz w:val="21"/>
                      <w:szCs w:val="21"/>
                      <w:lang w:val="en-US" w:eastAsia="zh-CN"/>
                    </w:rPr>
                  </w:pPr>
                </w:p>
              </w:tc>
              <w:tc>
                <w:tcPr>
                  <w:tcW w:w="785" w:type="dxa"/>
                  <w:tcBorders>
                    <w:tl2br w:val="nil"/>
                    <w:tr2bl w:val="nil"/>
                  </w:tcBorders>
                  <w:shd w:val="clear" w:color="auto" w:fill="auto"/>
                  <w:vAlign w:val="center"/>
                </w:tcPr>
                <w:p w14:paraId="540E8FA6">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COD</w:t>
                  </w:r>
                </w:p>
              </w:tc>
              <w:tc>
                <w:tcPr>
                  <w:tcW w:w="1176" w:type="dxa"/>
                  <w:tcBorders>
                    <w:tl2br w:val="nil"/>
                    <w:tr2bl w:val="nil"/>
                  </w:tcBorders>
                  <w:vAlign w:val="center"/>
                </w:tcPr>
                <w:p w14:paraId="214DB4F8">
                  <w:pPr>
                    <w:pStyle w:val="36"/>
                    <w:ind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3200</w:t>
                  </w:r>
                </w:p>
              </w:tc>
              <w:tc>
                <w:tcPr>
                  <w:tcW w:w="1176" w:type="dxa"/>
                  <w:tcBorders>
                    <w:tl2br w:val="nil"/>
                    <w:tr2bl w:val="nil"/>
                  </w:tcBorders>
                  <w:vAlign w:val="center"/>
                </w:tcPr>
                <w:p w14:paraId="41E0320F">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4.8</w:t>
                  </w:r>
                </w:p>
              </w:tc>
              <w:tc>
                <w:tcPr>
                  <w:tcW w:w="1125" w:type="dxa"/>
                  <w:vMerge w:val="continue"/>
                  <w:tcBorders>
                    <w:tl2br w:val="nil"/>
                    <w:tr2bl w:val="nil"/>
                  </w:tcBorders>
                  <w:vAlign w:val="center"/>
                </w:tcPr>
                <w:p w14:paraId="31CBA610">
                  <w:pPr>
                    <w:pStyle w:val="36"/>
                    <w:rPr>
                      <w:rFonts w:hint="default" w:ascii="Times New Roman" w:hAnsi="Times New Roman" w:eastAsia="宋体" w:cs="Times New Roman"/>
                      <w:color w:val="auto"/>
                      <w:sz w:val="21"/>
                      <w:szCs w:val="21"/>
                      <w:lang w:val="en-US" w:eastAsia="zh-CN"/>
                    </w:rPr>
                  </w:pPr>
                </w:p>
              </w:tc>
              <w:tc>
                <w:tcPr>
                  <w:tcW w:w="1017" w:type="dxa"/>
                  <w:tcBorders>
                    <w:tl2br w:val="nil"/>
                    <w:tr2bl w:val="nil"/>
                  </w:tcBorders>
                  <w:shd w:val="clear" w:color="auto" w:fill="auto"/>
                  <w:vAlign w:val="center"/>
                </w:tcPr>
                <w:p w14:paraId="2154A088">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97.97</w:t>
                  </w:r>
                </w:p>
              </w:tc>
              <w:tc>
                <w:tcPr>
                  <w:tcW w:w="1018" w:type="dxa"/>
                  <w:tcBorders>
                    <w:tl2br w:val="nil"/>
                    <w:tr2bl w:val="nil"/>
                  </w:tcBorders>
                  <w:shd w:val="clear" w:color="auto" w:fill="auto"/>
                  <w:vAlign w:val="center"/>
                </w:tcPr>
                <w:p w14:paraId="3DE4CF57">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64.96</w:t>
                  </w:r>
                </w:p>
              </w:tc>
              <w:tc>
                <w:tcPr>
                  <w:tcW w:w="1020" w:type="dxa"/>
                  <w:tcBorders>
                    <w:tl2br w:val="nil"/>
                    <w:tr2bl w:val="nil"/>
                  </w:tcBorders>
                  <w:shd w:val="clear" w:color="auto" w:fill="auto"/>
                  <w:vAlign w:val="center"/>
                </w:tcPr>
                <w:p w14:paraId="7AE07A04">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default" w:ascii="Times New Roman" w:hAnsi="Times New Roman" w:cs="Times New Roman"/>
                      <w:color w:val="auto"/>
                      <w:sz w:val="21"/>
                      <w:szCs w:val="21"/>
                      <w:lang w:val="en-US" w:eastAsia="zh-CN"/>
                    </w:rPr>
                    <w:t>097</w:t>
                  </w:r>
                </w:p>
              </w:tc>
            </w:tr>
            <w:tr w14:paraId="0DF7F3B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69" w:type="dxa"/>
                  <w:vMerge w:val="continue"/>
                  <w:tcBorders>
                    <w:tl2br w:val="nil"/>
                    <w:tr2bl w:val="nil"/>
                  </w:tcBorders>
                  <w:vAlign w:val="center"/>
                </w:tcPr>
                <w:p w14:paraId="0B623497">
                  <w:pPr>
                    <w:pStyle w:val="36"/>
                    <w:rPr>
                      <w:rFonts w:hint="default" w:ascii="Times New Roman" w:hAnsi="Times New Roman" w:eastAsia="宋体" w:cs="Times New Roman"/>
                      <w:color w:val="auto"/>
                      <w:sz w:val="21"/>
                      <w:szCs w:val="21"/>
                      <w:lang w:val="en-US" w:eastAsia="zh-CN"/>
                    </w:rPr>
                  </w:pPr>
                </w:p>
              </w:tc>
              <w:tc>
                <w:tcPr>
                  <w:tcW w:w="785" w:type="dxa"/>
                  <w:tcBorders>
                    <w:tl2br w:val="nil"/>
                    <w:tr2bl w:val="nil"/>
                  </w:tcBorders>
                  <w:vAlign w:val="center"/>
                </w:tcPr>
                <w:p w14:paraId="4197A395">
                  <w:pPr>
                    <w:pStyle w:val="36"/>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BOD</w:t>
                  </w:r>
                  <w:r>
                    <w:rPr>
                      <w:rFonts w:hint="default" w:ascii="Times New Roman" w:hAnsi="Times New Roman" w:cs="Times New Roman"/>
                      <w:color w:val="auto"/>
                      <w:sz w:val="21"/>
                      <w:szCs w:val="21"/>
                      <w:vertAlign w:val="subscript"/>
                      <w:lang w:val="en-US" w:eastAsia="zh-CN"/>
                    </w:rPr>
                    <w:t>5</w:t>
                  </w:r>
                </w:p>
              </w:tc>
              <w:tc>
                <w:tcPr>
                  <w:tcW w:w="1176" w:type="dxa"/>
                  <w:tcBorders>
                    <w:tl2br w:val="nil"/>
                    <w:tr2bl w:val="nil"/>
                  </w:tcBorders>
                  <w:vAlign w:val="center"/>
                </w:tcPr>
                <w:p w14:paraId="5E08DCDA">
                  <w:pPr>
                    <w:pStyle w:val="36"/>
                    <w:ind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1800</w:t>
                  </w:r>
                </w:p>
              </w:tc>
              <w:tc>
                <w:tcPr>
                  <w:tcW w:w="1176" w:type="dxa"/>
                  <w:tcBorders>
                    <w:tl2br w:val="nil"/>
                    <w:tr2bl w:val="nil"/>
                  </w:tcBorders>
                  <w:vAlign w:val="center"/>
                </w:tcPr>
                <w:p w14:paraId="221CFF5C">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2.7</w:t>
                  </w:r>
                </w:p>
              </w:tc>
              <w:tc>
                <w:tcPr>
                  <w:tcW w:w="1125" w:type="dxa"/>
                  <w:vMerge w:val="continue"/>
                  <w:tcBorders>
                    <w:tl2br w:val="nil"/>
                    <w:tr2bl w:val="nil"/>
                  </w:tcBorders>
                  <w:vAlign w:val="center"/>
                </w:tcPr>
                <w:p w14:paraId="114ABAEB">
                  <w:pPr>
                    <w:pStyle w:val="36"/>
                    <w:rPr>
                      <w:rFonts w:hint="default" w:ascii="Times New Roman" w:hAnsi="Times New Roman" w:eastAsia="宋体" w:cs="Times New Roman"/>
                      <w:color w:val="auto"/>
                      <w:sz w:val="21"/>
                      <w:szCs w:val="21"/>
                      <w:lang w:val="en-US" w:eastAsia="zh-CN"/>
                    </w:rPr>
                  </w:pPr>
                </w:p>
              </w:tc>
              <w:tc>
                <w:tcPr>
                  <w:tcW w:w="1017" w:type="dxa"/>
                  <w:tcBorders>
                    <w:tl2br w:val="nil"/>
                    <w:tr2bl w:val="nil"/>
                  </w:tcBorders>
                  <w:shd w:val="clear" w:color="auto" w:fill="auto"/>
                  <w:vAlign w:val="center"/>
                </w:tcPr>
                <w:p w14:paraId="6CCC5CCE">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90.54</w:t>
                  </w:r>
                </w:p>
              </w:tc>
              <w:tc>
                <w:tcPr>
                  <w:tcW w:w="1018" w:type="dxa"/>
                  <w:tcBorders>
                    <w:tl2br w:val="nil"/>
                    <w:tr2bl w:val="nil"/>
                  </w:tcBorders>
                  <w:shd w:val="clear" w:color="auto" w:fill="auto"/>
                  <w:vAlign w:val="center"/>
                </w:tcPr>
                <w:p w14:paraId="6F41AB62">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170.28</w:t>
                  </w:r>
                </w:p>
              </w:tc>
              <w:tc>
                <w:tcPr>
                  <w:tcW w:w="1020" w:type="dxa"/>
                  <w:tcBorders>
                    <w:tl2br w:val="nil"/>
                    <w:tr2bl w:val="nil"/>
                  </w:tcBorders>
                  <w:shd w:val="clear" w:color="auto" w:fill="auto"/>
                  <w:vAlign w:val="center"/>
                </w:tcPr>
                <w:p w14:paraId="715B5066">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0.255</w:t>
                  </w:r>
                </w:p>
              </w:tc>
            </w:tr>
            <w:tr w14:paraId="01B1C0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69" w:type="dxa"/>
                  <w:vMerge w:val="continue"/>
                  <w:tcBorders>
                    <w:tl2br w:val="nil"/>
                    <w:tr2bl w:val="nil"/>
                  </w:tcBorders>
                  <w:vAlign w:val="center"/>
                </w:tcPr>
                <w:p w14:paraId="4C68F6B2">
                  <w:pPr>
                    <w:pStyle w:val="36"/>
                    <w:rPr>
                      <w:rFonts w:hint="default" w:ascii="Times New Roman" w:hAnsi="Times New Roman" w:eastAsia="宋体" w:cs="Times New Roman"/>
                      <w:color w:val="auto"/>
                      <w:sz w:val="21"/>
                      <w:szCs w:val="21"/>
                      <w:lang w:val="en-US" w:eastAsia="zh-CN"/>
                    </w:rPr>
                  </w:pPr>
                </w:p>
              </w:tc>
              <w:tc>
                <w:tcPr>
                  <w:tcW w:w="785" w:type="dxa"/>
                  <w:tcBorders>
                    <w:tl2br w:val="nil"/>
                    <w:tr2bl w:val="nil"/>
                  </w:tcBorders>
                  <w:vAlign w:val="center"/>
                </w:tcPr>
                <w:p w14:paraId="25A0B73B">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氨氮</w:t>
                  </w:r>
                </w:p>
              </w:tc>
              <w:tc>
                <w:tcPr>
                  <w:tcW w:w="1176" w:type="dxa"/>
                  <w:tcBorders>
                    <w:tl2br w:val="nil"/>
                    <w:tr2bl w:val="nil"/>
                  </w:tcBorders>
                  <w:vAlign w:val="center"/>
                </w:tcPr>
                <w:p w14:paraId="57550135">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30</w:t>
                  </w:r>
                </w:p>
              </w:tc>
              <w:tc>
                <w:tcPr>
                  <w:tcW w:w="1176" w:type="dxa"/>
                  <w:tcBorders>
                    <w:tl2br w:val="nil"/>
                    <w:tr2bl w:val="nil"/>
                  </w:tcBorders>
                  <w:vAlign w:val="center"/>
                </w:tcPr>
                <w:p w14:paraId="18A823D5">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default" w:ascii="Times New Roman" w:hAnsi="Times New Roman" w:cs="Times New Roman"/>
                      <w:color w:val="auto"/>
                      <w:sz w:val="21"/>
                      <w:szCs w:val="21"/>
                      <w:lang w:val="en-US" w:eastAsia="zh-CN"/>
                    </w:rPr>
                    <w:t>45</w:t>
                  </w:r>
                </w:p>
              </w:tc>
              <w:tc>
                <w:tcPr>
                  <w:tcW w:w="1125" w:type="dxa"/>
                  <w:vMerge w:val="continue"/>
                  <w:tcBorders>
                    <w:tl2br w:val="nil"/>
                    <w:tr2bl w:val="nil"/>
                  </w:tcBorders>
                  <w:vAlign w:val="center"/>
                </w:tcPr>
                <w:p w14:paraId="3E7EEA9E">
                  <w:pPr>
                    <w:pStyle w:val="36"/>
                    <w:rPr>
                      <w:rFonts w:hint="default" w:ascii="Times New Roman" w:hAnsi="Times New Roman" w:eastAsia="宋体" w:cs="Times New Roman"/>
                      <w:color w:val="auto"/>
                      <w:sz w:val="21"/>
                      <w:szCs w:val="21"/>
                      <w:lang w:val="en-US" w:eastAsia="zh-CN"/>
                    </w:rPr>
                  </w:pPr>
                </w:p>
              </w:tc>
              <w:tc>
                <w:tcPr>
                  <w:tcW w:w="1017" w:type="dxa"/>
                  <w:tcBorders>
                    <w:tl2br w:val="nil"/>
                    <w:tr2bl w:val="nil"/>
                  </w:tcBorders>
                  <w:shd w:val="clear" w:color="auto" w:fill="auto"/>
                  <w:vAlign w:val="center"/>
                </w:tcPr>
                <w:p w14:paraId="0FA04527">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89.20</w:t>
                  </w:r>
                </w:p>
              </w:tc>
              <w:tc>
                <w:tcPr>
                  <w:tcW w:w="1018" w:type="dxa"/>
                  <w:tcBorders>
                    <w:tl2br w:val="nil"/>
                    <w:tr2bl w:val="nil"/>
                  </w:tcBorders>
                  <w:shd w:val="clear" w:color="auto" w:fill="auto"/>
                  <w:vAlign w:val="center"/>
                </w:tcPr>
                <w:p w14:paraId="4825B6CD">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3.24</w:t>
                  </w:r>
                </w:p>
              </w:tc>
              <w:tc>
                <w:tcPr>
                  <w:tcW w:w="1020" w:type="dxa"/>
                  <w:tcBorders>
                    <w:tl2br w:val="nil"/>
                    <w:tr2bl w:val="nil"/>
                  </w:tcBorders>
                  <w:shd w:val="clear" w:color="auto" w:fill="auto"/>
                  <w:vAlign w:val="center"/>
                </w:tcPr>
                <w:p w14:paraId="075C6C6B">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0.005</w:t>
                  </w:r>
                </w:p>
              </w:tc>
            </w:tr>
            <w:tr w14:paraId="00281A5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969" w:type="dxa"/>
                  <w:vMerge w:val="continue"/>
                  <w:tcBorders>
                    <w:tl2br w:val="nil"/>
                    <w:tr2bl w:val="nil"/>
                  </w:tcBorders>
                  <w:vAlign w:val="center"/>
                </w:tcPr>
                <w:p w14:paraId="58F87909">
                  <w:pPr>
                    <w:pStyle w:val="36"/>
                    <w:rPr>
                      <w:rFonts w:hint="default" w:ascii="Times New Roman" w:hAnsi="Times New Roman" w:eastAsia="宋体" w:cs="Times New Roman"/>
                      <w:color w:val="auto"/>
                      <w:sz w:val="21"/>
                      <w:szCs w:val="21"/>
                      <w:lang w:val="en-US" w:eastAsia="zh-CN"/>
                    </w:rPr>
                  </w:pPr>
                </w:p>
              </w:tc>
              <w:tc>
                <w:tcPr>
                  <w:tcW w:w="785" w:type="dxa"/>
                  <w:tcBorders>
                    <w:tl2br w:val="nil"/>
                    <w:tr2bl w:val="nil"/>
                  </w:tcBorders>
                  <w:vAlign w:val="center"/>
                </w:tcPr>
                <w:p w14:paraId="132C2A4B">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总氮</w:t>
                  </w:r>
                </w:p>
              </w:tc>
              <w:tc>
                <w:tcPr>
                  <w:tcW w:w="1176" w:type="dxa"/>
                  <w:tcBorders>
                    <w:tl2br w:val="nil"/>
                    <w:tr2bl w:val="nil"/>
                  </w:tcBorders>
                  <w:vAlign w:val="center"/>
                </w:tcPr>
                <w:p w14:paraId="244A3D0B">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25</w:t>
                  </w:r>
                </w:p>
              </w:tc>
              <w:tc>
                <w:tcPr>
                  <w:tcW w:w="1176" w:type="dxa"/>
                  <w:tcBorders>
                    <w:tl2br w:val="nil"/>
                    <w:tr2bl w:val="nil"/>
                  </w:tcBorders>
                  <w:vAlign w:val="center"/>
                </w:tcPr>
                <w:p w14:paraId="15958E05">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w:t>
                  </w:r>
                  <w:r>
                    <w:rPr>
                      <w:rFonts w:hint="default" w:ascii="Times New Roman" w:hAnsi="Times New Roman" w:cs="Times New Roman"/>
                      <w:color w:val="auto"/>
                      <w:sz w:val="21"/>
                      <w:szCs w:val="21"/>
                      <w:lang w:val="en-US" w:eastAsia="zh-CN"/>
                    </w:rPr>
                    <w:t>38</w:t>
                  </w:r>
                </w:p>
              </w:tc>
              <w:tc>
                <w:tcPr>
                  <w:tcW w:w="1125" w:type="dxa"/>
                  <w:vMerge w:val="continue"/>
                  <w:tcBorders>
                    <w:tl2br w:val="nil"/>
                    <w:tr2bl w:val="nil"/>
                  </w:tcBorders>
                  <w:vAlign w:val="center"/>
                </w:tcPr>
                <w:p w14:paraId="5E311886">
                  <w:pPr>
                    <w:pStyle w:val="36"/>
                    <w:rPr>
                      <w:rFonts w:hint="default" w:ascii="Times New Roman" w:hAnsi="Times New Roman" w:eastAsia="宋体" w:cs="Times New Roman"/>
                      <w:color w:val="auto"/>
                      <w:sz w:val="21"/>
                      <w:szCs w:val="21"/>
                      <w:lang w:val="en-US" w:eastAsia="zh-CN"/>
                    </w:rPr>
                  </w:pPr>
                </w:p>
              </w:tc>
              <w:tc>
                <w:tcPr>
                  <w:tcW w:w="1017" w:type="dxa"/>
                  <w:tcBorders>
                    <w:tl2br w:val="nil"/>
                    <w:tr2bl w:val="nil"/>
                  </w:tcBorders>
                  <w:shd w:val="clear" w:color="auto" w:fill="auto"/>
                  <w:vAlign w:val="center"/>
                </w:tcPr>
                <w:p w14:paraId="39626A8D">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85.50</w:t>
                  </w:r>
                </w:p>
              </w:tc>
              <w:tc>
                <w:tcPr>
                  <w:tcW w:w="1018" w:type="dxa"/>
                  <w:tcBorders>
                    <w:tl2br w:val="nil"/>
                    <w:tr2bl w:val="nil"/>
                  </w:tcBorders>
                  <w:shd w:val="clear" w:color="auto" w:fill="auto"/>
                  <w:vAlign w:val="center"/>
                </w:tcPr>
                <w:p w14:paraId="66AF23B1">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3.63</w:t>
                  </w:r>
                </w:p>
              </w:tc>
              <w:tc>
                <w:tcPr>
                  <w:tcW w:w="1020" w:type="dxa"/>
                  <w:tcBorders>
                    <w:tl2br w:val="nil"/>
                    <w:tr2bl w:val="nil"/>
                  </w:tcBorders>
                  <w:shd w:val="clear" w:color="auto" w:fill="auto"/>
                  <w:vAlign w:val="center"/>
                </w:tcPr>
                <w:p w14:paraId="786D2EA0">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0.005</w:t>
                  </w:r>
                </w:p>
              </w:tc>
            </w:tr>
          </w:tbl>
          <w:p w14:paraId="3E1906A1">
            <w:pPr>
              <w:spacing w:line="360" w:lineRule="auto"/>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项目污水处理站废水包括乳粉制造废水和乳粉制造废水</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混合污水浓度如下见表 4-6、污水处理站处理能力及达标情况见表4-</w:t>
            </w:r>
            <w:r>
              <w:rPr>
                <w:rFonts w:hint="eastAsia" w:cs="Times New Roman"/>
                <w:color w:val="auto"/>
                <w:sz w:val="21"/>
                <w:szCs w:val="21"/>
                <w:lang w:val="en-US" w:eastAsia="zh-CN"/>
              </w:rPr>
              <w:t>8</w:t>
            </w:r>
            <w:r>
              <w:rPr>
                <w:rFonts w:hint="default" w:ascii="Times New Roman" w:hAnsi="Times New Roman" w:eastAsia="宋体" w:cs="Times New Roman"/>
                <w:color w:val="auto"/>
                <w:sz w:val="21"/>
                <w:szCs w:val="21"/>
                <w:lang w:val="en-US" w:eastAsia="zh-CN"/>
              </w:rPr>
              <w:t>。</w:t>
            </w:r>
          </w:p>
          <w:p w14:paraId="3D35DA89">
            <w:pPr>
              <w:tabs>
                <w:tab w:val="left" w:pos="3485"/>
                <w:tab w:val="left" w:pos="7063"/>
              </w:tabs>
              <w:spacing w:before="0" w:after="3" w:line="266" w:lineRule="exact"/>
              <w:ind w:left="1472" w:right="0" w:firstLine="0"/>
              <w:jc w:val="left"/>
              <w:rPr>
                <w:rFonts w:hint="default" w:ascii="Times New Roman" w:hAnsi="Times New Roman" w:eastAsia="Times New Roman" w:cs="Times New Roman"/>
                <w:b/>
                <w:color w:val="auto"/>
                <w:sz w:val="21"/>
              </w:rPr>
            </w:pPr>
            <w:r>
              <w:rPr>
                <w:rFonts w:hint="default" w:ascii="Times New Roman" w:hAnsi="Times New Roman" w:cs="Times New Roman"/>
                <w:b/>
                <w:color w:val="auto"/>
                <w:sz w:val="21"/>
              </w:rPr>
              <w:t>表</w:t>
            </w:r>
            <w:r>
              <w:rPr>
                <w:rFonts w:hint="default" w:ascii="Times New Roman" w:hAnsi="Times New Roman" w:cs="Times New Roman"/>
                <w:b/>
                <w:color w:val="auto"/>
                <w:spacing w:val="-53"/>
                <w:sz w:val="21"/>
              </w:rPr>
              <w:t xml:space="preserve"> </w:t>
            </w:r>
            <w:r>
              <w:rPr>
                <w:rFonts w:hint="default" w:ascii="Times New Roman" w:hAnsi="Times New Roman" w:eastAsia="Times New Roman" w:cs="Times New Roman"/>
                <w:b/>
                <w:color w:val="auto"/>
                <w:sz w:val="21"/>
              </w:rPr>
              <w:t>4-</w:t>
            </w:r>
            <w:r>
              <w:rPr>
                <w:rFonts w:hint="eastAsia" w:cs="Times New Roman"/>
                <w:b/>
                <w:color w:val="auto"/>
                <w:sz w:val="21"/>
                <w:lang w:val="en-US" w:eastAsia="zh-CN"/>
              </w:rPr>
              <w:t>8</w:t>
            </w:r>
            <w:r>
              <w:rPr>
                <w:rFonts w:hint="default" w:ascii="Times New Roman" w:hAnsi="Times New Roman" w:eastAsia="Times New Roman" w:cs="Times New Roman"/>
                <w:b/>
                <w:color w:val="auto"/>
                <w:sz w:val="21"/>
              </w:rPr>
              <w:tab/>
            </w:r>
            <w:r>
              <w:rPr>
                <w:rFonts w:hint="default" w:ascii="Times New Roman" w:hAnsi="Times New Roman" w:cs="Times New Roman"/>
                <w:b/>
                <w:color w:val="auto"/>
                <w:sz w:val="21"/>
              </w:rPr>
              <w:t>污水站入水混合浓度分析</w:t>
            </w:r>
            <w:r>
              <w:rPr>
                <w:rFonts w:hint="default" w:ascii="Times New Roman" w:hAnsi="Times New Roman" w:cs="Times New Roman"/>
                <w:b/>
                <w:color w:val="auto"/>
                <w:sz w:val="21"/>
              </w:rPr>
              <w:tab/>
            </w:r>
            <w:r>
              <w:rPr>
                <w:rFonts w:hint="default" w:ascii="Times New Roman" w:hAnsi="Times New Roman" w:cs="Times New Roman"/>
                <w:b/>
                <w:color w:val="auto"/>
                <w:sz w:val="21"/>
              </w:rPr>
              <w:t>单位：</w:t>
            </w:r>
            <w:r>
              <w:rPr>
                <w:rFonts w:hint="default" w:ascii="Times New Roman" w:hAnsi="Times New Roman" w:eastAsia="Times New Roman" w:cs="Times New Roman"/>
                <w:b/>
                <w:color w:val="auto"/>
                <w:sz w:val="21"/>
              </w:rPr>
              <w:t>mg/L</w:t>
            </w:r>
          </w:p>
          <w:tbl>
            <w:tblPr>
              <w:tblStyle w:val="20"/>
              <w:tblW w:w="84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68"/>
              <w:gridCol w:w="884"/>
              <w:gridCol w:w="1401"/>
              <w:gridCol w:w="1222"/>
              <w:gridCol w:w="1172"/>
              <w:gridCol w:w="1169"/>
            </w:tblGrid>
            <w:tr w14:paraId="688306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2568" w:type="dxa"/>
                  <w:vMerge w:val="restart"/>
                  <w:tcBorders>
                    <w:left w:val="nil"/>
                    <w:bottom w:val="single" w:color="000000" w:sz="4" w:space="0"/>
                    <w:right w:val="single" w:color="000000" w:sz="4" w:space="0"/>
                  </w:tcBorders>
                  <w:vAlign w:val="center"/>
                </w:tcPr>
                <w:p w14:paraId="289147E0">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废水名称</w:t>
                  </w:r>
                </w:p>
              </w:tc>
              <w:tc>
                <w:tcPr>
                  <w:tcW w:w="884" w:type="dxa"/>
                  <w:vMerge w:val="restart"/>
                  <w:tcBorders>
                    <w:left w:val="single" w:color="000000" w:sz="4" w:space="0"/>
                    <w:bottom w:val="single" w:color="000000" w:sz="4" w:space="0"/>
                    <w:right w:val="single" w:color="000000" w:sz="4" w:space="0"/>
                  </w:tcBorders>
                  <w:vAlign w:val="center"/>
                </w:tcPr>
                <w:p w14:paraId="79739388">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水量t/a</w:t>
                  </w:r>
                </w:p>
              </w:tc>
              <w:tc>
                <w:tcPr>
                  <w:tcW w:w="4964" w:type="dxa"/>
                  <w:gridSpan w:val="4"/>
                  <w:tcBorders>
                    <w:left w:val="single" w:color="000000" w:sz="4" w:space="0"/>
                    <w:bottom w:val="single" w:color="000000" w:sz="4" w:space="0"/>
                    <w:right w:val="nil"/>
                  </w:tcBorders>
                  <w:vAlign w:val="center"/>
                </w:tcPr>
                <w:p w14:paraId="6A71970C">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污染物</w:t>
                  </w:r>
                </w:p>
              </w:tc>
            </w:tr>
            <w:tr w14:paraId="276AD1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2568" w:type="dxa"/>
                  <w:vMerge w:val="continue"/>
                  <w:tcBorders>
                    <w:top w:val="single" w:color="000000" w:sz="4" w:space="0"/>
                    <w:left w:val="nil"/>
                    <w:bottom w:val="single" w:color="000000" w:sz="4" w:space="0"/>
                    <w:right w:val="single" w:color="000000" w:sz="4" w:space="0"/>
                  </w:tcBorders>
                  <w:vAlign w:val="center"/>
                </w:tcPr>
                <w:p w14:paraId="145E6433">
                  <w:pPr>
                    <w:pStyle w:val="36"/>
                    <w:ind w:firstLine="0" w:firstLineChars="0"/>
                    <w:rPr>
                      <w:rFonts w:hint="default" w:ascii="Times New Roman" w:hAnsi="Times New Roman" w:eastAsia="宋体" w:cs="Times New Roman"/>
                      <w:color w:val="auto"/>
                      <w:sz w:val="21"/>
                      <w:szCs w:val="21"/>
                      <w:lang w:val="en-US" w:eastAsia="zh-CN"/>
                    </w:rPr>
                  </w:pPr>
                </w:p>
              </w:tc>
              <w:tc>
                <w:tcPr>
                  <w:tcW w:w="884" w:type="dxa"/>
                  <w:vMerge w:val="continue"/>
                  <w:tcBorders>
                    <w:top w:val="single" w:color="000000" w:sz="4" w:space="0"/>
                    <w:left w:val="single" w:color="000000" w:sz="4" w:space="0"/>
                    <w:bottom w:val="single" w:color="000000" w:sz="4" w:space="0"/>
                    <w:right w:val="single" w:color="000000" w:sz="4" w:space="0"/>
                  </w:tcBorders>
                  <w:vAlign w:val="center"/>
                </w:tcPr>
                <w:p w14:paraId="21DB5FD3">
                  <w:pPr>
                    <w:pStyle w:val="36"/>
                    <w:ind w:firstLine="0" w:firstLineChars="0"/>
                    <w:rPr>
                      <w:rFonts w:hint="default" w:ascii="Times New Roman" w:hAnsi="Times New Roman" w:eastAsia="宋体" w:cs="Times New Roman"/>
                      <w:color w:val="auto"/>
                      <w:sz w:val="21"/>
                      <w:szCs w:val="21"/>
                      <w:lang w:val="en-US" w:eastAsia="zh-CN"/>
                    </w:rPr>
                  </w:pPr>
                </w:p>
              </w:tc>
              <w:tc>
                <w:tcPr>
                  <w:tcW w:w="1401" w:type="dxa"/>
                  <w:tcBorders>
                    <w:top w:val="single" w:color="000000" w:sz="4" w:space="0"/>
                    <w:left w:val="single" w:color="000000" w:sz="4" w:space="0"/>
                    <w:bottom w:val="single" w:color="000000" w:sz="4" w:space="0"/>
                    <w:right w:val="single" w:color="000000" w:sz="4" w:space="0"/>
                  </w:tcBorders>
                  <w:vAlign w:val="center"/>
                </w:tcPr>
                <w:p w14:paraId="601F34A9">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COD</w:t>
                  </w:r>
                </w:p>
              </w:tc>
              <w:tc>
                <w:tcPr>
                  <w:tcW w:w="1222" w:type="dxa"/>
                  <w:tcBorders>
                    <w:top w:val="single" w:color="000000" w:sz="4" w:space="0"/>
                    <w:left w:val="single" w:color="000000" w:sz="4" w:space="0"/>
                    <w:bottom w:val="single" w:color="000000" w:sz="4" w:space="0"/>
                    <w:right w:val="single" w:color="000000" w:sz="4" w:space="0"/>
                  </w:tcBorders>
                  <w:vAlign w:val="center"/>
                </w:tcPr>
                <w:p w14:paraId="4E19A666">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BOD</w:t>
                  </w:r>
                  <w:r>
                    <w:rPr>
                      <w:rFonts w:hint="default" w:ascii="Times New Roman" w:hAnsi="Times New Roman" w:cs="Times New Roman"/>
                      <w:color w:val="auto"/>
                      <w:sz w:val="21"/>
                      <w:szCs w:val="21"/>
                      <w:vertAlign w:val="subscript"/>
                      <w:lang w:val="en-US" w:eastAsia="zh-CN"/>
                    </w:rPr>
                    <w:t>5</w:t>
                  </w:r>
                </w:p>
              </w:tc>
              <w:tc>
                <w:tcPr>
                  <w:tcW w:w="1172" w:type="dxa"/>
                  <w:tcBorders>
                    <w:top w:val="single" w:color="000000" w:sz="4" w:space="0"/>
                    <w:left w:val="single" w:color="000000" w:sz="4" w:space="0"/>
                    <w:bottom w:val="single" w:color="000000" w:sz="4" w:space="0"/>
                    <w:right w:val="single" w:color="000000" w:sz="4" w:space="0"/>
                  </w:tcBorders>
                  <w:vAlign w:val="center"/>
                </w:tcPr>
                <w:p w14:paraId="56122FF3">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氨氮</w:t>
                  </w:r>
                </w:p>
              </w:tc>
              <w:tc>
                <w:tcPr>
                  <w:tcW w:w="1169" w:type="dxa"/>
                  <w:tcBorders>
                    <w:top w:val="single" w:color="000000" w:sz="4" w:space="0"/>
                    <w:left w:val="single" w:color="000000" w:sz="4" w:space="0"/>
                    <w:bottom w:val="single" w:color="000000" w:sz="4" w:space="0"/>
                    <w:right w:val="nil"/>
                  </w:tcBorders>
                  <w:vAlign w:val="center"/>
                </w:tcPr>
                <w:p w14:paraId="3BAE362E">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总氮</w:t>
                  </w:r>
                </w:p>
              </w:tc>
            </w:tr>
            <w:tr w14:paraId="78EAD5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2568" w:type="dxa"/>
                  <w:tcBorders>
                    <w:top w:val="single" w:color="000000" w:sz="4" w:space="0"/>
                    <w:left w:val="nil"/>
                    <w:bottom w:val="single" w:color="000000" w:sz="4" w:space="0"/>
                    <w:right w:val="single" w:color="000000" w:sz="4" w:space="0"/>
                  </w:tcBorders>
                  <w:vAlign w:val="center"/>
                </w:tcPr>
                <w:p w14:paraId="6220DE40">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液体乳制造废水</w:t>
                  </w:r>
                  <w:r>
                    <w:rPr>
                      <w:rFonts w:hint="default" w:ascii="Times New Roman" w:hAnsi="Times New Roman" w:cs="Times New Roman"/>
                      <w:color w:val="auto"/>
                      <w:sz w:val="21"/>
                      <w:szCs w:val="21"/>
                      <w:lang w:val="en-US" w:eastAsia="zh-CN"/>
                    </w:rPr>
                    <w:t>浓度</w:t>
                  </w:r>
                  <w:r>
                    <w:rPr>
                      <w:rFonts w:hint="default" w:ascii="Times New Roman" w:hAnsi="Times New Roman" w:eastAsia="宋体" w:cs="Times New Roman"/>
                      <w:color w:val="auto"/>
                      <w:sz w:val="21"/>
                      <w:szCs w:val="21"/>
                      <w:lang w:val="en-US" w:eastAsia="zh-CN"/>
                    </w:rPr>
                    <w:t>mg/L</w:t>
                  </w:r>
                </w:p>
              </w:tc>
              <w:tc>
                <w:tcPr>
                  <w:tcW w:w="884" w:type="dxa"/>
                  <w:tcBorders>
                    <w:top w:val="single" w:color="000000" w:sz="4" w:space="0"/>
                    <w:left w:val="single" w:color="000000" w:sz="4" w:space="0"/>
                    <w:bottom w:val="single" w:color="000000" w:sz="4" w:space="0"/>
                    <w:right w:val="single" w:color="000000" w:sz="4" w:space="0"/>
                  </w:tcBorders>
                  <w:vAlign w:val="center"/>
                </w:tcPr>
                <w:p w14:paraId="288820FF">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8535</w:t>
                  </w:r>
                </w:p>
              </w:tc>
              <w:tc>
                <w:tcPr>
                  <w:tcW w:w="1401" w:type="dxa"/>
                  <w:tcBorders>
                    <w:top w:val="single" w:color="000000" w:sz="4" w:space="0"/>
                    <w:left w:val="single" w:color="000000" w:sz="4" w:space="0"/>
                    <w:bottom w:val="single" w:color="000000" w:sz="4" w:space="0"/>
                    <w:right w:val="single" w:color="000000" w:sz="4" w:space="0"/>
                  </w:tcBorders>
                  <w:vAlign w:val="center"/>
                </w:tcPr>
                <w:p w14:paraId="7874BA24">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17.19</w:t>
                  </w:r>
                </w:p>
              </w:tc>
              <w:tc>
                <w:tcPr>
                  <w:tcW w:w="1222" w:type="dxa"/>
                  <w:tcBorders>
                    <w:top w:val="single" w:color="000000" w:sz="4" w:space="0"/>
                    <w:left w:val="single" w:color="000000" w:sz="4" w:space="0"/>
                    <w:bottom w:val="single" w:color="000000" w:sz="4" w:space="0"/>
                    <w:right w:val="single" w:color="000000" w:sz="4" w:space="0"/>
                  </w:tcBorders>
                  <w:vAlign w:val="center"/>
                </w:tcPr>
                <w:p w14:paraId="6AB45E9E">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170.28</w:t>
                  </w:r>
                </w:p>
              </w:tc>
              <w:tc>
                <w:tcPr>
                  <w:tcW w:w="1172" w:type="dxa"/>
                  <w:tcBorders>
                    <w:top w:val="single" w:color="000000" w:sz="4" w:space="0"/>
                    <w:left w:val="single" w:color="000000" w:sz="4" w:space="0"/>
                    <w:bottom w:val="single" w:color="000000" w:sz="4" w:space="0"/>
                    <w:right w:val="single" w:color="000000" w:sz="4" w:space="0"/>
                  </w:tcBorders>
                  <w:vAlign w:val="center"/>
                </w:tcPr>
                <w:p w14:paraId="04F2B6BB">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1.76</w:t>
                  </w:r>
                </w:p>
              </w:tc>
              <w:tc>
                <w:tcPr>
                  <w:tcW w:w="1169" w:type="dxa"/>
                  <w:tcBorders>
                    <w:top w:val="single" w:color="000000" w:sz="4" w:space="0"/>
                    <w:left w:val="single" w:color="000000" w:sz="4" w:space="0"/>
                    <w:bottom w:val="single" w:color="000000" w:sz="4" w:space="0"/>
                    <w:right w:val="nil"/>
                  </w:tcBorders>
                  <w:vAlign w:val="center"/>
                </w:tcPr>
                <w:p w14:paraId="0E28E60B">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20.39</w:t>
                  </w:r>
                </w:p>
              </w:tc>
            </w:tr>
            <w:tr w14:paraId="53CF04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7" w:hRule="atLeast"/>
                <w:jc w:val="center"/>
              </w:trPr>
              <w:tc>
                <w:tcPr>
                  <w:tcW w:w="2568" w:type="dxa"/>
                  <w:tcBorders>
                    <w:top w:val="single" w:color="000000" w:sz="4" w:space="0"/>
                    <w:left w:val="nil"/>
                    <w:bottom w:val="single" w:color="000000" w:sz="4" w:space="0"/>
                    <w:right w:val="single" w:color="000000" w:sz="4" w:space="0"/>
                  </w:tcBorders>
                  <w:vAlign w:val="center"/>
                </w:tcPr>
                <w:p w14:paraId="52E0FA27">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乳粉制造废水</w:t>
                  </w:r>
                  <w:r>
                    <w:rPr>
                      <w:rFonts w:hint="default" w:ascii="Times New Roman" w:hAnsi="Times New Roman" w:cs="Times New Roman"/>
                      <w:color w:val="auto"/>
                      <w:sz w:val="21"/>
                      <w:szCs w:val="21"/>
                      <w:lang w:val="en-US" w:eastAsia="zh-CN"/>
                    </w:rPr>
                    <w:t>浓度</w:t>
                  </w:r>
                  <w:r>
                    <w:rPr>
                      <w:rFonts w:hint="default" w:ascii="Times New Roman" w:hAnsi="Times New Roman" w:eastAsia="宋体" w:cs="Times New Roman"/>
                      <w:color w:val="auto"/>
                      <w:sz w:val="21"/>
                      <w:szCs w:val="21"/>
                      <w:lang w:val="en-US" w:eastAsia="zh-CN"/>
                    </w:rPr>
                    <w:t>mg/L</w:t>
                  </w:r>
                </w:p>
              </w:tc>
              <w:tc>
                <w:tcPr>
                  <w:tcW w:w="884" w:type="dxa"/>
                  <w:tcBorders>
                    <w:top w:val="single" w:color="000000" w:sz="4" w:space="0"/>
                    <w:left w:val="single" w:color="000000" w:sz="4" w:space="0"/>
                    <w:bottom w:val="single" w:color="000000" w:sz="4" w:space="0"/>
                    <w:right w:val="single" w:color="000000" w:sz="4" w:space="0"/>
                  </w:tcBorders>
                  <w:vAlign w:val="center"/>
                </w:tcPr>
                <w:p w14:paraId="719B35CC">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25150</w:t>
                  </w:r>
                </w:p>
              </w:tc>
              <w:tc>
                <w:tcPr>
                  <w:tcW w:w="1401" w:type="dxa"/>
                  <w:tcBorders>
                    <w:top w:val="single" w:color="000000" w:sz="4" w:space="0"/>
                    <w:left w:val="single" w:color="000000" w:sz="4" w:space="0"/>
                    <w:bottom w:val="single" w:color="000000" w:sz="4" w:space="0"/>
                    <w:right w:val="single" w:color="000000" w:sz="4" w:space="0"/>
                  </w:tcBorders>
                  <w:vAlign w:val="center"/>
                </w:tcPr>
                <w:p w14:paraId="5F3D67F7">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21.75</w:t>
                  </w:r>
                </w:p>
              </w:tc>
              <w:tc>
                <w:tcPr>
                  <w:tcW w:w="1222" w:type="dxa"/>
                  <w:tcBorders>
                    <w:top w:val="single" w:color="000000" w:sz="4" w:space="0"/>
                    <w:left w:val="single" w:color="000000" w:sz="4" w:space="0"/>
                    <w:bottom w:val="single" w:color="000000" w:sz="4" w:space="0"/>
                    <w:right w:val="single" w:color="000000" w:sz="4" w:space="0"/>
                  </w:tcBorders>
                  <w:vAlign w:val="center"/>
                </w:tcPr>
                <w:p w14:paraId="54347477">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170.28</w:t>
                  </w:r>
                </w:p>
              </w:tc>
              <w:tc>
                <w:tcPr>
                  <w:tcW w:w="1172" w:type="dxa"/>
                  <w:tcBorders>
                    <w:top w:val="single" w:color="000000" w:sz="4" w:space="0"/>
                    <w:left w:val="single" w:color="000000" w:sz="4" w:space="0"/>
                    <w:bottom w:val="single" w:color="000000" w:sz="4" w:space="0"/>
                    <w:right w:val="single" w:color="000000" w:sz="4" w:space="0"/>
                  </w:tcBorders>
                  <w:vAlign w:val="center"/>
                </w:tcPr>
                <w:p w14:paraId="2F880B8D">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1.31</w:t>
                  </w:r>
                </w:p>
              </w:tc>
              <w:tc>
                <w:tcPr>
                  <w:tcW w:w="1169" w:type="dxa"/>
                  <w:tcBorders>
                    <w:top w:val="single" w:color="000000" w:sz="4" w:space="0"/>
                    <w:left w:val="single" w:color="000000" w:sz="4" w:space="0"/>
                    <w:bottom w:val="single" w:color="000000" w:sz="4" w:space="0"/>
                    <w:right w:val="nil"/>
                  </w:tcBorders>
                  <w:vAlign w:val="center"/>
                </w:tcPr>
                <w:p w14:paraId="4DC82FEF">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3.10</w:t>
                  </w:r>
                </w:p>
              </w:tc>
            </w:tr>
            <w:tr w14:paraId="5E8AA8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2568" w:type="dxa"/>
                  <w:tcBorders>
                    <w:top w:val="single" w:color="000000" w:sz="4" w:space="0"/>
                    <w:left w:val="nil"/>
                    <w:bottom w:val="single" w:color="000000" w:sz="4" w:space="0"/>
                    <w:right w:val="single" w:color="000000" w:sz="4" w:space="0"/>
                  </w:tcBorders>
                  <w:vAlign w:val="center"/>
                </w:tcPr>
                <w:p w14:paraId="57728B4F">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设备清洗废水浓度</w:t>
                  </w:r>
                  <w:r>
                    <w:rPr>
                      <w:rFonts w:hint="default" w:ascii="Times New Roman" w:hAnsi="Times New Roman" w:eastAsia="宋体" w:cs="Times New Roman"/>
                      <w:color w:val="auto"/>
                      <w:sz w:val="21"/>
                      <w:szCs w:val="21"/>
                      <w:lang w:val="en-US" w:eastAsia="zh-CN"/>
                    </w:rPr>
                    <w:t>mg/L</w:t>
                  </w:r>
                </w:p>
              </w:tc>
              <w:tc>
                <w:tcPr>
                  <w:tcW w:w="884" w:type="dxa"/>
                  <w:tcBorders>
                    <w:top w:val="single" w:color="000000" w:sz="4" w:space="0"/>
                    <w:left w:val="single" w:color="000000" w:sz="4" w:space="0"/>
                    <w:bottom w:val="single" w:color="000000" w:sz="4" w:space="0"/>
                    <w:right w:val="single" w:color="000000" w:sz="4" w:space="0"/>
                  </w:tcBorders>
                  <w:vAlign w:val="center"/>
                </w:tcPr>
                <w:p w14:paraId="46C378B3">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1500</w:t>
                  </w:r>
                </w:p>
              </w:tc>
              <w:tc>
                <w:tcPr>
                  <w:tcW w:w="1401" w:type="dxa"/>
                  <w:tcBorders>
                    <w:top w:val="single" w:color="000000" w:sz="4" w:space="0"/>
                    <w:left w:val="single" w:color="000000" w:sz="4" w:space="0"/>
                    <w:bottom w:val="single" w:color="000000" w:sz="4" w:space="0"/>
                    <w:right w:val="single" w:color="000000" w:sz="4" w:space="0"/>
                  </w:tcBorders>
                  <w:vAlign w:val="center"/>
                </w:tcPr>
                <w:p w14:paraId="7450EA1E">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64.96</w:t>
                  </w:r>
                </w:p>
              </w:tc>
              <w:tc>
                <w:tcPr>
                  <w:tcW w:w="1222" w:type="dxa"/>
                  <w:tcBorders>
                    <w:top w:val="single" w:color="000000" w:sz="4" w:space="0"/>
                    <w:left w:val="single" w:color="000000" w:sz="4" w:space="0"/>
                    <w:bottom w:val="single" w:color="000000" w:sz="4" w:space="0"/>
                    <w:right w:val="single" w:color="000000" w:sz="4" w:space="0"/>
                  </w:tcBorders>
                  <w:vAlign w:val="center"/>
                </w:tcPr>
                <w:p w14:paraId="01DAC335">
                  <w:pPr>
                    <w:pStyle w:val="36"/>
                    <w:ind w:firstLine="0" w:firstLineChars="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170.28</w:t>
                  </w:r>
                </w:p>
              </w:tc>
              <w:tc>
                <w:tcPr>
                  <w:tcW w:w="1172" w:type="dxa"/>
                  <w:tcBorders>
                    <w:top w:val="single" w:color="000000" w:sz="4" w:space="0"/>
                    <w:left w:val="single" w:color="000000" w:sz="4" w:space="0"/>
                    <w:bottom w:val="single" w:color="000000" w:sz="4" w:space="0"/>
                    <w:right w:val="single" w:color="000000" w:sz="4" w:space="0"/>
                  </w:tcBorders>
                  <w:vAlign w:val="center"/>
                </w:tcPr>
                <w:p w14:paraId="6A880934">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3.24</w:t>
                  </w:r>
                </w:p>
              </w:tc>
              <w:tc>
                <w:tcPr>
                  <w:tcW w:w="1169" w:type="dxa"/>
                  <w:tcBorders>
                    <w:top w:val="single" w:color="000000" w:sz="4" w:space="0"/>
                    <w:left w:val="single" w:color="000000" w:sz="4" w:space="0"/>
                    <w:bottom w:val="single" w:color="000000" w:sz="4" w:space="0"/>
                    <w:right w:val="nil"/>
                  </w:tcBorders>
                  <w:vAlign w:val="center"/>
                </w:tcPr>
                <w:p w14:paraId="74CD7AAB">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3.63</w:t>
                  </w:r>
                </w:p>
              </w:tc>
            </w:tr>
            <w:tr w14:paraId="3B5E7C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1" w:hRule="atLeast"/>
                <w:jc w:val="center"/>
              </w:trPr>
              <w:tc>
                <w:tcPr>
                  <w:tcW w:w="2568" w:type="dxa"/>
                  <w:tcBorders>
                    <w:top w:val="single" w:color="000000" w:sz="4" w:space="0"/>
                    <w:left w:val="nil"/>
                    <w:bottom w:val="single" w:color="000000" w:sz="4" w:space="0"/>
                    <w:right w:val="single" w:color="000000" w:sz="4" w:space="0"/>
                  </w:tcBorders>
                  <w:vAlign w:val="center"/>
                </w:tcPr>
                <w:p w14:paraId="6C842AA3">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混合污水污染物总量t/a</w:t>
                  </w:r>
                </w:p>
              </w:tc>
              <w:tc>
                <w:tcPr>
                  <w:tcW w:w="884" w:type="dxa"/>
                  <w:tcBorders>
                    <w:top w:val="single" w:color="000000" w:sz="4" w:space="0"/>
                    <w:left w:val="single" w:color="000000" w:sz="4" w:space="0"/>
                    <w:bottom w:val="single" w:color="000000" w:sz="4" w:space="0"/>
                    <w:right w:val="single" w:color="000000" w:sz="4" w:space="0"/>
                  </w:tcBorders>
                  <w:vAlign w:val="center"/>
                </w:tcPr>
                <w:p w14:paraId="7A247768">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35185</w:t>
                  </w:r>
                </w:p>
              </w:tc>
              <w:tc>
                <w:tcPr>
                  <w:tcW w:w="1401" w:type="dxa"/>
                  <w:tcBorders>
                    <w:top w:val="single" w:color="000000" w:sz="4" w:space="0"/>
                    <w:left w:val="single" w:color="000000" w:sz="4" w:space="0"/>
                    <w:bottom w:val="single" w:color="000000" w:sz="4" w:space="0"/>
                    <w:right w:val="single" w:color="000000" w:sz="4" w:space="0"/>
                  </w:tcBorders>
                  <w:vAlign w:val="center"/>
                </w:tcPr>
                <w:p w14:paraId="36AB27A3">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0.793</w:t>
                  </w:r>
                </w:p>
              </w:tc>
              <w:tc>
                <w:tcPr>
                  <w:tcW w:w="1222" w:type="dxa"/>
                  <w:tcBorders>
                    <w:top w:val="single" w:color="000000" w:sz="4" w:space="0"/>
                    <w:left w:val="single" w:color="000000" w:sz="4" w:space="0"/>
                    <w:bottom w:val="single" w:color="000000" w:sz="4" w:space="0"/>
                    <w:right w:val="single" w:color="000000" w:sz="4" w:space="0"/>
                  </w:tcBorders>
                  <w:vAlign w:val="center"/>
                </w:tcPr>
                <w:p w14:paraId="1F2E68DA">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5.99</w:t>
                  </w:r>
                </w:p>
              </w:tc>
              <w:tc>
                <w:tcPr>
                  <w:tcW w:w="1172" w:type="dxa"/>
                  <w:tcBorders>
                    <w:top w:val="single" w:color="000000" w:sz="4" w:space="0"/>
                    <w:left w:val="single" w:color="000000" w:sz="4" w:space="0"/>
                    <w:bottom w:val="single" w:color="000000" w:sz="4" w:space="0"/>
                    <w:right w:val="single" w:color="000000" w:sz="4" w:space="0"/>
                  </w:tcBorders>
                  <w:vAlign w:val="center"/>
                </w:tcPr>
                <w:p w14:paraId="59C16E7A">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0.053</w:t>
                  </w:r>
                </w:p>
              </w:tc>
              <w:tc>
                <w:tcPr>
                  <w:tcW w:w="1169" w:type="dxa"/>
                  <w:tcBorders>
                    <w:top w:val="single" w:color="000000" w:sz="4" w:space="0"/>
                    <w:left w:val="single" w:color="000000" w:sz="4" w:space="0"/>
                    <w:bottom w:val="single" w:color="000000" w:sz="4" w:space="0"/>
                    <w:right w:val="nil"/>
                  </w:tcBorders>
                  <w:vAlign w:val="center"/>
                </w:tcPr>
                <w:p w14:paraId="73400DCF">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0.257</w:t>
                  </w:r>
                </w:p>
              </w:tc>
            </w:tr>
            <w:tr w14:paraId="596068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2568" w:type="dxa"/>
                  <w:tcBorders>
                    <w:top w:val="single" w:color="000000" w:sz="4" w:space="0"/>
                    <w:left w:val="nil"/>
                    <w:right w:val="single" w:color="000000" w:sz="4" w:space="0"/>
                  </w:tcBorders>
                  <w:vAlign w:val="center"/>
                </w:tcPr>
                <w:p w14:paraId="6AFF814A">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混合污水污染物浓度mg/L</w:t>
                  </w:r>
                </w:p>
              </w:tc>
              <w:tc>
                <w:tcPr>
                  <w:tcW w:w="884" w:type="dxa"/>
                  <w:tcBorders>
                    <w:top w:val="single" w:color="000000" w:sz="4" w:space="0"/>
                    <w:left w:val="single" w:color="000000" w:sz="4" w:space="0"/>
                    <w:right w:val="single" w:color="000000" w:sz="4" w:space="0"/>
                  </w:tcBorders>
                  <w:vAlign w:val="center"/>
                </w:tcPr>
                <w:p w14:paraId="77D0670A">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35185</w:t>
                  </w:r>
                </w:p>
              </w:tc>
              <w:tc>
                <w:tcPr>
                  <w:tcW w:w="1401" w:type="dxa"/>
                  <w:tcBorders>
                    <w:top w:val="single" w:color="000000" w:sz="4" w:space="0"/>
                    <w:left w:val="single" w:color="000000" w:sz="4" w:space="0"/>
                    <w:right w:val="single" w:color="000000" w:sz="4" w:space="0"/>
                  </w:tcBorders>
                  <w:vAlign w:val="center"/>
                </w:tcPr>
                <w:p w14:paraId="35413C5D">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22.5</w:t>
                  </w:r>
                </w:p>
              </w:tc>
              <w:tc>
                <w:tcPr>
                  <w:tcW w:w="1222" w:type="dxa"/>
                  <w:tcBorders>
                    <w:top w:val="single" w:color="000000" w:sz="4" w:space="0"/>
                    <w:left w:val="single" w:color="000000" w:sz="4" w:space="0"/>
                    <w:right w:val="single" w:color="000000" w:sz="4" w:space="0"/>
                  </w:tcBorders>
                  <w:vAlign w:val="center"/>
                </w:tcPr>
                <w:p w14:paraId="24EE74DC">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170.28</w:t>
                  </w:r>
                </w:p>
              </w:tc>
              <w:tc>
                <w:tcPr>
                  <w:tcW w:w="1172" w:type="dxa"/>
                  <w:tcBorders>
                    <w:top w:val="single" w:color="000000" w:sz="4" w:space="0"/>
                    <w:left w:val="single" w:color="000000" w:sz="4" w:space="0"/>
                    <w:right w:val="single" w:color="000000" w:sz="4" w:space="0"/>
                  </w:tcBorders>
                  <w:vAlign w:val="center"/>
                </w:tcPr>
                <w:p w14:paraId="6A56A8E6">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1.51</w:t>
                  </w:r>
                </w:p>
              </w:tc>
              <w:tc>
                <w:tcPr>
                  <w:tcW w:w="1169" w:type="dxa"/>
                  <w:tcBorders>
                    <w:top w:val="single" w:color="000000" w:sz="4" w:space="0"/>
                    <w:left w:val="single" w:color="000000" w:sz="4" w:space="0"/>
                    <w:right w:val="nil"/>
                  </w:tcBorders>
                  <w:vAlign w:val="center"/>
                </w:tcPr>
                <w:p w14:paraId="3A2C3298">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r>
                    <w:rPr>
                      <w:rFonts w:hint="default" w:ascii="Times New Roman" w:hAnsi="Times New Roman" w:cs="Times New Roman"/>
                      <w:color w:val="auto"/>
                      <w:sz w:val="21"/>
                      <w:szCs w:val="21"/>
                      <w:lang w:val="en-US" w:eastAsia="zh-CN"/>
                    </w:rPr>
                    <w:t>30</w:t>
                  </w:r>
                </w:p>
              </w:tc>
            </w:tr>
          </w:tbl>
          <w:p w14:paraId="537B67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2.2</w:t>
            </w:r>
            <w:r>
              <w:rPr>
                <w:rFonts w:hint="default" w:ascii="Times New Roman" w:hAnsi="Times New Roman" w:eastAsia="宋体" w:cs="Times New Roman"/>
                <w:b w:val="0"/>
                <w:bCs w:val="0"/>
                <w:color w:val="auto"/>
                <w:sz w:val="21"/>
                <w:szCs w:val="21"/>
                <w:lang w:eastAsia="zh-CN"/>
              </w:rPr>
              <w:t>治理</w:t>
            </w:r>
            <w:r>
              <w:rPr>
                <w:rFonts w:hint="default" w:ascii="Times New Roman" w:hAnsi="Times New Roman" w:eastAsia="宋体" w:cs="Times New Roman"/>
                <w:b w:val="0"/>
                <w:bCs w:val="0"/>
                <w:color w:val="auto"/>
                <w:sz w:val="21"/>
                <w:szCs w:val="21"/>
              </w:rPr>
              <w:t>措施可行性分析</w:t>
            </w:r>
          </w:p>
          <w:p w14:paraId="295E30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Times New Roman"/>
                <w:color w:val="auto"/>
                <w:lang w:val="en-US" w:eastAsia="zh-CN"/>
              </w:rPr>
            </w:pPr>
            <w:r>
              <w:rPr>
                <w:rFonts w:hint="default" w:ascii="Times New Roman" w:hAnsi="Times New Roman" w:cs="Times New Roman"/>
                <w:color w:val="auto"/>
                <w:lang w:val="en-US" w:eastAsia="zh-CN"/>
              </w:rPr>
              <w:t>根据《</w:t>
            </w:r>
            <w:r>
              <w:rPr>
                <w:rFonts w:hint="default" w:ascii="Times New Roman" w:hAnsi="Times New Roman" w:eastAsia="宋体" w:cs="Times New Roman"/>
                <w:color w:val="auto"/>
                <w:lang w:val="en-US" w:eastAsia="zh-CN"/>
              </w:rPr>
              <w:t>排污许可证申请与核发技术规范食品制造工业—乳制品制造工业</w:t>
            </w:r>
            <w:r>
              <w:rPr>
                <w:rFonts w:hint="default" w:ascii="Times New Roman" w:hAnsi="Times New Roman" w:cs="Times New Roman"/>
                <w:color w:val="auto"/>
                <w:lang w:val="en-US" w:eastAsia="zh-CN"/>
              </w:rPr>
              <w:t>》（HJ 1030.1—2019）</w:t>
            </w:r>
            <w:r>
              <w:rPr>
                <w:rFonts w:hint="eastAsia" w:cs="Times New Roman"/>
                <w:color w:val="auto"/>
                <w:lang w:val="en-US" w:eastAsia="zh-CN"/>
              </w:rPr>
              <w:t>中表 7 乳制品制造工业排污单位废水污染防治可行技术参考表。</w:t>
            </w:r>
          </w:p>
          <w:p w14:paraId="154E6609">
            <w:pPr>
              <w:tabs>
                <w:tab w:val="left" w:pos="3485"/>
                <w:tab w:val="left" w:pos="7063"/>
              </w:tabs>
              <w:spacing w:before="0" w:after="3" w:line="266" w:lineRule="exact"/>
              <w:ind w:left="0" w:leftChars="0" w:right="0" w:firstLine="0" w:firstLineChars="0"/>
              <w:jc w:val="center"/>
              <w:rPr>
                <w:rFonts w:hint="default" w:ascii="Times New Roman" w:hAnsi="Times New Roman" w:eastAsia="Times New Roman" w:cs="Times New Roman"/>
                <w:b/>
                <w:color w:val="auto"/>
                <w:sz w:val="21"/>
              </w:rPr>
            </w:pPr>
            <w:r>
              <w:rPr>
                <w:rFonts w:hint="default" w:ascii="Times New Roman" w:hAnsi="Times New Roman" w:cs="Times New Roman"/>
                <w:b/>
                <w:color w:val="auto"/>
                <w:sz w:val="21"/>
              </w:rPr>
              <w:t>表</w:t>
            </w:r>
            <w:r>
              <w:rPr>
                <w:rFonts w:hint="default" w:ascii="Times New Roman" w:hAnsi="Times New Roman" w:cs="Times New Roman"/>
                <w:b/>
                <w:color w:val="auto"/>
                <w:spacing w:val="-53"/>
                <w:sz w:val="21"/>
              </w:rPr>
              <w:t xml:space="preserve"> </w:t>
            </w:r>
            <w:r>
              <w:rPr>
                <w:rFonts w:hint="default" w:ascii="Times New Roman" w:hAnsi="Times New Roman" w:eastAsia="Times New Roman" w:cs="Times New Roman"/>
                <w:b/>
                <w:color w:val="auto"/>
                <w:sz w:val="21"/>
              </w:rPr>
              <w:t>4-</w:t>
            </w:r>
            <w:r>
              <w:rPr>
                <w:rFonts w:hint="eastAsia" w:cs="Times New Roman"/>
                <w:b/>
                <w:color w:val="auto"/>
                <w:sz w:val="21"/>
                <w:lang w:val="en-US" w:eastAsia="zh-CN"/>
              </w:rPr>
              <w:t>9     表 7 乳制品制造工业排污单位废水污染防治可行技术参考表</w:t>
            </w:r>
          </w:p>
          <w:tbl>
            <w:tblPr>
              <w:tblStyle w:val="20"/>
              <w:tblW w:w="8163"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20"/>
              <w:gridCol w:w="1551"/>
              <w:gridCol w:w="683"/>
              <w:gridCol w:w="1113"/>
              <w:gridCol w:w="3696"/>
            </w:tblGrid>
            <w:tr w14:paraId="398BB0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1120" w:type="dxa"/>
                  <w:tcBorders>
                    <w:top w:val="single" w:color="000000" w:sz="4" w:space="0"/>
                    <w:left w:val="nil"/>
                    <w:bottom w:val="single" w:color="000000" w:sz="4" w:space="0"/>
                    <w:right w:val="single" w:color="000000" w:sz="4" w:space="0"/>
                  </w:tcBorders>
                  <w:vAlign w:val="center"/>
                </w:tcPr>
                <w:p w14:paraId="4A38FAAF">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废水类别 </w:t>
                  </w:r>
                </w:p>
              </w:tc>
              <w:tc>
                <w:tcPr>
                  <w:tcW w:w="1551" w:type="dxa"/>
                  <w:tcBorders>
                    <w:top w:val="single" w:color="000000" w:sz="4" w:space="0"/>
                    <w:left w:val="single" w:color="000000" w:sz="4" w:space="0"/>
                    <w:bottom w:val="single" w:color="000000" w:sz="4" w:space="0"/>
                    <w:right w:val="single" w:color="000000" w:sz="4" w:space="0"/>
                  </w:tcBorders>
                  <w:vAlign w:val="center"/>
                </w:tcPr>
                <w:p w14:paraId="32F9DDD3">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污染控制项目</w:t>
                  </w:r>
                </w:p>
              </w:tc>
              <w:tc>
                <w:tcPr>
                  <w:tcW w:w="683" w:type="dxa"/>
                  <w:tcBorders>
                    <w:top w:val="single" w:color="000000" w:sz="4" w:space="0"/>
                    <w:left w:val="single" w:color="000000" w:sz="4" w:space="0"/>
                    <w:bottom w:val="single" w:color="000000" w:sz="4" w:space="0"/>
                    <w:right w:val="single" w:color="000000" w:sz="4" w:space="0"/>
                  </w:tcBorders>
                  <w:vAlign w:val="center"/>
                </w:tcPr>
                <w:p w14:paraId="55FABC2B">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排放去向</w:t>
                  </w:r>
                </w:p>
              </w:tc>
              <w:tc>
                <w:tcPr>
                  <w:tcW w:w="1113" w:type="dxa"/>
                  <w:tcBorders>
                    <w:top w:val="single" w:color="000000" w:sz="4" w:space="0"/>
                    <w:left w:val="single" w:color="000000" w:sz="4" w:space="0"/>
                    <w:bottom w:val="single" w:color="000000" w:sz="4" w:space="0"/>
                    <w:right w:val="single" w:color="000000" w:sz="4" w:space="0"/>
                  </w:tcBorders>
                  <w:vAlign w:val="center"/>
                </w:tcPr>
                <w:p w14:paraId="7B58BD6B">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污染物排放监控位置</w:t>
                  </w:r>
                </w:p>
              </w:tc>
              <w:tc>
                <w:tcPr>
                  <w:tcW w:w="3696" w:type="dxa"/>
                  <w:tcBorders>
                    <w:top w:val="single" w:color="000000" w:sz="4" w:space="0"/>
                    <w:left w:val="single" w:color="000000" w:sz="4" w:space="0"/>
                    <w:bottom w:val="single" w:color="000000" w:sz="4" w:space="0"/>
                    <w:right w:val="single" w:color="000000" w:sz="4" w:space="0"/>
                  </w:tcBorders>
                  <w:vAlign w:val="center"/>
                </w:tcPr>
                <w:p w14:paraId="6E1191A8">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可行技术</w:t>
                  </w:r>
                </w:p>
              </w:tc>
            </w:tr>
            <w:tr w14:paraId="00BCAC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1120" w:type="dxa"/>
                  <w:tcBorders>
                    <w:top w:val="single" w:color="000000" w:sz="4" w:space="0"/>
                    <w:left w:val="nil"/>
                    <w:bottom w:val="single" w:color="000000" w:sz="4" w:space="0"/>
                    <w:right w:val="single" w:color="000000" w:sz="4" w:space="0"/>
                  </w:tcBorders>
                  <w:vAlign w:val="center"/>
                </w:tcPr>
                <w:p w14:paraId="4719DF25">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厂内综合污水处理站的综合污水（生产废水、生活污水等）</w:t>
                  </w:r>
                </w:p>
              </w:tc>
              <w:tc>
                <w:tcPr>
                  <w:tcW w:w="1551" w:type="dxa"/>
                  <w:tcBorders>
                    <w:top w:val="single" w:color="000000" w:sz="4" w:space="0"/>
                    <w:left w:val="single" w:color="000000" w:sz="4" w:space="0"/>
                    <w:bottom w:val="single" w:color="000000" w:sz="4" w:space="0"/>
                    <w:right w:val="single" w:color="000000" w:sz="4" w:space="0"/>
                  </w:tcBorders>
                  <w:vAlign w:val="center"/>
                </w:tcPr>
                <w:p w14:paraId="297F885C">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pH值、化学需氧量（COD</w:t>
                  </w:r>
                  <w:r>
                    <w:rPr>
                      <w:rFonts w:hint="default" w:ascii="Times New Roman" w:hAnsi="Times New Roman" w:eastAsia="宋体" w:cs="Times New Roman"/>
                      <w:color w:val="auto"/>
                      <w:sz w:val="21"/>
                      <w:szCs w:val="21"/>
                      <w:vertAlign w:val="subscript"/>
                      <w:lang w:val="en-US" w:eastAsia="zh-CN"/>
                    </w:rPr>
                    <w:t>Cr</w:t>
                  </w:r>
                  <w:r>
                    <w:rPr>
                      <w:rFonts w:hint="default" w:ascii="Times New Roman" w:hAnsi="Times New Roman" w:eastAsia="宋体" w:cs="Times New Roman"/>
                      <w:color w:val="auto"/>
                      <w:sz w:val="21"/>
                      <w:szCs w:val="21"/>
                      <w:lang w:val="en-US" w:eastAsia="zh-CN"/>
                    </w:rPr>
                    <w:t>）、氨氮、悬浮物、五日生化需氧量（BOD</w:t>
                  </w:r>
                  <w:r>
                    <w:rPr>
                      <w:rFonts w:hint="default" w:ascii="Times New Roman" w:hAnsi="Times New Roman" w:eastAsia="宋体" w:cs="Times New Roman"/>
                      <w:color w:val="auto"/>
                      <w:sz w:val="21"/>
                      <w:szCs w:val="21"/>
                      <w:vertAlign w:val="subscript"/>
                      <w:lang w:val="en-US" w:eastAsia="zh-CN"/>
                    </w:rPr>
                    <w:t>5</w:t>
                  </w:r>
                  <w:r>
                    <w:rPr>
                      <w:rFonts w:hint="default" w:ascii="Times New Roman" w:hAnsi="Times New Roman" w:eastAsia="宋体" w:cs="Times New Roman"/>
                      <w:color w:val="auto"/>
                      <w:sz w:val="21"/>
                      <w:szCs w:val="21"/>
                      <w:lang w:val="en-US" w:eastAsia="zh-CN"/>
                    </w:rPr>
                    <w:t>）、磷酸盐（总磷）、动植物油</w:t>
                  </w:r>
                </w:p>
              </w:tc>
              <w:tc>
                <w:tcPr>
                  <w:tcW w:w="683" w:type="dxa"/>
                  <w:tcBorders>
                    <w:top w:val="single" w:color="000000" w:sz="4" w:space="0"/>
                    <w:left w:val="single" w:color="000000" w:sz="4" w:space="0"/>
                    <w:bottom w:val="single" w:color="000000" w:sz="4" w:space="0"/>
                    <w:right w:val="single" w:color="000000" w:sz="4" w:space="0"/>
                  </w:tcBorders>
                  <w:vAlign w:val="center"/>
                </w:tcPr>
                <w:p w14:paraId="715AF8F1">
                  <w:pPr>
                    <w:pStyle w:val="36"/>
                    <w:ind w:firstLine="0" w:firstLineChars="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直接</w:t>
                  </w:r>
                  <w:r>
                    <w:rPr>
                      <w:rFonts w:hint="default" w:ascii="Times New Roman" w:hAnsi="Times New Roman" w:eastAsia="宋体" w:cs="Times New Roman"/>
                      <w:color w:val="auto"/>
                      <w:sz w:val="21"/>
                      <w:szCs w:val="21"/>
                      <w:lang w:val="en-US" w:eastAsia="zh-CN"/>
                    </w:rPr>
                    <w:t>排放</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 xml:space="preserve">间接排放 </w:t>
                  </w:r>
                </w:p>
              </w:tc>
              <w:tc>
                <w:tcPr>
                  <w:tcW w:w="1113" w:type="dxa"/>
                  <w:tcBorders>
                    <w:top w:val="single" w:color="000000" w:sz="4" w:space="0"/>
                    <w:left w:val="single" w:color="000000" w:sz="4" w:space="0"/>
                    <w:bottom w:val="single" w:color="000000" w:sz="4" w:space="0"/>
                    <w:right w:val="single" w:color="000000" w:sz="4" w:space="0"/>
                  </w:tcBorders>
                  <w:vAlign w:val="center"/>
                </w:tcPr>
                <w:p w14:paraId="5425D77C">
                  <w:pPr>
                    <w:pStyle w:val="36"/>
                    <w:ind w:firstLine="0" w:firstLineChars="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废水总排放口（综合污水处理站排放口）</w:t>
                  </w:r>
                </w:p>
              </w:tc>
              <w:tc>
                <w:tcPr>
                  <w:tcW w:w="3696" w:type="dxa"/>
                  <w:tcBorders>
                    <w:top w:val="single" w:color="000000" w:sz="4" w:space="0"/>
                    <w:left w:val="single" w:color="000000" w:sz="4" w:space="0"/>
                    <w:bottom w:val="single" w:color="000000" w:sz="4" w:space="0"/>
                    <w:right w:val="single" w:color="000000" w:sz="4" w:space="0"/>
                  </w:tcBorders>
                  <w:vAlign w:val="center"/>
                </w:tcPr>
                <w:p w14:paraId="091F3DC1">
                  <w:pPr>
                    <w:pStyle w:val="36"/>
                    <w:numPr>
                      <w:ilvl w:val="0"/>
                      <w:numId w:val="4"/>
                    </w:numPr>
                    <w:ind w:firstLine="0" w:firstLineChars="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预处理：粗（细）格栅；竖流或辐流式沉淀；混凝沉淀；气浮。</w:t>
                  </w:r>
                </w:p>
                <w:p w14:paraId="1B21E9D2">
                  <w:pPr>
                    <w:pStyle w:val="36"/>
                    <w:numPr>
                      <w:ilvl w:val="0"/>
                      <w:numId w:val="4"/>
                    </w:numPr>
                    <w:ind w:left="0" w:leftChars="0" w:firstLine="0" w:firstLineChars="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生化处理：升流式厌氧污泥床（UASB）；内循环厌氧（IC）反应器或水解酸化技术；厌氧滤池（AF）；活性污泥法；氧化沟及其各类改型工艺；生物接触氧化法；序批式活性污泥法（SBR）；缺氧/好氧活性污泥法（A/O 法）；厌氧-缺氧-好氧活性污泥法（A2/O 法）；膜生物反应器（MBR）法。</w:t>
                  </w:r>
                </w:p>
                <w:p w14:paraId="1E098A91">
                  <w:pPr>
                    <w:pStyle w:val="36"/>
                    <w:numPr>
                      <w:ilvl w:val="0"/>
                      <w:numId w:val="0"/>
                    </w:numPr>
                    <w:ind w:leftChars="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3）除磷处理：化学除磷；生物除磷；生物与化学组合除磷。</w:t>
                  </w:r>
                </w:p>
              </w:tc>
            </w:tr>
          </w:tbl>
          <w:p w14:paraId="43686F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cs="Times New Roman"/>
                <w:color w:val="auto"/>
                <w:lang w:val="en-US" w:eastAsia="zh-CN"/>
              </w:rPr>
            </w:pPr>
            <w:r>
              <w:rPr>
                <w:rFonts w:hint="eastAsia" w:cs="Times New Roman"/>
                <w:color w:val="auto"/>
                <w:lang w:val="en-US" w:eastAsia="zh-CN"/>
              </w:rPr>
              <w:t>本项目污水站采用工艺为</w:t>
            </w:r>
            <w:r>
              <w:rPr>
                <w:rFonts w:hint="default" w:ascii="Times New Roman" w:hAnsi="Times New Roman" w:eastAsia="宋体" w:cs="Times New Roman"/>
                <w:color w:val="auto"/>
                <w:sz w:val="21"/>
                <w:szCs w:val="21"/>
              </w:rPr>
              <w:t>“</w:t>
            </w:r>
            <w:r>
              <w:rPr>
                <w:rFonts w:hint="eastAsia" w:cs="Times New Roman"/>
                <w:color w:val="auto"/>
                <w:sz w:val="21"/>
                <w:szCs w:val="21"/>
                <w:lang w:val="en-US" w:eastAsia="zh-CN"/>
              </w:rPr>
              <w:t>格栅+</w:t>
            </w:r>
            <w:r>
              <w:rPr>
                <w:rFonts w:hint="default" w:ascii="Times New Roman" w:hAnsi="Times New Roman" w:eastAsia="宋体" w:cs="Times New Roman"/>
                <w:color w:val="auto"/>
                <w:sz w:val="21"/>
                <w:szCs w:val="21"/>
              </w:rPr>
              <w:t>ABR+接触氧化”工艺进行处理</w:t>
            </w:r>
            <w:r>
              <w:rPr>
                <w:rFonts w:hint="eastAsia" w:cs="Times New Roman"/>
                <w:color w:val="auto"/>
                <w:sz w:val="21"/>
                <w:szCs w:val="21"/>
                <w:lang w:eastAsia="zh-CN"/>
              </w:rPr>
              <w:t>，</w:t>
            </w:r>
            <w:r>
              <w:rPr>
                <w:rFonts w:hint="eastAsia" w:cs="Times New Roman"/>
                <w:color w:val="auto"/>
                <w:sz w:val="21"/>
                <w:szCs w:val="21"/>
                <w:lang w:val="en-US" w:eastAsia="zh-CN"/>
              </w:rPr>
              <w:t>满足上述要求。</w:t>
            </w:r>
          </w:p>
          <w:p w14:paraId="73101CD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cs="Times New Roman"/>
                <w:color w:val="auto"/>
              </w:rPr>
            </w:pPr>
            <w:r>
              <w:rPr>
                <w:rFonts w:hint="default" w:ascii="Times New Roman" w:hAnsi="Times New Roman" w:cs="Times New Roman"/>
                <w:b/>
                <w:color w:val="auto"/>
                <w:sz w:val="21"/>
                <w:szCs w:val="21"/>
              </w:rPr>
              <w:t>项目污水处理站简介</w:t>
            </w:r>
            <w:r>
              <w:rPr>
                <w:rFonts w:hint="default" w:ascii="Times New Roman" w:hAnsi="Times New Roman" w:cs="Times New Roman"/>
                <w:b/>
                <w:color w:val="auto"/>
                <w:sz w:val="21"/>
                <w:szCs w:val="21"/>
                <w:lang w:eastAsia="zh-CN"/>
              </w:rPr>
              <w:t>：</w:t>
            </w:r>
          </w:p>
          <w:p w14:paraId="384A40AF">
            <w:pPr>
              <w:keepNext w:val="0"/>
              <w:keepLines w:val="0"/>
              <w:pageBreakBefore w:val="0"/>
              <w:widowControl w:val="0"/>
              <w:kinsoku/>
              <w:wordWrap/>
              <w:overflowPunct/>
              <w:topLinePunct w:val="0"/>
              <w:autoSpaceDE/>
              <w:autoSpaceDN/>
              <w:bidi w:val="0"/>
              <w:adjustRightInd/>
              <w:snapToGrid/>
              <w:spacing w:line="360" w:lineRule="auto"/>
              <w:ind w:firstLine="384" w:firstLineChars="200"/>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spacing w:val="-9"/>
                <w:sz w:val="21"/>
                <w:szCs w:val="21"/>
              </w:rPr>
              <w:t>项目在厂区建设处理能力</w:t>
            </w:r>
            <w:r>
              <w:rPr>
                <w:rFonts w:hint="default" w:ascii="Times New Roman" w:hAnsi="Times New Roman" w:cs="Times New Roman"/>
                <w:color w:val="auto"/>
                <w:spacing w:val="-9"/>
                <w:sz w:val="21"/>
                <w:szCs w:val="21"/>
                <w:lang w:val="en-US" w:eastAsia="zh-CN"/>
              </w:rPr>
              <w:t>150</w:t>
            </w:r>
            <w:r>
              <w:rPr>
                <w:rFonts w:hint="default" w:ascii="Times New Roman" w:hAnsi="Times New Roman" w:eastAsia="Times New Roman" w:cs="Times New Roman"/>
                <w:color w:val="auto"/>
                <w:sz w:val="21"/>
                <w:szCs w:val="21"/>
              </w:rPr>
              <w:t xml:space="preserve">m³/d </w:t>
            </w:r>
            <w:r>
              <w:rPr>
                <w:rFonts w:hint="default" w:ascii="Times New Roman" w:hAnsi="Times New Roman" w:cs="Times New Roman"/>
                <w:color w:val="auto"/>
                <w:spacing w:val="-3"/>
                <w:sz w:val="21"/>
                <w:szCs w:val="21"/>
              </w:rPr>
              <w:t>污水处理站一座，各类污水</w:t>
            </w:r>
            <w:r>
              <w:rPr>
                <w:rFonts w:hint="default" w:ascii="Times New Roman" w:hAnsi="Times New Roman" w:cs="Times New Roman"/>
                <w:color w:val="auto"/>
                <w:spacing w:val="-8"/>
                <w:sz w:val="21"/>
                <w:szCs w:val="21"/>
              </w:rPr>
              <w:t>经处理达标后排放入园区污水管网，污水站采用</w:t>
            </w:r>
            <w:r>
              <w:rPr>
                <w:rFonts w:hint="default" w:ascii="Times New Roman" w:hAnsi="Times New Roman" w:eastAsia="Times New Roman" w:cs="Times New Roman"/>
                <w:color w:val="auto"/>
                <w:spacing w:val="-3"/>
                <w:sz w:val="21"/>
                <w:szCs w:val="21"/>
              </w:rPr>
              <w:t>“</w:t>
            </w:r>
            <w:r>
              <w:rPr>
                <w:rFonts w:hint="default" w:ascii="Times New Roman" w:hAnsi="Times New Roman" w:cs="Times New Roman"/>
                <w:color w:val="auto"/>
                <w:spacing w:val="-2"/>
                <w:sz w:val="21"/>
                <w:szCs w:val="21"/>
              </w:rPr>
              <w:t>预处理</w:t>
            </w:r>
            <w:r>
              <w:rPr>
                <w:rFonts w:hint="default" w:ascii="Times New Roman" w:hAnsi="Times New Roman" w:eastAsia="Times New Roman" w:cs="Times New Roman"/>
                <w:color w:val="auto"/>
                <w:sz w:val="21"/>
                <w:szCs w:val="21"/>
              </w:rPr>
              <w:t>+ABR+</w:t>
            </w:r>
            <w:r>
              <w:rPr>
                <w:rFonts w:hint="default" w:ascii="Times New Roman" w:hAnsi="Times New Roman" w:cs="Times New Roman"/>
                <w:color w:val="auto"/>
                <w:sz w:val="21"/>
                <w:szCs w:val="21"/>
              </w:rPr>
              <w:t>接</w:t>
            </w:r>
            <w:r>
              <w:rPr>
                <w:rFonts w:hint="default" w:ascii="Times New Roman" w:hAnsi="Times New Roman" w:cs="Times New Roman"/>
                <w:color w:val="auto"/>
                <w:spacing w:val="-2"/>
                <w:sz w:val="21"/>
                <w:szCs w:val="21"/>
              </w:rPr>
              <w:t>触氧化</w:t>
            </w:r>
            <w:r>
              <w:rPr>
                <w:rFonts w:hint="default" w:ascii="Times New Roman" w:hAnsi="Times New Roman" w:eastAsia="Times New Roman" w:cs="Times New Roman"/>
                <w:color w:val="auto"/>
                <w:sz w:val="21"/>
                <w:szCs w:val="21"/>
              </w:rPr>
              <w:t>”</w:t>
            </w:r>
            <w:r>
              <w:rPr>
                <w:rFonts w:hint="default" w:ascii="Times New Roman" w:hAnsi="Times New Roman" w:cs="Times New Roman"/>
                <w:color w:val="auto"/>
                <w:spacing w:val="-3"/>
                <w:sz w:val="21"/>
                <w:szCs w:val="21"/>
              </w:rPr>
              <w:t>工艺对污水进行处理，工艺流程图如下。</w:t>
            </w:r>
          </w:p>
          <w:p w14:paraId="70563621">
            <w:pPr>
              <w:pStyle w:val="62"/>
              <w:ind w:left="161"/>
              <w:rPr>
                <w:rFonts w:hint="default" w:ascii="Times New Roman" w:hAnsi="Times New Roman" w:cs="Times New Roman"/>
                <w:color w:val="auto"/>
                <w:sz w:val="20"/>
              </w:rPr>
            </w:pPr>
            <w:r>
              <w:rPr>
                <w:color w:val="auto"/>
                <w:sz w:val="20"/>
              </w:rPr>
              <mc:AlternateContent>
                <mc:Choice Requires="wps">
                  <w:drawing>
                    <wp:anchor distT="0" distB="0" distL="114300" distR="114300" simplePos="0" relativeHeight="251659264" behindDoc="0" locked="0" layoutInCell="1" allowOverlap="1">
                      <wp:simplePos x="0" y="0"/>
                      <wp:positionH relativeFrom="column">
                        <wp:posOffset>4157345</wp:posOffset>
                      </wp:positionH>
                      <wp:positionV relativeFrom="paragraph">
                        <wp:posOffset>6350</wp:posOffset>
                      </wp:positionV>
                      <wp:extent cx="1108075" cy="415290"/>
                      <wp:effectExtent l="0" t="0" r="15875" b="3810"/>
                      <wp:wrapNone/>
                      <wp:docPr id="3" name="文本框 3"/>
                      <wp:cNvGraphicFramePr/>
                      <a:graphic xmlns:a="http://schemas.openxmlformats.org/drawingml/2006/main">
                        <a:graphicData uri="http://schemas.microsoft.com/office/word/2010/wordprocessingShape">
                          <wps:wsp>
                            <wps:cNvSpPr txBox="1"/>
                            <wps:spPr>
                              <a:xfrm>
                                <a:off x="0" y="0"/>
                                <a:ext cx="1108075" cy="4152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A7468A2">
                                  <w:pPr>
                                    <w:ind w:left="0" w:leftChars="0" w:firstLine="0" w:firstLineChars="0"/>
                                    <w:jc w:val="both"/>
                                    <w:rPr>
                                      <w:rFonts w:hint="default" w:eastAsia="宋体"/>
                                      <w:sz w:val="15"/>
                                      <w:szCs w:val="15"/>
                                      <w:lang w:val="en-US" w:eastAsia="zh-CN"/>
                                    </w:rPr>
                                  </w:pPr>
                                  <w:r>
                                    <w:rPr>
                                      <w:rFonts w:hint="eastAsia"/>
                                      <w:sz w:val="15"/>
                                      <w:szCs w:val="15"/>
                                      <w:lang w:val="en-US" w:eastAsia="zh-CN"/>
                                    </w:rPr>
                                    <w:t>西区污水处理厂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7.35pt;margin-top:0.5pt;height:32.7pt;width:87.25pt;z-index:251659264;mso-width-relative:page;mso-height-relative:page;" fillcolor="#FFFFFF [3201]" filled="t" stroked="f" coordsize="21600,21600" o:gfxdata="UEsDBAoAAAAAAIdO4kAAAAAAAAAAAAAAAAAEAAAAZHJzL1BLAwQUAAAACACHTuJADxRnRdMAAAAI&#10;AQAADwAAAGRycy9kb3ducmV2LnhtbE2Py07DMBBF90j8gzVI7KiTKIQS4nSBxBaJtnTtxkMcYY8j&#10;231+PcMKlqNzdefcbnX2ThwxpimQgnJRgEAagploVLDdvD0sQaSsyWgXCBVcMMGqv73pdGvCiT7w&#10;uM6j4BJKrVZgc55bKdNg0eu0CDMSs68Qvc58xlGaqE9c7p2siqKRXk/EH6ye8dXi8L0+eAW70V93&#10;n+UcrfGupvfrZbMNk1L3d2XxAiLjOf+F4Vef1aFnp304kEnCKWge6yeOMuBJzJfVcwViz6CpQfad&#10;/D+g/wFQSwMEFAAAAAgAh07iQCvZzThSAgAAjwQAAA4AAABkcnMvZTJvRG9jLnhtbK1UzW4aMRC+&#10;V+o7WL6XXQjkB7FENIiqEmoipVXPxutlLdke1zbs0gdo3yCnXnrvc/EcHXuBpGkPOZSDmfGMZ+b7&#10;ZmYn161WZCucl2AK2u/llAjDoZRmXdBPHxdvLinxgZmSKTCioDvh6fX09atJY8diADWoUjiCQYwf&#10;N7agdQh2nGWe10Iz3wMrDBorcJoFVN06Kx1rMLpW2SDPz7MGXGkdcOE93s47Iz1EdC8JCFUluZgD&#10;32hhQhfVCcUCQvK1tJ5OU7VVJXi4rSovAlEFRaQhnZgE5VU8s+mEjdeO2VryQwnsJSU8w6SZNJj0&#10;FGrOAiMbJ/8KpSV34KEKPQ4664AkRhBFP3/GzX3NrEhYkGpvT6T7/xeWf9jeOSLLgp5RYpjGhu8f&#10;vu9//Nr//EbOIj2N9WP0urfoF9q30OLQHO89XkbUbeV0/Ec8BO1I7u5ErmgD4fFRP7/ML0aUcLQN&#10;+6PBVWI/e3xtnQ/vBGgShYI6bF7ilG2XPmAl6Hp0ick8KFkupFJJcevVjXJky7DRi/SLReKTP9yU&#10;IU1Bz89GeYpsIL7v/JRB9wi2AxWl0K7aAwMrKHdIgINugrzlC4lVLpkPd8zhyCBmXKpwi0elAJPA&#10;QaKkBvf1X/fRHzuJVkoaHMGC+i8b5gQl6r3BHl/1h8M4s0kZji4GqLinltVTi9noG0DwfVxfy5MY&#10;/YM6ipUD/Rl3bxazookZjrkLGo7iTegWA3eXi9ksOeGUWhaW5t7yGDpSbWC2CVDJ1JJIU8fNgT2c&#10;00T7YafiIjzVk9fjd2T6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8UZ0XTAAAACAEAAA8AAAAA&#10;AAAAAQAgAAAAIgAAAGRycy9kb3ducmV2LnhtbFBLAQIUABQAAAAIAIdO4kAr2c04UgIAAI8EAAAO&#10;AAAAAAAAAAEAIAAAACIBAABkcnMvZTJvRG9jLnhtbFBLBQYAAAAABgAGAFkBAADmBQAAAAA=&#10;">
                      <v:fill on="t" focussize="0,0"/>
                      <v:stroke on="f" weight="0.5pt"/>
                      <v:imagedata o:title=""/>
                      <o:lock v:ext="edit" aspectratio="f"/>
                      <v:textbox>
                        <w:txbxContent>
                          <w:p w14:paraId="3A7468A2">
                            <w:pPr>
                              <w:ind w:left="0" w:leftChars="0" w:firstLine="0" w:firstLineChars="0"/>
                              <w:jc w:val="both"/>
                              <w:rPr>
                                <w:rFonts w:hint="default" w:eastAsia="宋体"/>
                                <w:sz w:val="15"/>
                                <w:szCs w:val="15"/>
                                <w:lang w:val="en-US" w:eastAsia="zh-CN"/>
                              </w:rPr>
                            </w:pPr>
                            <w:r>
                              <w:rPr>
                                <w:rFonts w:hint="eastAsia"/>
                                <w:sz w:val="15"/>
                                <w:szCs w:val="15"/>
                                <w:lang w:val="en-US" w:eastAsia="zh-CN"/>
                              </w:rPr>
                              <w:t>西区污水处理厂</w:t>
                            </w:r>
                          </w:p>
                        </w:txbxContent>
                      </v:textbox>
                    </v:shape>
                  </w:pict>
                </mc:Fallback>
              </mc:AlternateContent>
            </w:r>
            <w:r>
              <w:rPr>
                <w:rFonts w:hint="default" w:ascii="Times New Roman" w:hAnsi="Times New Roman" w:cs="Times New Roman"/>
                <w:color w:val="auto"/>
                <w:sz w:val="20"/>
              </w:rPr>
              <w:drawing>
                <wp:inline distT="0" distB="0" distL="0" distR="0">
                  <wp:extent cx="4895850" cy="1049655"/>
                  <wp:effectExtent l="0" t="0" r="0" b="17145"/>
                  <wp:docPr id="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a:picLocks noChangeAspect="1"/>
                          </pic:cNvPicPr>
                        </pic:nvPicPr>
                        <pic:blipFill>
                          <a:blip r:embed="rId11" cstate="print"/>
                          <a:stretch>
                            <a:fillRect/>
                          </a:stretch>
                        </pic:blipFill>
                        <pic:spPr>
                          <a:xfrm>
                            <a:off x="0" y="0"/>
                            <a:ext cx="4896301" cy="1050131"/>
                          </a:xfrm>
                          <a:prstGeom prst="rect">
                            <a:avLst/>
                          </a:prstGeom>
                        </pic:spPr>
                      </pic:pic>
                    </a:graphicData>
                  </a:graphic>
                </wp:inline>
              </w:drawing>
            </w:r>
          </w:p>
          <w:p w14:paraId="7EEA8A6A">
            <w:pPr>
              <w:jc w:val="center"/>
              <w:rPr>
                <w:rFonts w:hint="default" w:ascii="Times New Roman" w:hAnsi="Times New Roman" w:cs="Times New Roman"/>
                <w:b/>
                <w:bCs/>
                <w:color w:val="auto"/>
              </w:rPr>
            </w:pPr>
            <w:r>
              <w:rPr>
                <w:rFonts w:hint="default" w:ascii="Times New Roman" w:hAnsi="Times New Roman" w:cs="Times New Roman"/>
                <w:b/>
                <w:bCs/>
                <w:color w:val="auto"/>
              </w:rPr>
              <w:t>图</w:t>
            </w:r>
            <w:r>
              <w:rPr>
                <w:rFonts w:hint="default" w:ascii="Times New Roman" w:hAnsi="Times New Roman" w:cs="Times New Roman"/>
                <w:b/>
                <w:bCs/>
                <w:color w:val="auto"/>
                <w:lang w:val="en-US" w:eastAsia="zh-CN"/>
              </w:rPr>
              <w:t>4-1</w:t>
            </w:r>
            <w:r>
              <w:rPr>
                <w:rFonts w:hint="default" w:ascii="Times New Roman" w:hAnsi="Times New Roman" w:cs="Times New Roman"/>
                <w:b/>
                <w:bCs/>
                <w:color w:val="auto"/>
              </w:rPr>
              <w:tab/>
            </w:r>
            <w:r>
              <w:rPr>
                <w:rFonts w:hint="default" w:ascii="Times New Roman" w:hAnsi="Times New Roman" w:cs="Times New Roman"/>
                <w:b/>
                <w:bCs/>
                <w:color w:val="auto"/>
              </w:rPr>
              <w:t>污水处理工艺流程图</w:t>
            </w:r>
          </w:p>
          <w:p w14:paraId="46311C86">
            <w:pPr>
              <w:pStyle w:val="62"/>
              <w:keepNext w:val="0"/>
              <w:keepLines w:val="0"/>
              <w:pageBreakBefore w:val="0"/>
              <w:widowControl w:val="0"/>
              <w:kinsoku/>
              <w:wordWrap/>
              <w:overflowPunct/>
              <w:topLinePunct w:val="0"/>
              <w:autoSpaceDE/>
              <w:autoSpaceDN/>
              <w:bidi w:val="0"/>
              <w:adjustRightInd/>
              <w:snapToGrid/>
              <w:spacing w:line="360" w:lineRule="auto"/>
              <w:ind w:left="0" w:right="0" w:firstLine="559"/>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工艺简介：项目设备清洗废水中的有机悬浮颗粒较多，浓度</w:t>
            </w:r>
            <w:r>
              <w:rPr>
                <w:rFonts w:hint="default" w:ascii="Times New Roman" w:hAnsi="Times New Roman" w:eastAsia="宋体" w:cs="Times New Roman"/>
                <w:color w:val="auto"/>
                <w:spacing w:val="-7"/>
                <w:sz w:val="21"/>
                <w:szCs w:val="21"/>
              </w:rPr>
              <w:t>较大。项目污水站前端设置格栅网，用于拦截成片的奶渣、杂质</w:t>
            </w:r>
            <w:r>
              <w:rPr>
                <w:rFonts w:hint="default" w:ascii="Times New Roman" w:hAnsi="Times New Roman" w:eastAsia="宋体" w:cs="Times New Roman"/>
                <w:color w:val="auto"/>
                <w:spacing w:val="-13"/>
                <w:sz w:val="21"/>
                <w:szCs w:val="21"/>
              </w:rPr>
              <w:t xml:space="preserve">给后续工序稳定运行提供保障，随后污水进入调节池，进行 </w:t>
            </w:r>
            <w:r>
              <w:rPr>
                <w:rFonts w:hint="default" w:ascii="Times New Roman" w:hAnsi="Times New Roman" w:eastAsia="宋体" w:cs="Times New Roman"/>
                <w:color w:val="auto"/>
                <w:sz w:val="21"/>
                <w:szCs w:val="21"/>
              </w:rPr>
              <w:t>PH 调</w:t>
            </w:r>
            <w:r>
              <w:rPr>
                <w:rFonts w:hint="default" w:ascii="Times New Roman" w:hAnsi="Times New Roman" w:eastAsia="宋体" w:cs="Times New Roman"/>
                <w:color w:val="auto"/>
                <w:spacing w:val="-3"/>
                <w:sz w:val="21"/>
                <w:szCs w:val="21"/>
              </w:rPr>
              <w:t>节，保障流量稳定后进入后续处理单元。</w:t>
            </w:r>
          </w:p>
          <w:p w14:paraId="121DC4CC">
            <w:pPr>
              <w:pStyle w:val="62"/>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项目生化处理阶段主要采用“ABR+接触氧化”工艺进行处理。经过预处理后的污水进入 ABR（厌氧折流板反应器），ABR反应器中设置有一系列垂直折流板，将反应器分隔为多个串联的反应室，被处理的废水在反应器内沿折流板作上下流动，依次通过每个反应室的污泥床，废水中的有机基质通过与微生物接触而</w:t>
            </w:r>
            <w:r>
              <w:rPr>
                <w:rFonts w:hint="default" w:ascii="Times New Roman" w:hAnsi="Times New Roman" w:eastAsia="宋体" w:cs="Times New Roman"/>
                <w:color w:val="auto"/>
                <w:spacing w:val="-14"/>
                <w:sz w:val="21"/>
                <w:szCs w:val="21"/>
              </w:rPr>
              <w:t xml:space="preserve">得到去除。经过 </w:t>
            </w:r>
            <w:r>
              <w:rPr>
                <w:rFonts w:hint="default" w:ascii="Times New Roman" w:hAnsi="Times New Roman" w:eastAsia="宋体" w:cs="Times New Roman"/>
                <w:color w:val="auto"/>
                <w:sz w:val="21"/>
                <w:szCs w:val="21"/>
              </w:rPr>
              <w:t xml:space="preserve">ABR </w:t>
            </w:r>
            <w:r>
              <w:rPr>
                <w:rFonts w:hint="default" w:ascii="Times New Roman" w:hAnsi="Times New Roman" w:eastAsia="宋体" w:cs="Times New Roman"/>
                <w:color w:val="auto"/>
                <w:spacing w:val="-7"/>
                <w:sz w:val="21"/>
                <w:szCs w:val="21"/>
              </w:rPr>
              <w:t>反应器的处理，项目混合污水中的有机成分</w:t>
            </w:r>
            <w:r>
              <w:rPr>
                <w:rFonts w:hint="default" w:ascii="Times New Roman" w:hAnsi="Times New Roman" w:eastAsia="宋体" w:cs="Times New Roman"/>
                <w:color w:val="auto"/>
                <w:spacing w:val="-1"/>
                <w:sz w:val="21"/>
                <w:szCs w:val="21"/>
              </w:rPr>
              <w:t>大量减少，部分难分解的有机质被分解为小分子有机物，有效增</w:t>
            </w:r>
            <w:r>
              <w:rPr>
                <w:rFonts w:hint="default" w:ascii="Times New Roman" w:hAnsi="Times New Roman" w:eastAsia="宋体" w:cs="Times New Roman"/>
                <w:color w:val="auto"/>
                <w:spacing w:val="-3"/>
                <w:sz w:val="21"/>
                <w:szCs w:val="21"/>
              </w:rPr>
              <w:t>加了污水的可生化性。</w:t>
            </w:r>
          </w:p>
          <w:p w14:paraId="1433D347">
            <w:pPr>
              <w:pStyle w:val="10"/>
              <w:keepNext w:val="0"/>
              <w:keepLines w:val="0"/>
              <w:pageBreakBefore w:val="0"/>
              <w:widowControl/>
              <w:kinsoku/>
              <w:wordWrap/>
              <w:overflowPunct/>
              <w:topLinePunct w:val="0"/>
              <w:autoSpaceDE/>
              <w:autoSpaceDN/>
              <w:bidi w:val="0"/>
              <w:adjustRightInd/>
              <w:snapToGrid w:val="0"/>
              <w:spacing w:before="0" w:after="0" w:line="360" w:lineRule="auto"/>
              <w:ind w:left="0" w:right="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经 ABR反应器处理后的污水中含有仍然含有部分有机悬浮物和污泥，ABR 反应器后设置沉淀池由于对水质进行进一步优化， 以减轻后续接触氧化池处理负荷。</w:t>
            </w:r>
          </w:p>
          <w:p w14:paraId="75068160">
            <w:pPr>
              <w:pStyle w:val="10"/>
              <w:keepNext w:val="0"/>
              <w:keepLines w:val="0"/>
              <w:pageBreakBefore w:val="0"/>
              <w:widowControl/>
              <w:kinsoku/>
              <w:wordWrap/>
              <w:overflowPunct/>
              <w:topLinePunct w:val="0"/>
              <w:autoSpaceDE/>
              <w:autoSpaceDN/>
              <w:bidi w:val="0"/>
              <w:adjustRightInd/>
              <w:snapToGrid w:val="0"/>
              <w:spacing w:before="0" w:after="0" w:line="360" w:lineRule="auto"/>
              <w:ind w:left="0" w:right="0" w:firstLine="480"/>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沉淀上清液进入接触氧化池。生物接触氧化池是常见好氧生物膜处理工艺，经前期厌氧处理的经好氧池中生物膜处理后达到处理标准后进入</w:t>
            </w:r>
            <w:r>
              <w:rPr>
                <w:rFonts w:hint="default" w:ascii="Times New Roman" w:hAnsi="Times New Roman" w:cs="Times New Roman"/>
                <w:color w:val="auto"/>
                <w:kern w:val="2"/>
                <w:sz w:val="21"/>
                <w:szCs w:val="21"/>
                <w:lang w:val="en-US" w:eastAsia="zh-CN" w:bidi="ar-SA"/>
              </w:rPr>
              <w:t>园区</w:t>
            </w:r>
            <w:r>
              <w:rPr>
                <w:rFonts w:hint="default" w:ascii="Times New Roman" w:hAnsi="Times New Roman" w:eastAsia="宋体" w:cs="Times New Roman"/>
                <w:color w:val="auto"/>
                <w:kern w:val="2"/>
                <w:sz w:val="21"/>
                <w:szCs w:val="21"/>
                <w:lang w:val="en-US" w:eastAsia="zh-CN" w:bidi="ar-SA"/>
              </w:rPr>
              <w:t>污水管网。</w:t>
            </w:r>
          </w:p>
          <w:p w14:paraId="531C02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rPr>
              <w:t>依托集中式污水处理厂可行性分析</w:t>
            </w:r>
            <w:r>
              <w:rPr>
                <w:rFonts w:hint="default" w:ascii="Times New Roman" w:hAnsi="Times New Roman" w:cs="Times New Roman"/>
                <w:b/>
                <w:bCs/>
                <w:color w:val="auto"/>
                <w:lang w:eastAsia="zh-CN"/>
              </w:rPr>
              <w:t>：</w:t>
            </w:r>
          </w:p>
          <w:p w14:paraId="0258BE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园区西区污水处理厂</w:t>
            </w:r>
            <w:r>
              <w:rPr>
                <w:rFonts w:hint="default" w:ascii="Times New Roman" w:hAnsi="Times New Roman" w:eastAsia="宋体" w:cs="Times New Roman"/>
                <w:color w:val="auto"/>
                <w:sz w:val="21"/>
                <w:szCs w:val="21"/>
                <w:lang w:val="en-US" w:eastAsia="zh-CN"/>
              </w:rPr>
              <w:t>设计处理规模为0.125万m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/d，</w:t>
            </w:r>
            <w:r>
              <w:rPr>
                <w:rFonts w:hint="eastAsia" w:cs="Times New Roman"/>
                <w:color w:val="auto"/>
                <w:sz w:val="21"/>
                <w:szCs w:val="21"/>
                <w:lang w:val="en-US" w:eastAsia="zh-CN"/>
              </w:rPr>
              <w:t>采用</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/O+MBR池处理工艺，出水可满足《城镇污水处理厂污染物排放标准》(GB18918-2002)中一级A标准要求。本项目污水日产生量约</w:t>
            </w:r>
            <w:r>
              <w:rPr>
                <w:rFonts w:hint="default" w:ascii="Times New Roman" w:hAnsi="Times New Roman" w:cs="Times New Roman"/>
                <w:color w:val="auto"/>
                <w:sz w:val="21"/>
                <w:szCs w:val="21"/>
                <w:lang w:val="en-US" w:eastAsia="zh-CN"/>
              </w:rPr>
              <w:t>117.28</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/d，不会对该污水厂负荷造成影响。</w:t>
            </w:r>
          </w:p>
          <w:p w14:paraId="2350D1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排放口信息及监测计划</w:t>
            </w:r>
          </w:p>
          <w:p w14:paraId="118335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 4-</w:t>
            </w:r>
            <w:r>
              <w:rPr>
                <w:rFonts w:hint="eastAsia" w:cs="Times New Roman"/>
                <w:b/>
                <w:bCs/>
                <w:color w:val="auto"/>
                <w:sz w:val="21"/>
                <w:szCs w:val="21"/>
                <w:lang w:val="en-US" w:eastAsia="zh-CN"/>
              </w:rPr>
              <w:t>10</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治理措施情况分析</w:t>
            </w:r>
          </w:p>
          <w:tbl>
            <w:tblPr>
              <w:tblStyle w:val="20"/>
              <w:tblW w:w="825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14"/>
              <w:gridCol w:w="1960"/>
              <w:gridCol w:w="889"/>
              <w:gridCol w:w="965"/>
              <w:gridCol w:w="1097"/>
              <w:gridCol w:w="2331"/>
            </w:tblGrid>
            <w:tr w14:paraId="511F76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jc w:val="center"/>
              </w:trPr>
              <w:tc>
                <w:tcPr>
                  <w:tcW w:w="1014" w:type="dxa"/>
                  <w:tcBorders>
                    <w:left w:val="nil"/>
                    <w:bottom w:val="single" w:color="000000" w:sz="4" w:space="0"/>
                    <w:right w:val="single" w:color="000000" w:sz="4" w:space="0"/>
                  </w:tcBorders>
                  <w:vAlign w:val="center"/>
                </w:tcPr>
                <w:p w14:paraId="655F706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治理措施</w:t>
                  </w:r>
                </w:p>
                <w:p w14:paraId="0ABA09F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名称</w:t>
                  </w:r>
                </w:p>
              </w:tc>
              <w:tc>
                <w:tcPr>
                  <w:tcW w:w="1960" w:type="dxa"/>
                  <w:tcBorders>
                    <w:left w:val="single" w:color="000000" w:sz="4" w:space="0"/>
                    <w:bottom w:val="single" w:color="000000" w:sz="4" w:space="0"/>
                    <w:right w:val="single" w:color="000000" w:sz="4" w:space="0"/>
                  </w:tcBorders>
                  <w:vAlign w:val="center"/>
                </w:tcPr>
                <w:p w14:paraId="48A1D81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治理工艺</w:t>
                  </w:r>
                </w:p>
              </w:tc>
              <w:tc>
                <w:tcPr>
                  <w:tcW w:w="889" w:type="dxa"/>
                  <w:tcBorders>
                    <w:left w:val="single" w:color="000000" w:sz="4" w:space="0"/>
                    <w:bottom w:val="single" w:color="000000" w:sz="4" w:space="0"/>
                    <w:right w:val="single" w:color="000000" w:sz="4" w:space="0"/>
                  </w:tcBorders>
                  <w:vAlign w:val="center"/>
                </w:tcPr>
                <w:p w14:paraId="6A5E1B5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是否为可</w:t>
                  </w:r>
                </w:p>
                <w:p w14:paraId="6CAA162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行技术</w:t>
                  </w:r>
                </w:p>
              </w:tc>
              <w:tc>
                <w:tcPr>
                  <w:tcW w:w="965" w:type="dxa"/>
                  <w:tcBorders>
                    <w:left w:val="single" w:color="000000" w:sz="4" w:space="0"/>
                    <w:bottom w:val="single" w:color="000000" w:sz="4" w:space="0"/>
                    <w:right w:val="single" w:color="000000" w:sz="4" w:space="0"/>
                  </w:tcBorders>
                  <w:vAlign w:val="center"/>
                </w:tcPr>
                <w:p w14:paraId="6045F24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排放方式</w:t>
                  </w:r>
                </w:p>
              </w:tc>
              <w:tc>
                <w:tcPr>
                  <w:tcW w:w="1097" w:type="dxa"/>
                  <w:tcBorders>
                    <w:left w:val="single" w:color="000000" w:sz="4" w:space="0"/>
                    <w:bottom w:val="single" w:color="000000" w:sz="4" w:space="0"/>
                    <w:right w:val="single" w:color="000000" w:sz="4" w:space="0"/>
                  </w:tcBorders>
                  <w:vAlign w:val="center"/>
                </w:tcPr>
                <w:p w14:paraId="1920B72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排放规律</w:t>
                  </w:r>
                </w:p>
              </w:tc>
              <w:tc>
                <w:tcPr>
                  <w:tcW w:w="2331" w:type="dxa"/>
                  <w:tcBorders>
                    <w:left w:val="single" w:color="000000" w:sz="4" w:space="0"/>
                    <w:bottom w:val="single" w:color="000000" w:sz="4" w:space="0"/>
                    <w:right w:val="nil"/>
                  </w:tcBorders>
                  <w:vAlign w:val="center"/>
                </w:tcPr>
                <w:p w14:paraId="6558CD4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排放去向</w:t>
                  </w:r>
                </w:p>
              </w:tc>
            </w:tr>
            <w:tr w14:paraId="04B83F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jc w:val="center"/>
              </w:trPr>
              <w:tc>
                <w:tcPr>
                  <w:tcW w:w="1014" w:type="dxa"/>
                  <w:tcBorders>
                    <w:top w:val="single" w:color="000000" w:sz="4" w:space="0"/>
                    <w:left w:val="nil"/>
                    <w:bottom w:val="single" w:color="000000" w:sz="4" w:space="0"/>
                    <w:right w:val="single" w:color="000000" w:sz="4" w:space="0"/>
                  </w:tcBorders>
                  <w:vAlign w:val="center"/>
                </w:tcPr>
                <w:p w14:paraId="3BBECF7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综合污水</w:t>
                  </w:r>
                </w:p>
                <w:p w14:paraId="0A51791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处理站</w:t>
                  </w:r>
                </w:p>
              </w:tc>
              <w:tc>
                <w:tcPr>
                  <w:tcW w:w="1960" w:type="dxa"/>
                  <w:tcBorders>
                    <w:top w:val="single" w:color="000000" w:sz="4" w:space="0"/>
                    <w:left w:val="single" w:color="000000" w:sz="4" w:space="0"/>
                    <w:bottom w:val="single" w:color="000000" w:sz="4" w:space="0"/>
                    <w:right w:val="single" w:color="000000" w:sz="4" w:space="0"/>
                  </w:tcBorders>
                  <w:vAlign w:val="center"/>
                </w:tcPr>
                <w:p w14:paraId="1B5D2EE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预处理+ABR+接触</w:t>
                  </w:r>
                </w:p>
                <w:p w14:paraId="7A62D0A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氧化法</w:t>
                  </w:r>
                </w:p>
              </w:tc>
              <w:tc>
                <w:tcPr>
                  <w:tcW w:w="889" w:type="dxa"/>
                  <w:tcBorders>
                    <w:top w:val="single" w:color="000000" w:sz="4" w:space="0"/>
                    <w:left w:val="single" w:color="000000" w:sz="4" w:space="0"/>
                    <w:bottom w:val="single" w:color="000000" w:sz="4" w:space="0"/>
                    <w:right w:val="single" w:color="000000" w:sz="4" w:space="0"/>
                  </w:tcBorders>
                  <w:vAlign w:val="center"/>
                </w:tcPr>
                <w:p w14:paraId="0C15B2B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c>
                <w:tcPr>
                  <w:tcW w:w="965" w:type="dxa"/>
                  <w:tcBorders>
                    <w:top w:val="single" w:color="000000" w:sz="4" w:space="0"/>
                    <w:left w:val="single" w:color="000000" w:sz="4" w:space="0"/>
                    <w:bottom w:val="single" w:color="000000" w:sz="4" w:space="0"/>
                    <w:right w:val="single" w:color="000000" w:sz="4" w:space="0"/>
                  </w:tcBorders>
                  <w:vAlign w:val="center"/>
                </w:tcPr>
                <w:p w14:paraId="116ADF0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间接排放</w:t>
                  </w:r>
                </w:p>
              </w:tc>
              <w:tc>
                <w:tcPr>
                  <w:tcW w:w="1097" w:type="dxa"/>
                  <w:tcBorders>
                    <w:top w:val="single" w:color="000000" w:sz="4" w:space="0"/>
                    <w:left w:val="single" w:color="000000" w:sz="4" w:space="0"/>
                    <w:bottom w:val="single" w:color="000000" w:sz="4" w:space="0"/>
                    <w:right w:val="single" w:color="000000" w:sz="4" w:space="0"/>
                  </w:tcBorders>
                  <w:vAlign w:val="center"/>
                </w:tcPr>
                <w:p w14:paraId="65861A6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间歇式排放</w:t>
                  </w:r>
                </w:p>
              </w:tc>
              <w:tc>
                <w:tcPr>
                  <w:tcW w:w="2331" w:type="dxa"/>
                  <w:tcBorders>
                    <w:top w:val="single" w:color="000000" w:sz="4" w:space="0"/>
                    <w:left w:val="single" w:color="000000" w:sz="4" w:space="0"/>
                    <w:bottom w:val="single" w:color="000000" w:sz="4" w:space="0"/>
                    <w:right w:val="nil"/>
                  </w:tcBorders>
                  <w:vAlign w:val="center"/>
                </w:tcPr>
                <w:p w14:paraId="0061F24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进入</w:t>
                  </w:r>
                  <w:r>
                    <w:rPr>
                      <w:rFonts w:hint="default" w:ascii="Times New Roman" w:hAnsi="Times New Roman" w:cs="Times New Roman"/>
                      <w:color w:val="auto"/>
                      <w:sz w:val="21"/>
                      <w:szCs w:val="21"/>
                      <w:lang w:val="en-US" w:eastAsia="zh-CN"/>
                    </w:rPr>
                    <w:t>园区</w:t>
                  </w:r>
                  <w:r>
                    <w:rPr>
                      <w:rFonts w:hint="default" w:ascii="Times New Roman" w:hAnsi="Times New Roman" w:eastAsia="宋体" w:cs="Times New Roman"/>
                      <w:color w:val="auto"/>
                      <w:sz w:val="21"/>
                      <w:szCs w:val="21"/>
                      <w:lang w:val="en-US" w:eastAsia="zh-CN"/>
                    </w:rPr>
                    <w:t>管网，最终</w:t>
                  </w:r>
                </w:p>
                <w:p w14:paraId="07A67E7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进入</w:t>
                  </w:r>
                  <w:r>
                    <w:rPr>
                      <w:rFonts w:hint="default" w:ascii="Times New Roman" w:hAnsi="Times New Roman" w:cs="Times New Roman"/>
                      <w:color w:val="auto"/>
                      <w:sz w:val="21"/>
                      <w:szCs w:val="21"/>
                      <w:lang w:val="en-US" w:eastAsia="zh-CN"/>
                    </w:rPr>
                    <w:t>园区西区</w:t>
                  </w:r>
                  <w:r>
                    <w:rPr>
                      <w:rFonts w:hint="default" w:ascii="Times New Roman" w:hAnsi="Times New Roman" w:eastAsia="宋体" w:cs="Times New Roman"/>
                      <w:color w:val="auto"/>
                      <w:sz w:val="21"/>
                      <w:szCs w:val="21"/>
                      <w:lang w:val="en-US" w:eastAsia="zh-CN"/>
                    </w:rPr>
                    <w:t>污水处理厂</w:t>
                  </w:r>
                </w:p>
              </w:tc>
            </w:tr>
          </w:tbl>
          <w:p w14:paraId="5143D7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 4-</w:t>
            </w:r>
            <w:r>
              <w:rPr>
                <w:rFonts w:hint="eastAsia" w:cs="Times New Roman"/>
                <w:b/>
                <w:bCs/>
                <w:color w:val="auto"/>
                <w:sz w:val="21"/>
                <w:szCs w:val="21"/>
                <w:lang w:val="en-US" w:eastAsia="zh-CN"/>
              </w:rPr>
              <w:t>11</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排放口基本信息及监测计划一览表</w:t>
            </w:r>
          </w:p>
          <w:tbl>
            <w:tblPr>
              <w:tblStyle w:val="20"/>
              <w:tblW w:w="8288"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326"/>
              <w:gridCol w:w="3280"/>
              <w:gridCol w:w="1395"/>
              <w:gridCol w:w="2287"/>
            </w:tblGrid>
            <w:tr w14:paraId="30D35B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326" w:type="dxa"/>
                  <w:tcBorders>
                    <w:tl2br w:val="nil"/>
                    <w:tr2bl w:val="nil"/>
                  </w:tcBorders>
                  <w:vAlign w:val="center"/>
                </w:tcPr>
                <w:p w14:paraId="5261564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监测点位</w:t>
                  </w:r>
                </w:p>
              </w:tc>
              <w:tc>
                <w:tcPr>
                  <w:tcW w:w="3280" w:type="dxa"/>
                  <w:tcBorders>
                    <w:tl2br w:val="nil"/>
                    <w:tr2bl w:val="nil"/>
                  </w:tcBorders>
                  <w:vAlign w:val="center"/>
                </w:tcPr>
                <w:p w14:paraId="1036677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监测因子</w:t>
                  </w:r>
                </w:p>
              </w:tc>
              <w:tc>
                <w:tcPr>
                  <w:tcW w:w="1395" w:type="dxa"/>
                  <w:tcBorders>
                    <w:tl2br w:val="nil"/>
                    <w:tr2bl w:val="nil"/>
                  </w:tcBorders>
                  <w:vAlign w:val="center"/>
                </w:tcPr>
                <w:p w14:paraId="77D4EAD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监测频次</w:t>
                  </w:r>
                </w:p>
              </w:tc>
              <w:tc>
                <w:tcPr>
                  <w:tcW w:w="2287" w:type="dxa"/>
                  <w:tcBorders>
                    <w:tl2br w:val="nil"/>
                    <w:tr2bl w:val="nil"/>
                  </w:tcBorders>
                  <w:vAlign w:val="center"/>
                </w:tcPr>
                <w:p w14:paraId="0ACEA65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排放标准</w:t>
                  </w:r>
                </w:p>
              </w:tc>
            </w:tr>
            <w:tr w14:paraId="0910CEC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1326" w:type="dxa"/>
                  <w:tcBorders>
                    <w:tl2br w:val="nil"/>
                    <w:tr2bl w:val="nil"/>
                  </w:tcBorders>
                  <w:vAlign w:val="center"/>
                </w:tcPr>
                <w:p w14:paraId="40D1368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综合污水总排口</w:t>
                  </w:r>
                </w:p>
              </w:tc>
              <w:tc>
                <w:tcPr>
                  <w:tcW w:w="3280" w:type="dxa"/>
                  <w:tcBorders>
                    <w:tl2br w:val="nil"/>
                    <w:tr2bl w:val="nil"/>
                  </w:tcBorders>
                  <w:vAlign w:val="center"/>
                </w:tcPr>
                <w:p w14:paraId="1536FBD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pH值、化学需氧量、氨氮、总氮</w:t>
                  </w:r>
                </w:p>
              </w:tc>
              <w:tc>
                <w:tcPr>
                  <w:tcW w:w="1395" w:type="dxa"/>
                  <w:tcBorders>
                    <w:tl2br w:val="nil"/>
                    <w:tr2bl w:val="nil"/>
                  </w:tcBorders>
                  <w:vAlign w:val="center"/>
                </w:tcPr>
                <w:p w14:paraId="2911AF8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半年/次</w:t>
                  </w:r>
                </w:p>
              </w:tc>
              <w:tc>
                <w:tcPr>
                  <w:tcW w:w="2287" w:type="dxa"/>
                  <w:tcBorders>
                    <w:tl2br w:val="nil"/>
                    <w:tr2bl w:val="nil"/>
                  </w:tcBorders>
                  <w:vAlign w:val="center"/>
                </w:tcPr>
                <w:p w14:paraId="6D57D43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GB8978三级标准</w:t>
                  </w:r>
                </w:p>
              </w:tc>
            </w:tr>
          </w:tbl>
          <w:p w14:paraId="221F2B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3、声环境影响及保护措施</w:t>
            </w:r>
          </w:p>
          <w:p w14:paraId="05BAF2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本项目主要噪声源为喷雾干燥塔、热灌装机、污水站水泵等，其噪声值在75-90dB（A）之间，见下表4-</w:t>
            </w:r>
            <w:r>
              <w:rPr>
                <w:rFonts w:hint="default" w:ascii="Times New Roman" w:hAnsi="Times New Roman" w:cs="Times New Roman"/>
                <w:color w:val="auto"/>
                <w:sz w:val="21"/>
                <w:szCs w:val="21"/>
                <w:lang w:val="en-US" w:eastAsia="zh-CN"/>
              </w:rPr>
              <w:t>1</w:t>
            </w:r>
            <w:r>
              <w:rPr>
                <w:rFonts w:hint="eastAsia"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w:t>
            </w:r>
          </w:p>
          <w:p w14:paraId="38C47BA9">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表</w:t>
            </w:r>
            <w:r>
              <w:rPr>
                <w:rFonts w:hint="default" w:ascii="Times New Roman" w:hAnsi="Times New Roman" w:eastAsia="宋体" w:cs="Times New Roman"/>
                <w:b/>
                <w:bCs/>
                <w:color w:val="auto"/>
                <w:lang w:val="en-US" w:eastAsia="zh-CN"/>
              </w:rPr>
              <w:t>4-</w:t>
            </w:r>
            <w:r>
              <w:rPr>
                <w:rFonts w:hint="default" w:ascii="Times New Roman" w:hAnsi="Times New Roman" w:cs="Times New Roman"/>
                <w:b/>
                <w:bCs/>
                <w:color w:val="auto"/>
                <w:lang w:val="en-US" w:eastAsia="zh-CN"/>
              </w:rPr>
              <w:t>1</w:t>
            </w:r>
            <w:r>
              <w:rPr>
                <w:rFonts w:hint="eastAsia" w:cs="Times New Roman"/>
                <w:b/>
                <w:bCs/>
                <w:color w:val="auto"/>
                <w:lang w:val="en-US" w:eastAsia="zh-CN"/>
              </w:rPr>
              <w:t>2</w:t>
            </w:r>
            <w:r>
              <w:rPr>
                <w:rFonts w:hint="default" w:ascii="Times New Roman" w:hAnsi="Times New Roman" w:cs="Times New Roman"/>
                <w:b/>
                <w:bCs/>
                <w:color w:val="auto"/>
                <w:lang w:val="en-US" w:eastAsia="zh-CN"/>
              </w:rPr>
              <w:t xml:space="preserve">  </w:t>
            </w:r>
            <w:r>
              <w:rPr>
                <w:rFonts w:hint="default" w:ascii="Times New Roman" w:hAnsi="Times New Roman" w:eastAsia="宋体" w:cs="Times New Roman"/>
                <w:b/>
                <w:bCs/>
                <w:color w:val="auto"/>
                <w:lang w:val="zh-CN" w:eastAsia="zh-CN"/>
              </w:rPr>
              <w:t>运营期</w:t>
            </w:r>
            <w:r>
              <w:rPr>
                <w:rFonts w:hint="default" w:ascii="Times New Roman" w:hAnsi="Times New Roman" w:eastAsia="宋体" w:cs="Times New Roman"/>
                <w:b/>
                <w:bCs/>
                <w:color w:val="auto"/>
                <w:lang w:val="en-US" w:eastAsia="zh-CN"/>
              </w:rPr>
              <w:t>主要设备噪声源强及治理措施       单位：dB（A）</w:t>
            </w:r>
          </w:p>
          <w:tbl>
            <w:tblPr>
              <w:tblStyle w:val="20"/>
              <w:tblW w:w="8288"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07"/>
              <w:gridCol w:w="1684"/>
              <w:gridCol w:w="1573"/>
              <w:gridCol w:w="806"/>
              <w:gridCol w:w="2367"/>
              <w:gridCol w:w="1151"/>
            </w:tblGrid>
            <w:tr w14:paraId="0BC4571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7" w:type="dxa"/>
                  <w:tcBorders>
                    <w:tl2br w:val="nil"/>
                    <w:tr2bl w:val="nil"/>
                  </w:tcBorders>
                  <w:vAlign w:val="center"/>
                </w:tcPr>
                <w:p w14:paraId="04CF10C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684" w:type="dxa"/>
                  <w:tcBorders>
                    <w:tl2br w:val="nil"/>
                    <w:tr2bl w:val="nil"/>
                  </w:tcBorders>
                  <w:vAlign w:val="center"/>
                </w:tcPr>
                <w:p w14:paraId="540FD77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主要声源设备</w:t>
                  </w:r>
                </w:p>
              </w:tc>
              <w:tc>
                <w:tcPr>
                  <w:tcW w:w="1573" w:type="dxa"/>
                  <w:tcBorders>
                    <w:tl2br w:val="nil"/>
                    <w:tr2bl w:val="nil"/>
                  </w:tcBorders>
                  <w:vAlign w:val="center"/>
                </w:tcPr>
                <w:p w14:paraId="36C5363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监测位置</w:t>
                  </w:r>
                </w:p>
              </w:tc>
              <w:tc>
                <w:tcPr>
                  <w:tcW w:w="806" w:type="dxa"/>
                  <w:tcBorders>
                    <w:tl2br w:val="nil"/>
                    <w:tr2bl w:val="nil"/>
                  </w:tcBorders>
                  <w:vAlign w:val="center"/>
                </w:tcPr>
                <w:p w14:paraId="38FCD32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声压级</w:t>
                  </w:r>
                </w:p>
              </w:tc>
              <w:tc>
                <w:tcPr>
                  <w:tcW w:w="2367" w:type="dxa"/>
                  <w:tcBorders>
                    <w:tl2br w:val="nil"/>
                    <w:tr2bl w:val="nil"/>
                  </w:tcBorders>
                  <w:vAlign w:val="center"/>
                </w:tcPr>
                <w:p w14:paraId="0553172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常见隔声措施</w:t>
                  </w:r>
                  <w:r>
                    <w:rPr>
                      <w:rFonts w:hint="default" w:ascii="Times New Roman" w:hAnsi="Times New Roman" w:eastAsia="宋体" w:cs="Times New Roman"/>
                      <w:color w:val="auto"/>
                      <w:sz w:val="21"/>
                      <w:szCs w:val="21"/>
                      <w:lang w:eastAsia="zh-CN"/>
                    </w:rPr>
                    <w:t>及</w:t>
                  </w:r>
                </w:p>
                <w:p w14:paraId="1D3D424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降噪效果</w:t>
                  </w:r>
                </w:p>
              </w:tc>
              <w:tc>
                <w:tcPr>
                  <w:tcW w:w="1151" w:type="dxa"/>
                  <w:tcBorders>
                    <w:tl2br w:val="nil"/>
                    <w:tr2bl w:val="nil"/>
                  </w:tcBorders>
                  <w:vAlign w:val="center"/>
                </w:tcPr>
                <w:p w14:paraId="270A916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降噪声压级</w:t>
                  </w:r>
                </w:p>
              </w:tc>
            </w:tr>
            <w:tr w14:paraId="79D694D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7" w:type="dxa"/>
                  <w:tcBorders>
                    <w:tl2br w:val="nil"/>
                    <w:tr2bl w:val="nil"/>
                  </w:tcBorders>
                  <w:vAlign w:val="center"/>
                </w:tcPr>
                <w:p w14:paraId="07EBC3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684" w:type="dxa"/>
                  <w:tcBorders>
                    <w:tl2br w:val="nil"/>
                    <w:tr2bl w:val="nil"/>
                  </w:tcBorders>
                  <w:vAlign w:val="top"/>
                </w:tcPr>
                <w:p w14:paraId="212304FA">
                  <w:pPr>
                    <w:pStyle w:val="36"/>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喷雾干燥塔</w:t>
                  </w:r>
                </w:p>
              </w:tc>
              <w:tc>
                <w:tcPr>
                  <w:tcW w:w="1573" w:type="dxa"/>
                  <w:tcBorders>
                    <w:tl2br w:val="nil"/>
                    <w:tr2bl w:val="nil"/>
                  </w:tcBorders>
                  <w:vAlign w:val="center"/>
                </w:tcPr>
                <w:p w14:paraId="776F7AA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设备外1m</w:t>
                  </w:r>
                </w:p>
              </w:tc>
              <w:tc>
                <w:tcPr>
                  <w:tcW w:w="806" w:type="dxa"/>
                  <w:tcBorders>
                    <w:tl2br w:val="nil"/>
                    <w:tr2bl w:val="nil"/>
                  </w:tcBorders>
                  <w:vAlign w:val="center"/>
                </w:tcPr>
                <w:p w14:paraId="0CDB590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2367" w:type="dxa"/>
                  <w:tcBorders>
                    <w:tl2br w:val="nil"/>
                    <w:tr2bl w:val="nil"/>
                  </w:tcBorders>
                  <w:vAlign w:val="center"/>
                </w:tcPr>
                <w:p w14:paraId="1CC1DD3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基础减震，15</w:t>
                  </w:r>
                  <w:r>
                    <w:rPr>
                      <w:rFonts w:hint="default" w:ascii="Times New Roman" w:hAnsi="Times New Roman" w:eastAsia="宋体" w:cs="Times New Roman"/>
                      <w:color w:val="auto"/>
                      <w:sz w:val="21"/>
                      <w:szCs w:val="21"/>
                      <w:lang w:eastAsia="zh-CN"/>
                    </w:rPr>
                    <w:t>dB（A）</w:t>
                  </w:r>
                </w:p>
              </w:tc>
              <w:tc>
                <w:tcPr>
                  <w:tcW w:w="1151" w:type="dxa"/>
                  <w:tcBorders>
                    <w:tl2br w:val="nil"/>
                    <w:tr2bl w:val="nil"/>
                  </w:tcBorders>
                  <w:vAlign w:val="center"/>
                </w:tcPr>
                <w:p w14:paraId="3D7BF58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w:t>
                  </w:r>
                </w:p>
              </w:tc>
            </w:tr>
            <w:tr w14:paraId="051958D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7" w:type="dxa"/>
                  <w:tcBorders>
                    <w:tl2br w:val="nil"/>
                    <w:tr2bl w:val="nil"/>
                  </w:tcBorders>
                  <w:vAlign w:val="center"/>
                </w:tcPr>
                <w:p w14:paraId="3D8992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684" w:type="dxa"/>
                  <w:tcBorders>
                    <w:tl2br w:val="nil"/>
                    <w:tr2bl w:val="nil"/>
                  </w:tcBorders>
                  <w:vAlign w:val="top"/>
                </w:tcPr>
                <w:p w14:paraId="3A606138">
                  <w:pPr>
                    <w:pStyle w:val="36"/>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热灌装机</w:t>
                  </w:r>
                </w:p>
              </w:tc>
              <w:tc>
                <w:tcPr>
                  <w:tcW w:w="1573" w:type="dxa"/>
                  <w:tcBorders>
                    <w:tl2br w:val="nil"/>
                    <w:tr2bl w:val="nil"/>
                  </w:tcBorders>
                  <w:vAlign w:val="center"/>
                </w:tcPr>
                <w:p w14:paraId="65E0BFE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设备外1m</w:t>
                  </w:r>
                </w:p>
              </w:tc>
              <w:tc>
                <w:tcPr>
                  <w:tcW w:w="806" w:type="dxa"/>
                  <w:tcBorders>
                    <w:tl2br w:val="nil"/>
                    <w:tr2bl w:val="nil"/>
                  </w:tcBorders>
                  <w:vAlign w:val="center"/>
                </w:tcPr>
                <w:p w14:paraId="619C81F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2367" w:type="dxa"/>
                  <w:tcBorders>
                    <w:tl2br w:val="nil"/>
                    <w:tr2bl w:val="nil"/>
                  </w:tcBorders>
                  <w:vAlign w:val="center"/>
                </w:tcPr>
                <w:p w14:paraId="476AE84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基础减震，15</w:t>
                  </w:r>
                  <w:r>
                    <w:rPr>
                      <w:rFonts w:hint="default" w:ascii="Times New Roman" w:hAnsi="Times New Roman" w:eastAsia="宋体" w:cs="Times New Roman"/>
                      <w:color w:val="auto"/>
                      <w:sz w:val="21"/>
                      <w:szCs w:val="21"/>
                      <w:lang w:eastAsia="zh-CN"/>
                    </w:rPr>
                    <w:t>dB（A）</w:t>
                  </w:r>
                </w:p>
              </w:tc>
              <w:tc>
                <w:tcPr>
                  <w:tcW w:w="1151" w:type="dxa"/>
                  <w:tcBorders>
                    <w:tl2br w:val="nil"/>
                    <w:tr2bl w:val="nil"/>
                  </w:tcBorders>
                  <w:vAlign w:val="center"/>
                </w:tcPr>
                <w:p w14:paraId="6025F5E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w:t>
                  </w:r>
                </w:p>
              </w:tc>
            </w:tr>
            <w:tr w14:paraId="69B4C13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07" w:type="dxa"/>
                  <w:tcBorders>
                    <w:tl2br w:val="nil"/>
                    <w:tr2bl w:val="nil"/>
                  </w:tcBorders>
                  <w:vAlign w:val="center"/>
                </w:tcPr>
                <w:p w14:paraId="389EF7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1684" w:type="dxa"/>
                  <w:tcBorders>
                    <w:tl2br w:val="nil"/>
                    <w:tr2bl w:val="nil"/>
                  </w:tcBorders>
                  <w:vAlign w:val="top"/>
                </w:tcPr>
                <w:p w14:paraId="4098479C">
                  <w:pPr>
                    <w:pStyle w:val="36"/>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污水站水泵</w:t>
                  </w:r>
                </w:p>
              </w:tc>
              <w:tc>
                <w:tcPr>
                  <w:tcW w:w="1573" w:type="dxa"/>
                  <w:tcBorders>
                    <w:tl2br w:val="nil"/>
                    <w:tr2bl w:val="nil"/>
                  </w:tcBorders>
                  <w:vAlign w:val="center"/>
                </w:tcPr>
                <w:p w14:paraId="6331B1A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设备外1m</w:t>
                  </w:r>
                </w:p>
              </w:tc>
              <w:tc>
                <w:tcPr>
                  <w:tcW w:w="806" w:type="dxa"/>
                  <w:tcBorders>
                    <w:tl2br w:val="nil"/>
                    <w:tr2bl w:val="nil"/>
                  </w:tcBorders>
                  <w:vAlign w:val="center"/>
                </w:tcPr>
                <w:p w14:paraId="7C0B473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w:t>
                  </w:r>
                </w:p>
              </w:tc>
              <w:tc>
                <w:tcPr>
                  <w:tcW w:w="2367" w:type="dxa"/>
                  <w:tcBorders>
                    <w:tl2br w:val="nil"/>
                    <w:tr2bl w:val="nil"/>
                  </w:tcBorders>
                  <w:vAlign w:val="center"/>
                </w:tcPr>
                <w:p w14:paraId="0EE3AF1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基础减震，10</w:t>
                  </w:r>
                  <w:r>
                    <w:rPr>
                      <w:rFonts w:hint="default" w:ascii="Times New Roman" w:hAnsi="Times New Roman" w:eastAsia="宋体" w:cs="Times New Roman"/>
                      <w:color w:val="auto"/>
                      <w:sz w:val="21"/>
                      <w:szCs w:val="21"/>
                      <w:lang w:eastAsia="zh-CN"/>
                    </w:rPr>
                    <w:t>dB（A）</w:t>
                  </w:r>
                </w:p>
              </w:tc>
              <w:tc>
                <w:tcPr>
                  <w:tcW w:w="1151" w:type="dxa"/>
                  <w:tcBorders>
                    <w:tl2br w:val="nil"/>
                    <w:tr2bl w:val="nil"/>
                  </w:tcBorders>
                  <w:vAlign w:val="center"/>
                </w:tcPr>
                <w:p w14:paraId="49364C2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65</w:t>
                  </w:r>
                </w:p>
              </w:tc>
            </w:tr>
          </w:tbl>
          <w:p w14:paraId="314CA29C">
            <w:pPr>
              <w:pStyle w:val="63"/>
              <w:widowControl/>
              <w:ind w:firstLine="316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3.2声环境影响预测模式</w:t>
            </w:r>
          </w:p>
          <w:p w14:paraId="1C91E69E">
            <w:pPr>
              <w:pStyle w:val="63"/>
              <w:widowControl/>
              <w:ind w:firstLine="316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本次评价采用《环境影响评价技术导则  声环境》（HJ2.4-2021）的推荐模式。车间作业时设备同时运行，多个噪声源叠加的综合噪声计算公式如下：</w:t>
            </w:r>
          </w:p>
          <w:p w14:paraId="19C543BF">
            <w:pPr>
              <w:widowControl/>
              <w:ind w:firstLine="1260" w:firstLineChars="6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object>
                <v:shape id="_x0000_i1026" o:spt="75" type="#_x0000_t75" style="height:36pt;width:104.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14:paraId="3ABE4B10">
            <w:pPr>
              <w:widowControl/>
              <w:ind w:firstLine="316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式中：</w:t>
            </w:r>
            <w:r>
              <w:rPr>
                <w:rFonts w:hint="default" w:ascii="Times New Roman" w:hAnsi="Times New Roman" w:cs="Times New Roman"/>
                <w:color w:val="auto"/>
                <w:sz w:val="21"/>
                <w:szCs w:val="21"/>
              </w:rPr>
              <w:object>
                <v:shape id="_x0000_i1027" o:spt="75" type="#_x0000_t75" style="height:17.25pt;width:15.7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hint="default" w:ascii="Times New Roman" w:hAnsi="Times New Roman" w:cs="Times New Roman"/>
                <w:color w:val="auto"/>
                <w:sz w:val="21"/>
                <w:szCs w:val="21"/>
              </w:rPr>
              <w:t>—多个噪声源叠加的综合噪声声级，dB（A）；</w:t>
            </w:r>
          </w:p>
          <w:p w14:paraId="382297F1">
            <w:pPr>
              <w:widowControl/>
              <w:ind w:firstLine="1050" w:firstLineChars="5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object>
                <v:shape id="_x0000_i1028" o:spt="75" type="#_x0000_t75" style="height:18pt;width:12.7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rFonts w:hint="default" w:ascii="Times New Roman" w:hAnsi="Times New Roman" w:cs="Times New Roman"/>
                <w:color w:val="auto"/>
                <w:sz w:val="21"/>
                <w:szCs w:val="21"/>
              </w:rPr>
              <w:t>—第I个噪声源的声级，dB（A）；</w:t>
            </w:r>
          </w:p>
          <w:p w14:paraId="24B160AD">
            <w:pPr>
              <w:widowControl/>
              <w:ind w:firstLine="1050" w:firstLineChars="5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object>
                <v:shape id="_x0000_i1029" o:spt="75" type="#_x0000_t75" style="height:11.25pt;width:9.75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r>
              <w:rPr>
                <w:rFonts w:hint="default" w:ascii="Times New Roman" w:hAnsi="Times New Roman" w:cs="Times New Roman"/>
                <w:color w:val="auto"/>
                <w:sz w:val="21"/>
                <w:szCs w:val="21"/>
              </w:rPr>
              <w:t>—噪声源的个数。</w:t>
            </w:r>
          </w:p>
          <w:p w14:paraId="3379B1C0">
            <w:pPr>
              <w:widowControl/>
              <w:autoSpaceDE w:val="0"/>
              <w:autoSpaceDN w:val="0"/>
              <w:ind w:firstLine="316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噪声衰减按照工业噪声预测计算模式进行预测，公式如下：</w:t>
            </w:r>
          </w:p>
          <w:p w14:paraId="1EA8B9C0">
            <w:pPr>
              <w:widowControl/>
              <w:autoSpaceDE w:val="0"/>
              <w:autoSpaceDN w:val="0"/>
              <w:ind w:firstLine="1050" w:firstLineChars="5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LA</w:t>
            </w:r>
            <w:r>
              <w:rPr>
                <w:rFonts w:hint="default" w:ascii="Times New Roman" w:hAnsi="Times New Roman" w:cs="Times New Roman"/>
                <w:color w:val="auto"/>
                <w:sz w:val="21"/>
                <w:szCs w:val="21"/>
                <w:vertAlign w:val="subscript"/>
              </w:rPr>
              <w:t>(r)</w:t>
            </w:r>
            <w:r>
              <w:rPr>
                <w:rFonts w:hint="default" w:ascii="Times New Roman" w:hAnsi="Times New Roman" w:cs="Times New Roman"/>
                <w:color w:val="auto"/>
                <w:sz w:val="21"/>
                <w:szCs w:val="21"/>
              </w:rPr>
              <w:t>=LA</w:t>
            </w:r>
            <w:r>
              <w:rPr>
                <w:rFonts w:hint="default" w:ascii="Times New Roman" w:hAnsi="Times New Roman" w:cs="Times New Roman"/>
                <w:color w:val="auto"/>
                <w:sz w:val="21"/>
                <w:szCs w:val="21"/>
                <w:vertAlign w:val="subscript"/>
              </w:rPr>
              <w:t>(r0)</w:t>
            </w:r>
            <w:r>
              <w:rPr>
                <w:rFonts w:hint="default" w:ascii="Times New Roman" w:hAnsi="Times New Roman" w:cs="Times New Roman"/>
                <w:color w:val="auto"/>
                <w:sz w:val="21"/>
                <w:szCs w:val="21"/>
              </w:rPr>
              <w:t>－20×lg(r/r</w:t>
            </w:r>
            <w:r>
              <w:rPr>
                <w:rFonts w:hint="default" w:ascii="Times New Roman" w:hAnsi="Times New Roman" w:cs="Times New Roman"/>
                <w:color w:val="auto"/>
                <w:sz w:val="21"/>
                <w:szCs w:val="21"/>
                <w:vertAlign w:val="subscript"/>
              </w:rPr>
              <w:t>0</w:t>
            </w:r>
            <w:r>
              <w:rPr>
                <w:rFonts w:hint="default" w:ascii="Times New Roman" w:hAnsi="Times New Roman" w:cs="Times New Roman"/>
                <w:color w:val="auto"/>
                <w:sz w:val="21"/>
                <w:szCs w:val="21"/>
              </w:rPr>
              <w:t>)</w:t>
            </w:r>
          </w:p>
          <w:p w14:paraId="5CA9464D">
            <w:pPr>
              <w:widowControl/>
              <w:autoSpaceDE w:val="0"/>
              <w:autoSpaceDN w:val="0"/>
              <w:ind w:firstLine="316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式中：LA</w:t>
            </w:r>
            <w:r>
              <w:rPr>
                <w:rFonts w:hint="default" w:ascii="Times New Roman" w:hAnsi="Times New Roman" w:cs="Times New Roman"/>
                <w:color w:val="auto"/>
                <w:sz w:val="21"/>
                <w:szCs w:val="21"/>
                <w:vertAlign w:val="subscript"/>
              </w:rPr>
              <w:t>(r)</w:t>
            </w:r>
            <w:r>
              <w:rPr>
                <w:rFonts w:hint="default" w:ascii="Times New Roman" w:hAnsi="Times New Roman" w:cs="Times New Roman"/>
                <w:color w:val="auto"/>
                <w:sz w:val="21"/>
                <w:szCs w:val="21"/>
              </w:rPr>
              <w:t>---距离基准声源r米处的A声级，dB(A)；</w:t>
            </w:r>
          </w:p>
          <w:p w14:paraId="7B8B167F">
            <w:pPr>
              <w:widowControl/>
              <w:autoSpaceDE w:val="0"/>
              <w:autoSpaceDN w:val="0"/>
              <w:ind w:firstLine="1050" w:firstLineChars="5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LA</w:t>
            </w:r>
            <w:r>
              <w:rPr>
                <w:rFonts w:hint="default" w:ascii="Times New Roman" w:hAnsi="Times New Roman" w:cs="Times New Roman"/>
                <w:color w:val="auto"/>
                <w:sz w:val="21"/>
                <w:szCs w:val="21"/>
                <w:vertAlign w:val="subscript"/>
              </w:rPr>
              <w:t>(r0)</w:t>
            </w:r>
            <w:r>
              <w:rPr>
                <w:rFonts w:hint="default" w:ascii="Times New Roman" w:hAnsi="Times New Roman" w:cs="Times New Roman"/>
                <w:color w:val="auto"/>
                <w:sz w:val="21"/>
                <w:szCs w:val="21"/>
              </w:rPr>
              <w:t>---离声源距离为r</w:t>
            </w:r>
            <w:r>
              <w:rPr>
                <w:rFonts w:hint="default" w:ascii="Times New Roman" w:hAnsi="Times New Roman" w:cs="Times New Roman"/>
                <w:color w:val="auto"/>
                <w:sz w:val="21"/>
                <w:szCs w:val="21"/>
                <w:vertAlign w:val="subscript"/>
              </w:rPr>
              <w:t>0</w:t>
            </w:r>
            <w:r>
              <w:rPr>
                <w:rFonts w:hint="default" w:ascii="Times New Roman" w:hAnsi="Times New Roman" w:cs="Times New Roman"/>
                <w:color w:val="auto"/>
                <w:sz w:val="21"/>
                <w:szCs w:val="21"/>
              </w:rPr>
              <w:t>米处的A声级，dB(A)；</w:t>
            </w:r>
          </w:p>
          <w:p w14:paraId="6E12DEE0">
            <w:pPr>
              <w:widowControl/>
              <w:autoSpaceDE w:val="0"/>
              <w:autoSpaceDN w:val="0"/>
              <w:ind w:firstLine="1050" w:firstLineChars="5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r---预测点距噪声源的中心距离，m；</w:t>
            </w:r>
          </w:p>
          <w:p w14:paraId="65C600A2">
            <w:pPr>
              <w:widowControl/>
              <w:autoSpaceDE w:val="0"/>
              <w:autoSpaceDN w:val="0"/>
              <w:ind w:firstLine="1050" w:firstLineChars="5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r</w:t>
            </w:r>
            <w:r>
              <w:rPr>
                <w:rFonts w:hint="default" w:ascii="Times New Roman" w:hAnsi="Times New Roman" w:cs="Times New Roman"/>
                <w:color w:val="auto"/>
                <w:sz w:val="21"/>
                <w:szCs w:val="21"/>
                <w:vertAlign w:val="subscript"/>
              </w:rPr>
              <w:t>0</w:t>
            </w:r>
            <w:r>
              <w:rPr>
                <w:rFonts w:hint="default" w:ascii="Times New Roman" w:hAnsi="Times New Roman" w:cs="Times New Roman"/>
                <w:color w:val="auto"/>
                <w:sz w:val="21"/>
                <w:szCs w:val="21"/>
              </w:rPr>
              <w:t>---基准声源距噪声源的中心距离，m。</w:t>
            </w:r>
          </w:p>
          <w:p w14:paraId="6FD7152A">
            <w:pPr>
              <w:widowControl/>
              <w:autoSpaceDE w:val="0"/>
              <w:autoSpaceDN w:val="0"/>
              <w:ind w:firstLine="316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（2）预测结果 </w:t>
            </w:r>
          </w:p>
          <w:p w14:paraId="32EB551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经计算，项目声源叠加总声源为78.49dB（A），</w:t>
            </w:r>
            <w:r>
              <w:rPr>
                <w:rFonts w:hint="default" w:ascii="Times New Roman" w:hAnsi="Times New Roman" w:cs="Times New Roman"/>
                <w:color w:val="auto"/>
                <w:sz w:val="21"/>
                <w:szCs w:val="21"/>
              </w:rPr>
              <w:t>噪声源在不同距离处的A声级贡献值计算结果见表</w:t>
            </w:r>
            <w:r>
              <w:rPr>
                <w:rFonts w:hint="default" w:ascii="Times New Roman" w:hAnsi="Times New Roman" w:cs="Times New Roman"/>
                <w:color w:val="auto"/>
                <w:sz w:val="21"/>
                <w:szCs w:val="21"/>
                <w:lang w:val="en-US" w:eastAsia="zh-CN"/>
              </w:rPr>
              <w:t>4-1</w:t>
            </w:r>
            <w:r>
              <w:rPr>
                <w:rFonts w:hint="eastAsia" w:cs="Times New Roman"/>
                <w:color w:val="auto"/>
                <w:sz w:val="21"/>
                <w:szCs w:val="21"/>
                <w:lang w:val="en-US" w:eastAsia="zh-CN"/>
              </w:rPr>
              <w:t>3</w:t>
            </w:r>
            <w:r>
              <w:rPr>
                <w:rFonts w:hint="default" w:ascii="Times New Roman" w:hAnsi="Times New Roman" w:cs="Times New Roman"/>
                <w:color w:val="auto"/>
                <w:sz w:val="21"/>
                <w:szCs w:val="21"/>
              </w:rPr>
              <w:t>。</w:t>
            </w:r>
          </w:p>
          <w:p w14:paraId="3987ED4F">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表4-1</w:t>
            </w:r>
            <w:r>
              <w:rPr>
                <w:rFonts w:hint="eastAsia" w:ascii="Times New Roman" w:hAnsi="Times New Roman" w:eastAsia="宋体" w:cs="Times New Roman"/>
                <w:b/>
                <w:bCs/>
                <w:color w:val="auto"/>
                <w:lang w:val="en-US" w:eastAsia="zh-CN"/>
              </w:rPr>
              <w:t>3</w:t>
            </w:r>
            <w:r>
              <w:rPr>
                <w:rFonts w:hint="default" w:ascii="Times New Roman" w:hAnsi="Times New Roman" w:eastAsia="宋体" w:cs="Times New Roman"/>
                <w:b/>
                <w:bCs/>
                <w:color w:val="auto"/>
                <w:lang w:val="en-US" w:eastAsia="zh-CN"/>
              </w:rPr>
              <w:t xml:space="preserve">                不同距离处噪声衰减计算表</w:t>
            </w:r>
          </w:p>
          <w:tbl>
            <w:tblPr>
              <w:tblStyle w:val="20"/>
              <w:tblW w:w="828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0" w:type="dxa"/>
              </w:tblCellMar>
            </w:tblPr>
            <w:tblGrid>
              <w:gridCol w:w="1781"/>
              <w:gridCol w:w="1083"/>
              <w:gridCol w:w="1086"/>
              <w:gridCol w:w="1083"/>
              <w:gridCol w:w="1085"/>
              <w:gridCol w:w="1085"/>
              <w:gridCol w:w="1085"/>
            </w:tblGrid>
            <w:tr w14:paraId="073118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0" w:type="dxa"/>
                </w:tblCellMar>
              </w:tblPrEx>
              <w:trPr>
                <w:trHeight w:val="674" w:hRule="atLeast"/>
                <w:jc w:val="center"/>
              </w:trPr>
              <w:tc>
                <w:tcPr>
                  <w:tcW w:w="1781" w:type="dxa"/>
                  <w:tcBorders>
                    <w:tl2br w:val="nil"/>
                    <w:tr2bl w:val="nil"/>
                  </w:tcBorders>
                  <w:vAlign w:val="center"/>
                  <mc:AlternateContent>
                    <mc:Choice Requires="wpsCustomData">
                      <wpsCustomData:diagonals>
                        <wpsCustomData:diagonal from="10000" to="30000">
                          <wpsCustomData:border w:val="single" w:color="auto" w:sz="12" w:space="0"/>
                        </wpsCustomData:diagonal>
                      </wpsCustomData:diagonals>
                    </mc:Choice>
                  </mc:AlternateContent>
                </w:tcPr>
                <w:p w14:paraId="1B50BD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p>
                <w:p w14:paraId="0C870F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mc:AlternateContent>
                      <mc:Choice Requires="wpsCustomData">
                        <wpsCustomData:diagonalParaType/>
                      </mc:Choice>
                    </mc:AlternateConten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声源</w:t>
                  </w:r>
                  <w:r>
                    <w:rPr>
                      <w:rFonts w:hint="default" w:ascii="Times New Roman" w:hAnsi="Times New Roman" w:cs="Times New Roman"/>
                      <w:color w:val="auto"/>
                      <w:sz w:val="21"/>
                      <w:szCs w:val="21"/>
                      <w:lang w:val="en-US" w:eastAsia="zh-CN"/>
                    </w:rPr>
                    <w:t>源强</w:t>
                  </w:r>
                </w:p>
                <w:p w14:paraId="286D53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距离（m）</w:t>
                  </w:r>
                </w:p>
              </w:tc>
              <w:tc>
                <w:tcPr>
                  <w:tcW w:w="1083" w:type="dxa"/>
                  <w:tcBorders>
                    <w:tl2br w:val="nil"/>
                    <w:tr2bl w:val="nil"/>
                  </w:tcBorders>
                  <w:vAlign w:val="center"/>
                </w:tcPr>
                <w:p w14:paraId="562061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5</w:t>
                  </w:r>
                </w:p>
              </w:tc>
              <w:tc>
                <w:tcPr>
                  <w:tcW w:w="1086" w:type="dxa"/>
                  <w:tcBorders>
                    <w:tl2br w:val="nil"/>
                    <w:tr2bl w:val="nil"/>
                  </w:tcBorders>
                  <w:vAlign w:val="center"/>
                </w:tcPr>
                <w:p w14:paraId="2F6D08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1083" w:type="dxa"/>
                  <w:tcBorders>
                    <w:tl2br w:val="nil"/>
                    <w:tr2bl w:val="nil"/>
                  </w:tcBorders>
                  <w:vAlign w:val="center"/>
                </w:tcPr>
                <w:p w14:paraId="493DE8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w:t>
                  </w:r>
                </w:p>
              </w:tc>
              <w:tc>
                <w:tcPr>
                  <w:tcW w:w="1085" w:type="dxa"/>
                  <w:tcBorders>
                    <w:tl2br w:val="nil"/>
                    <w:tr2bl w:val="nil"/>
                  </w:tcBorders>
                  <w:vAlign w:val="center"/>
                </w:tcPr>
                <w:p w14:paraId="06BC71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30</w:t>
                  </w:r>
                </w:p>
              </w:tc>
              <w:tc>
                <w:tcPr>
                  <w:tcW w:w="1085" w:type="dxa"/>
                  <w:tcBorders>
                    <w:tl2br w:val="nil"/>
                    <w:tr2bl w:val="nil"/>
                  </w:tcBorders>
                  <w:vAlign w:val="center"/>
                </w:tcPr>
                <w:p w14:paraId="0190C0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1085" w:type="dxa"/>
                  <w:tcBorders>
                    <w:tl2br w:val="nil"/>
                    <w:tr2bl w:val="nil"/>
                  </w:tcBorders>
                  <w:vAlign w:val="center"/>
                </w:tcPr>
                <w:p w14:paraId="28B020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100</w:t>
                  </w:r>
                </w:p>
              </w:tc>
            </w:tr>
            <w:tr w14:paraId="750965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0" w:type="dxa"/>
                </w:tblCellMar>
              </w:tblPrEx>
              <w:trPr>
                <w:trHeight w:val="397" w:hRule="atLeast"/>
                <w:jc w:val="center"/>
              </w:trPr>
              <w:tc>
                <w:tcPr>
                  <w:tcW w:w="1781" w:type="dxa"/>
                  <w:tcBorders>
                    <w:tl2br w:val="nil"/>
                    <w:tr2bl w:val="nil"/>
                  </w:tcBorders>
                  <w:vAlign w:val="center"/>
                </w:tcPr>
                <w:p w14:paraId="62B5BB4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78.49</w:t>
                  </w:r>
                </w:p>
              </w:tc>
              <w:tc>
                <w:tcPr>
                  <w:tcW w:w="1083" w:type="dxa"/>
                  <w:tcBorders>
                    <w:tl2br w:val="nil"/>
                    <w:tr2bl w:val="nil"/>
                  </w:tcBorders>
                  <w:vAlign w:val="center"/>
                </w:tcPr>
                <w:p w14:paraId="26B511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65</w:t>
                  </w:r>
                </w:p>
              </w:tc>
              <w:tc>
                <w:tcPr>
                  <w:tcW w:w="1086" w:type="dxa"/>
                  <w:tcBorders>
                    <w:tl2br w:val="nil"/>
                    <w:tr2bl w:val="nil"/>
                  </w:tcBorders>
                  <w:vAlign w:val="center"/>
                </w:tcPr>
                <w:p w14:paraId="3ABCF9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58</w:t>
                  </w:r>
                </w:p>
              </w:tc>
              <w:tc>
                <w:tcPr>
                  <w:tcW w:w="1083" w:type="dxa"/>
                  <w:tcBorders>
                    <w:tl2br w:val="nil"/>
                    <w:tr2bl w:val="nil"/>
                  </w:tcBorders>
                  <w:vAlign w:val="center"/>
                </w:tcPr>
                <w:p w14:paraId="45E7B8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52</w:t>
                  </w:r>
                </w:p>
              </w:tc>
              <w:tc>
                <w:tcPr>
                  <w:tcW w:w="1085" w:type="dxa"/>
                  <w:tcBorders>
                    <w:tl2br w:val="nil"/>
                    <w:tr2bl w:val="nil"/>
                  </w:tcBorders>
                  <w:vAlign w:val="center"/>
                </w:tcPr>
                <w:p w14:paraId="440EF7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49</w:t>
                  </w:r>
                </w:p>
              </w:tc>
              <w:tc>
                <w:tcPr>
                  <w:tcW w:w="1085" w:type="dxa"/>
                  <w:tcBorders>
                    <w:tl2br w:val="nil"/>
                    <w:tr2bl w:val="nil"/>
                  </w:tcBorders>
                  <w:vAlign w:val="center"/>
                </w:tcPr>
                <w:p w14:paraId="0A1BAD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45</w:t>
                  </w:r>
                </w:p>
              </w:tc>
              <w:tc>
                <w:tcPr>
                  <w:tcW w:w="1085" w:type="dxa"/>
                  <w:tcBorders>
                    <w:tl2br w:val="nil"/>
                    <w:tr2bl w:val="nil"/>
                  </w:tcBorders>
                  <w:vAlign w:val="center"/>
                </w:tcPr>
                <w:p w14:paraId="438E6B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38</w:t>
                  </w:r>
                </w:p>
              </w:tc>
            </w:tr>
          </w:tbl>
          <w:p w14:paraId="55AD7B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由以上计算结果可知，本项目稳定运营后，厂房外5m处昼间噪声值、15m处夜间噪声值即可满《工业企业厂界环境噪声排放标准》（GB12348-2008）3类功能区昼间65dB（A）、夜间55dB（A）标准要求，再经距离衰减后可满足厂界达标，对周边环境影响可接受。</w:t>
            </w:r>
          </w:p>
          <w:p w14:paraId="35FF92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环评建议要求采取以下措施对运营期噪声进行防治：</w:t>
            </w:r>
          </w:p>
          <w:p w14:paraId="257AA3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（1）在设备选型上尽量选用优质低噪声设备，以降低生产设备噪声值；</w:t>
            </w:r>
          </w:p>
          <w:p w14:paraId="06CA99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（2）对高噪声设备采用高基础减震措施；</w:t>
            </w:r>
          </w:p>
          <w:p w14:paraId="4BFAE7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（3）加强设备维护、保养的管理制度，以防止设备故障形成的非正常噪声。</w:t>
            </w:r>
          </w:p>
          <w:p w14:paraId="25D265BB">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本工程营运期</w:t>
            </w:r>
            <w:r>
              <w:rPr>
                <w:rFonts w:hint="default" w:ascii="Times New Roman" w:hAnsi="Times New Roman" w:eastAsia="宋体" w:cs="Times New Roman"/>
                <w:color w:val="auto"/>
                <w:sz w:val="21"/>
                <w:szCs w:val="21"/>
                <w:lang w:val="en-US" w:eastAsia="zh-CN"/>
              </w:rPr>
              <w:t>噪声</w:t>
            </w:r>
            <w:r>
              <w:rPr>
                <w:rFonts w:hint="default" w:ascii="Times New Roman" w:hAnsi="Times New Roman" w:eastAsia="宋体" w:cs="Times New Roman"/>
                <w:color w:val="auto"/>
                <w:sz w:val="21"/>
                <w:szCs w:val="21"/>
              </w:rPr>
              <w:t>监测方案计划见表</w:t>
            </w:r>
            <w:r>
              <w:rPr>
                <w:rFonts w:hint="default" w:ascii="Times New Roman" w:hAnsi="Times New Roman" w:eastAsia="宋体" w:cs="Times New Roman"/>
                <w:color w:val="auto"/>
                <w:sz w:val="21"/>
                <w:szCs w:val="21"/>
                <w:lang w:val="en-US" w:eastAsia="zh-CN"/>
              </w:rPr>
              <w:t>4-</w:t>
            </w:r>
            <w:r>
              <w:rPr>
                <w:rFonts w:hint="default" w:ascii="Times New Roman" w:hAnsi="Times New Roman" w:cs="Times New Roman"/>
                <w:color w:val="auto"/>
                <w:sz w:val="21"/>
                <w:szCs w:val="21"/>
                <w:lang w:val="en-US" w:eastAsia="zh-CN"/>
              </w:rPr>
              <w:t>1</w:t>
            </w:r>
            <w:r>
              <w:rPr>
                <w:rFonts w:hint="eastAsia" w:cs="Times New Roman"/>
                <w:color w:val="auto"/>
                <w:sz w:val="21"/>
                <w:szCs w:val="21"/>
                <w:lang w:val="en-US" w:eastAsia="zh-CN"/>
              </w:rPr>
              <w:t>4</w:t>
            </w:r>
            <w:r>
              <w:rPr>
                <w:rFonts w:hint="default" w:ascii="Times New Roman" w:hAnsi="Times New Roman" w:eastAsia="宋体" w:cs="Times New Roman"/>
                <w:color w:val="auto"/>
                <w:sz w:val="21"/>
                <w:szCs w:val="21"/>
              </w:rPr>
              <w:t>。</w:t>
            </w:r>
          </w:p>
          <w:p w14:paraId="107F8A6B">
            <w:pPr>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表</w:t>
            </w:r>
            <w:r>
              <w:rPr>
                <w:rFonts w:hint="default" w:ascii="Times New Roman" w:hAnsi="Times New Roman" w:eastAsia="宋体" w:cs="Times New Roman"/>
                <w:b/>
                <w:bCs/>
                <w:color w:val="auto"/>
                <w:lang w:val="en-US" w:eastAsia="zh-CN"/>
              </w:rPr>
              <w:t>4-</w:t>
            </w:r>
            <w:r>
              <w:rPr>
                <w:rFonts w:hint="default" w:ascii="Times New Roman" w:hAnsi="Times New Roman" w:cs="Times New Roman"/>
                <w:b/>
                <w:bCs/>
                <w:color w:val="auto"/>
                <w:lang w:val="en-US" w:eastAsia="zh-CN"/>
              </w:rPr>
              <w:t>1</w:t>
            </w:r>
            <w:r>
              <w:rPr>
                <w:rFonts w:hint="eastAsia" w:cs="Times New Roman"/>
                <w:b/>
                <w:bCs/>
                <w:color w:val="auto"/>
                <w:lang w:val="en-US" w:eastAsia="zh-CN"/>
              </w:rPr>
              <w:t>4</w:t>
            </w:r>
            <w:r>
              <w:rPr>
                <w:rFonts w:hint="default" w:ascii="Times New Roman" w:hAnsi="Times New Roman" w:cs="Times New Roman"/>
                <w:b/>
                <w:bCs/>
                <w:color w:val="auto"/>
                <w:lang w:val="en-US" w:eastAsia="zh-CN"/>
              </w:rPr>
              <w:t xml:space="preserve">  </w:t>
            </w:r>
            <w:r>
              <w:rPr>
                <w:rFonts w:hint="default" w:ascii="Times New Roman" w:hAnsi="Times New Roman" w:eastAsia="宋体" w:cs="Times New Roman"/>
                <w:b/>
                <w:bCs/>
                <w:color w:val="auto"/>
                <w:lang w:val="zh-CN" w:eastAsia="zh-CN"/>
              </w:rPr>
              <w:t>运营期</w:t>
            </w:r>
            <w:r>
              <w:rPr>
                <w:rFonts w:hint="default" w:ascii="Times New Roman" w:hAnsi="Times New Roman" w:eastAsia="宋体" w:cs="Times New Roman"/>
                <w:b/>
                <w:bCs/>
                <w:color w:val="auto"/>
                <w:lang w:val="en-US" w:eastAsia="zh-CN"/>
              </w:rPr>
              <w:t>噪声</w:t>
            </w:r>
            <w:r>
              <w:rPr>
                <w:rFonts w:hint="default" w:ascii="Times New Roman" w:hAnsi="Times New Roman" w:eastAsia="宋体" w:cs="Times New Roman"/>
                <w:b/>
                <w:bCs/>
                <w:color w:val="auto"/>
                <w:lang w:val="zh-CN" w:eastAsia="zh-CN"/>
              </w:rPr>
              <w:t>监测</w:t>
            </w:r>
            <w:r>
              <w:rPr>
                <w:rFonts w:hint="default" w:ascii="Times New Roman" w:hAnsi="Times New Roman" w:eastAsia="宋体" w:cs="Times New Roman"/>
                <w:b/>
                <w:bCs/>
                <w:color w:val="auto"/>
                <w:lang w:val="en-US" w:eastAsia="zh-CN"/>
              </w:rPr>
              <w:t>计划表</w:t>
            </w:r>
          </w:p>
          <w:tbl>
            <w:tblPr>
              <w:tblStyle w:val="20"/>
              <w:tblW w:w="828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552"/>
              <w:gridCol w:w="1444"/>
              <w:gridCol w:w="3853"/>
            </w:tblGrid>
            <w:tr w14:paraId="5FDE60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439" w:type="dxa"/>
                  <w:vAlign w:val="center"/>
                </w:tcPr>
                <w:p w14:paraId="15A8E3D5">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监测点位</w:t>
                  </w:r>
                </w:p>
              </w:tc>
              <w:tc>
                <w:tcPr>
                  <w:tcW w:w="1552" w:type="dxa"/>
                  <w:vAlign w:val="center"/>
                </w:tcPr>
                <w:p w14:paraId="07074D48">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w:t>
                  </w:r>
                  <w:r>
                    <w:rPr>
                      <w:rFonts w:hint="default" w:ascii="Times New Roman" w:hAnsi="Times New Roman" w:eastAsia="宋体" w:cs="Times New Roman"/>
                      <w:color w:val="auto"/>
                      <w:sz w:val="21"/>
                      <w:szCs w:val="21"/>
                      <w:lang w:val="en-US" w:eastAsia="zh-CN"/>
                    </w:rPr>
                    <w:t>指标</w:t>
                  </w:r>
                </w:p>
              </w:tc>
              <w:tc>
                <w:tcPr>
                  <w:tcW w:w="1444" w:type="dxa"/>
                  <w:vAlign w:val="center"/>
                </w:tcPr>
                <w:p w14:paraId="7AF0F460">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监测频次</w:t>
                  </w:r>
                </w:p>
              </w:tc>
              <w:tc>
                <w:tcPr>
                  <w:tcW w:w="3853" w:type="dxa"/>
                  <w:vAlign w:val="center"/>
                </w:tcPr>
                <w:p w14:paraId="15E584C3">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执行排放标准</w:t>
                  </w:r>
                </w:p>
              </w:tc>
            </w:tr>
            <w:tr w14:paraId="78EE64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9" w:type="dxa"/>
                  <w:vAlign w:val="center"/>
                </w:tcPr>
                <w:p w14:paraId="3AA52F1C">
                  <w:pPr>
                    <w:pStyle w:val="36"/>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厂界四周</w:t>
                  </w:r>
                </w:p>
              </w:tc>
              <w:tc>
                <w:tcPr>
                  <w:tcW w:w="1552" w:type="dxa"/>
                  <w:vAlign w:val="center"/>
                </w:tcPr>
                <w:p w14:paraId="684B0044">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等效</w:t>
                  </w:r>
                  <w:r>
                    <w:rPr>
                      <w:rFonts w:hint="default" w:ascii="Times New Roman" w:hAnsi="Times New Roman" w:eastAsia="宋体" w:cs="Times New Roman"/>
                      <w:color w:val="auto"/>
                      <w:sz w:val="21"/>
                      <w:szCs w:val="21"/>
                      <w:lang w:val="en-US" w:eastAsia="zh-CN"/>
                    </w:rPr>
                    <w:t>A</w:t>
                  </w:r>
                  <w:r>
                    <w:rPr>
                      <w:rFonts w:hint="default" w:ascii="Times New Roman" w:hAnsi="Times New Roman" w:eastAsia="宋体" w:cs="Times New Roman"/>
                      <w:color w:val="auto"/>
                      <w:sz w:val="21"/>
                      <w:szCs w:val="21"/>
                    </w:rPr>
                    <w:t>声级</w:t>
                  </w:r>
                </w:p>
              </w:tc>
              <w:tc>
                <w:tcPr>
                  <w:tcW w:w="1444" w:type="dxa"/>
                  <w:vAlign w:val="center"/>
                </w:tcPr>
                <w:p w14:paraId="07F4F3BF">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每季度一次</w:t>
                  </w:r>
                </w:p>
              </w:tc>
              <w:tc>
                <w:tcPr>
                  <w:tcW w:w="3853" w:type="dxa"/>
                  <w:vAlign w:val="center"/>
                </w:tcPr>
                <w:p w14:paraId="3B6C4978">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《工业企业厂界环境噪声排放标准》（GB12348-2008）</w:t>
                  </w:r>
                  <w:r>
                    <w:rPr>
                      <w:rFonts w:hint="default"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rPr>
                    <w:t>类标准限</w:t>
                  </w:r>
                  <w:r>
                    <w:rPr>
                      <w:rFonts w:hint="default" w:ascii="Times New Roman" w:hAnsi="Times New Roman" w:eastAsia="宋体" w:cs="Times New Roman"/>
                      <w:color w:val="auto"/>
                      <w:sz w:val="21"/>
                      <w:szCs w:val="21"/>
                      <w:lang w:val="en-US" w:eastAsia="zh-CN"/>
                    </w:rPr>
                    <w:t>值</w:t>
                  </w:r>
                </w:p>
              </w:tc>
            </w:tr>
          </w:tbl>
          <w:p w14:paraId="5D7A1E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4、固体废物环境影响及保护措施</w:t>
            </w:r>
          </w:p>
          <w:p w14:paraId="5409D969">
            <w:pPr>
              <w:pStyle w:val="26"/>
              <w:keepNext w:val="0"/>
              <w:keepLines w:val="0"/>
              <w:pageBreakBefore w:val="0"/>
              <w:widowControl w:val="0"/>
              <w:kinsoku/>
              <w:wordWrap/>
              <w:overflowPunct/>
              <w:topLinePunct w:val="0"/>
              <w:bidi w:val="0"/>
              <w:adjustRightInd/>
              <w:spacing w:line="360" w:lineRule="auto"/>
              <w:ind w:firstLine="420" w:firstLineChars="200"/>
              <w:jc w:val="both"/>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4.1固废产生量</w:t>
            </w:r>
          </w:p>
          <w:p w14:paraId="6A7519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lang w:val="en-US" w:eastAsia="zh-CN"/>
              </w:rPr>
              <w:t>1</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lang w:val="en-US" w:eastAsia="zh-CN"/>
              </w:rPr>
              <w:t>生活垃圾</w:t>
            </w:r>
          </w:p>
          <w:p w14:paraId="7762F89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本项目</w:t>
            </w:r>
            <w:r>
              <w:rPr>
                <w:rFonts w:hint="default" w:ascii="Times New Roman" w:hAnsi="Times New Roman" w:eastAsia="宋体" w:cs="Times New Roman"/>
                <w:bCs/>
                <w:color w:val="auto"/>
                <w:sz w:val="21"/>
                <w:szCs w:val="21"/>
                <w:lang w:val="en-US" w:eastAsia="zh-CN"/>
              </w:rPr>
              <w:t>工作人员生活垃圾</w:t>
            </w:r>
            <w:r>
              <w:rPr>
                <w:rFonts w:hint="default" w:ascii="Times New Roman" w:hAnsi="Times New Roman" w:eastAsia="宋体" w:cs="Times New Roman"/>
                <w:bCs/>
                <w:color w:val="auto"/>
                <w:sz w:val="21"/>
                <w:szCs w:val="21"/>
              </w:rPr>
              <w:t>产生</w:t>
            </w:r>
            <w:r>
              <w:rPr>
                <w:rFonts w:hint="default" w:ascii="Times New Roman" w:hAnsi="Times New Roman" w:eastAsia="宋体" w:cs="Times New Roman"/>
                <w:bCs/>
                <w:color w:val="auto"/>
                <w:sz w:val="21"/>
                <w:szCs w:val="21"/>
                <w:lang w:val="en-US" w:eastAsia="zh-CN"/>
              </w:rPr>
              <w:t>量以0.5kg/人·d计，总计产生量</w:t>
            </w:r>
            <w:r>
              <w:rPr>
                <w:rFonts w:hint="eastAsia" w:cs="Times New Roman"/>
                <w:bCs/>
                <w:color w:val="auto"/>
                <w:sz w:val="21"/>
                <w:szCs w:val="21"/>
                <w:lang w:val="en-US" w:eastAsia="zh-CN"/>
              </w:rPr>
              <w:t>6</w:t>
            </w:r>
            <w:r>
              <w:rPr>
                <w:rFonts w:hint="default" w:ascii="Times New Roman" w:hAnsi="Times New Roman" w:eastAsia="宋体" w:cs="Times New Roman"/>
                <w:bCs/>
                <w:color w:val="auto"/>
                <w:sz w:val="21"/>
                <w:szCs w:val="21"/>
                <w:lang w:val="en-US" w:eastAsia="zh-CN"/>
              </w:rPr>
              <w:t>t/a，项目区设置垃圾收集箱集中收集，定期清运处理至</w:t>
            </w:r>
            <w:r>
              <w:rPr>
                <w:rFonts w:hint="default" w:ascii="Times New Roman" w:hAnsi="Times New Roman" w:cs="Times New Roman"/>
                <w:bCs/>
                <w:color w:val="auto"/>
                <w:sz w:val="21"/>
                <w:szCs w:val="21"/>
                <w:lang w:val="en-US" w:eastAsia="zh-CN"/>
              </w:rPr>
              <w:t>园区垃圾填埋场</w:t>
            </w:r>
            <w:r>
              <w:rPr>
                <w:rFonts w:hint="default" w:ascii="Times New Roman" w:hAnsi="Times New Roman" w:eastAsia="宋体" w:cs="Times New Roman"/>
                <w:bCs/>
                <w:color w:val="auto"/>
                <w:sz w:val="21"/>
                <w:szCs w:val="21"/>
                <w:lang w:val="en-US" w:eastAsia="zh-CN"/>
              </w:rPr>
              <w:t>处理。</w:t>
            </w:r>
          </w:p>
          <w:p w14:paraId="522BC8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（2）废包装</w:t>
            </w:r>
          </w:p>
          <w:p w14:paraId="1200C8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项目包装材料可能在工序过程中损坏，预计损坏量按0.2t/a计算，损坏包装统一收集，外售废品回收站。</w:t>
            </w:r>
          </w:p>
          <w:p w14:paraId="740889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r>
              <w:rPr>
                <w:rFonts w:hint="default" w:ascii="Times New Roman" w:hAnsi="Times New Roman" w:cs="Times New Roman"/>
                <w:bCs/>
                <w:color w:val="auto"/>
                <w:sz w:val="21"/>
                <w:szCs w:val="21"/>
                <w:lang w:val="en-US" w:eastAsia="zh-CN"/>
              </w:rPr>
              <w:t>3</w:t>
            </w:r>
            <w:r>
              <w:rPr>
                <w:rFonts w:hint="default" w:ascii="Times New Roman" w:hAnsi="Times New Roman" w:eastAsia="宋体" w:cs="Times New Roman"/>
                <w:bCs/>
                <w:color w:val="auto"/>
                <w:sz w:val="21"/>
                <w:szCs w:val="21"/>
                <w:lang w:val="en-US" w:eastAsia="zh-CN"/>
              </w:rPr>
              <w:t>）除尘灰</w:t>
            </w:r>
          </w:p>
          <w:p w14:paraId="450780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bCs/>
                <w:color w:val="auto"/>
                <w:sz w:val="21"/>
                <w:szCs w:val="21"/>
                <w:lang w:val="en-US" w:eastAsia="zh-CN"/>
              </w:rPr>
              <w:t>生产过程</w:t>
            </w:r>
            <w:r>
              <w:rPr>
                <w:rFonts w:hint="eastAsia" w:cs="Times New Roman"/>
                <w:color w:val="auto"/>
                <w:szCs w:val="24"/>
                <w:lang w:val="en-US" w:eastAsia="zh-CN"/>
              </w:rPr>
              <w:t>布袋除尘器</w:t>
            </w:r>
            <w:r>
              <w:rPr>
                <w:rFonts w:hint="default" w:ascii="Times New Roman" w:hAnsi="Times New Roman" w:eastAsia="宋体" w:cs="Times New Roman"/>
                <w:bCs/>
                <w:color w:val="auto"/>
                <w:sz w:val="21"/>
                <w:szCs w:val="21"/>
                <w:lang w:val="en-US" w:eastAsia="zh-CN"/>
              </w:rPr>
              <w:t>除尘灰产生量约</w:t>
            </w:r>
            <w:r>
              <w:rPr>
                <w:rFonts w:hint="eastAsia" w:cs="Times New Roman"/>
                <w:bCs/>
                <w:color w:val="auto"/>
                <w:sz w:val="21"/>
                <w:szCs w:val="21"/>
                <w:lang w:val="en-US" w:eastAsia="zh-CN"/>
              </w:rPr>
              <w:t>10.692</w:t>
            </w:r>
            <w:r>
              <w:rPr>
                <w:rFonts w:hint="default" w:ascii="Times New Roman" w:hAnsi="Times New Roman" w:eastAsia="宋体" w:cs="Times New Roman"/>
                <w:bCs/>
                <w:color w:val="auto"/>
                <w:sz w:val="21"/>
                <w:szCs w:val="21"/>
                <w:lang w:val="en-US" w:eastAsia="zh-CN"/>
              </w:rPr>
              <w:t>t/a，该固废袋装收集，作为原料再利</w:t>
            </w:r>
            <w:r>
              <w:rPr>
                <w:rFonts w:hint="default" w:ascii="Times New Roman" w:hAnsi="Times New Roman" w:eastAsia="宋体" w:cs="Times New Roman"/>
                <w:color w:val="auto"/>
                <w:lang w:val="en-US" w:eastAsia="zh-CN"/>
              </w:rPr>
              <w:t>用。</w:t>
            </w:r>
          </w:p>
          <w:p w14:paraId="77A5AF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w:t>
            </w:r>
            <w:r>
              <w:rPr>
                <w:rFonts w:hint="default" w:ascii="Times New Roman" w:hAnsi="Times New Roman" w:cs="Times New Roman"/>
                <w:color w:val="auto"/>
                <w:szCs w:val="24"/>
                <w:lang w:val="en-US" w:eastAsia="zh-CN"/>
              </w:rPr>
              <w:t>4</w:t>
            </w:r>
            <w:r>
              <w:rPr>
                <w:rFonts w:hint="default" w:ascii="Times New Roman" w:hAnsi="Times New Roman" w:eastAsia="宋体" w:cs="Times New Roman"/>
                <w:color w:val="auto"/>
                <w:szCs w:val="24"/>
                <w:lang w:val="en-US" w:eastAsia="zh-CN"/>
              </w:rPr>
              <w:t>）污水站污泥</w:t>
            </w:r>
          </w:p>
          <w:p w14:paraId="2539E004">
            <w:pPr>
              <w:keepNext w:val="0"/>
              <w:keepLines w:val="0"/>
              <w:suppressLineNumbers w:val="0"/>
              <w:spacing w:before="0" w:beforeAutospacing="0" w:after="0" w:afterAutospacing="0"/>
              <w:ind w:left="0" w:right="0" w:firstLine="48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项目污水处理站年处置废水量</w:t>
            </w:r>
            <w:r>
              <w:rPr>
                <w:rFonts w:hint="eastAsia" w:cs="Times New Roman"/>
                <w:color w:val="auto"/>
                <w:lang w:val="en-US" w:eastAsia="zh-CN"/>
              </w:rPr>
              <w:t>35185</w:t>
            </w:r>
            <w:r>
              <w:rPr>
                <w:rFonts w:hint="default" w:ascii="Times New Roman" w:hAnsi="Times New Roman" w:cs="Times New Roman"/>
                <w:color w:val="auto"/>
                <w:lang w:val="en-US" w:eastAsia="zh-CN"/>
              </w:rPr>
              <w:t>m³/a，根据《排污许可证申请与核发技术规范   水处理（试行）》（HJ978-2018）中污泥产生量核算公式</w:t>
            </w:r>
          </w:p>
          <w:p w14:paraId="26D15E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position w:val="-14"/>
                <w:lang w:val="en-US" w:eastAsia="zh-CN"/>
              </w:rPr>
              <w:object>
                <v:shape id="_x0000_i1030" o:spt="75" type="#_x0000_t75" style="height:20pt;width:132pt;" o:ole="t" filled="f" o:preferrelative="t" stroked="f" coordsize="21600,21600">
                  <v:path/>
                  <v:fill on="f" focussize="0,0"/>
                  <v:stroke on="f"/>
                  <v:imagedata r:id="rId21" o:title=""/>
                  <o:lock v:ext="edit" aspectratio="t"/>
                  <w10:wrap type="none"/>
                  <w10:anchorlock/>
                </v:shape>
                <o:OLEObject Type="Embed" ProgID="Equation.KSEE3" ShapeID="_x0000_i1030" DrawAspect="Content" ObjectID="_1468075730" r:id="rId20">
                  <o:LockedField>false</o:LockedField>
                </o:OLEObject>
              </w:object>
            </w:r>
            <w:r>
              <w:rPr>
                <w:rFonts w:hint="default" w:ascii="Times New Roman" w:hAnsi="Times New Roman" w:cs="Times New Roman"/>
                <w:color w:val="auto"/>
                <w:lang w:val="en-US" w:eastAsia="zh-CN"/>
              </w:rPr>
              <w:t>。</w:t>
            </w:r>
          </w:p>
          <w:p w14:paraId="7078A4A5">
            <w:pPr>
              <w:keepNext w:val="0"/>
              <w:keepLines w:val="0"/>
              <w:suppressLineNumbers w:val="0"/>
              <w:bidi w:val="0"/>
              <w:spacing w:before="0" w:beforeAutospacing="0" w:after="0" w:afterAutospacing="0"/>
              <w:ind w:left="0" w:right="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式中：E</w:t>
            </w:r>
            <w:r>
              <w:rPr>
                <w:rFonts w:hint="default" w:ascii="Times New Roman" w:hAnsi="Times New Roman" w:cs="Times New Roman"/>
                <w:color w:val="auto"/>
                <w:vertAlign w:val="subscript"/>
                <w:lang w:val="en-US" w:eastAsia="zh-CN"/>
              </w:rPr>
              <w:t>产生量</w:t>
            </w:r>
            <w:r>
              <w:rPr>
                <w:rFonts w:hint="default" w:ascii="Times New Roman" w:hAnsi="Times New Roman" w:cs="Times New Roman"/>
                <w:color w:val="auto"/>
                <w:lang w:val="en-US" w:eastAsia="zh-CN"/>
              </w:rPr>
              <w:t>——污水处理过程中产生的污泥量，以干泥计，t；</w:t>
            </w:r>
          </w:p>
          <w:p w14:paraId="50D8493A">
            <w:pPr>
              <w:keepNext w:val="0"/>
              <w:keepLines w:val="0"/>
              <w:suppressLineNumbers w:val="0"/>
              <w:bidi w:val="0"/>
              <w:spacing w:before="0" w:beforeAutospacing="0" w:after="0" w:afterAutospacing="0"/>
              <w:ind w:left="0" w:right="0" w:firstLine="1050" w:firstLineChars="5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Q——核算时段内排污单位废水排放量，m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，具有有效出水口实测值按实测值计，无有效出水口实测值按进水口实测值计，无有效进水口实测值按协议进水水量计；</w:t>
            </w:r>
          </w:p>
          <w:p w14:paraId="37343846">
            <w:pPr>
              <w:keepNext w:val="0"/>
              <w:keepLines w:val="0"/>
              <w:suppressLineNumbers w:val="0"/>
              <w:bidi w:val="0"/>
              <w:spacing w:before="0" w:beforeAutospacing="0" w:after="0" w:afterAutospacing="0"/>
              <w:ind w:left="0" w:right="0" w:firstLine="1050" w:firstLineChars="5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w:t>
            </w:r>
            <w:r>
              <w:rPr>
                <w:rFonts w:hint="default" w:ascii="Times New Roman" w:hAnsi="Times New Roman" w:cs="Times New Roman"/>
                <w:color w:val="auto"/>
                <w:vertAlign w:val="subscript"/>
                <w:lang w:val="en-US" w:eastAsia="zh-CN"/>
              </w:rPr>
              <w:t>深</w:t>
            </w:r>
            <w:r>
              <w:rPr>
                <w:rFonts w:hint="default" w:ascii="Times New Roman" w:hAnsi="Times New Roman" w:cs="Times New Roman"/>
                <w:color w:val="auto"/>
                <w:lang w:val="en-US" w:eastAsia="zh-CN"/>
              </w:rPr>
              <w:t>——有深度处理工艺（添加化学药剂）时按2计，无深度处理工艺时按1计，量纲一。</w:t>
            </w:r>
          </w:p>
          <w:p w14:paraId="20733463">
            <w:pPr>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szCs w:val="24"/>
                <w:lang w:val="en-US" w:eastAsia="zh-CN"/>
              </w:rPr>
            </w:pPr>
            <w:r>
              <w:rPr>
                <w:rFonts w:hint="default" w:ascii="Times New Roman" w:hAnsi="Times New Roman" w:cs="Times New Roman"/>
                <w:color w:val="auto"/>
                <w:lang w:val="en-US" w:eastAsia="zh-CN"/>
              </w:rPr>
              <w:t>本污水站无深度处理工艺，计算得本项目污水处理设施污泥产生量为</w:t>
            </w:r>
            <w:r>
              <w:rPr>
                <w:rFonts w:hint="eastAsia" w:cs="Times New Roman"/>
                <w:color w:val="auto"/>
                <w:lang w:val="en-US" w:eastAsia="zh-CN"/>
              </w:rPr>
              <w:t>5.98</w:t>
            </w:r>
            <w:r>
              <w:rPr>
                <w:rFonts w:hint="default" w:ascii="Times New Roman" w:hAnsi="Times New Roman" w:cs="Times New Roman"/>
                <w:color w:val="auto"/>
                <w:lang w:val="en-US" w:eastAsia="zh-CN"/>
              </w:rPr>
              <w:t>t/a，属一般工业固废，代码900-099-S07，污泥定期清运处理至当地工业固废填埋场处理。</w:t>
            </w:r>
          </w:p>
          <w:p w14:paraId="4793D6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w:t>
            </w:r>
            <w:r>
              <w:rPr>
                <w:rFonts w:hint="eastAsia" w:ascii="Times New Roman" w:hAnsi="Times New Roman" w:eastAsia="宋体" w:cs="Times New Roman"/>
                <w:color w:val="auto"/>
                <w:szCs w:val="24"/>
                <w:lang w:val="en-US" w:eastAsia="zh-CN"/>
              </w:rPr>
              <w:t>5</w:t>
            </w:r>
            <w:r>
              <w:rPr>
                <w:rFonts w:hint="default" w:ascii="Times New Roman" w:hAnsi="Times New Roman" w:eastAsia="宋体" w:cs="Times New Roman"/>
                <w:color w:val="auto"/>
                <w:szCs w:val="24"/>
                <w:lang w:val="en-US" w:eastAsia="zh-CN"/>
              </w:rPr>
              <w:t>）废反渗透膜</w:t>
            </w:r>
          </w:p>
          <w:p w14:paraId="5E509B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项目废反渗透膜质量约80kg，每年更换一次，由厂家上门更换、回收，不暂存。</w:t>
            </w:r>
          </w:p>
          <w:p w14:paraId="741FADBB">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项目的各类固废产生量及处置详见下表。</w:t>
            </w:r>
          </w:p>
          <w:p w14:paraId="3988F019">
            <w:pPr>
              <w:keepNext w:val="0"/>
              <w:keepLines w:val="0"/>
              <w:pageBreakBefore w:val="0"/>
              <w:widowControl w:val="0"/>
              <w:kinsoku/>
              <w:wordWrap/>
              <w:overflowPunct w:val="0"/>
              <w:topLinePunct w:val="0"/>
              <w:autoSpaceDE/>
              <w:autoSpaceDN/>
              <w:bidi w:val="0"/>
              <w:adjustRightInd w:val="0"/>
              <w:snapToGrid w:val="0"/>
              <w:spacing w:line="240" w:lineRule="auto"/>
              <w:ind w:firstLine="1265" w:firstLineChars="600"/>
              <w:textAlignment w:val="auto"/>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表</w:t>
            </w:r>
            <w:r>
              <w:rPr>
                <w:rFonts w:hint="default" w:ascii="Times New Roman" w:hAnsi="Times New Roman" w:eastAsia="宋体" w:cs="Times New Roman"/>
                <w:b/>
                <w:bCs/>
                <w:color w:val="auto"/>
                <w:lang w:val="en-US" w:eastAsia="zh-CN"/>
              </w:rPr>
              <w:t>4-</w:t>
            </w:r>
            <w:r>
              <w:rPr>
                <w:rFonts w:hint="default" w:ascii="Times New Roman" w:hAnsi="Times New Roman" w:cs="Times New Roman"/>
                <w:b/>
                <w:bCs/>
                <w:color w:val="auto"/>
                <w:lang w:val="en-US" w:eastAsia="zh-CN"/>
              </w:rPr>
              <w:t>1</w:t>
            </w:r>
            <w:r>
              <w:rPr>
                <w:rFonts w:hint="eastAsia" w:cs="Times New Roman"/>
                <w:b/>
                <w:bCs/>
                <w:color w:val="auto"/>
                <w:lang w:val="en-US" w:eastAsia="zh-CN"/>
              </w:rPr>
              <w:t>5</w:t>
            </w:r>
            <w:r>
              <w:rPr>
                <w:rFonts w:hint="default" w:ascii="Times New Roman" w:hAnsi="Times New Roman" w:eastAsia="宋体" w:cs="Times New Roman"/>
                <w:b/>
                <w:bCs/>
                <w:color w:val="auto"/>
                <w:lang w:val="zh-CN" w:eastAsia="zh-CN"/>
              </w:rPr>
              <w:t xml:space="preserve">                项目固废产排情况一览表</w:t>
            </w:r>
          </w:p>
          <w:tbl>
            <w:tblPr>
              <w:tblStyle w:val="20"/>
              <w:tblW w:w="828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31"/>
              <w:gridCol w:w="675"/>
              <w:gridCol w:w="1200"/>
              <w:gridCol w:w="1232"/>
              <w:gridCol w:w="1360"/>
              <w:gridCol w:w="1109"/>
              <w:gridCol w:w="2276"/>
            </w:tblGrid>
            <w:tr w14:paraId="3859EA6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431" w:type="dxa"/>
                  <w:tcBorders>
                    <w:tl2br w:val="nil"/>
                    <w:tr2bl w:val="nil"/>
                  </w:tcBorders>
                  <w:vAlign w:val="center"/>
                </w:tcPr>
                <w:p w14:paraId="44539C7A">
                  <w:pPr>
                    <w:pStyle w:val="36"/>
                    <w:autoSpaceDE w:val="0"/>
                    <w:autoSpaceDN w:val="0"/>
                    <w:spacing w:line="240" w:lineRule="atLeast"/>
                    <w:ind w:left="0" w:leftChars="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序号</w:t>
                  </w:r>
                </w:p>
              </w:tc>
              <w:tc>
                <w:tcPr>
                  <w:tcW w:w="675" w:type="dxa"/>
                  <w:tcBorders>
                    <w:tl2br w:val="nil"/>
                    <w:tr2bl w:val="nil"/>
                  </w:tcBorders>
                  <w:vAlign w:val="center"/>
                </w:tcPr>
                <w:p w14:paraId="22170ACF">
                  <w:pPr>
                    <w:pStyle w:val="36"/>
                    <w:autoSpaceDE w:val="0"/>
                    <w:autoSpaceDN w:val="0"/>
                    <w:spacing w:line="240" w:lineRule="atLeast"/>
                    <w:ind w:left="0" w:leftChars="0"/>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固废类型</w:t>
                  </w:r>
                </w:p>
              </w:tc>
              <w:tc>
                <w:tcPr>
                  <w:tcW w:w="1200" w:type="dxa"/>
                  <w:tcBorders>
                    <w:tl2br w:val="nil"/>
                    <w:tr2bl w:val="nil"/>
                  </w:tcBorders>
                  <w:vAlign w:val="center"/>
                </w:tcPr>
                <w:p w14:paraId="6B5418C8">
                  <w:pPr>
                    <w:pStyle w:val="36"/>
                    <w:autoSpaceDE w:val="0"/>
                    <w:autoSpaceDN w:val="0"/>
                    <w:spacing w:line="240" w:lineRule="atLeast"/>
                    <w:ind w:left="0" w:leftChars="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固废名称</w:t>
                  </w:r>
                </w:p>
              </w:tc>
              <w:tc>
                <w:tcPr>
                  <w:tcW w:w="1232" w:type="dxa"/>
                  <w:tcBorders>
                    <w:tl2br w:val="nil"/>
                    <w:tr2bl w:val="nil"/>
                  </w:tcBorders>
                  <w:vAlign w:val="center"/>
                </w:tcPr>
                <w:p w14:paraId="6F05BCD1">
                  <w:pPr>
                    <w:pStyle w:val="36"/>
                    <w:autoSpaceDE w:val="0"/>
                    <w:autoSpaceDN w:val="0"/>
                    <w:spacing w:line="240" w:lineRule="atLeast"/>
                    <w:ind w:left="0" w:leftChars="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产生工序</w:t>
                  </w:r>
                </w:p>
              </w:tc>
              <w:tc>
                <w:tcPr>
                  <w:tcW w:w="1360" w:type="dxa"/>
                  <w:tcBorders>
                    <w:tl2br w:val="nil"/>
                    <w:tr2bl w:val="nil"/>
                  </w:tcBorders>
                  <w:vAlign w:val="center"/>
                </w:tcPr>
                <w:p w14:paraId="0D377D4E">
                  <w:pPr>
                    <w:pStyle w:val="36"/>
                    <w:autoSpaceDE w:val="0"/>
                    <w:autoSpaceDN w:val="0"/>
                    <w:spacing w:line="240" w:lineRule="atLeast"/>
                    <w:ind w:left="0" w:leftChars="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代码</w:t>
                  </w:r>
                </w:p>
              </w:tc>
              <w:tc>
                <w:tcPr>
                  <w:tcW w:w="1109" w:type="dxa"/>
                  <w:tcBorders>
                    <w:tl2br w:val="nil"/>
                    <w:tr2bl w:val="nil"/>
                  </w:tcBorders>
                  <w:vAlign w:val="center"/>
                </w:tcPr>
                <w:p w14:paraId="2CE0ACB7">
                  <w:pPr>
                    <w:pStyle w:val="36"/>
                    <w:autoSpaceDE w:val="0"/>
                    <w:autoSpaceDN w:val="0"/>
                    <w:spacing w:line="240" w:lineRule="atLeast"/>
                    <w:ind w:left="0" w:leftChars="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数量</w:t>
                  </w:r>
                </w:p>
              </w:tc>
              <w:tc>
                <w:tcPr>
                  <w:tcW w:w="2276" w:type="dxa"/>
                  <w:tcBorders>
                    <w:tl2br w:val="nil"/>
                    <w:tr2bl w:val="nil"/>
                  </w:tcBorders>
                  <w:vAlign w:val="center"/>
                </w:tcPr>
                <w:p w14:paraId="1C31DCBF">
                  <w:pPr>
                    <w:pStyle w:val="36"/>
                    <w:autoSpaceDE w:val="0"/>
                    <w:autoSpaceDN w:val="0"/>
                    <w:spacing w:line="240" w:lineRule="atLeast"/>
                    <w:ind w:left="0" w:leftChars="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处置去向</w:t>
                  </w:r>
                </w:p>
              </w:tc>
            </w:tr>
            <w:tr w14:paraId="45D75A0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431" w:type="dxa"/>
                  <w:tcBorders>
                    <w:tl2br w:val="nil"/>
                    <w:tr2bl w:val="nil"/>
                  </w:tcBorders>
                  <w:vAlign w:val="center"/>
                </w:tcPr>
                <w:p w14:paraId="1647A6C9">
                  <w:pPr>
                    <w:pStyle w:val="36"/>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675" w:type="dxa"/>
                  <w:vMerge w:val="restart"/>
                  <w:tcBorders>
                    <w:tl2br w:val="nil"/>
                    <w:tr2bl w:val="nil"/>
                  </w:tcBorders>
                  <w:vAlign w:val="center"/>
                </w:tcPr>
                <w:p w14:paraId="3D649D03">
                  <w:pPr>
                    <w:pStyle w:val="36"/>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Times New Roman"/>
                      <w:color w:val="auto"/>
                      <w:szCs w:val="21"/>
                    </w:rPr>
                  </w:pPr>
                  <w:r>
                    <w:rPr>
                      <w:rFonts w:hint="default" w:ascii="Times New Roman" w:hAnsi="Times New Roman" w:cs="Times New Roman"/>
                      <w:color w:val="auto"/>
                      <w:lang w:val="en-US" w:eastAsia="zh-CN"/>
                    </w:rPr>
                    <w:t>一般固体废物</w:t>
                  </w:r>
                </w:p>
              </w:tc>
              <w:tc>
                <w:tcPr>
                  <w:tcW w:w="1200" w:type="dxa"/>
                  <w:tcBorders>
                    <w:tl2br w:val="nil"/>
                    <w:tr2bl w:val="nil"/>
                  </w:tcBorders>
                  <w:vAlign w:val="center"/>
                </w:tcPr>
                <w:p w14:paraId="1E9B024B">
                  <w:pPr>
                    <w:pStyle w:val="36"/>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生活垃圾</w:t>
                  </w:r>
                </w:p>
              </w:tc>
              <w:tc>
                <w:tcPr>
                  <w:tcW w:w="1232" w:type="dxa"/>
                  <w:tcBorders>
                    <w:tl2br w:val="nil"/>
                    <w:tr2bl w:val="nil"/>
                  </w:tcBorders>
                  <w:vAlign w:val="center"/>
                </w:tcPr>
                <w:p w14:paraId="3C8713D9">
                  <w:pPr>
                    <w:pStyle w:val="36"/>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员工办公</w:t>
                  </w:r>
                </w:p>
              </w:tc>
              <w:tc>
                <w:tcPr>
                  <w:tcW w:w="1360" w:type="dxa"/>
                  <w:tcBorders>
                    <w:tl2br w:val="nil"/>
                    <w:tr2bl w:val="nil"/>
                  </w:tcBorders>
                  <w:vAlign w:val="center"/>
                </w:tcPr>
                <w:p w14:paraId="23FF91D4">
                  <w:pPr>
                    <w:pStyle w:val="36"/>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c>
                <w:tcPr>
                  <w:tcW w:w="1109" w:type="dxa"/>
                  <w:tcBorders>
                    <w:tl2br w:val="nil"/>
                    <w:tr2bl w:val="nil"/>
                  </w:tcBorders>
                  <w:vAlign w:val="center"/>
                </w:tcPr>
                <w:p w14:paraId="545F99B6">
                  <w:pPr>
                    <w:pStyle w:val="36"/>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6</w:t>
                  </w:r>
                  <w:r>
                    <w:rPr>
                      <w:rFonts w:hint="default" w:ascii="Times New Roman" w:hAnsi="Times New Roman" w:eastAsia="宋体" w:cs="Times New Roman"/>
                      <w:color w:val="auto"/>
                      <w:szCs w:val="21"/>
                      <w:lang w:val="en-US" w:eastAsia="zh-CN"/>
                    </w:rPr>
                    <w:t>t/a</w:t>
                  </w:r>
                </w:p>
              </w:tc>
              <w:tc>
                <w:tcPr>
                  <w:tcW w:w="2276" w:type="dxa"/>
                  <w:tcBorders>
                    <w:tl2br w:val="nil"/>
                    <w:tr2bl w:val="nil"/>
                  </w:tcBorders>
                  <w:vAlign w:val="center"/>
                </w:tcPr>
                <w:p w14:paraId="114B927A">
                  <w:pPr>
                    <w:pStyle w:val="36"/>
                    <w:keepNext w:val="0"/>
                    <w:keepLines w:val="0"/>
                    <w:pageBreakBefore w:val="0"/>
                    <w:kinsoku/>
                    <w:wordWrap/>
                    <w:overflowPunct/>
                    <w:topLinePunct w:val="0"/>
                    <w:autoSpaceDE w:val="0"/>
                    <w:autoSpaceDN w:val="0"/>
                    <w:bidi w:val="0"/>
                    <w:adjustRightInd/>
                    <w:snapToGrid/>
                    <w:spacing w:line="240" w:lineRule="auto"/>
                    <w:ind w:left="0" w:leftChars="0"/>
                    <w:jc w:val="both"/>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bCs/>
                      <w:color w:val="auto"/>
                      <w:sz w:val="21"/>
                      <w:szCs w:val="21"/>
                      <w:lang w:val="en-US" w:eastAsia="zh-CN"/>
                    </w:rPr>
                    <w:t>定期清运处理至</w:t>
                  </w:r>
                  <w:r>
                    <w:rPr>
                      <w:rFonts w:hint="default" w:ascii="Times New Roman" w:hAnsi="Times New Roman" w:cs="Times New Roman"/>
                      <w:bCs/>
                      <w:color w:val="auto"/>
                      <w:sz w:val="21"/>
                      <w:szCs w:val="21"/>
                      <w:lang w:val="en-US" w:eastAsia="zh-CN"/>
                    </w:rPr>
                    <w:t>园区垃圾填埋场</w:t>
                  </w:r>
                  <w:r>
                    <w:rPr>
                      <w:rFonts w:hint="default" w:ascii="Times New Roman" w:hAnsi="Times New Roman" w:eastAsia="宋体" w:cs="Times New Roman"/>
                      <w:bCs/>
                      <w:color w:val="auto"/>
                      <w:sz w:val="21"/>
                      <w:szCs w:val="21"/>
                      <w:lang w:val="en-US" w:eastAsia="zh-CN"/>
                    </w:rPr>
                    <w:t>。</w:t>
                  </w:r>
                </w:p>
              </w:tc>
            </w:tr>
            <w:tr w14:paraId="11DA81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431" w:type="dxa"/>
                  <w:tcBorders>
                    <w:tl2br w:val="nil"/>
                    <w:tr2bl w:val="nil"/>
                  </w:tcBorders>
                  <w:shd w:val="clear" w:color="auto" w:fill="auto"/>
                  <w:vAlign w:val="center"/>
                </w:tcPr>
                <w:p w14:paraId="0AFAC6E8">
                  <w:pPr>
                    <w:pStyle w:val="36"/>
                    <w:keepNext w:val="0"/>
                    <w:keepLines w:val="0"/>
                    <w:pageBreakBefore w:val="0"/>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2</w:t>
                  </w:r>
                </w:p>
              </w:tc>
              <w:tc>
                <w:tcPr>
                  <w:tcW w:w="675" w:type="dxa"/>
                  <w:vMerge w:val="continue"/>
                  <w:tcBorders>
                    <w:tl2br w:val="nil"/>
                    <w:tr2bl w:val="nil"/>
                  </w:tcBorders>
                  <w:vAlign w:val="center"/>
                </w:tcPr>
                <w:p w14:paraId="006F5D23">
                  <w:pPr>
                    <w:pStyle w:val="36"/>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Times New Roman"/>
                      <w:bCs/>
                      <w:color w:val="auto"/>
                      <w:sz w:val="21"/>
                      <w:szCs w:val="21"/>
                      <w:lang w:val="en-US" w:eastAsia="zh-CN"/>
                    </w:rPr>
                  </w:pPr>
                </w:p>
              </w:tc>
              <w:tc>
                <w:tcPr>
                  <w:tcW w:w="1200" w:type="dxa"/>
                  <w:tcBorders>
                    <w:tl2br w:val="nil"/>
                    <w:tr2bl w:val="nil"/>
                  </w:tcBorders>
                  <w:vAlign w:val="center"/>
                </w:tcPr>
                <w:p w14:paraId="613B3EAE">
                  <w:pPr>
                    <w:pStyle w:val="36"/>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color w:val="auto"/>
                      <w:lang w:val="en-US" w:eastAsia="zh-CN"/>
                    </w:rPr>
                    <w:t>废包装</w:t>
                  </w:r>
                </w:p>
              </w:tc>
              <w:tc>
                <w:tcPr>
                  <w:tcW w:w="1232" w:type="dxa"/>
                  <w:tcBorders>
                    <w:tl2br w:val="nil"/>
                    <w:tr2bl w:val="nil"/>
                  </w:tcBorders>
                  <w:vAlign w:val="center"/>
                </w:tcPr>
                <w:p w14:paraId="32AB68AF">
                  <w:pPr>
                    <w:pStyle w:val="36"/>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原料包装</w:t>
                  </w:r>
                </w:p>
              </w:tc>
              <w:tc>
                <w:tcPr>
                  <w:tcW w:w="1360" w:type="dxa"/>
                  <w:tcBorders>
                    <w:tl2br w:val="nil"/>
                    <w:tr2bl w:val="nil"/>
                  </w:tcBorders>
                  <w:vAlign w:val="center"/>
                </w:tcPr>
                <w:p w14:paraId="78BE9F4D">
                  <w:pPr>
                    <w:pStyle w:val="36"/>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Times New Roman"/>
                      <w:b w:val="0"/>
                      <w:color w:val="auto"/>
                      <w:kern w:val="2"/>
                      <w:sz w:val="21"/>
                      <w:szCs w:val="21"/>
                      <w:highlight w:val="none"/>
                      <w:lang w:val="en-US" w:eastAsia="zh-CN" w:bidi="ar"/>
                    </w:rPr>
                  </w:pPr>
                  <w:r>
                    <w:rPr>
                      <w:rFonts w:hint="eastAsia" w:ascii="Times New Roman" w:hAnsi="Times New Roman" w:eastAsia="宋体" w:cs="Times New Roman"/>
                      <w:b w:val="0"/>
                      <w:color w:val="auto"/>
                      <w:kern w:val="2"/>
                      <w:sz w:val="21"/>
                      <w:szCs w:val="21"/>
                      <w:highlight w:val="none"/>
                      <w:lang w:val="en-US" w:eastAsia="zh-CN" w:bidi="ar"/>
                    </w:rPr>
                    <w:t xml:space="preserve">900-099-S64 </w:t>
                  </w:r>
                </w:p>
              </w:tc>
              <w:tc>
                <w:tcPr>
                  <w:tcW w:w="1109" w:type="dxa"/>
                  <w:tcBorders>
                    <w:tl2br w:val="nil"/>
                    <w:tr2bl w:val="nil"/>
                  </w:tcBorders>
                  <w:vAlign w:val="center"/>
                </w:tcPr>
                <w:p w14:paraId="3AA93557">
                  <w:pPr>
                    <w:pStyle w:val="36"/>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0.2</w:t>
                  </w:r>
                  <w:r>
                    <w:rPr>
                      <w:rFonts w:hint="default" w:ascii="Times New Roman" w:hAnsi="Times New Roman" w:eastAsia="宋体" w:cs="Times New Roman"/>
                      <w:color w:val="auto"/>
                      <w:szCs w:val="21"/>
                      <w:lang w:val="en-US" w:eastAsia="zh-CN"/>
                    </w:rPr>
                    <w:t>t/a</w:t>
                  </w:r>
                </w:p>
              </w:tc>
              <w:tc>
                <w:tcPr>
                  <w:tcW w:w="2276" w:type="dxa"/>
                  <w:tcBorders>
                    <w:tl2br w:val="nil"/>
                    <w:tr2bl w:val="nil"/>
                  </w:tcBorders>
                  <w:vAlign w:val="center"/>
                </w:tcPr>
                <w:p w14:paraId="60232479">
                  <w:pPr>
                    <w:pStyle w:val="36"/>
                    <w:keepNext w:val="0"/>
                    <w:keepLines w:val="0"/>
                    <w:pageBreakBefore w:val="0"/>
                    <w:kinsoku/>
                    <w:wordWrap/>
                    <w:overflowPunct/>
                    <w:topLinePunct w:val="0"/>
                    <w:autoSpaceDE w:val="0"/>
                    <w:autoSpaceDN w:val="0"/>
                    <w:bidi w:val="0"/>
                    <w:adjustRightInd/>
                    <w:snapToGrid/>
                    <w:spacing w:line="240" w:lineRule="auto"/>
                    <w:ind w:left="0" w:leftChars="0"/>
                    <w:jc w:val="both"/>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rPr>
                    <w:t>外售废品回收站</w:t>
                  </w:r>
                </w:p>
              </w:tc>
            </w:tr>
            <w:tr w14:paraId="125F29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431" w:type="dxa"/>
                  <w:tcBorders>
                    <w:tl2br w:val="nil"/>
                    <w:tr2bl w:val="nil"/>
                  </w:tcBorders>
                  <w:shd w:val="clear" w:color="auto" w:fill="auto"/>
                  <w:vAlign w:val="center"/>
                </w:tcPr>
                <w:p w14:paraId="4172FC05">
                  <w:pPr>
                    <w:pStyle w:val="36"/>
                    <w:keepNext w:val="0"/>
                    <w:keepLines w:val="0"/>
                    <w:pageBreakBefore w:val="0"/>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Cs w:val="21"/>
                      <w:lang w:val="en-US" w:eastAsia="zh-CN"/>
                    </w:rPr>
                    <w:t>3</w:t>
                  </w:r>
                </w:p>
              </w:tc>
              <w:tc>
                <w:tcPr>
                  <w:tcW w:w="675" w:type="dxa"/>
                  <w:vMerge w:val="continue"/>
                  <w:tcBorders>
                    <w:tl2br w:val="nil"/>
                    <w:tr2bl w:val="nil"/>
                  </w:tcBorders>
                  <w:vAlign w:val="center"/>
                </w:tcPr>
                <w:p w14:paraId="7DF31FC7">
                  <w:pPr>
                    <w:pStyle w:val="36"/>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Times New Roman"/>
                      <w:bCs/>
                      <w:color w:val="auto"/>
                      <w:sz w:val="21"/>
                      <w:szCs w:val="21"/>
                      <w:lang w:val="en-US" w:eastAsia="zh-CN"/>
                    </w:rPr>
                  </w:pPr>
                </w:p>
              </w:tc>
              <w:tc>
                <w:tcPr>
                  <w:tcW w:w="1200" w:type="dxa"/>
                  <w:tcBorders>
                    <w:tl2br w:val="nil"/>
                    <w:tr2bl w:val="nil"/>
                  </w:tcBorders>
                  <w:vAlign w:val="center"/>
                </w:tcPr>
                <w:p w14:paraId="48C05634">
                  <w:pPr>
                    <w:pStyle w:val="36"/>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bCs/>
                      <w:color w:val="auto"/>
                      <w:sz w:val="21"/>
                      <w:szCs w:val="21"/>
                      <w:lang w:val="en-US" w:eastAsia="zh-CN"/>
                    </w:rPr>
                    <w:t>除尘灰</w:t>
                  </w:r>
                </w:p>
              </w:tc>
              <w:tc>
                <w:tcPr>
                  <w:tcW w:w="1232" w:type="dxa"/>
                  <w:tcBorders>
                    <w:tl2br w:val="nil"/>
                    <w:tr2bl w:val="nil"/>
                  </w:tcBorders>
                  <w:vAlign w:val="center"/>
                </w:tcPr>
                <w:p w14:paraId="255DBC55">
                  <w:pPr>
                    <w:pStyle w:val="36"/>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废气治理</w:t>
                  </w:r>
                </w:p>
              </w:tc>
              <w:tc>
                <w:tcPr>
                  <w:tcW w:w="1360" w:type="dxa"/>
                  <w:tcBorders>
                    <w:tl2br w:val="nil"/>
                    <w:tr2bl w:val="nil"/>
                  </w:tcBorders>
                  <w:vAlign w:val="center"/>
                </w:tcPr>
                <w:p w14:paraId="19B90F27">
                  <w:pPr>
                    <w:pStyle w:val="36"/>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Times New Roman"/>
                      <w:b w:val="0"/>
                      <w:color w:val="auto"/>
                      <w:kern w:val="2"/>
                      <w:sz w:val="21"/>
                      <w:szCs w:val="21"/>
                      <w:highlight w:val="none"/>
                      <w:lang w:val="en-US" w:eastAsia="zh-CN" w:bidi="ar"/>
                    </w:rPr>
                  </w:pPr>
                  <w:r>
                    <w:rPr>
                      <w:rFonts w:hint="default" w:ascii="Times New Roman" w:hAnsi="Times New Roman" w:eastAsia="宋体" w:cs="Times New Roman"/>
                      <w:b w:val="0"/>
                      <w:color w:val="auto"/>
                      <w:kern w:val="2"/>
                      <w:sz w:val="21"/>
                      <w:szCs w:val="21"/>
                      <w:highlight w:val="none"/>
                      <w:lang w:val="en-US" w:eastAsia="zh-CN" w:bidi="ar"/>
                    </w:rPr>
                    <w:t>900-099-S59</w:t>
                  </w:r>
                </w:p>
              </w:tc>
              <w:tc>
                <w:tcPr>
                  <w:tcW w:w="1109" w:type="dxa"/>
                  <w:tcBorders>
                    <w:tl2br w:val="nil"/>
                    <w:tr2bl w:val="nil"/>
                  </w:tcBorders>
                  <w:vAlign w:val="center"/>
                </w:tcPr>
                <w:p w14:paraId="5F2284BB">
                  <w:pPr>
                    <w:pStyle w:val="36"/>
                    <w:keepNext w:val="0"/>
                    <w:keepLines w:val="0"/>
                    <w:pageBreakBefore w:val="0"/>
                    <w:kinsoku/>
                    <w:wordWrap/>
                    <w:overflowPunct/>
                    <w:topLinePunct w:val="0"/>
                    <w:autoSpaceDE w:val="0"/>
                    <w:autoSpaceDN w:val="0"/>
                    <w:bidi w:val="0"/>
                    <w:adjustRightInd/>
                    <w:snapToGrid/>
                    <w:spacing w:line="240" w:lineRule="auto"/>
                    <w:ind w:left="0" w:leftChars="0"/>
                    <w:textAlignment w:val="auto"/>
                    <w:rPr>
                      <w:rFonts w:hint="default" w:ascii="Times New Roman" w:hAnsi="Times New Roman" w:eastAsia="宋体" w:cs="Times New Roman"/>
                      <w:color w:val="auto"/>
                      <w:szCs w:val="21"/>
                      <w:lang w:val="en-US" w:eastAsia="zh-CN"/>
                    </w:rPr>
                  </w:pPr>
                  <w:r>
                    <w:rPr>
                      <w:rFonts w:hint="eastAsia" w:cs="Times New Roman"/>
                      <w:color w:val="auto"/>
                      <w:sz w:val="21"/>
                      <w:szCs w:val="21"/>
                      <w:lang w:val="en-US" w:eastAsia="zh-CN"/>
                    </w:rPr>
                    <w:t>10.692</w:t>
                  </w:r>
                  <w:r>
                    <w:rPr>
                      <w:rFonts w:hint="default" w:ascii="Times New Roman" w:hAnsi="Times New Roman" w:eastAsia="宋体" w:cs="Times New Roman"/>
                      <w:color w:val="auto"/>
                      <w:sz w:val="21"/>
                      <w:szCs w:val="21"/>
                      <w:lang w:val="en-US" w:eastAsia="zh-CN"/>
                    </w:rPr>
                    <w:t>t/a</w:t>
                  </w:r>
                </w:p>
              </w:tc>
              <w:tc>
                <w:tcPr>
                  <w:tcW w:w="2276" w:type="dxa"/>
                  <w:tcBorders>
                    <w:tl2br w:val="nil"/>
                    <w:tr2bl w:val="nil"/>
                  </w:tcBorders>
                  <w:vAlign w:val="center"/>
                </w:tcPr>
                <w:p w14:paraId="66DC437C">
                  <w:pPr>
                    <w:pStyle w:val="36"/>
                    <w:keepNext w:val="0"/>
                    <w:keepLines w:val="0"/>
                    <w:pageBreakBefore w:val="0"/>
                    <w:kinsoku/>
                    <w:wordWrap/>
                    <w:overflowPunct/>
                    <w:topLinePunct w:val="0"/>
                    <w:autoSpaceDE w:val="0"/>
                    <w:autoSpaceDN w:val="0"/>
                    <w:bidi w:val="0"/>
                    <w:adjustRightInd/>
                    <w:snapToGrid/>
                    <w:spacing w:line="240" w:lineRule="auto"/>
                    <w:ind w:left="0" w:leftChars="0"/>
                    <w:jc w:val="both"/>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集中收集定期外售进行综合利用</w:t>
                  </w:r>
                </w:p>
              </w:tc>
            </w:tr>
            <w:tr w14:paraId="24A137D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431" w:type="dxa"/>
                  <w:tcBorders>
                    <w:tl2br w:val="nil"/>
                    <w:tr2bl w:val="nil"/>
                  </w:tcBorders>
                  <w:shd w:val="clear" w:color="auto" w:fill="auto"/>
                  <w:vAlign w:val="center"/>
                </w:tcPr>
                <w:p w14:paraId="41606374">
                  <w:pPr>
                    <w:pStyle w:val="36"/>
                    <w:keepNext w:val="0"/>
                    <w:keepLines w:val="0"/>
                    <w:pageBreakBefore w:val="0"/>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Cs w:val="21"/>
                      <w:lang w:val="en-US" w:eastAsia="zh-CN"/>
                    </w:rPr>
                    <w:t>4</w:t>
                  </w:r>
                </w:p>
              </w:tc>
              <w:tc>
                <w:tcPr>
                  <w:tcW w:w="675" w:type="dxa"/>
                  <w:vMerge w:val="continue"/>
                  <w:tcBorders>
                    <w:tl2br w:val="nil"/>
                    <w:tr2bl w:val="nil"/>
                  </w:tcBorders>
                  <w:vAlign w:val="center"/>
                </w:tcPr>
                <w:p w14:paraId="41AF0B18">
                  <w:pPr>
                    <w:pStyle w:val="36"/>
                    <w:keepNext w:val="0"/>
                    <w:keepLines w:val="0"/>
                    <w:pageBreakBefore w:val="0"/>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宋体" w:cs="Times New Roman"/>
                      <w:color w:val="auto"/>
                      <w:lang w:val="en-US" w:eastAsia="zh-CN"/>
                    </w:rPr>
                  </w:pPr>
                </w:p>
              </w:tc>
              <w:tc>
                <w:tcPr>
                  <w:tcW w:w="1200" w:type="dxa"/>
                  <w:tcBorders>
                    <w:tl2br w:val="nil"/>
                    <w:tr2bl w:val="nil"/>
                  </w:tcBorders>
                  <w:vAlign w:val="center"/>
                </w:tcPr>
                <w:p w14:paraId="06455FFF">
                  <w:pPr>
                    <w:pStyle w:val="36"/>
                    <w:keepNext w:val="0"/>
                    <w:keepLines w:val="0"/>
                    <w:pageBreakBefore w:val="0"/>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污水站污泥</w:t>
                  </w:r>
                </w:p>
              </w:tc>
              <w:tc>
                <w:tcPr>
                  <w:tcW w:w="1232" w:type="dxa"/>
                  <w:tcBorders>
                    <w:tl2br w:val="nil"/>
                    <w:tr2bl w:val="nil"/>
                  </w:tcBorders>
                  <w:vAlign w:val="center"/>
                </w:tcPr>
                <w:p w14:paraId="71C4E4CE">
                  <w:pPr>
                    <w:pStyle w:val="36"/>
                    <w:keepNext w:val="0"/>
                    <w:keepLines w:val="0"/>
                    <w:pageBreakBefore w:val="0"/>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污水处理</w:t>
                  </w:r>
                </w:p>
              </w:tc>
              <w:tc>
                <w:tcPr>
                  <w:tcW w:w="1360" w:type="dxa"/>
                  <w:tcBorders>
                    <w:tl2br w:val="nil"/>
                    <w:tr2bl w:val="nil"/>
                  </w:tcBorders>
                  <w:vAlign w:val="center"/>
                </w:tcPr>
                <w:p w14:paraId="3D05D190">
                  <w:pPr>
                    <w:keepNext w:val="0"/>
                    <w:keepLines w:val="0"/>
                    <w:widowControl/>
                    <w:suppressLineNumbers w:val="0"/>
                    <w:ind w:left="0" w:leftChars="0" w:firstLine="0" w:firstLineChars="0"/>
                    <w:jc w:val="left"/>
                    <w:rPr>
                      <w:rFonts w:hint="default" w:ascii="Times New Roman" w:hAnsi="Times New Roman" w:eastAsia="宋体" w:cs="Times New Roman"/>
                      <w:b w:val="0"/>
                      <w:color w:val="auto"/>
                      <w:kern w:val="2"/>
                      <w:sz w:val="21"/>
                      <w:szCs w:val="21"/>
                      <w:highlight w:val="none"/>
                      <w:lang w:val="en-US" w:eastAsia="zh-CN" w:bidi="ar"/>
                    </w:rPr>
                  </w:pPr>
                  <w:r>
                    <w:rPr>
                      <w:rFonts w:hint="default" w:ascii="Times New Roman" w:hAnsi="Times New Roman" w:cs="Times New Roman"/>
                      <w:color w:val="auto"/>
                      <w:lang w:val="en-US" w:eastAsia="zh-CN"/>
                    </w:rPr>
                    <w:t>900-099-S07</w:t>
                  </w:r>
                  <w:r>
                    <w:rPr>
                      <w:rFonts w:hint="default" w:ascii="Times New Roman" w:hAnsi="Times New Roman" w:eastAsia="宋体" w:cs="Times New Roman"/>
                      <w:b w:val="0"/>
                      <w:color w:val="auto"/>
                      <w:kern w:val="2"/>
                      <w:sz w:val="21"/>
                      <w:szCs w:val="21"/>
                      <w:highlight w:val="none"/>
                      <w:lang w:val="en-US" w:eastAsia="zh-CN" w:bidi="ar"/>
                    </w:rPr>
                    <w:t xml:space="preserve"> </w:t>
                  </w:r>
                </w:p>
              </w:tc>
              <w:tc>
                <w:tcPr>
                  <w:tcW w:w="1109" w:type="dxa"/>
                  <w:tcBorders>
                    <w:tl2br w:val="nil"/>
                    <w:tr2bl w:val="nil"/>
                  </w:tcBorders>
                  <w:vAlign w:val="center"/>
                </w:tcPr>
                <w:p w14:paraId="609277C6">
                  <w:pPr>
                    <w:pStyle w:val="36"/>
                    <w:keepNext w:val="0"/>
                    <w:keepLines w:val="0"/>
                    <w:pageBreakBefore w:val="0"/>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5.98</w:t>
                  </w:r>
                  <w:r>
                    <w:rPr>
                      <w:rFonts w:hint="default" w:ascii="Times New Roman" w:hAnsi="Times New Roman" w:cs="Times New Roman"/>
                      <w:color w:val="auto"/>
                      <w:sz w:val="21"/>
                      <w:szCs w:val="21"/>
                      <w:lang w:val="en-US" w:eastAsia="zh-CN"/>
                    </w:rPr>
                    <w:t>t/a</w:t>
                  </w:r>
                </w:p>
              </w:tc>
              <w:tc>
                <w:tcPr>
                  <w:tcW w:w="2276" w:type="dxa"/>
                  <w:tcBorders>
                    <w:tl2br w:val="nil"/>
                    <w:tr2bl w:val="nil"/>
                  </w:tcBorders>
                  <w:vAlign w:val="center"/>
                </w:tcPr>
                <w:p w14:paraId="0B1FDDA6">
                  <w:pPr>
                    <w:pStyle w:val="36"/>
                    <w:keepNext w:val="0"/>
                    <w:keepLines w:val="0"/>
                    <w:pageBreakBefore w:val="0"/>
                    <w:kinsoku/>
                    <w:wordWrap/>
                    <w:overflowPunct/>
                    <w:topLinePunct w:val="0"/>
                    <w:autoSpaceDE w:val="0"/>
                    <w:autoSpaceDN w:val="0"/>
                    <w:bidi w:val="0"/>
                    <w:adjustRightInd/>
                    <w:snapToGrid/>
                    <w:spacing w:line="240" w:lineRule="auto"/>
                    <w:ind w:left="0" w:leftChars="0" w:firstLine="0" w:firstLineChars="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Cs w:val="24"/>
                      <w:lang w:val="en-US" w:eastAsia="zh-CN"/>
                    </w:rPr>
                    <w:t>污泥经脱水后拉运至</w:t>
                  </w:r>
                  <w:r>
                    <w:rPr>
                      <w:rFonts w:hint="default" w:ascii="Times New Roman" w:hAnsi="Times New Roman" w:cs="Times New Roman"/>
                      <w:color w:val="auto"/>
                      <w:szCs w:val="24"/>
                      <w:lang w:val="en-US" w:eastAsia="zh-CN"/>
                    </w:rPr>
                    <w:t>园区垃圾填埋场</w:t>
                  </w:r>
                  <w:r>
                    <w:rPr>
                      <w:rFonts w:hint="default" w:ascii="Times New Roman" w:hAnsi="Times New Roman" w:eastAsia="宋体" w:cs="Times New Roman"/>
                      <w:color w:val="auto"/>
                      <w:szCs w:val="24"/>
                      <w:lang w:val="en-US" w:eastAsia="zh-CN"/>
                    </w:rPr>
                    <w:t>处置</w:t>
                  </w:r>
                </w:p>
              </w:tc>
            </w:tr>
            <w:tr w14:paraId="2836E7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431" w:type="dxa"/>
                  <w:tcBorders>
                    <w:tl2br w:val="nil"/>
                    <w:tr2bl w:val="nil"/>
                  </w:tcBorders>
                  <w:vAlign w:val="center"/>
                </w:tcPr>
                <w:p w14:paraId="127EFA91">
                  <w:pPr>
                    <w:pStyle w:val="36"/>
                    <w:keepNext w:val="0"/>
                    <w:keepLines w:val="0"/>
                    <w:pageBreakBefore w:val="0"/>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Cs w:val="21"/>
                      <w:lang w:val="en-US" w:eastAsia="zh-CN"/>
                    </w:rPr>
                    <w:t>5</w:t>
                  </w:r>
                </w:p>
              </w:tc>
              <w:tc>
                <w:tcPr>
                  <w:tcW w:w="675" w:type="dxa"/>
                  <w:vMerge w:val="continue"/>
                  <w:tcBorders>
                    <w:tl2br w:val="nil"/>
                    <w:tr2bl w:val="nil"/>
                  </w:tcBorders>
                  <w:vAlign w:val="center"/>
                </w:tcPr>
                <w:p w14:paraId="34EA9C19">
                  <w:pPr>
                    <w:pStyle w:val="36"/>
                    <w:keepNext w:val="0"/>
                    <w:keepLines w:val="0"/>
                    <w:pageBreakBefore w:val="0"/>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宋体" w:cs="Times New Roman"/>
                      <w:color w:val="auto"/>
                      <w:szCs w:val="21"/>
                      <w:lang w:eastAsia="zh-CN"/>
                    </w:rPr>
                  </w:pPr>
                </w:p>
              </w:tc>
              <w:tc>
                <w:tcPr>
                  <w:tcW w:w="1200" w:type="dxa"/>
                  <w:tcBorders>
                    <w:tl2br w:val="nil"/>
                    <w:tr2bl w:val="nil"/>
                  </w:tcBorders>
                  <w:vAlign w:val="center"/>
                </w:tcPr>
                <w:p w14:paraId="4F8E6E69">
                  <w:pPr>
                    <w:pStyle w:val="36"/>
                    <w:keepNext w:val="0"/>
                    <w:keepLines w:val="0"/>
                    <w:pageBreakBefore w:val="0"/>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Cs w:val="24"/>
                      <w:lang w:val="en-US" w:eastAsia="zh-CN"/>
                    </w:rPr>
                    <w:t>废反渗透膜</w:t>
                  </w:r>
                </w:p>
              </w:tc>
              <w:tc>
                <w:tcPr>
                  <w:tcW w:w="1232" w:type="dxa"/>
                  <w:tcBorders>
                    <w:tl2br w:val="nil"/>
                    <w:tr2bl w:val="nil"/>
                  </w:tcBorders>
                  <w:vAlign w:val="center"/>
                </w:tcPr>
                <w:p w14:paraId="30FF5948">
                  <w:pPr>
                    <w:pStyle w:val="36"/>
                    <w:keepNext w:val="0"/>
                    <w:keepLines w:val="0"/>
                    <w:pageBreakBefore w:val="0"/>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Cs w:val="21"/>
                      <w:lang w:eastAsia="zh-CN"/>
                    </w:rPr>
                    <w:t>软水制备</w:t>
                  </w:r>
                </w:p>
              </w:tc>
              <w:tc>
                <w:tcPr>
                  <w:tcW w:w="1360" w:type="dxa"/>
                  <w:tcBorders>
                    <w:tl2br w:val="nil"/>
                    <w:tr2bl w:val="nil"/>
                  </w:tcBorders>
                  <w:vAlign w:val="center"/>
                </w:tcPr>
                <w:p w14:paraId="63B634B5">
                  <w:pPr>
                    <w:keepNext w:val="0"/>
                    <w:keepLines w:val="0"/>
                    <w:pageBreakBefore w:val="0"/>
                    <w:widowControl/>
                    <w:suppressLineNumbers w:val="0"/>
                    <w:kinsoku/>
                    <w:wordWrap/>
                    <w:overflowPunct/>
                    <w:topLinePunct w:val="0"/>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b w:val="0"/>
                      <w:color w:val="auto"/>
                      <w:kern w:val="2"/>
                      <w:sz w:val="21"/>
                      <w:szCs w:val="21"/>
                      <w:highlight w:val="none"/>
                      <w:lang w:val="en-US" w:eastAsia="zh-CN" w:bidi="ar"/>
                    </w:rPr>
                    <w:t>900-009-S59</w:t>
                  </w:r>
                </w:p>
              </w:tc>
              <w:tc>
                <w:tcPr>
                  <w:tcW w:w="1109" w:type="dxa"/>
                  <w:tcBorders>
                    <w:tl2br w:val="nil"/>
                    <w:tr2bl w:val="nil"/>
                  </w:tcBorders>
                  <w:vAlign w:val="center"/>
                </w:tcPr>
                <w:p w14:paraId="0F6BBF49">
                  <w:pPr>
                    <w:pStyle w:val="36"/>
                    <w:keepNext w:val="0"/>
                    <w:keepLines w:val="0"/>
                    <w:pageBreakBefore w:val="0"/>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Cs w:val="21"/>
                      <w:lang w:val="en-US" w:eastAsia="zh-CN"/>
                    </w:rPr>
                    <w:t>0.</w:t>
                  </w:r>
                  <w:r>
                    <w:rPr>
                      <w:rFonts w:hint="eastAsia" w:cs="Times New Roman"/>
                      <w:color w:val="auto"/>
                      <w:szCs w:val="21"/>
                      <w:lang w:val="en-US" w:eastAsia="zh-CN"/>
                    </w:rPr>
                    <w:t>0</w:t>
                  </w:r>
                  <w:r>
                    <w:rPr>
                      <w:rFonts w:hint="default"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val="en-US" w:eastAsia="zh-CN"/>
                    </w:rPr>
                    <w:t>t/a</w:t>
                  </w:r>
                </w:p>
              </w:tc>
              <w:tc>
                <w:tcPr>
                  <w:tcW w:w="2276" w:type="dxa"/>
                  <w:tcBorders>
                    <w:tl2br w:val="nil"/>
                    <w:tr2bl w:val="nil"/>
                  </w:tcBorders>
                  <w:vAlign w:val="center"/>
                </w:tcPr>
                <w:p w14:paraId="28121159">
                  <w:pPr>
                    <w:pStyle w:val="36"/>
                    <w:keepNext w:val="0"/>
                    <w:keepLines w:val="0"/>
                    <w:pageBreakBefore w:val="0"/>
                    <w:kinsoku/>
                    <w:wordWrap/>
                    <w:overflowPunct/>
                    <w:topLinePunct w:val="0"/>
                    <w:autoSpaceDE w:val="0"/>
                    <w:autoSpaceDN w:val="0"/>
                    <w:bidi w:val="0"/>
                    <w:adjustRightInd/>
                    <w:snapToGrid/>
                    <w:spacing w:line="240" w:lineRule="auto"/>
                    <w:ind w:left="0" w:leftChars="0"/>
                    <w:jc w:val="both"/>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bCs/>
                      <w:color w:val="auto"/>
                      <w:sz w:val="21"/>
                      <w:szCs w:val="21"/>
                      <w:lang w:val="en-US" w:eastAsia="zh-CN"/>
                    </w:rPr>
                    <w:t>厂家定期更换</w:t>
                  </w:r>
                </w:p>
              </w:tc>
            </w:tr>
          </w:tbl>
          <w:p w14:paraId="74CB2D29">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5、地下水、土壤影响分析及治理措施</w:t>
            </w:r>
          </w:p>
          <w:p w14:paraId="1EC3112F">
            <w:pPr>
              <w:keepNext w:val="0"/>
              <w:keepLines w:val="0"/>
              <w:suppressLineNumbers w:val="0"/>
              <w:spacing w:before="0" w:beforeLines="0" w:beforeAutospacing="0" w:after="0" w:afterLines="0" w:afterAutospacing="0"/>
              <w:ind w:left="0"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本项目无地下水、土壤污染源，</w:t>
            </w:r>
            <w:r>
              <w:rPr>
                <w:rFonts w:hint="default" w:ascii="Times New Roman" w:hAnsi="Times New Roman" w:cs="Times New Roman"/>
                <w:color w:val="auto"/>
                <w:highlight w:val="none"/>
                <w:lang w:val="en-US" w:eastAsia="zh-CN"/>
              </w:rPr>
              <w:t>通过地面防渗导流槽对生产废水、设备清洗水进行收集，对污水处理设施进行一般</w:t>
            </w:r>
            <w:r>
              <w:rPr>
                <w:rFonts w:hint="default" w:ascii="Times New Roman" w:hAnsi="Times New Roman" w:cs="Times New Roman"/>
                <w:color w:val="auto"/>
                <w:highlight w:val="none"/>
              </w:rPr>
              <w:t>防渗处理，</w:t>
            </w:r>
            <w:r>
              <w:rPr>
                <w:rFonts w:hint="default" w:ascii="Times New Roman" w:hAnsi="Times New Roman" w:cs="Times New Roman"/>
                <w:color w:val="auto"/>
                <w:highlight w:val="none"/>
                <w:lang w:val="en-US" w:eastAsia="zh-CN"/>
              </w:rPr>
              <w:t>可有效杜绝生产过程对地下水、土壤的影响</w:t>
            </w:r>
            <w:r>
              <w:rPr>
                <w:rFonts w:hint="default" w:ascii="Times New Roman" w:hAnsi="Times New Roman" w:cs="Times New Roman"/>
                <w:color w:val="auto"/>
                <w:highlight w:val="none"/>
              </w:rPr>
              <w:t>。</w:t>
            </w:r>
          </w:p>
          <w:p w14:paraId="5AF168BA">
            <w:pPr>
              <w:keepNext w:val="0"/>
              <w:keepLines w:val="0"/>
              <w:suppressLineNumbers w:val="0"/>
              <w:spacing w:before="0" w:beforeAutospacing="0" w:after="0" w:afterAutospacing="0"/>
              <w:ind w:left="0" w:right="0" w:firstLine="0" w:firstLineChars="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6、环境风险分析</w:t>
            </w:r>
          </w:p>
          <w:p w14:paraId="2FA7E9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本项目属于</w:t>
            </w:r>
            <w:r>
              <w:rPr>
                <w:rFonts w:hint="eastAsia" w:cs="Times New Roman"/>
                <w:color w:val="auto"/>
                <w:highlight w:val="none"/>
                <w:lang w:val="en-US" w:eastAsia="zh-CN"/>
              </w:rPr>
              <w:t>驼奶</w:t>
            </w:r>
            <w:r>
              <w:rPr>
                <w:rFonts w:hint="default" w:ascii="Times New Roman" w:hAnsi="Times New Roman" w:cs="Times New Roman"/>
                <w:color w:val="auto"/>
                <w:highlight w:val="none"/>
                <w:lang w:val="en-US" w:eastAsia="zh-CN"/>
              </w:rPr>
              <w:t>制品制造等，参考</w:t>
            </w:r>
            <w:r>
              <w:rPr>
                <w:rFonts w:hint="default" w:ascii="Times New Roman" w:hAnsi="Times New Roman" w:cs="Times New Roman"/>
                <w:color w:val="auto"/>
                <w:highlight w:val="none"/>
              </w:rPr>
              <w:t>《建设项目环境风险评价技术导则》（HJ169-2018）</w:t>
            </w:r>
            <w:r>
              <w:rPr>
                <w:rFonts w:hint="default" w:ascii="Times New Roman" w:hAnsi="Times New Roman" w:cs="Times New Roman"/>
                <w:color w:val="auto"/>
                <w:highlight w:val="none"/>
                <w:lang w:val="en-US" w:eastAsia="zh-CN"/>
              </w:rPr>
              <w:t>附录B</w:t>
            </w:r>
            <w:r>
              <w:rPr>
                <w:rFonts w:hint="default" w:ascii="Times New Roman" w:hAnsi="Times New Roman" w:cs="Times New Roman"/>
                <w:color w:val="auto"/>
                <w:highlight w:val="none"/>
              </w:rPr>
              <w:t>可知，项目用原辅料及产品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污染物</w:t>
            </w:r>
            <w:r>
              <w:rPr>
                <w:rFonts w:hint="default" w:ascii="Times New Roman" w:hAnsi="Times New Roman" w:cs="Times New Roman"/>
                <w:color w:val="auto"/>
                <w:highlight w:val="none"/>
              </w:rPr>
              <w:t>均不属于</w:t>
            </w:r>
            <w:r>
              <w:rPr>
                <w:rFonts w:hint="default" w:ascii="Times New Roman" w:hAnsi="Times New Roman" w:cs="Times New Roman"/>
                <w:color w:val="auto"/>
                <w:highlight w:val="none"/>
                <w:lang w:val="en-US" w:eastAsia="zh-CN"/>
              </w:rPr>
              <w:t>重点关注的</w:t>
            </w:r>
            <w:r>
              <w:rPr>
                <w:rFonts w:hint="default" w:ascii="Times New Roman" w:hAnsi="Times New Roman" w:cs="Times New Roman"/>
                <w:color w:val="auto"/>
                <w:highlight w:val="none"/>
              </w:rPr>
              <w:t>危险物质，</w:t>
            </w:r>
            <w:r>
              <w:rPr>
                <w:rFonts w:hint="default" w:ascii="Times New Roman" w:hAnsi="Times New Roman" w:cs="Times New Roman"/>
                <w:color w:val="auto"/>
                <w:highlight w:val="none"/>
                <w:lang w:val="en-US" w:eastAsia="zh-CN"/>
              </w:rPr>
              <w:t>同时</w:t>
            </w:r>
            <w:r>
              <w:rPr>
                <w:rFonts w:hint="default" w:ascii="Times New Roman" w:hAnsi="Times New Roman" w:cs="Times New Roman"/>
                <w:color w:val="auto"/>
                <w:highlight w:val="none"/>
              </w:rPr>
              <w:t>工艺</w:t>
            </w:r>
            <w:r>
              <w:rPr>
                <w:rFonts w:hint="default" w:ascii="Times New Roman" w:hAnsi="Times New Roman" w:cs="Times New Roman"/>
                <w:color w:val="auto"/>
                <w:highlight w:val="none"/>
                <w:lang w:val="en-US" w:eastAsia="zh-CN"/>
              </w:rPr>
              <w:t>系统不具有危险性，项目不涉及环境风险。</w:t>
            </w:r>
          </w:p>
          <w:p w14:paraId="51A6E938">
            <w:pPr>
              <w:ind w:firstLine="0" w:firstLineChars="0"/>
              <w:rPr>
                <w:rFonts w:hint="default" w:ascii="Times New Roman" w:hAnsi="Times New Roman" w:eastAsia="宋体" w:cs="Times New Roman"/>
                <w:b/>
                <w:bCs/>
                <w:color w:val="auto"/>
              </w:rPr>
            </w:pPr>
            <w:r>
              <w:rPr>
                <w:rFonts w:hint="eastAsia" w:cs="Times New Roman"/>
                <w:b/>
                <w:bCs/>
                <w:color w:val="auto"/>
                <w:lang w:val="en-US" w:eastAsia="zh-CN"/>
              </w:rPr>
              <w:t>7</w:t>
            </w:r>
            <w:r>
              <w:rPr>
                <w:rFonts w:hint="default" w:ascii="Times New Roman" w:hAnsi="Times New Roman" w:eastAsia="宋体" w:cs="Times New Roman"/>
                <w:b/>
                <w:bCs/>
                <w:color w:val="auto"/>
              </w:rPr>
              <w:t>、环境保护投资</w:t>
            </w:r>
          </w:p>
          <w:p w14:paraId="079EE1AA">
            <w:pPr>
              <w:ind w:firstLine="31680"/>
              <w:rPr>
                <w:rFonts w:hint="default" w:ascii="Times New Roman" w:hAnsi="Times New Roman" w:eastAsia="宋体" w:cs="Times New Roman"/>
                <w:color w:val="auto"/>
              </w:rPr>
            </w:pPr>
            <w:r>
              <w:rPr>
                <w:rFonts w:hint="default" w:ascii="Times New Roman" w:hAnsi="Times New Roman" w:eastAsia="宋体" w:cs="Times New Roman"/>
                <w:color w:val="auto"/>
              </w:rPr>
              <w:t>本项目投资</w:t>
            </w:r>
            <w:r>
              <w:rPr>
                <w:rFonts w:hint="default" w:ascii="Times New Roman" w:hAnsi="Times New Roman" w:eastAsia="宋体" w:cs="Times New Roman"/>
                <w:color w:val="auto"/>
                <w:sz w:val="21"/>
                <w:szCs w:val="21"/>
                <w:lang w:val="en-US" w:eastAsia="zh-CN"/>
              </w:rPr>
              <w:t>5000</w:t>
            </w:r>
            <w:r>
              <w:rPr>
                <w:rFonts w:hint="default" w:ascii="Times New Roman" w:hAnsi="Times New Roman" w:eastAsia="宋体" w:cs="Times New Roman"/>
                <w:color w:val="auto"/>
              </w:rPr>
              <w:t>万元，其中用于环境保护方面的投资约</w:t>
            </w:r>
            <w:r>
              <w:rPr>
                <w:rFonts w:hint="default" w:ascii="Times New Roman" w:hAnsi="Times New Roman" w:cs="Times New Roman"/>
                <w:color w:val="auto"/>
                <w:lang w:val="en-US" w:eastAsia="zh-CN"/>
              </w:rPr>
              <w:t>32</w:t>
            </w:r>
            <w:r>
              <w:rPr>
                <w:rFonts w:hint="default" w:ascii="Times New Roman" w:hAnsi="Times New Roman" w:eastAsia="宋体" w:cs="Times New Roman"/>
                <w:color w:val="auto"/>
              </w:rPr>
              <w:t>万元，占项目总投资额的</w:t>
            </w:r>
            <w:r>
              <w:rPr>
                <w:rFonts w:hint="default" w:ascii="Times New Roman" w:hAnsi="Times New Roman" w:cs="Times New Roman"/>
                <w:color w:val="auto"/>
                <w:lang w:val="en-US" w:eastAsia="zh-CN"/>
              </w:rPr>
              <w:t>0.64</w:t>
            </w:r>
            <w:r>
              <w:rPr>
                <w:rFonts w:hint="default" w:ascii="Times New Roman" w:hAnsi="Times New Roman" w:eastAsia="宋体" w:cs="Times New Roman"/>
                <w:color w:val="auto"/>
              </w:rPr>
              <w:t>%，主要环保设施及投资见表4-</w:t>
            </w:r>
            <w:r>
              <w:rPr>
                <w:rFonts w:hint="default" w:ascii="Times New Roman" w:hAnsi="Times New Roman" w:eastAsia="宋体" w:cs="Times New Roman"/>
                <w:color w:val="auto"/>
                <w:lang w:val="en-US" w:eastAsia="zh-CN"/>
              </w:rPr>
              <w:t>1</w:t>
            </w:r>
            <w:r>
              <w:rPr>
                <w:rFonts w:hint="eastAsia" w:cs="Times New Roman"/>
                <w:color w:val="auto"/>
                <w:lang w:val="en-US" w:eastAsia="zh-CN"/>
              </w:rPr>
              <w:t>6</w:t>
            </w:r>
            <w:r>
              <w:rPr>
                <w:rFonts w:hint="default" w:ascii="Times New Roman" w:hAnsi="Times New Roman" w:eastAsia="宋体" w:cs="Times New Roman"/>
                <w:color w:val="auto"/>
              </w:rPr>
              <w:t>。</w:t>
            </w:r>
          </w:p>
          <w:p w14:paraId="0AA0D89E">
            <w:pPr>
              <w:spacing w:line="240" w:lineRule="auto"/>
              <w:ind w:firstLine="31680"/>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表4</w:t>
            </w:r>
            <w:r>
              <w:rPr>
                <w:rFonts w:hint="default" w:ascii="Times New Roman" w:hAnsi="Times New Roman" w:eastAsia="宋体" w:cs="Times New Roman"/>
                <w:b/>
                <w:bCs/>
                <w:color w:val="auto"/>
                <w:lang w:val="en-US" w:eastAsia="zh-CN"/>
              </w:rPr>
              <w:t>-1</w:t>
            </w:r>
            <w:r>
              <w:rPr>
                <w:rFonts w:hint="eastAsia" w:cs="Times New Roman"/>
                <w:b/>
                <w:bCs/>
                <w:color w:val="auto"/>
                <w:lang w:val="en-US" w:eastAsia="zh-CN"/>
              </w:rPr>
              <w:t>6</w:t>
            </w:r>
            <w:r>
              <w:rPr>
                <w:rFonts w:hint="default" w:ascii="Times New Roman" w:hAnsi="Times New Roman" w:eastAsia="宋体" w:cs="Times New Roman"/>
                <w:b/>
                <w:bCs/>
                <w:color w:val="auto"/>
              </w:rPr>
              <w:t xml:space="preserve">                     环保设施投资</w:t>
            </w:r>
          </w:p>
          <w:tbl>
            <w:tblPr>
              <w:tblStyle w:val="20"/>
              <w:tblW w:w="8288"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56"/>
              <w:gridCol w:w="6383"/>
              <w:gridCol w:w="1149"/>
            </w:tblGrid>
            <w:tr w14:paraId="3B24AE1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56" w:type="dxa"/>
                  <w:tcBorders>
                    <w:top w:val="single" w:color="000000" w:sz="12" w:space="0"/>
                    <w:bottom w:val="single" w:color="000000" w:sz="4" w:space="0"/>
                    <w:right w:val="single" w:color="000000" w:sz="4" w:space="0"/>
                  </w:tcBorders>
                  <w:vAlign w:val="center"/>
                </w:tcPr>
                <w:p w14:paraId="10FEAC64">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类别</w:t>
                  </w:r>
                </w:p>
              </w:tc>
              <w:tc>
                <w:tcPr>
                  <w:tcW w:w="6383" w:type="dxa"/>
                  <w:tcBorders>
                    <w:top w:val="single" w:color="000000" w:sz="12" w:space="0"/>
                    <w:left w:val="single" w:color="000000" w:sz="4" w:space="0"/>
                    <w:bottom w:val="single" w:color="000000" w:sz="4" w:space="0"/>
                    <w:right w:val="single" w:color="000000" w:sz="4" w:space="0"/>
                  </w:tcBorders>
                  <w:vAlign w:val="center"/>
                </w:tcPr>
                <w:p w14:paraId="126C9B5D">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环保措施</w:t>
                  </w:r>
                </w:p>
              </w:tc>
              <w:tc>
                <w:tcPr>
                  <w:tcW w:w="1149" w:type="dxa"/>
                  <w:tcBorders>
                    <w:top w:val="single" w:color="000000" w:sz="12" w:space="0"/>
                    <w:left w:val="single" w:color="000000" w:sz="4" w:space="0"/>
                    <w:bottom w:val="single" w:color="000000" w:sz="4" w:space="0"/>
                  </w:tcBorders>
                  <w:vAlign w:val="center"/>
                </w:tcPr>
                <w:p w14:paraId="64D2F05F">
                  <w:pPr>
                    <w:pStyle w:val="36"/>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环保投资</w:t>
                  </w:r>
                </w:p>
              </w:tc>
            </w:tr>
            <w:tr w14:paraId="3A55AE0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56" w:type="dxa"/>
                  <w:vMerge w:val="restart"/>
                  <w:tcBorders>
                    <w:top w:val="single" w:color="000000" w:sz="4" w:space="0"/>
                    <w:right w:val="single" w:color="000000" w:sz="4" w:space="0"/>
                  </w:tcBorders>
                  <w:vAlign w:val="center"/>
                </w:tcPr>
                <w:p w14:paraId="357D9B25">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6383" w:type="dxa"/>
                  <w:tcBorders>
                    <w:top w:val="single" w:color="000000" w:sz="4" w:space="0"/>
                    <w:left w:val="single" w:color="000000" w:sz="4" w:space="0"/>
                    <w:bottom w:val="single" w:color="000000" w:sz="4" w:space="0"/>
                    <w:right w:val="single" w:color="000000" w:sz="4" w:space="0"/>
                  </w:tcBorders>
                  <w:vAlign w:val="center"/>
                </w:tcPr>
                <w:p w14:paraId="4054D7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乳粉生产和灌装工序分别经集气罩收集后通过袋式除尘器</w:t>
                  </w:r>
                  <w:r>
                    <w:rPr>
                      <w:rFonts w:hint="default" w:ascii="Times New Roman" w:hAnsi="Times New Roman" w:eastAsia="宋体" w:cs="Times New Roman"/>
                      <w:color w:val="auto"/>
                      <w:kern w:val="2"/>
                      <w:sz w:val="21"/>
                      <w:szCs w:val="21"/>
                      <w:lang w:val="en-US" w:eastAsia="zh-CN" w:bidi="ar-SA"/>
                    </w:rPr>
                    <w:t>处理</w:t>
                  </w:r>
                  <w:r>
                    <w:rPr>
                      <w:rFonts w:hint="eastAsia" w:cs="Times New Roman"/>
                      <w:color w:val="auto"/>
                      <w:kern w:val="2"/>
                      <w:sz w:val="21"/>
                      <w:szCs w:val="21"/>
                      <w:lang w:val="en-US" w:eastAsia="zh-CN" w:bidi="ar-SA"/>
                    </w:rPr>
                    <w:t>后</w:t>
                  </w:r>
                  <w:r>
                    <w:rPr>
                      <w:rFonts w:hint="default" w:ascii="Times New Roman" w:hAnsi="Times New Roman" w:eastAsia="宋体" w:cs="Times New Roman"/>
                      <w:color w:val="auto"/>
                    </w:rPr>
                    <w:t>经</w:t>
                  </w:r>
                  <w:r>
                    <w:rPr>
                      <w:rFonts w:hint="default" w:ascii="Times New Roman" w:hAnsi="Times New Roman" w:eastAsia="宋体" w:cs="Times New Roman"/>
                      <w:color w:val="auto"/>
                      <w:lang w:val="en-US" w:eastAsia="zh-CN"/>
                    </w:rPr>
                    <w:t>1根</w:t>
                  </w:r>
                  <w:r>
                    <w:rPr>
                      <w:rFonts w:hint="default" w:ascii="Times New Roman" w:hAnsi="Times New Roman" w:eastAsia="宋体" w:cs="Times New Roman"/>
                      <w:color w:val="auto"/>
                    </w:rPr>
                    <w:t>15m排气筒</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DA001</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排放</w:t>
                  </w:r>
                  <w:r>
                    <w:rPr>
                      <w:rFonts w:hint="eastAsia" w:cs="Times New Roman"/>
                      <w:color w:val="auto"/>
                      <w:lang w:eastAsia="zh-CN"/>
                    </w:rPr>
                    <w:t>、</w:t>
                  </w:r>
                  <w:r>
                    <w:rPr>
                      <w:rFonts w:hint="eastAsia" w:cs="Times New Roman"/>
                      <w:color w:val="auto"/>
                      <w:lang w:val="en-US" w:eastAsia="zh-CN"/>
                    </w:rPr>
                    <w:t>排气扇</w:t>
                  </w:r>
                </w:p>
              </w:tc>
              <w:tc>
                <w:tcPr>
                  <w:tcW w:w="1149" w:type="dxa"/>
                  <w:tcBorders>
                    <w:top w:val="single" w:color="000000" w:sz="4" w:space="0"/>
                    <w:left w:val="single" w:color="000000" w:sz="4" w:space="0"/>
                    <w:bottom w:val="single" w:color="000000" w:sz="4" w:space="0"/>
                  </w:tcBorders>
                  <w:vAlign w:val="center"/>
                </w:tcPr>
                <w:p w14:paraId="53B2A21C">
                  <w:pPr>
                    <w:pStyle w:val="36"/>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r>
            <w:tr w14:paraId="149B511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56" w:type="dxa"/>
                  <w:vMerge w:val="continue"/>
                  <w:tcBorders>
                    <w:right w:val="single" w:color="000000" w:sz="4" w:space="0"/>
                  </w:tcBorders>
                  <w:vAlign w:val="center"/>
                </w:tcPr>
                <w:p w14:paraId="6CF9C090">
                  <w:pPr>
                    <w:pStyle w:val="36"/>
                    <w:rPr>
                      <w:rFonts w:hint="default" w:ascii="Times New Roman" w:hAnsi="Times New Roman" w:eastAsia="宋体" w:cs="Times New Roman"/>
                      <w:color w:val="auto"/>
                      <w:sz w:val="21"/>
                      <w:szCs w:val="21"/>
                    </w:rPr>
                  </w:pPr>
                </w:p>
              </w:tc>
              <w:tc>
                <w:tcPr>
                  <w:tcW w:w="6383" w:type="dxa"/>
                  <w:tcBorders>
                    <w:top w:val="single" w:color="000000" w:sz="4" w:space="0"/>
                    <w:left w:val="single" w:color="000000" w:sz="4" w:space="0"/>
                    <w:bottom w:val="single" w:color="000000" w:sz="4" w:space="0"/>
                    <w:right w:val="single" w:color="000000" w:sz="4" w:space="0"/>
                  </w:tcBorders>
                  <w:vAlign w:val="center"/>
                </w:tcPr>
                <w:p w14:paraId="0DDF93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污水站恶臭采取地埋式、加盖</w:t>
                  </w:r>
                  <w:r>
                    <w:rPr>
                      <w:rFonts w:hint="eastAsia" w:cs="Times New Roman"/>
                      <w:color w:val="auto"/>
                      <w:sz w:val="21"/>
                      <w:szCs w:val="21"/>
                      <w:lang w:val="en-US" w:eastAsia="zh-CN"/>
                    </w:rPr>
                    <w:t>密闭处理</w:t>
                  </w:r>
                </w:p>
              </w:tc>
              <w:tc>
                <w:tcPr>
                  <w:tcW w:w="1149" w:type="dxa"/>
                  <w:tcBorders>
                    <w:top w:val="single" w:color="000000" w:sz="4" w:space="0"/>
                    <w:left w:val="single" w:color="000000" w:sz="4" w:space="0"/>
                    <w:bottom w:val="single" w:color="000000" w:sz="4" w:space="0"/>
                  </w:tcBorders>
                  <w:vAlign w:val="center"/>
                </w:tcPr>
                <w:p w14:paraId="06800AE5">
                  <w:pPr>
                    <w:pStyle w:val="36"/>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r>
            <w:tr w14:paraId="540616E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56" w:type="dxa"/>
                  <w:vMerge w:val="continue"/>
                  <w:tcBorders>
                    <w:bottom w:val="single" w:color="000000" w:sz="4" w:space="0"/>
                    <w:right w:val="single" w:color="000000" w:sz="4" w:space="0"/>
                  </w:tcBorders>
                  <w:vAlign w:val="center"/>
                </w:tcPr>
                <w:p w14:paraId="477CF23E">
                  <w:pPr>
                    <w:pStyle w:val="36"/>
                    <w:rPr>
                      <w:rFonts w:hint="default" w:ascii="Times New Roman" w:hAnsi="Times New Roman" w:eastAsia="宋体" w:cs="Times New Roman"/>
                      <w:color w:val="auto"/>
                      <w:sz w:val="21"/>
                      <w:szCs w:val="21"/>
                    </w:rPr>
                  </w:pPr>
                </w:p>
              </w:tc>
              <w:tc>
                <w:tcPr>
                  <w:tcW w:w="6383" w:type="dxa"/>
                  <w:tcBorders>
                    <w:top w:val="single" w:color="000000" w:sz="4" w:space="0"/>
                    <w:left w:val="single" w:color="000000" w:sz="4" w:space="0"/>
                    <w:bottom w:val="single" w:color="000000" w:sz="4" w:space="0"/>
                    <w:right w:val="single" w:color="000000" w:sz="4" w:space="0"/>
                  </w:tcBorders>
                  <w:vAlign w:val="center"/>
                </w:tcPr>
                <w:p w14:paraId="39537C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食堂油烟安装油烟净化器</w:t>
                  </w:r>
                </w:p>
              </w:tc>
              <w:tc>
                <w:tcPr>
                  <w:tcW w:w="1149" w:type="dxa"/>
                  <w:tcBorders>
                    <w:top w:val="single" w:color="000000" w:sz="4" w:space="0"/>
                    <w:left w:val="single" w:color="000000" w:sz="4" w:space="0"/>
                    <w:bottom w:val="single" w:color="000000" w:sz="4" w:space="0"/>
                  </w:tcBorders>
                  <w:vAlign w:val="center"/>
                </w:tcPr>
                <w:p w14:paraId="5D7E1C1D">
                  <w:pPr>
                    <w:pStyle w:val="36"/>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r>
            <w:tr w14:paraId="5543E48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56" w:type="dxa"/>
                  <w:tcBorders>
                    <w:top w:val="single" w:color="000000" w:sz="4" w:space="0"/>
                    <w:bottom w:val="single" w:color="000000" w:sz="4" w:space="0"/>
                    <w:right w:val="single" w:color="000000" w:sz="4" w:space="0"/>
                  </w:tcBorders>
                  <w:vAlign w:val="center"/>
                </w:tcPr>
                <w:p w14:paraId="12B1626B">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废水</w:t>
                  </w:r>
                </w:p>
              </w:tc>
              <w:tc>
                <w:tcPr>
                  <w:tcW w:w="6383" w:type="dxa"/>
                  <w:tcBorders>
                    <w:top w:val="single" w:color="000000" w:sz="4" w:space="0"/>
                    <w:left w:val="single" w:color="000000" w:sz="4" w:space="0"/>
                    <w:bottom w:val="single" w:color="000000" w:sz="4" w:space="0"/>
                    <w:right w:val="single" w:color="000000" w:sz="4" w:space="0"/>
                  </w:tcBorders>
                  <w:vAlign w:val="center"/>
                </w:tcPr>
                <w:p w14:paraId="2D293660">
                  <w:pPr>
                    <w:spacing w:line="240" w:lineRule="auto"/>
                    <w:ind w:firstLine="0" w:firstLineChars="0"/>
                    <w:jc w:val="center"/>
                    <w:rPr>
                      <w:rFonts w:hint="default" w:ascii="Times New Roman" w:hAnsi="Times New Roman" w:eastAsia="宋体" w:cs="Times New Roman"/>
                      <w:color w:val="auto"/>
                      <w:lang w:val="en-US" w:eastAsia="zh-CN"/>
                    </w:rPr>
                  </w:pPr>
                  <w:r>
                    <w:rPr>
                      <w:rFonts w:hint="eastAsia" w:cs="Times New Roman"/>
                      <w:color w:val="auto"/>
                      <w:sz w:val="21"/>
                      <w:szCs w:val="21"/>
                      <w:lang w:val="en-US" w:eastAsia="zh-CN"/>
                    </w:rPr>
                    <w:t>经</w:t>
                  </w:r>
                  <w:r>
                    <w:rPr>
                      <w:rFonts w:hint="default" w:ascii="Times New Roman" w:hAnsi="Times New Roman" w:eastAsia="宋体" w:cs="Times New Roman"/>
                      <w:color w:val="auto"/>
                      <w:sz w:val="21"/>
                      <w:szCs w:val="21"/>
                      <w:lang w:val="en-US" w:eastAsia="zh-CN"/>
                    </w:rPr>
                    <w:t>污水站</w:t>
                  </w:r>
                  <w:r>
                    <w:rPr>
                      <w:rFonts w:hint="eastAsia" w:cs="Times New Roman"/>
                      <w:color w:val="auto"/>
                      <w:lang w:eastAsia="zh-CN"/>
                    </w:rPr>
                    <w:t>“</w:t>
                  </w:r>
                  <w:r>
                    <w:rPr>
                      <w:rFonts w:hint="eastAsia" w:cs="Times New Roman"/>
                      <w:color w:val="auto"/>
                      <w:sz w:val="21"/>
                      <w:szCs w:val="21"/>
                      <w:lang w:val="en-US" w:eastAsia="zh-CN"/>
                    </w:rPr>
                    <w:t>格栅+</w:t>
                  </w:r>
                  <w:r>
                    <w:rPr>
                      <w:rFonts w:hint="default" w:ascii="Times New Roman" w:hAnsi="Times New Roman" w:eastAsia="宋体" w:cs="Times New Roman"/>
                      <w:color w:val="auto"/>
                      <w:sz w:val="21"/>
                      <w:szCs w:val="21"/>
                    </w:rPr>
                    <w:t>ABR+接触氧化</w:t>
                  </w:r>
                  <w:r>
                    <w:rPr>
                      <w:rFonts w:hint="eastAsia" w:cs="Times New Roman"/>
                      <w:color w:val="auto"/>
                      <w:lang w:eastAsia="zh-CN"/>
                    </w:rPr>
                    <w:t>”</w:t>
                  </w:r>
                  <w:r>
                    <w:rPr>
                      <w:rFonts w:hint="eastAsia" w:cs="Times New Roman"/>
                      <w:color w:val="auto"/>
                      <w:lang w:val="en-US" w:eastAsia="zh-CN"/>
                    </w:rPr>
                    <w:t>处理工艺后处理后进入西区污水处理厂处理</w:t>
                  </w:r>
                </w:p>
              </w:tc>
              <w:tc>
                <w:tcPr>
                  <w:tcW w:w="1149" w:type="dxa"/>
                  <w:tcBorders>
                    <w:top w:val="single" w:color="000000" w:sz="4" w:space="0"/>
                    <w:left w:val="single" w:color="000000" w:sz="4" w:space="0"/>
                    <w:bottom w:val="single" w:color="000000" w:sz="4" w:space="0"/>
                  </w:tcBorders>
                  <w:vAlign w:val="center"/>
                </w:tcPr>
                <w:p w14:paraId="5D192463">
                  <w:pPr>
                    <w:pStyle w:val="36"/>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r>
            <w:tr w14:paraId="2BED41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56" w:type="dxa"/>
                  <w:tcBorders>
                    <w:top w:val="single" w:color="000000" w:sz="4" w:space="0"/>
                    <w:bottom w:val="single" w:color="000000" w:sz="4" w:space="0"/>
                    <w:right w:val="single" w:color="000000" w:sz="4" w:space="0"/>
                  </w:tcBorders>
                  <w:vAlign w:val="center"/>
                </w:tcPr>
                <w:p w14:paraId="250BAC0E">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6383" w:type="dxa"/>
                  <w:tcBorders>
                    <w:top w:val="single" w:color="000000" w:sz="4" w:space="0"/>
                    <w:left w:val="single" w:color="000000" w:sz="4" w:space="0"/>
                    <w:bottom w:val="single" w:color="000000" w:sz="4" w:space="0"/>
                    <w:right w:val="single" w:color="000000" w:sz="4" w:space="0"/>
                  </w:tcBorders>
                  <w:vAlign w:val="center"/>
                </w:tcPr>
                <w:p w14:paraId="0AC1F6E4">
                  <w:pP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选用低噪声设备、基础减震，日常维护、保养</w:t>
                  </w:r>
                </w:p>
              </w:tc>
              <w:tc>
                <w:tcPr>
                  <w:tcW w:w="1149" w:type="dxa"/>
                  <w:tcBorders>
                    <w:top w:val="single" w:color="000000" w:sz="4" w:space="0"/>
                    <w:left w:val="single" w:color="000000" w:sz="4" w:space="0"/>
                    <w:bottom w:val="single" w:color="000000" w:sz="4" w:space="0"/>
                  </w:tcBorders>
                  <w:vAlign w:val="center"/>
                </w:tcPr>
                <w:p w14:paraId="4A16DA3B">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r>
            <w:tr w14:paraId="6B801E1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56" w:type="dxa"/>
                  <w:tcBorders>
                    <w:top w:val="single" w:color="000000" w:sz="4" w:space="0"/>
                    <w:right w:val="single" w:color="000000" w:sz="4" w:space="0"/>
                  </w:tcBorders>
                  <w:vAlign w:val="center"/>
                </w:tcPr>
                <w:p w14:paraId="680DA19C">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6383" w:type="dxa"/>
                  <w:tcBorders>
                    <w:top w:val="single" w:color="000000" w:sz="4" w:space="0"/>
                    <w:left w:val="single" w:color="000000" w:sz="4" w:space="0"/>
                    <w:bottom w:val="single" w:color="000000" w:sz="4" w:space="0"/>
                    <w:right w:val="single" w:color="000000" w:sz="4" w:space="0"/>
                  </w:tcBorders>
                  <w:vAlign w:val="center"/>
                </w:tcPr>
                <w:p w14:paraId="2248F57E">
                  <w:pPr>
                    <w:spacing w:line="240" w:lineRule="auto"/>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带盖垃圾桶，固废清运</w:t>
                  </w:r>
                </w:p>
              </w:tc>
              <w:tc>
                <w:tcPr>
                  <w:tcW w:w="1149" w:type="dxa"/>
                  <w:tcBorders>
                    <w:top w:val="single" w:color="000000" w:sz="4" w:space="0"/>
                    <w:left w:val="single" w:color="000000" w:sz="4" w:space="0"/>
                    <w:bottom w:val="single" w:color="000000" w:sz="4" w:space="0"/>
                  </w:tcBorders>
                  <w:vAlign w:val="center"/>
                </w:tcPr>
                <w:p w14:paraId="7D80E7C8">
                  <w:pPr>
                    <w:pStyle w:val="36"/>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r>
            <w:tr w14:paraId="1AD0855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139" w:type="dxa"/>
                  <w:gridSpan w:val="2"/>
                  <w:tcBorders>
                    <w:top w:val="single" w:color="000000" w:sz="4" w:space="0"/>
                    <w:bottom w:val="single" w:color="000000" w:sz="12" w:space="0"/>
                    <w:right w:val="single" w:color="000000" w:sz="4" w:space="0"/>
                  </w:tcBorders>
                  <w:vAlign w:val="center"/>
                </w:tcPr>
                <w:p w14:paraId="08E9739A">
                  <w:pPr>
                    <w:pStyle w:val="3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总计</w:t>
                  </w:r>
                </w:p>
              </w:tc>
              <w:tc>
                <w:tcPr>
                  <w:tcW w:w="1149" w:type="dxa"/>
                  <w:tcBorders>
                    <w:top w:val="single" w:color="000000" w:sz="4" w:space="0"/>
                    <w:left w:val="single" w:color="000000" w:sz="4" w:space="0"/>
                    <w:bottom w:val="single" w:color="000000" w:sz="12" w:space="0"/>
                  </w:tcBorders>
                  <w:vAlign w:val="center"/>
                </w:tcPr>
                <w:p w14:paraId="6D2C6709">
                  <w:pPr>
                    <w:pStyle w:val="36"/>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32</w:t>
                  </w:r>
                </w:p>
              </w:tc>
            </w:tr>
          </w:tbl>
          <w:p w14:paraId="52CA1E70">
            <w:pPr>
              <w:spacing w:line="360" w:lineRule="auto"/>
              <w:ind w:firstLine="420" w:firstLineChars="200"/>
              <w:rPr>
                <w:rFonts w:hint="default" w:ascii="Times New Roman" w:hAnsi="Times New Roman" w:eastAsia="宋体" w:cs="Times New Roman"/>
                <w:color w:val="auto"/>
                <w:kern w:val="2"/>
                <w:sz w:val="21"/>
                <w:szCs w:val="21"/>
                <w:lang w:val="en-US" w:eastAsia="zh-CN" w:bidi="ar-SA"/>
              </w:rPr>
            </w:pPr>
          </w:p>
          <w:p w14:paraId="181E19BE">
            <w:pPr>
              <w:spacing w:line="360" w:lineRule="auto"/>
              <w:ind w:firstLine="420" w:firstLineChars="200"/>
              <w:rPr>
                <w:rFonts w:hint="default" w:ascii="Times New Roman" w:hAnsi="Times New Roman" w:eastAsia="宋体" w:cs="Times New Roman"/>
                <w:color w:val="auto"/>
                <w:kern w:val="2"/>
                <w:sz w:val="21"/>
                <w:szCs w:val="21"/>
                <w:lang w:val="en-US" w:eastAsia="zh-CN" w:bidi="ar-SA"/>
              </w:rPr>
            </w:pPr>
          </w:p>
          <w:p w14:paraId="36189595">
            <w:pPr>
              <w:spacing w:line="360" w:lineRule="auto"/>
              <w:ind w:firstLine="420" w:firstLineChars="200"/>
              <w:rPr>
                <w:rFonts w:hint="default" w:ascii="Times New Roman" w:hAnsi="Times New Roman" w:eastAsia="宋体" w:cs="Times New Roman"/>
                <w:color w:val="auto"/>
                <w:kern w:val="2"/>
                <w:sz w:val="21"/>
                <w:szCs w:val="21"/>
                <w:lang w:val="en-US" w:eastAsia="zh-CN" w:bidi="ar-SA"/>
              </w:rPr>
            </w:pPr>
          </w:p>
          <w:p w14:paraId="5D6A135B">
            <w:pPr>
              <w:pStyle w:val="18"/>
              <w:rPr>
                <w:rFonts w:hint="default" w:ascii="Times New Roman" w:hAnsi="Times New Roman" w:eastAsia="宋体" w:cs="Times New Roman"/>
                <w:color w:val="auto"/>
                <w:kern w:val="2"/>
                <w:sz w:val="21"/>
                <w:szCs w:val="21"/>
                <w:lang w:val="en-US" w:eastAsia="zh-CN" w:bidi="ar-SA"/>
              </w:rPr>
            </w:pPr>
          </w:p>
          <w:p w14:paraId="437422CD">
            <w:pPr>
              <w:pStyle w:val="19"/>
              <w:rPr>
                <w:rFonts w:hint="default" w:ascii="Times New Roman" w:hAnsi="Times New Roman" w:eastAsia="宋体" w:cs="Times New Roman"/>
                <w:color w:val="auto"/>
                <w:kern w:val="2"/>
                <w:sz w:val="21"/>
                <w:szCs w:val="21"/>
                <w:lang w:val="en-US" w:eastAsia="zh-CN" w:bidi="ar-SA"/>
              </w:rPr>
            </w:pPr>
          </w:p>
          <w:p w14:paraId="156C2954">
            <w:pPr>
              <w:pStyle w:val="11"/>
              <w:rPr>
                <w:rFonts w:hint="default" w:ascii="Times New Roman" w:hAnsi="Times New Roman" w:eastAsia="宋体" w:cs="Times New Roman"/>
                <w:color w:val="auto"/>
                <w:kern w:val="2"/>
                <w:sz w:val="21"/>
                <w:szCs w:val="21"/>
                <w:lang w:val="en-US" w:eastAsia="zh-CN" w:bidi="ar-SA"/>
              </w:rPr>
            </w:pPr>
          </w:p>
          <w:p w14:paraId="0FD42519">
            <w:pPr>
              <w:rPr>
                <w:rFonts w:hint="default" w:ascii="Times New Roman" w:hAnsi="Times New Roman" w:eastAsia="宋体" w:cs="Times New Roman"/>
                <w:color w:val="auto"/>
                <w:kern w:val="2"/>
                <w:sz w:val="21"/>
                <w:szCs w:val="21"/>
                <w:lang w:val="en-US" w:eastAsia="zh-CN" w:bidi="ar-SA"/>
              </w:rPr>
            </w:pPr>
          </w:p>
          <w:p w14:paraId="6C567083">
            <w:pPr>
              <w:pStyle w:val="18"/>
              <w:rPr>
                <w:rFonts w:hint="default" w:ascii="Times New Roman" w:hAnsi="Times New Roman" w:eastAsia="宋体" w:cs="Times New Roman"/>
                <w:color w:val="auto"/>
                <w:kern w:val="2"/>
                <w:sz w:val="21"/>
                <w:szCs w:val="21"/>
                <w:lang w:val="en-US" w:eastAsia="zh-CN" w:bidi="ar-SA"/>
              </w:rPr>
            </w:pPr>
          </w:p>
          <w:p w14:paraId="7F929360">
            <w:pPr>
              <w:pStyle w:val="19"/>
              <w:rPr>
                <w:rFonts w:hint="default" w:ascii="Times New Roman" w:hAnsi="Times New Roman" w:eastAsia="宋体" w:cs="Times New Roman"/>
                <w:color w:val="auto"/>
                <w:kern w:val="2"/>
                <w:sz w:val="21"/>
                <w:szCs w:val="21"/>
                <w:lang w:val="en-US" w:eastAsia="zh-CN" w:bidi="ar-SA"/>
              </w:rPr>
            </w:pPr>
          </w:p>
          <w:p w14:paraId="1106AA64">
            <w:pPr>
              <w:pStyle w:val="11"/>
              <w:rPr>
                <w:rFonts w:hint="default" w:ascii="Times New Roman" w:hAnsi="Times New Roman" w:eastAsia="宋体" w:cs="Times New Roman"/>
                <w:color w:val="auto"/>
                <w:kern w:val="2"/>
                <w:sz w:val="21"/>
                <w:szCs w:val="21"/>
                <w:lang w:val="en-US" w:eastAsia="zh-CN" w:bidi="ar-SA"/>
              </w:rPr>
            </w:pPr>
          </w:p>
          <w:p w14:paraId="6CC7AEB9">
            <w:pPr>
              <w:rPr>
                <w:rFonts w:hint="default" w:ascii="Times New Roman" w:hAnsi="Times New Roman" w:eastAsia="宋体" w:cs="Times New Roman"/>
                <w:color w:val="auto"/>
                <w:kern w:val="2"/>
                <w:sz w:val="21"/>
                <w:szCs w:val="21"/>
                <w:lang w:val="en-US" w:eastAsia="zh-CN" w:bidi="ar-SA"/>
              </w:rPr>
            </w:pPr>
          </w:p>
          <w:p w14:paraId="679B414C">
            <w:pPr>
              <w:pStyle w:val="18"/>
              <w:rPr>
                <w:rFonts w:hint="default" w:ascii="Times New Roman" w:hAnsi="Times New Roman" w:eastAsia="宋体" w:cs="Times New Roman"/>
                <w:color w:val="auto"/>
                <w:kern w:val="2"/>
                <w:sz w:val="21"/>
                <w:szCs w:val="21"/>
                <w:lang w:val="en-US" w:eastAsia="zh-CN" w:bidi="ar-SA"/>
              </w:rPr>
            </w:pPr>
          </w:p>
          <w:p w14:paraId="63839F5E">
            <w:pPr>
              <w:pStyle w:val="19"/>
              <w:rPr>
                <w:rFonts w:hint="default" w:ascii="Times New Roman" w:hAnsi="Times New Roman" w:eastAsia="宋体" w:cs="Times New Roman"/>
                <w:color w:val="auto"/>
                <w:kern w:val="2"/>
                <w:sz w:val="21"/>
                <w:szCs w:val="21"/>
                <w:lang w:val="en-US" w:eastAsia="zh-CN" w:bidi="ar-SA"/>
              </w:rPr>
            </w:pPr>
          </w:p>
          <w:p w14:paraId="404F4D2F">
            <w:pPr>
              <w:pStyle w:val="18"/>
              <w:ind w:left="0" w:leftChars="0" w:firstLine="0" w:firstLineChars="0"/>
              <w:rPr>
                <w:rFonts w:hint="default" w:ascii="Times New Roman" w:hAnsi="Times New Roman" w:eastAsia="宋体" w:cs="Times New Roman"/>
                <w:color w:val="auto"/>
                <w:kern w:val="2"/>
                <w:sz w:val="21"/>
                <w:szCs w:val="21"/>
                <w:lang w:val="en-US" w:eastAsia="zh-CN" w:bidi="ar-SA"/>
              </w:rPr>
            </w:pPr>
          </w:p>
          <w:p w14:paraId="54425359">
            <w:pPr>
              <w:pStyle w:val="19"/>
              <w:rPr>
                <w:rFonts w:hint="default"/>
                <w:color w:val="auto"/>
                <w:lang w:val="en-US" w:eastAsia="zh-CN"/>
              </w:rPr>
            </w:pPr>
          </w:p>
          <w:p w14:paraId="67268804">
            <w:pPr>
              <w:spacing w:line="360" w:lineRule="auto"/>
              <w:ind w:firstLine="420" w:firstLineChars="200"/>
              <w:rPr>
                <w:rFonts w:hint="default" w:ascii="Times New Roman" w:hAnsi="Times New Roman" w:eastAsia="宋体" w:cs="Times New Roman"/>
                <w:color w:val="auto"/>
                <w:kern w:val="2"/>
                <w:sz w:val="21"/>
                <w:szCs w:val="21"/>
                <w:lang w:val="en-US" w:eastAsia="zh-CN" w:bidi="ar-SA"/>
              </w:rPr>
            </w:pPr>
          </w:p>
          <w:p w14:paraId="1F421696">
            <w:pPr>
              <w:pStyle w:val="26"/>
              <w:rPr>
                <w:rFonts w:hint="default" w:ascii="Times New Roman" w:hAnsi="Times New Roman" w:cs="Times New Roman"/>
                <w:color w:val="auto"/>
                <w:lang w:val="en-US" w:eastAsia="zh-CN"/>
              </w:rPr>
            </w:pPr>
          </w:p>
          <w:p w14:paraId="0F92F91B">
            <w:pPr>
              <w:spacing w:line="360" w:lineRule="auto"/>
              <w:ind w:firstLine="420" w:firstLineChars="200"/>
              <w:rPr>
                <w:rFonts w:hint="default" w:ascii="Times New Roman" w:hAnsi="Times New Roman" w:eastAsia="宋体" w:cs="Times New Roman"/>
                <w:color w:val="auto"/>
                <w:kern w:val="2"/>
                <w:sz w:val="21"/>
                <w:szCs w:val="21"/>
                <w:lang w:val="en-US" w:eastAsia="zh-CN" w:bidi="ar-SA"/>
              </w:rPr>
            </w:pPr>
          </w:p>
          <w:p w14:paraId="4A46E714">
            <w:pPr>
              <w:spacing w:line="360" w:lineRule="auto"/>
              <w:ind w:left="0" w:leftChars="0" w:firstLine="0" w:firstLineChars="0"/>
              <w:rPr>
                <w:rFonts w:hint="default" w:ascii="Times New Roman" w:hAnsi="Times New Roman" w:eastAsia="宋体" w:cs="Times New Roman"/>
                <w:color w:val="auto"/>
                <w:kern w:val="2"/>
                <w:sz w:val="21"/>
                <w:szCs w:val="21"/>
                <w:lang w:val="en-US" w:eastAsia="zh-CN" w:bidi="ar-SA"/>
              </w:rPr>
            </w:pPr>
          </w:p>
          <w:p w14:paraId="41343504">
            <w:pPr>
              <w:spacing w:line="360" w:lineRule="auto"/>
              <w:ind w:left="0" w:leftChars="0" w:firstLine="0" w:firstLineChars="0"/>
              <w:rPr>
                <w:rFonts w:hint="default" w:ascii="Times New Roman" w:hAnsi="Times New Roman" w:eastAsia="宋体" w:cs="Times New Roman"/>
                <w:color w:val="auto"/>
                <w:kern w:val="2"/>
                <w:sz w:val="21"/>
                <w:szCs w:val="21"/>
                <w:lang w:val="en-US" w:eastAsia="zh-CN" w:bidi="ar-SA"/>
              </w:rPr>
            </w:pPr>
          </w:p>
        </w:tc>
      </w:tr>
    </w:tbl>
    <w:p w14:paraId="7C3FB26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五、</w:t>
      </w:r>
      <w:bookmarkStart w:id="10" w:name="_Hlk54167917"/>
      <w:r>
        <w:rPr>
          <w:rFonts w:hint="default" w:ascii="Times New Roman" w:hAnsi="Times New Roman" w:eastAsia="黑体" w:cs="Times New Roman"/>
          <w:snapToGrid w:val="0"/>
          <w:color w:val="auto"/>
          <w:sz w:val="30"/>
          <w:szCs w:val="30"/>
        </w:rPr>
        <w:t>环境保护措施监督检查清单</w:t>
      </w:r>
      <w:bookmarkEnd w:id="10"/>
    </w:p>
    <w:tbl>
      <w:tblPr>
        <w:tblStyle w:val="20"/>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65"/>
        <w:gridCol w:w="1008"/>
        <w:gridCol w:w="2520"/>
        <w:gridCol w:w="2407"/>
      </w:tblGrid>
      <w:tr w14:paraId="7AB48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560" w:type="dxa"/>
            <w:tcBorders>
              <w:tl2br w:val="single" w:color="auto" w:sz="4" w:space="0"/>
            </w:tcBorders>
            <w:vAlign w:val="top"/>
          </w:tcPr>
          <w:p w14:paraId="609D4AC9">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内容</w:t>
            </w:r>
          </w:p>
          <w:p w14:paraId="778B1E58">
            <w:pPr>
              <w:pStyle w:val="36"/>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要素</w:t>
            </w:r>
          </w:p>
        </w:tc>
        <w:tc>
          <w:tcPr>
            <w:tcW w:w="1565" w:type="dxa"/>
            <w:vAlign w:val="center"/>
          </w:tcPr>
          <w:p w14:paraId="2ED6B6B3">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排放口(编号、名称)/污染源</w:t>
            </w:r>
          </w:p>
        </w:tc>
        <w:tc>
          <w:tcPr>
            <w:tcW w:w="1008" w:type="dxa"/>
            <w:vAlign w:val="center"/>
          </w:tcPr>
          <w:p w14:paraId="6B57B05E">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p w14:paraId="72F6F6D3">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w:t>
            </w:r>
          </w:p>
        </w:tc>
        <w:tc>
          <w:tcPr>
            <w:tcW w:w="2520" w:type="dxa"/>
            <w:vAlign w:val="center"/>
          </w:tcPr>
          <w:p w14:paraId="57AB8B74">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环境保护措施</w:t>
            </w:r>
          </w:p>
        </w:tc>
        <w:tc>
          <w:tcPr>
            <w:tcW w:w="2407" w:type="dxa"/>
            <w:vAlign w:val="center"/>
          </w:tcPr>
          <w:p w14:paraId="4D5E0E34">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执行标准</w:t>
            </w:r>
          </w:p>
        </w:tc>
      </w:tr>
      <w:tr w14:paraId="3C3A5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60" w:type="dxa"/>
            <w:vMerge w:val="restart"/>
            <w:vAlign w:val="center"/>
          </w:tcPr>
          <w:p w14:paraId="5FE9D85A">
            <w:pPr>
              <w:pStyle w:val="36"/>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大气环境</w:t>
            </w:r>
          </w:p>
        </w:tc>
        <w:tc>
          <w:tcPr>
            <w:tcW w:w="1565" w:type="dxa"/>
            <w:shd w:val="clear" w:color="auto" w:fill="auto"/>
            <w:vAlign w:val="center"/>
          </w:tcPr>
          <w:p w14:paraId="064A5ADF">
            <w:pPr>
              <w:pStyle w:val="36"/>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乳粉生产和灌装工序</w:t>
            </w:r>
          </w:p>
        </w:tc>
        <w:tc>
          <w:tcPr>
            <w:tcW w:w="1008" w:type="dxa"/>
            <w:shd w:val="clear" w:color="auto" w:fill="auto"/>
            <w:vAlign w:val="center"/>
          </w:tcPr>
          <w:p w14:paraId="417A96D5">
            <w:pPr>
              <w:pStyle w:val="36"/>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2520" w:type="dxa"/>
            <w:shd w:val="clear" w:color="auto" w:fill="auto"/>
            <w:vAlign w:val="center"/>
          </w:tcPr>
          <w:p w14:paraId="2DC5C5B2">
            <w:pPr>
              <w:pStyle w:val="36"/>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分别经集气罩收集后通过袋式除尘器</w:t>
            </w:r>
            <w:r>
              <w:rPr>
                <w:rFonts w:hint="default" w:ascii="Times New Roman" w:hAnsi="Times New Roman" w:eastAsia="宋体" w:cs="Times New Roman"/>
                <w:color w:val="auto"/>
                <w:kern w:val="2"/>
                <w:sz w:val="21"/>
                <w:szCs w:val="21"/>
                <w:lang w:val="en-US" w:eastAsia="zh-CN" w:bidi="ar-SA"/>
              </w:rPr>
              <w:t>处理</w:t>
            </w:r>
          </w:p>
        </w:tc>
        <w:tc>
          <w:tcPr>
            <w:tcW w:w="2407" w:type="dxa"/>
            <w:shd w:val="clear" w:color="auto" w:fill="auto"/>
            <w:vAlign w:val="center"/>
          </w:tcPr>
          <w:p w14:paraId="52F07013">
            <w:pPr>
              <w:pStyle w:val="36"/>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《大气污染物综合排放标准》（GB16297-1996）</w:t>
            </w:r>
            <w:r>
              <w:rPr>
                <w:rFonts w:hint="eastAsia" w:cs="Times New Roman"/>
                <w:color w:val="auto"/>
                <w:sz w:val="21"/>
                <w:szCs w:val="21"/>
                <w:lang w:val="en-US" w:eastAsia="zh-CN"/>
              </w:rPr>
              <w:t>表2中有组织排放标准</w:t>
            </w:r>
          </w:p>
        </w:tc>
      </w:tr>
      <w:tr w14:paraId="1CE5C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60" w:type="dxa"/>
            <w:vMerge w:val="continue"/>
            <w:vAlign w:val="center"/>
          </w:tcPr>
          <w:p w14:paraId="0A9BB830">
            <w:pPr>
              <w:pStyle w:val="36"/>
              <w:jc w:val="center"/>
              <w:rPr>
                <w:rFonts w:hint="default" w:ascii="Times New Roman" w:hAnsi="Times New Roman" w:cs="Times New Roman"/>
                <w:color w:val="auto"/>
                <w:sz w:val="21"/>
                <w:szCs w:val="21"/>
              </w:rPr>
            </w:pPr>
          </w:p>
        </w:tc>
        <w:tc>
          <w:tcPr>
            <w:tcW w:w="1565" w:type="dxa"/>
            <w:shd w:val="clear" w:color="auto" w:fill="auto"/>
            <w:vAlign w:val="center"/>
          </w:tcPr>
          <w:p w14:paraId="664C0127">
            <w:pPr>
              <w:pStyle w:val="36"/>
              <w:jc w:val="center"/>
              <w:rPr>
                <w:rFonts w:hint="default" w:cs="Times New Roman"/>
                <w:color w:val="auto"/>
                <w:sz w:val="21"/>
                <w:szCs w:val="21"/>
                <w:lang w:val="en-US" w:eastAsia="zh-CN"/>
              </w:rPr>
            </w:pPr>
            <w:r>
              <w:rPr>
                <w:rFonts w:hint="eastAsia" w:cs="Times New Roman"/>
                <w:color w:val="auto"/>
                <w:sz w:val="21"/>
                <w:szCs w:val="21"/>
                <w:lang w:val="en-US" w:eastAsia="zh-CN"/>
              </w:rPr>
              <w:t>厂界</w:t>
            </w:r>
          </w:p>
        </w:tc>
        <w:tc>
          <w:tcPr>
            <w:tcW w:w="1008" w:type="dxa"/>
            <w:shd w:val="clear" w:color="auto" w:fill="auto"/>
            <w:vAlign w:val="center"/>
          </w:tcPr>
          <w:p w14:paraId="4A57477F">
            <w:pPr>
              <w:pStyle w:val="36"/>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2520" w:type="dxa"/>
            <w:shd w:val="clear" w:color="auto" w:fill="auto"/>
            <w:vAlign w:val="center"/>
          </w:tcPr>
          <w:p w14:paraId="10C0EC7F">
            <w:pPr>
              <w:pStyle w:val="36"/>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排气扇</w:t>
            </w:r>
          </w:p>
        </w:tc>
        <w:tc>
          <w:tcPr>
            <w:tcW w:w="2407" w:type="dxa"/>
            <w:shd w:val="clear" w:color="auto" w:fill="auto"/>
            <w:vAlign w:val="center"/>
          </w:tcPr>
          <w:p w14:paraId="6AAB110A">
            <w:pPr>
              <w:pStyle w:val="36"/>
              <w:ind w:firstLine="0" w:firstLine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《大气污染物综合排放标准》（GB16297-1996）</w:t>
            </w:r>
            <w:r>
              <w:rPr>
                <w:rFonts w:hint="eastAsia" w:cs="Times New Roman"/>
                <w:color w:val="auto"/>
                <w:sz w:val="21"/>
                <w:szCs w:val="21"/>
                <w:lang w:val="en-US" w:eastAsia="zh-CN"/>
              </w:rPr>
              <w:t>表2中无组织排放标准</w:t>
            </w:r>
          </w:p>
        </w:tc>
      </w:tr>
      <w:tr w14:paraId="1E84F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560" w:type="dxa"/>
            <w:vMerge w:val="continue"/>
            <w:vAlign w:val="center"/>
          </w:tcPr>
          <w:p w14:paraId="66569CD7">
            <w:pPr>
              <w:pStyle w:val="36"/>
              <w:jc w:val="center"/>
              <w:rPr>
                <w:rFonts w:hint="default" w:ascii="Times New Roman" w:hAnsi="Times New Roman" w:cs="Times New Roman"/>
                <w:color w:val="auto"/>
                <w:sz w:val="21"/>
                <w:szCs w:val="21"/>
              </w:rPr>
            </w:pPr>
          </w:p>
        </w:tc>
        <w:tc>
          <w:tcPr>
            <w:tcW w:w="1565" w:type="dxa"/>
            <w:tcBorders>
              <w:bottom w:val="single" w:color="000000" w:sz="4" w:space="0"/>
            </w:tcBorders>
            <w:shd w:val="clear" w:color="auto" w:fill="auto"/>
            <w:vAlign w:val="center"/>
          </w:tcPr>
          <w:p w14:paraId="68D91C3C">
            <w:pPr>
              <w:pStyle w:val="36"/>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污水站恶臭</w:t>
            </w:r>
          </w:p>
        </w:tc>
        <w:tc>
          <w:tcPr>
            <w:tcW w:w="1008" w:type="dxa"/>
            <w:shd w:val="clear" w:color="auto" w:fill="auto"/>
            <w:vAlign w:val="center"/>
          </w:tcPr>
          <w:p w14:paraId="5AB1155F">
            <w:pPr>
              <w:pStyle w:val="36"/>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硫化氢、氨气</w:t>
            </w:r>
          </w:p>
        </w:tc>
        <w:tc>
          <w:tcPr>
            <w:tcW w:w="2520" w:type="dxa"/>
            <w:shd w:val="clear" w:color="auto" w:fill="auto"/>
            <w:vAlign w:val="center"/>
          </w:tcPr>
          <w:p w14:paraId="1D550130">
            <w:pPr>
              <w:pStyle w:val="36"/>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地埋式、加盖</w:t>
            </w:r>
          </w:p>
        </w:tc>
        <w:tc>
          <w:tcPr>
            <w:tcW w:w="2407" w:type="dxa"/>
            <w:shd w:val="clear" w:color="auto" w:fill="auto"/>
            <w:vAlign w:val="center"/>
          </w:tcPr>
          <w:p w14:paraId="6D2F8C48">
            <w:pPr>
              <w:pStyle w:val="36"/>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《恶臭污染物排放标准》（GB14554-93）厂界标准</w:t>
            </w:r>
          </w:p>
        </w:tc>
      </w:tr>
      <w:tr w14:paraId="5ADA86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560" w:type="dxa"/>
            <w:vMerge w:val="continue"/>
            <w:vAlign w:val="center"/>
          </w:tcPr>
          <w:p w14:paraId="347761D4">
            <w:pPr>
              <w:pStyle w:val="36"/>
              <w:jc w:val="center"/>
              <w:rPr>
                <w:rFonts w:hint="default" w:ascii="Times New Roman" w:hAnsi="Times New Roman" w:cs="Times New Roman"/>
                <w:color w:val="auto"/>
                <w:sz w:val="21"/>
                <w:szCs w:val="21"/>
              </w:rPr>
            </w:pPr>
          </w:p>
        </w:tc>
        <w:tc>
          <w:tcPr>
            <w:tcW w:w="1565" w:type="dxa"/>
            <w:tcBorders>
              <w:bottom w:val="single" w:color="000000" w:sz="4" w:space="0"/>
            </w:tcBorders>
            <w:shd w:val="clear" w:color="auto" w:fill="auto"/>
            <w:vAlign w:val="center"/>
          </w:tcPr>
          <w:p w14:paraId="208B3E94">
            <w:pPr>
              <w:pStyle w:val="36"/>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食堂油烟</w:t>
            </w:r>
          </w:p>
        </w:tc>
        <w:tc>
          <w:tcPr>
            <w:tcW w:w="1008" w:type="dxa"/>
            <w:shd w:val="clear" w:color="auto" w:fill="auto"/>
            <w:vAlign w:val="center"/>
          </w:tcPr>
          <w:p w14:paraId="066978D5">
            <w:pPr>
              <w:pStyle w:val="36"/>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食堂油烟</w:t>
            </w:r>
          </w:p>
        </w:tc>
        <w:tc>
          <w:tcPr>
            <w:tcW w:w="2520" w:type="dxa"/>
            <w:shd w:val="clear" w:color="auto" w:fill="auto"/>
            <w:vAlign w:val="center"/>
          </w:tcPr>
          <w:p w14:paraId="6E30FEDB">
            <w:pPr>
              <w:pStyle w:val="36"/>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油烟净化器</w:t>
            </w:r>
          </w:p>
        </w:tc>
        <w:tc>
          <w:tcPr>
            <w:tcW w:w="2407" w:type="dxa"/>
            <w:shd w:val="clear" w:color="auto" w:fill="auto"/>
            <w:vAlign w:val="center"/>
          </w:tcPr>
          <w:p w14:paraId="0ACABA31">
            <w:pPr>
              <w:pStyle w:val="36"/>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食堂油烟执行《饮食业油烟排放标准》（GB18483-2001）</w:t>
            </w:r>
          </w:p>
        </w:tc>
      </w:tr>
      <w:tr w14:paraId="56450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560" w:type="dxa"/>
            <w:vAlign w:val="center"/>
          </w:tcPr>
          <w:p w14:paraId="1DFC02CC">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地表水环境</w:t>
            </w:r>
          </w:p>
        </w:tc>
        <w:tc>
          <w:tcPr>
            <w:tcW w:w="1565" w:type="dxa"/>
            <w:tcBorders>
              <w:bottom w:val="single" w:color="auto" w:sz="4" w:space="0"/>
            </w:tcBorders>
            <w:vAlign w:val="center"/>
          </w:tcPr>
          <w:p w14:paraId="03D43D72">
            <w:pPr>
              <w:pStyle w:val="36"/>
              <w:rPr>
                <w:rFonts w:hint="default" w:ascii="Times New Roman" w:hAnsi="Times New Roman" w:eastAsia="宋体" w:cs="Times New Roman"/>
                <w:color w:val="auto"/>
                <w:sz w:val="21"/>
                <w:szCs w:val="21"/>
                <w:lang w:val="en-US" w:eastAsia="zh-CN"/>
              </w:rPr>
            </w:pPr>
            <w:r>
              <w:rPr>
                <w:color w:val="auto"/>
                <w:sz w:val="21"/>
              </w:rPr>
              <w:t>综合污水总排口</w:t>
            </w:r>
          </w:p>
        </w:tc>
        <w:tc>
          <w:tcPr>
            <w:tcW w:w="1008" w:type="dxa"/>
            <w:vAlign w:val="center"/>
          </w:tcPr>
          <w:p w14:paraId="156377D5">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COD、BOD</w:t>
            </w:r>
            <w:r>
              <w:rPr>
                <w:rFonts w:hint="default" w:ascii="Times New Roman" w:hAnsi="Times New Roman" w:eastAsia="宋体" w:cs="Times New Roman"/>
                <w:color w:val="auto"/>
                <w:sz w:val="21"/>
                <w:szCs w:val="21"/>
                <w:vertAlign w:val="subscript"/>
                <w:lang w:val="en-US" w:eastAsia="zh-CN"/>
              </w:rPr>
              <w:t>5</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总氮</w:t>
            </w:r>
            <w:r>
              <w:rPr>
                <w:rFonts w:hint="default" w:ascii="Times New Roman" w:hAnsi="Times New Roman" w:eastAsia="宋体" w:cs="Times New Roman"/>
                <w:color w:val="auto"/>
                <w:sz w:val="21"/>
                <w:szCs w:val="21"/>
                <w:lang w:val="en-US" w:eastAsia="zh-CN"/>
              </w:rPr>
              <w:t>、NH</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-N</w:t>
            </w:r>
          </w:p>
        </w:tc>
        <w:tc>
          <w:tcPr>
            <w:tcW w:w="2520" w:type="dxa"/>
            <w:vAlign w:val="center"/>
          </w:tcPr>
          <w:p w14:paraId="323F6838">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综合污水处理站</w:t>
            </w:r>
          </w:p>
        </w:tc>
        <w:tc>
          <w:tcPr>
            <w:tcW w:w="2407" w:type="dxa"/>
            <w:vAlign w:val="center"/>
          </w:tcPr>
          <w:p w14:paraId="3CBCC401">
            <w:pPr>
              <w:pStyle w:val="36"/>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《污水综合排放标准》中的三级标准</w:t>
            </w:r>
          </w:p>
        </w:tc>
      </w:tr>
      <w:tr w14:paraId="55784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560" w:type="dxa"/>
            <w:tcBorders>
              <w:bottom w:val="single" w:color="000000" w:sz="4" w:space="0"/>
            </w:tcBorders>
            <w:vAlign w:val="center"/>
          </w:tcPr>
          <w:p w14:paraId="41D6986B">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声环境</w:t>
            </w:r>
          </w:p>
        </w:tc>
        <w:tc>
          <w:tcPr>
            <w:tcW w:w="1565" w:type="dxa"/>
            <w:tcBorders>
              <w:bottom w:val="single" w:color="000000" w:sz="4" w:space="0"/>
            </w:tcBorders>
            <w:vAlign w:val="center"/>
          </w:tcPr>
          <w:p w14:paraId="4EE58C52">
            <w:pPr>
              <w:pStyle w:val="36"/>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厂界</w:t>
            </w:r>
          </w:p>
        </w:tc>
        <w:tc>
          <w:tcPr>
            <w:tcW w:w="1008" w:type="dxa"/>
            <w:vAlign w:val="center"/>
          </w:tcPr>
          <w:p w14:paraId="75BD6553">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等效A声级</w:t>
            </w:r>
          </w:p>
        </w:tc>
        <w:tc>
          <w:tcPr>
            <w:tcW w:w="2520" w:type="dxa"/>
            <w:vAlign w:val="center"/>
          </w:tcPr>
          <w:p w14:paraId="080A4DB1">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选用</w:t>
            </w:r>
            <w:r>
              <w:rPr>
                <w:rFonts w:hint="default" w:ascii="Times New Roman" w:hAnsi="Times New Roman" w:cs="Times New Roman"/>
                <w:color w:val="auto"/>
                <w:sz w:val="21"/>
                <w:szCs w:val="21"/>
              </w:rPr>
              <w:t>低噪声</w:t>
            </w:r>
            <w:r>
              <w:rPr>
                <w:rFonts w:hint="default" w:ascii="Times New Roman" w:hAnsi="Times New Roman" w:cs="Times New Roman"/>
                <w:color w:val="auto"/>
                <w:sz w:val="21"/>
                <w:szCs w:val="21"/>
                <w:lang w:val="en-US" w:eastAsia="zh-CN"/>
              </w:rPr>
              <w:t>生产</w:t>
            </w:r>
            <w:r>
              <w:rPr>
                <w:rFonts w:hint="default" w:ascii="Times New Roman" w:hAnsi="Times New Roman" w:cs="Times New Roman"/>
                <w:color w:val="auto"/>
                <w:sz w:val="21"/>
                <w:szCs w:val="21"/>
              </w:rPr>
              <w:t>设备</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采用基础减震、加强维护保养</w:t>
            </w:r>
          </w:p>
        </w:tc>
        <w:tc>
          <w:tcPr>
            <w:tcW w:w="2407" w:type="dxa"/>
            <w:vAlign w:val="center"/>
          </w:tcPr>
          <w:p w14:paraId="3EE82550">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《工业企业厂界环境噪声排放标准》</w:t>
            </w:r>
          </w:p>
          <w:p w14:paraId="2D3F2B62">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（GB12348-2008）中</w:t>
            </w:r>
            <w:r>
              <w:rPr>
                <w:rFonts w:hint="eastAsia" w:cs="Times New Roman"/>
                <w:color w:val="auto"/>
                <w:sz w:val="21"/>
                <w:szCs w:val="21"/>
                <w:lang w:val="en-US" w:eastAsia="zh-CN"/>
              </w:rPr>
              <w:t>3</w:t>
            </w:r>
            <w:r>
              <w:rPr>
                <w:rFonts w:hint="default" w:ascii="Times New Roman" w:hAnsi="Times New Roman" w:cs="Times New Roman"/>
                <w:color w:val="auto"/>
                <w:sz w:val="21"/>
                <w:szCs w:val="21"/>
              </w:rPr>
              <w:t>类</w:t>
            </w:r>
            <w:r>
              <w:rPr>
                <w:rFonts w:hint="default" w:ascii="Times New Roman" w:hAnsi="Times New Roman" w:cs="Times New Roman"/>
                <w:color w:val="auto"/>
                <w:sz w:val="21"/>
                <w:szCs w:val="21"/>
                <w:lang w:val="en-US" w:eastAsia="zh-CN"/>
              </w:rPr>
              <w:t>功能区</w:t>
            </w:r>
            <w:r>
              <w:rPr>
                <w:rFonts w:hint="default" w:ascii="Times New Roman" w:hAnsi="Times New Roman" w:cs="Times New Roman"/>
                <w:color w:val="auto"/>
                <w:sz w:val="21"/>
                <w:szCs w:val="21"/>
              </w:rPr>
              <w:t>限值</w:t>
            </w:r>
          </w:p>
        </w:tc>
      </w:tr>
      <w:tr w14:paraId="1F4B0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60" w:type="dxa"/>
            <w:tcBorders>
              <w:bottom w:val="single" w:color="000000" w:sz="4" w:space="0"/>
            </w:tcBorders>
            <w:vAlign w:val="center"/>
          </w:tcPr>
          <w:p w14:paraId="7E00A632">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电磁辐射</w:t>
            </w:r>
          </w:p>
        </w:tc>
        <w:tc>
          <w:tcPr>
            <w:tcW w:w="1565" w:type="dxa"/>
            <w:tcBorders>
              <w:bottom w:val="single" w:color="000000" w:sz="4" w:space="0"/>
            </w:tcBorders>
            <w:vAlign w:val="center"/>
          </w:tcPr>
          <w:p w14:paraId="50AC3756">
            <w:pPr>
              <w:pStyle w:val="36"/>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08" w:type="dxa"/>
            <w:vAlign w:val="center"/>
          </w:tcPr>
          <w:p w14:paraId="1B6D0B7C">
            <w:pPr>
              <w:pStyle w:val="36"/>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2520" w:type="dxa"/>
            <w:vAlign w:val="center"/>
          </w:tcPr>
          <w:p w14:paraId="731C7144">
            <w:pPr>
              <w:pStyle w:val="36"/>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2407" w:type="dxa"/>
            <w:vAlign w:val="center"/>
          </w:tcPr>
          <w:p w14:paraId="30E09F0D">
            <w:pPr>
              <w:pStyle w:val="36"/>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06CB6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60" w:type="dxa"/>
            <w:vAlign w:val="center"/>
          </w:tcPr>
          <w:p w14:paraId="5645620C">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固体废物</w:t>
            </w:r>
          </w:p>
        </w:tc>
        <w:tc>
          <w:tcPr>
            <w:tcW w:w="7500" w:type="dxa"/>
            <w:gridSpan w:val="4"/>
            <w:vAlign w:val="center"/>
          </w:tcPr>
          <w:p w14:paraId="17AD30FB">
            <w:pPr>
              <w:pStyle w:val="3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生活垃圾集中收集定期清运；</w:t>
            </w:r>
            <w:r>
              <w:rPr>
                <w:color w:val="auto"/>
                <w:sz w:val="21"/>
              </w:rPr>
              <w:t>废反渗透膜厂家上门更换</w:t>
            </w:r>
            <w:r>
              <w:rPr>
                <w:rFonts w:hint="default" w:ascii="Times New Roman" w:hAnsi="Times New Roman" w:eastAsia="宋体" w:cs="Times New Roman"/>
                <w:color w:val="auto"/>
                <w:sz w:val="21"/>
                <w:szCs w:val="21"/>
                <w:lang w:val="en-US" w:eastAsia="zh-CN"/>
              </w:rPr>
              <w:t>；</w:t>
            </w:r>
            <w:r>
              <w:rPr>
                <w:color w:val="auto"/>
                <w:sz w:val="21"/>
              </w:rPr>
              <w:t>污水处理站污泥脱水后拉运至</w:t>
            </w:r>
            <w:r>
              <w:rPr>
                <w:rFonts w:hint="eastAsia"/>
                <w:color w:val="auto"/>
                <w:sz w:val="21"/>
                <w:lang w:eastAsia="zh-CN"/>
              </w:rPr>
              <w:t>园区垃圾填埋场</w:t>
            </w:r>
            <w:r>
              <w:rPr>
                <w:color w:val="auto"/>
                <w:sz w:val="21"/>
              </w:rPr>
              <w:t>处置</w:t>
            </w:r>
          </w:p>
        </w:tc>
      </w:tr>
      <w:tr w14:paraId="472FD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60" w:type="dxa"/>
            <w:vAlign w:val="center"/>
          </w:tcPr>
          <w:p w14:paraId="7FA70E2A">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土壤及地下水污染防治措施</w:t>
            </w:r>
          </w:p>
        </w:tc>
        <w:tc>
          <w:tcPr>
            <w:tcW w:w="7500" w:type="dxa"/>
            <w:gridSpan w:val="4"/>
            <w:vAlign w:val="center"/>
          </w:tcPr>
          <w:p w14:paraId="2FEDBDEB">
            <w:pPr>
              <w:pStyle w:val="36"/>
              <w:jc w:val="center"/>
              <w:rPr>
                <w:rFonts w:hint="default" w:ascii="Times New Roman" w:hAnsi="Times New Roman" w:cs="Times New Roman"/>
                <w:color w:val="auto"/>
                <w:sz w:val="21"/>
                <w:szCs w:val="21"/>
                <w:lang w:val="en-US" w:eastAsia="zh-CN"/>
              </w:rPr>
            </w:pPr>
            <w:r>
              <w:rPr>
                <w:color w:val="auto"/>
                <w:sz w:val="21"/>
              </w:rPr>
              <w:t>采取分区管控、分区防渗措施</w:t>
            </w:r>
          </w:p>
        </w:tc>
      </w:tr>
      <w:tr w14:paraId="72442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60" w:type="dxa"/>
            <w:vAlign w:val="center"/>
          </w:tcPr>
          <w:p w14:paraId="2FFA29B4">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生态保护措施</w:t>
            </w:r>
          </w:p>
        </w:tc>
        <w:tc>
          <w:tcPr>
            <w:tcW w:w="7500" w:type="dxa"/>
            <w:gridSpan w:val="4"/>
            <w:vAlign w:val="center"/>
          </w:tcPr>
          <w:p w14:paraId="6B7EE9A0">
            <w:pPr>
              <w:pStyle w:val="36"/>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50A16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60" w:type="dxa"/>
            <w:vAlign w:val="center"/>
          </w:tcPr>
          <w:p w14:paraId="5133F166">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环境风险</w:t>
            </w:r>
          </w:p>
          <w:p w14:paraId="6E4B6A82">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防范措施</w:t>
            </w:r>
          </w:p>
        </w:tc>
        <w:tc>
          <w:tcPr>
            <w:tcW w:w="7500" w:type="dxa"/>
            <w:gridSpan w:val="4"/>
            <w:vAlign w:val="center"/>
          </w:tcPr>
          <w:p w14:paraId="4D46D9B1">
            <w:pPr>
              <w:pStyle w:val="36"/>
              <w:jc w:val="center"/>
              <w:rPr>
                <w:rFonts w:hint="default" w:ascii="Times New Roman" w:hAnsi="Times New Roman" w:cs="Times New Roman"/>
                <w:color w:val="auto"/>
                <w:sz w:val="21"/>
                <w:szCs w:val="21"/>
                <w:lang w:val="en-US" w:eastAsia="zh-CN"/>
              </w:rPr>
            </w:pPr>
            <w:r>
              <w:rPr>
                <w:color w:val="auto"/>
                <w:sz w:val="21"/>
              </w:rPr>
              <w:t>制定风险防范措施、制度、落实应急物资保障</w:t>
            </w:r>
          </w:p>
        </w:tc>
      </w:tr>
      <w:tr w14:paraId="79ECA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560" w:type="dxa"/>
            <w:vAlign w:val="center"/>
          </w:tcPr>
          <w:p w14:paraId="7A52A3CA">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其他环境</w:t>
            </w:r>
          </w:p>
          <w:p w14:paraId="1FB32E54">
            <w:pPr>
              <w:pStyle w:val="36"/>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管理要求</w:t>
            </w:r>
          </w:p>
        </w:tc>
        <w:tc>
          <w:tcPr>
            <w:tcW w:w="7500" w:type="dxa"/>
            <w:gridSpan w:val="4"/>
            <w:vAlign w:val="center"/>
          </w:tcPr>
          <w:p w14:paraId="127446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1、排污口规范化建设要求</w:t>
            </w:r>
          </w:p>
          <w:p w14:paraId="13C057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建设单位应在各排污口处设立较明显的排污口标志牌，对排放源及固体废物贮存场也应设立明显的标志牌。标志的设置应严格执行《环境保护图形标志排放口（源）》（GB15562.1-1995）中有关规定。</w:t>
            </w:r>
          </w:p>
          <w:p w14:paraId="1707E00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2、排污许可</w:t>
            </w:r>
          </w:p>
          <w:p w14:paraId="45F21D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2.1排污许可分类</w:t>
            </w:r>
          </w:p>
          <w:p w14:paraId="37609E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根据《固定污染源排污许可分类管理名录（2019年版）》，本项目</w:t>
            </w:r>
            <w:r>
              <w:rPr>
                <w:rFonts w:hint="default" w:ascii="Times New Roman" w:hAnsi="Times New Roman" w:cs="Times New Roman"/>
                <w:color w:val="auto"/>
                <w:szCs w:val="21"/>
                <w:lang w:val="en-US" w:eastAsia="zh-CN"/>
              </w:rPr>
              <w:t>不属于重点排污单位名录内企业，</w:t>
            </w:r>
            <w:r>
              <w:rPr>
                <w:rFonts w:hint="default" w:ascii="Times New Roman" w:hAnsi="Times New Roman" w:eastAsia="宋体" w:cs="Times New Roman"/>
                <w:color w:val="auto"/>
                <w:szCs w:val="21"/>
                <w:lang w:val="en-US" w:eastAsia="zh-CN"/>
              </w:rPr>
              <w:t>应实行</w:t>
            </w:r>
            <w:r>
              <w:rPr>
                <w:rFonts w:hint="default" w:ascii="Times New Roman" w:hAnsi="Times New Roman" w:cs="Times New Roman"/>
                <w:color w:val="auto"/>
                <w:szCs w:val="21"/>
                <w:lang w:val="en-US" w:eastAsia="zh-CN"/>
              </w:rPr>
              <w:t>简化</w:t>
            </w:r>
            <w:r>
              <w:rPr>
                <w:rFonts w:hint="default" w:ascii="Times New Roman" w:hAnsi="Times New Roman" w:eastAsia="宋体" w:cs="Times New Roman"/>
                <w:color w:val="auto"/>
                <w:szCs w:val="21"/>
                <w:lang w:val="en-US" w:eastAsia="zh-CN"/>
              </w:rPr>
              <w:t>管理，应当在启动生产设施或者发生实际排污之前</w:t>
            </w:r>
            <w:r>
              <w:rPr>
                <w:rFonts w:hint="default" w:ascii="Times New Roman" w:hAnsi="Times New Roman" w:cs="Times New Roman"/>
                <w:color w:val="auto"/>
                <w:sz w:val="21"/>
                <w:szCs w:val="21"/>
                <w:lang w:val="en-US" w:eastAsia="zh-CN"/>
              </w:rPr>
              <w:t>办理排污许可证</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 w:val="21"/>
                <w:szCs w:val="21"/>
                <w:lang w:val="en-US" w:eastAsia="zh-CN"/>
              </w:rPr>
              <w:t>严禁无证排污。</w:t>
            </w:r>
          </w:p>
          <w:p w14:paraId="1193E0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2.2环境管理台账</w:t>
            </w:r>
          </w:p>
          <w:p w14:paraId="74CD98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建设单位应建立环境管理台账制度，落实环境管理台账记录的责任部门和责任人，明确工作职责，包括台账的记录、整理、维护和管理等，并对环境管理台账的真实性、完整性和规范性负责。一般按日或按批次进行记录，异常情况应按次记录。</w:t>
            </w:r>
          </w:p>
          <w:p w14:paraId="6EC3BB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为实现台账便于携带、作为许可证执行情况佐证并长时间储存的目的以及导出原始数据，加工分析、综合判断运行情况的功能，台账应当按照电子化储存和纸质储存两种形式同步管理。台账保存期限不得少于五年。</w:t>
            </w:r>
          </w:p>
          <w:p w14:paraId="178AE3A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建设单位排污许可证台账应真实记录排污单位基本信息、生产设施和污染防治设施信息，其中，生产设施信息包括生产设施基本信息和生产设施运行管理信息，污染防治设施信息包括污染防治设施基本信息、污染治理措施运行管理信息、监测记录信息、其他环境管理信息等内容。</w:t>
            </w:r>
          </w:p>
          <w:p w14:paraId="651E82F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3、建立环境保护管理责任制度，设置专门环境保护机构及人员，负责相关污染物治理设施保护及相关管理工作。</w:t>
            </w:r>
          </w:p>
          <w:p w14:paraId="5115BF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4、根据《建设项目竣工环境保护验收暂行办法》的规定，建设项目竣工后，建设单位应当自行开展竣工环境保护工作，编制验收监测报告，经验收合格后方可投入使用。</w:t>
            </w:r>
          </w:p>
          <w:p w14:paraId="10E81B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5、根据《企业事业单位环境信息公开办法》定期公布企业环境保护相关信息，接受环境保护主管部门指导、监督本企业环境信息公开工作。</w:t>
            </w:r>
          </w:p>
          <w:p w14:paraId="5F3BB6A6">
            <w:pPr>
              <w:pStyle w:val="16"/>
              <w:rPr>
                <w:rFonts w:hint="default" w:ascii="Times New Roman" w:hAnsi="Times New Roman" w:cs="Times New Roman"/>
                <w:color w:val="auto"/>
                <w:sz w:val="21"/>
                <w:szCs w:val="21"/>
                <w:lang w:val="en-US" w:eastAsia="zh-CN"/>
              </w:rPr>
            </w:pPr>
          </w:p>
          <w:p w14:paraId="2C804596">
            <w:pPr>
              <w:pStyle w:val="16"/>
              <w:rPr>
                <w:rFonts w:hint="default" w:ascii="Times New Roman" w:hAnsi="Times New Roman" w:cs="Times New Roman"/>
                <w:color w:val="auto"/>
                <w:sz w:val="21"/>
                <w:szCs w:val="21"/>
                <w:lang w:val="en-US" w:eastAsia="zh-CN"/>
              </w:rPr>
            </w:pPr>
          </w:p>
          <w:p w14:paraId="04F39920">
            <w:pPr>
              <w:pStyle w:val="16"/>
              <w:rPr>
                <w:rFonts w:hint="default" w:ascii="Times New Roman" w:hAnsi="Times New Roman" w:cs="Times New Roman"/>
                <w:color w:val="auto"/>
                <w:sz w:val="21"/>
                <w:szCs w:val="21"/>
                <w:lang w:val="en-US" w:eastAsia="zh-CN"/>
              </w:rPr>
            </w:pPr>
          </w:p>
          <w:p w14:paraId="68217B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sz w:val="21"/>
                <w:szCs w:val="21"/>
                <w:lang w:val="en-US"/>
              </w:rPr>
            </w:pPr>
          </w:p>
          <w:p w14:paraId="15BC63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sz w:val="21"/>
                <w:szCs w:val="21"/>
                <w:lang w:val="en-US"/>
              </w:rPr>
            </w:pPr>
          </w:p>
          <w:p w14:paraId="205BC8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Times New Roman" w:hAnsi="Times New Roman" w:cs="Times New Roman"/>
                <w:color w:val="auto"/>
                <w:sz w:val="21"/>
                <w:szCs w:val="21"/>
                <w:lang w:val="en-US"/>
              </w:rPr>
            </w:pPr>
          </w:p>
        </w:tc>
      </w:tr>
    </w:tbl>
    <w:p w14:paraId="64722DA3">
      <w:pPr>
        <w:ind w:left="0" w:leftChars="0" w:firstLine="0" w:firstLineChars="0"/>
        <w:rPr>
          <w:rFonts w:hint="default" w:ascii="Times New Roman" w:hAnsi="Times New Roman" w:cs="Times New Roman"/>
          <w:color w:val="auto"/>
        </w:rPr>
      </w:pPr>
    </w:p>
    <w:p w14:paraId="3EF4888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六、结论</w:t>
      </w:r>
    </w:p>
    <w:tbl>
      <w:tblPr>
        <w:tblStyle w:val="20"/>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B4A3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top"/>
          </w:tcPr>
          <w:p w14:paraId="669F91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r>
              <w:rPr>
                <w:rFonts w:hint="default" w:ascii="Times New Roman" w:hAnsi="Times New Roman" w:cs="Times New Roman"/>
                <w:color w:val="auto"/>
                <w:szCs w:val="21"/>
              </w:rPr>
              <w:t>综上所述，项目符合国家产业政策，项目区域周边无环境制约因素，营运期产生的废水、废气、噪声及固废污染防治措施可靠、经济可行，污染物经过处理后区域内环境质量不会受到太大影响。只要项目认真落实报告中提出的各项污染防治对策措施，严格执行“三同时”制度，确保污染物达标排放、固体废弃物安全处置，则从环境角度出发，本项目建设是可行的。</w:t>
            </w:r>
          </w:p>
          <w:p w14:paraId="6444CC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710FC7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71E5E3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6A2D77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1CFBA4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7E549C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6F585F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54BDA6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3CEAA3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1CDAD8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3B2298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429C84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48BF60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6AC448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291C86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2893F0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7F2914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3AC2CD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67C478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742E7A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56F4C8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4EF7F9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rPr>
            </w:pPr>
          </w:p>
          <w:p w14:paraId="666461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color w:val="auto"/>
                <w:sz w:val="21"/>
                <w:szCs w:val="21"/>
              </w:rPr>
            </w:pPr>
          </w:p>
        </w:tc>
      </w:tr>
    </w:tbl>
    <w:p w14:paraId="6414EF5A">
      <w:pPr>
        <w:jc w:val="both"/>
        <w:rPr>
          <w:rFonts w:hint="default" w:ascii="Times New Roman" w:hAnsi="Times New Roman" w:eastAsia="方正小标宋_GBK" w:cs="Times New Roman"/>
          <w:snapToGrid w:val="0"/>
          <w:color w:val="auto"/>
          <w:sz w:val="38"/>
          <w:szCs w:val="38"/>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B0D6B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小标宋_GBK" w:cs="Times New Roman"/>
          <w:snapToGrid w:val="0"/>
          <w:color w:val="auto"/>
          <w:sz w:val="38"/>
          <w:szCs w:val="38"/>
        </w:rPr>
      </w:pPr>
      <w:r>
        <w:rPr>
          <w:rFonts w:hint="default" w:ascii="Times New Roman" w:hAnsi="Times New Roman" w:eastAsia="方正小标宋_GBK" w:cs="Times New Roman"/>
          <w:snapToGrid w:val="0"/>
          <w:color w:val="auto"/>
          <w:sz w:val="38"/>
          <w:szCs w:val="38"/>
        </w:rPr>
        <w:t>建设项目污染物排放量汇总表</w:t>
      </w:r>
    </w:p>
    <w:tbl>
      <w:tblPr>
        <w:tblStyle w:val="20"/>
        <w:tblW w:w="141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705"/>
        <w:gridCol w:w="1713"/>
        <w:gridCol w:w="1224"/>
        <w:gridCol w:w="1893"/>
        <w:gridCol w:w="1449"/>
        <w:gridCol w:w="1736"/>
        <w:gridCol w:w="1892"/>
        <w:gridCol w:w="1407"/>
      </w:tblGrid>
      <w:tr w14:paraId="1DC84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41" w:type="dxa"/>
            <w:tcBorders>
              <w:tl2br w:val="single" w:color="auto" w:sz="4" w:space="0"/>
            </w:tcBorders>
            <w:tcMar>
              <w:left w:w="28" w:type="dxa"/>
              <w:right w:w="28" w:type="dxa"/>
            </w:tcMar>
            <w:vAlign w:val="center"/>
          </w:tcPr>
          <w:p w14:paraId="039761DE">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项目</w:t>
            </w:r>
          </w:p>
          <w:p w14:paraId="2ACD122E">
            <w:pPr>
              <w:pStyle w:val="36"/>
              <w:jc w:val="both"/>
              <w:rPr>
                <w:rFonts w:hint="default" w:ascii="Times New Roman" w:hAnsi="Times New Roman" w:eastAsia="黑体" w:cs="Times New Roman"/>
                <w:color w:val="auto"/>
              </w:rPr>
            </w:pPr>
            <w:r>
              <w:rPr>
                <w:rFonts w:hint="default" w:ascii="Times New Roman" w:hAnsi="Times New Roman" w:eastAsia="黑体" w:cs="Times New Roman"/>
                <w:color w:val="auto"/>
              </w:rPr>
              <w:t>分类</w:t>
            </w:r>
          </w:p>
        </w:tc>
        <w:tc>
          <w:tcPr>
            <w:tcW w:w="1705" w:type="dxa"/>
            <w:tcMar>
              <w:left w:w="28" w:type="dxa"/>
              <w:right w:w="28" w:type="dxa"/>
            </w:tcMar>
            <w:vAlign w:val="center"/>
          </w:tcPr>
          <w:p w14:paraId="3F56DAE4">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污染物名称</w:t>
            </w:r>
          </w:p>
        </w:tc>
        <w:tc>
          <w:tcPr>
            <w:tcW w:w="1713" w:type="dxa"/>
            <w:tcMar>
              <w:left w:w="28" w:type="dxa"/>
              <w:right w:w="28" w:type="dxa"/>
            </w:tcMar>
            <w:vAlign w:val="center"/>
          </w:tcPr>
          <w:p w14:paraId="05A45E52">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现有工程</w:t>
            </w:r>
          </w:p>
          <w:p w14:paraId="6AAE991B">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排放量（固体废物产生量）</w:t>
            </w:r>
            <w:r>
              <w:rPr>
                <w:rFonts w:hint="default" w:ascii="Times New Roman" w:hAnsi="Times New Roman" w:eastAsia="黑体" w:cs="Times New Roman"/>
                <w:color w:val="auto"/>
              </w:rPr>
              <w:fldChar w:fldCharType="begin"/>
            </w:r>
            <w:r>
              <w:rPr>
                <w:rFonts w:hint="default" w:ascii="Times New Roman" w:hAnsi="Times New Roman" w:eastAsia="黑体" w:cs="Times New Roman"/>
                <w:color w:val="auto"/>
              </w:rPr>
              <w:instrText xml:space="preserve"> = 1 \* GB3 \* MERGEFORMAT </w:instrText>
            </w:r>
            <w:r>
              <w:rPr>
                <w:rFonts w:hint="default" w:ascii="Times New Roman" w:hAnsi="Times New Roman" w:eastAsia="黑体" w:cs="Times New Roman"/>
                <w:color w:val="auto"/>
              </w:rPr>
              <w:fldChar w:fldCharType="separate"/>
            </w:r>
            <w:r>
              <w:rPr>
                <w:rFonts w:hint="default" w:ascii="Times New Roman" w:hAnsi="Times New Roman" w:eastAsia="黑体" w:cs="Times New Roman"/>
                <w:color w:val="auto"/>
              </w:rPr>
              <w:t>①</w:t>
            </w:r>
            <w:r>
              <w:rPr>
                <w:rFonts w:hint="default" w:ascii="Times New Roman" w:hAnsi="Times New Roman" w:eastAsia="黑体" w:cs="Times New Roman"/>
                <w:color w:val="auto"/>
              </w:rPr>
              <w:fldChar w:fldCharType="end"/>
            </w:r>
          </w:p>
        </w:tc>
        <w:tc>
          <w:tcPr>
            <w:tcW w:w="1224" w:type="dxa"/>
            <w:tcMar>
              <w:left w:w="28" w:type="dxa"/>
              <w:right w:w="28" w:type="dxa"/>
            </w:tcMar>
            <w:vAlign w:val="center"/>
          </w:tcPr>
          <w:p w14:paraId="59308187">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现有工程</w:t>
            </w:r>
          </w:p>
          <w:p w14:paraId="5C80B3A9">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许可排放量</w:t>
            </w:r>
          </w:p>
          <w:p w14:paraId="4C12C37D">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fldChar w:fldCharType="begin"/>
            </w:r>
            <w:r>
              <w:rPr>
                <w:rFonts w:hint="default" w:ascii="Times New Roman" w:hAnsi="Times New Roman" w:eastAsia="黑体" w:cs="Times New Roman"/>
                <w:color w:val="auto"/>
              </w:rPr>
              <w:instrText xml:space="preserve"> = 2 \* GB3 \* MERGEFORMAT </w:instrText>
            </w:r>
            <w:r>
              <w:rPr>
                <w:rFonts w:hint="default" w:ascii="Times New Roman" w:hAnsi="Times New Roman" w:eastAsia="黑体" w:cs="Times New Roman"/>
                <w:color w:val="auto"/>
              </w:rPr>
              <w:fldChar w:fldCharType="separate"/>
            </w:r>
            <w:r>
              <w:rPr>
                <w:rFonts w:hint="default" w:ascii="Times New Roman" w:hAnsi="Times New Roman" w:eastAsia="黑体" w:cs="Times New Roman"/>
                <w:color w:val="auto"/>
              </w:rPr>
              <w:t>②</w:t>
            </w:r>
            <w:r>
              <w:rPr>
                <w:rFonts w:hint="default" w:ascii="Times New Roman" w:hAnsi="Times New Roman" w:eastAsia="黑体" w:cs="Times New Roman"/>
                <w:color w:val="auto"/>
              </w:rPr>
              <w:fldChar w:fldCharType="end"/>
            </w:r>
          </w:p>
        </w:tc>
        <w:tc>
          <w:tcPr>
            <w:tcW w:w="1893" w:type="dxa"/>
            <w:tcMar>
              <w:left w:w="28" w:type="dxa"/>
              <w:right w:w="28" w:type="dxa"/>
            </w:tcMar>
            <w:vAlign w:val="center"/>
          </w:tcPr>
          <w:p w14:paraId="08A5E0A3">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在建工程</w:t>
            </w:r>
          </w:p>
          <w:p w14:paraId="650E57F4">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排放量（固体废物产生量）</w:t>
            </w:r>
            <w:r>
              <w:rPr>
                <w:rFonts w:hint="default" w:ascii="Times New Roman" w:hAnsi="Times New Roman" w:eastAsia="黑体" w:cs="Times New Roman"/>
                <w:color w:val="auto"/>
              </w:rPr>
              <w:fldChar w:fldCharType="begin"/>
            </w:r>
            <w:r>
              <w:rPr>
                <w:rFonts w:hint="default" w:ascii="Times New Roman" w:hAnsi="Times New Roman" w:eastAsia="黑体" w:cs="Times New Roman"/>
                <w:color w:val="auto"/>
              </w:rPr>
              <w:instrText xml:space="preserve"> = 3 \* GB3 \* MERGEFORMAT </w:instrText>
            </w:r>
            <w:r>
              <w:rPr>
                <w:rFonts w:hint="default" w:ascii="Times New Roman" w:hAnsi="Times New Roman" w:eastAsia="黑体" w:cs="Times New Roman"/>
                <w:color w:val="auto"/>
              </w:rPr>
              <w:fldChar w:fldCharType="separate"/>
            </w:r>
            <w:r>
              <w:rPr>
                <w:rFonts w:hint="default" w:ascii="Times New Roman" w:hAnsi="Times New Roman" w:eastAsia="黑体" w:cs="Times New Roman"/>
                <w:color w:val="auto"/>
              </w:rPr>
              <w:t>③</w:t>
            </w:r>
            <w:r>
              <w:rPr>
                <w:rFonts w:hint="default" w:ascii="Times New Roman" w:hAnsi="Times New Roman" w:eastAsia="黑体" w:cs="Times New Roman"/>
                <w:color w:val="auto"/>
              </w:rPr>
              <w:fldChar w:fldCharType="end"/>
            </w:r>
          </w:p>
        </w:tc>
        <w:tc>
          <w:tcPr>
            <w:tcW w:w="1449" w:type="dxa"/>
            <w:tcMar>
              <w:left w:w="28" w:type="dxa"/>
              <w:right w:w="28" w:type="dxa"/>
            </w:tcMar>
            <w:vAlign w:val="center"/>
          </w:tcPr>
          <w:p w14:paraId="14B0AF96">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本项目</w:t>
            </w:r>
          </w:p>
          <w:p w14:paraId="4FAACE38">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排放量（固体废物产生量）</w:t>
            </w:r>
            <w:r>
              <w:rPr>
                <w:rFonts w:hint="default" w:ascii="Times New Roman" w:hAnsi="Times New Roman" w:eastAsia="黑体" w:cs="Times New Roman"/>
                <w:color w:val="auto"/>
              </w:rPr>
              <w:fldChar w:fldCharType="begin"/>
            </w:r>
            <w:r>
              <w:rPr>
                <w:rFonts w:hint="default" w:ascii="Times New Roman" w:hAnsi="Times New Roman" w:eastAsia="黑体" w:cs="Times New Roman"/>
                <w:color w:val="auto"/>
              </w:rPr>
              <w:instrText xml:space="preserve"> = 4 \* GB3 \* MERGEFORMAT </w:instrText>
            </w:r>
            <w:r>
              <w:rPr>
                <w:rFonts w:hint="default" w:ascii="Times New Roman" w:hAnsi="Times New Roman" w:eastAsia="黑体" w:cs="Times New Roman"/>
                <w:color w:val="auto"/>
              </w:rPr>
              <w:fldChar w:fldCharType="separate"/>
            </w:r>
            <w:r>
              <w:rPr>
                <w:rFonts w:hint="default" w:ascii="Times New Roman" w:hAnsi="Times New Roman" w:eastAsia="黑体" w:cs="Times New Roman"/>
                <w:color w:val="auto"/>
              </w:rPr>
              <w:t>④</w:t>
            </w:r>
            <w:r>
              <w:rPr>
                <w:rFonts w:hint="default" w:ascii="Times New Roman" w:hAnsi="Times New Roman" w:eastAsia="黑体" w:cs="Times New Roman"/>
                <w:color w:val="auto"/>
              </w:rPr>
              <w:fldChar w:fldCharType="end"/>
            </w:r>
          </w:p>
        </w:tc>
        <w:tc>
          <w:tcPr>
            <w:tcW w:w="1736" w:type="dxa"/>
            <w:tcMar>
              <w:left w:w="28" w:type="dxa"/>
              <w:right w:w="28" w:type="dxa"/>
            </w:tcMar>
            <w:vAlign w:val="center"/>
          </w:tcPr>
          <w:p w14:paraId="2AEEB1FD">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以新带老削减量</w:t>
            </w:r>
          </w:p>
          <w:p w14:paraId="4736144C">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（新建项目不填）</w:t>
            </w:r>
            <w:r>
              <w:rPr>
                <w:rFonts w:hint="default" w:ascii="Times New Roman" w:hAnsi="Times New Roman" w:eastAsia="黑体" w:cs="Times New Roman"/>
                <w:color w:val="auto"/>
              </w:rPr>
              <w:fldChar w:fldCharType="begin"/>
            </w:r>
            <w:r>
              <w:rPr>
                <w:rFonts w:hint="default" w:ascii="Times New Roman" w:hAnsi="Times New Roman" w:eastAsia="黑体" w:cs="Times New Roman"/>
                <w:color w:val="auto"/>
              </w:rPr>
              <w:instrText xml:space="preserve"> = 5 \* GB3 \* MERGEFORMAT </w:instrText>
            </w:r>
            <w:r>
              <w:rPr>
                <w:rFonts w:hint="default" w:ascii="Times New Roman" w:hAnsi="Times New Roman" w:eastAsia="黑体" w:cs="Times New Roman"/>
                <w:color w:val="auto"/>
              </w:rPr>
              <w:fldChar w:fldCharType="separate"/>
            </w:r>
            <w:r>
              <w:rPr>
                <w:rFonts w:hint="default" w:ascii="Times New Roman" w:hAnsi="Times New Roman" w:eastAsia="黑体" w:cs="Times New Roman"/>
                <w:color w:val="auto"/>
              </w:rPr>
              <w:t>⑤</w:t>
            </w:r>
            <w:r>
              <w:rPr>
                <w:rFonts w:hint="default" w:ascii="Times New Roman" w:hAnsi="Times New Roman" w:eastAsia="黑体" w:cs="Times New Roman"/>
                <w:color w:val="auto"/>
              </w:rPr>
              <w:fldChar w:fldCharType="end"/>
            </w:r>
          </w:p>
        </w:tc>
        <w:tc>
          <w:tcPr>
            <w:tcW w:w="1892" w:type="dxa"/>
            <w:tcMar>
              <w:left w:w="28" w:type="dxa"/>
              <w:right w:w="28" w:type="dxa"/>
            </w:tcMar>
            <w:vAlign w:val="center"/>
          </w:tcPr>
          <w:p w14:paraId="17A19FCE">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本项目建成后</w:t>
            </w:r>
          </w:p>
          <w:p w14:paraId="00858BC2">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全厂排放量（固体废物产生量）</w:t>
            </w:r>
            <w:r>
              <w:rPr>
                <w:rFonts w:hint="default" w:ascii="Times New Roman" w:hAnsi="Times New Roman" w:eastAsia="黑体" w:cs="Times New Roman"/>
                <w:color w:val="auto"/>
              </w:rPr>
              <w:fldChar w:fldCharType="begin"/>
            </w:r>
            <w:r>
              <w:rPr>
                <w:rFonts w:hint="default" w:ascii="Times New Roman" w:hAnsi="Times New Roman" w:eastAsia="黑体" w:cs="Times New Roman"/>
                <w:color w:val="auto"/>
              </w:rPr>
              <w:instrText xml:space="preserve"> = 6 \* GB3 \* MERGEFORMAT </w:instrText>
            </w:r>
            <w:r>
              <w:rPr>
                <w:rFonts w:hint="default" w:ascii="Times New Roman" w:hAnsi="Times New Roman" w:eastAsia="黑体" w:cs="Times New Roman"/>
                <w:color w:val="auto"/>
              </w:rPr>
              <w:fldChar w:fldCharType="separate"/>
            </w:r>
            <w:r>
              <w:rPr>
                <w:rFonts w:hint="default" w:ascii="Times New Roman" w:hAnsi="Times New Roman" w:eastAsia="黑体" w:cs="Times New Roman"/>
                <w:color w:val="auto"/>
              </w:rPr>
              <w:t>⑥</w:t>
            </w:r>
            <w:r>
              <w:rPr>
                <w:rFonts w:hint="default" w:ascii="Times New Roman" w:hAnsi="Times New Roman" w:eastAsia="黑体" w:cs="Times New Roman"/>
                <w:color w:val="auto"/>
              </w:rPr>
              <w:fldChar w:fldCharType="end"/>
            </w:r>
          </w:p>
        </w:tc>
        <w:tc>
          <w:tcPr>
            <w:tcW w:w="1407" w:type="dxa"/>
            <w:tcMar>
              <w:left w:w="28" w:type="dxa"/>
              <w:right w:w="28" w:type="dxa"/>
            </w:tcMar>
            <w:vAlign w:val="center"/>
          </w:tcPr>
          <w:p w14:paraId="4E5060F3">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变化量</w:t>
            </w:r>
          </w:p>
          <w:p w14:paraId="434ECEEC">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fldChar w:fldCharType="begin"/>
            </w:r>
            <w:r>
              <w:rPr>
                <w:rFonts w:hint="default" w:ascii="Times New Roman" w:hAnsi="Times New Roman" w:eastAsia="黑体" w:cs="Times New Roman"/>
                <w:color w:val="auto"/>
              </w:rPr>
              <w:instrText xml:space="preserve"> = 7 \* GB3 \* MERGEFORMAT </w:instrText>
            </w:r>
            <w:r>
              <w:rPr>
                <w:rFonts w:hint="default" w:ascii="Times New Roman" w:hAnsi="Times New Roman" w:eastAsia="黑体" w:cs="Times New Roman"/>
                <w:color w:val="auto"/>
              </w:rPr>
              <w:fldChar w:fldCharType="separate"/>
            </w:r>
            <w:r>
              <w:rPr>
                <w:rFonts w:hint="default" w:ascii="Times New Roman" w:hAnsi="Times New Roman" w:eastAsia="黑体" w:cs="Times New Roman"/>
                <w:color w:val="auto"/>
              </w:rPr>
              <w:t>⑦</w:t>
            </w:r>
            <w:r>
              <w:rPr>
                <w:rFonts w:hint="default" w:ascii="Times New Roman" w:hAnsi="Times New Roman" w:eastAsia="黑体" w:cs="Times New Roman"/>
                <w:color w:val="auto"/>
              </w:rPr>
              <w:fldChar w:fldCharType="end"/>
            </w:r>
          </w:p>
        </w:tc>
      </w:tr>
      <w:tr w14:paraId="0852A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41" w:type="dxa"/>
            <w:vAlign w:val="center"/>
          </w:tcPr>
          <w:p w14:paraId="6A16034B">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废气</w:t>
            </w:r>
          </w:p>
        </w:tc>
        <w:tc>
          <w:tcPr>
            <w:tcW w:w="1705" w:type="dxa"/>
            <w:vAlign w:val="center"/>
          </w:tcPr>
          <w:p w14:paraId="15189AD5">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颗粒物</w:t>
            </w:r>
          </w:p>
        </w:tc>
        <w:tc>
          <w:tcPr>
            <w:tcW w:w="1713" w:type="dxa"/>
            <w:vAlign w:val="center"/>
          </w:tcPr>
          <w:p w14:paraId="73D6EDB5">
            <w:pPr>
              <w:pStyle w:val="3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c>
          <w:tcPr>
            <w:tcW w:w="1224" w:type="dxa"/>
            <w:vAlign w:val="center"/>
          </w:tcPr>
          <w:p w14:paraId="58F4528D">
            <w:pPr>
              <w:pStyle w:val="3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c>
          <w:tcPr>
            <w:tcW w:w="1893" w:type="dxa"/>
            <w:vAlign w:val="center"/>
          </w:tcPr>
          <w:p w14:paraId="78046582">
            <w:pPr>
              <w:pStyle w:val="3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c>
          <w:tcPr>
            <w:tcW w:w="1449" w:type="dxa"/>
            <w:vAlign w:val="center"/>
          </w:tcPr>
          <w:p w14:paraId="225EC34F">
            <w:pPr>
              <w:pStyle w:val="36"/>
              <w:rPr>
                <w:rFonts w:hint="default" w:ascii="Times New Roman" w:hAnsi="Times New Roman" w:cs="Times New Roman"/>
                <w:color w:val="auto"/>
                <w:lang w:val="en-US" w:eastAsia="zh-CN"/>
              </w:rPr>
            </w:pPr>
            <w:r>
              <w:rPr>
                <w:rFonts w:hint="eastAsia" w:cs="Times New Roman"/>
                <w:color w:val="auto"/>
                <w:lang w:val="en-US" w:eastAsia="zh-CN"/>
              </w:rPr>
              <w:t>0.108</w:t>
            </w:r>
            <w:r>
              <w:rPr>
                <w:rFonts w:hint="default" w:ascii="Times New Roman" w:hAnsi="Times New Roman" w:cs="Times New Roman"/>
                <w:color w:val="auto"/>
                <w:lang w:val="en-US" w:eastAsia="zh-CN"/>
              </w:rPr>
              <w:t>t/a</w:t>
            </w:r>
          </w:p>
        </w:tc>
        <w:tc>
          <w:tcPr>
            <w:tcW w:w="1736" w:type="dxa"/>
            <w:vAlign w:val="center"/>
          </w:tcPr>
          <w:p w14:paraId="02B49795">
            <w:pPr>
              <w:pStyle w:val="3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c>
          <w:tcPr>
            <w:tcW w:w="1892" w:type="dxa"/>
            <w:vAlign w:val="center"/>
          </w:tcPr>
          <w:p w14:paraId="579BABF0">
            <w:pPr>
              <w:pStyle w:val="36"/>
              <w:ind w:firstLine="0" w:firstLineChars="0"/>
              <w:rPr>
                <w:rFonts w:hint="default" w:ascii="Times New Roman" w:hAnsi="Times New Roman" w:cs="Times New Roman"/>
                <w:color w:val="auto"/>
                <w:lang w:val="en-US" w:eastAsia="zh-CN"/>
              </w:rPr>
            </w:pPr>
            <w:r>
              <w:rPr>
                <w:rFonts w:hint="eastAsia" w:cs="Times New Roman"/>
                <w:color w:val="auto"/>
                <w:lang w:val="en-US" w:eastAsia="zh-CN"/>
              </w:rPr>
              <w:t>0.108</w:t>
            </w:r>
            <w:r>
              <w:rPr>
                <w:rFonts w:hint="default" w:ascii="Times New Roman" w:hAnsi="Times New Roman" w:cs="Times New Roman"/>
                <w:color w:val="auto"/>
                <w:lang w:val="en-US" w:eastAsia="zh-CN"/>
              </w:rPr>
              <w:t>t/a</w:t>
            </w:r>
          </w:p>
        </w:tc>
        <w:tc>
          <w:tcPr>
            <w:tcW w:w="1407" w:type="dxa"/>
            <w:vAlign w:val="center"/>
          </w:tcPr>
          <w:p w14:paraId="78B61F34">
            <w:pPr>
              <w:pStyle w:val="36"/>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w:t>
            </w:r>
            <w:r>
              <w:rPr>
                <w:rFonts w:hint="eastAsia" w:cs="Times New Roman"/>
                <w:color w:val="auto"/>
                <w:lang w:val="en-US" w:eastAsia="zh-CN"/>
              </w:rPr>
              <w:t>0.108</w:t>
            </w:r>
            <w:r>
              <w:rPr>
                <w:rFonts w:hint="default" w:ascii="Times New Roman" w:hAnsi="Times New Roman" w:cs="Times New Roman"/>
                <w:color w:val="auto"/>
                <w:lang w:val="en-US" w:eastAsia="zh-CN"/>
              </w:rPr>
              <w:t>t/a</w:t>
            </w:r>
          </w:p>
        </w:tc>
      </w:tr>
      <w:tr w14:paraId="27F57A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41" w:type="dxa"/>
            <w:vAlign w:val="center"/>
          </w:tcPr>
          <w:p w14:paraId="33C9987F">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废水</w:t>
            </w:r>
          </w:p>
        </w:tc>
        <w:tc>
          <w:tcPr>
            <w:tcW w:w="1705" w:type="dxa"/>
            <w:vAlign w:val="center"/>
          </w:tcPr>
          <w:p w14:paraId="4EFD6D00">
            <w:pPr>
              <w:pStyle w:val="36"/>
              <w:rPr>
                <w:rFonts w:hint="default" w:ascii="Times New Roman" w:hAnsi="Times New Roman" w:eastAsia="黑体" w:cs="Times New Roman"/>
                <w:color w:val="auto"/>
                <w:lang w:val="en-US" w:eastAsia="zh-CN"/>
              </w:rPr>
            </w:pPr>
            <w:r>
              <w:rPr>
                <w:rFonts w:hint="eastAsia" w:eastAsia="黑体" w:cs="Times New Roman"/>
                <w:color w:val="auto"/>
                <w:lang w:val="en-US" w:eastAsia="zh-CN"/>
              </w:rPr>
              <w:t>生产、</w:t>
            </w:r>
            <w:r>
              <w:rPr>
                <w:rFonts w:hint="default" w:ascii="Times New Roman" w:hAnsi="Times New Roman" w:eastAsia="黑体" w:cs="Times New Roman"/>
                <w:color w:val="auto"/>
                <w:lang w:val="en-US" w:eastAsia="zh-CN"/>
              </w:rPr>
              <w:t>生活废水</w:t>
            </w:r>
          </w:p>
        </w:tc>
        <w:tc>
          <w:tcPr>
            <w:tcW w:w="1713" w:type="dxa"/>
            <w:vAlign w:val="center"/>
          </w:tcPr>
          <w:p w14:paraId="71C81959">
            <w:pPr>
              <w:pStyle w:val="36"/>
              <w:ind w:firstLine="0" w:firstLineChars="0"/>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1224" w:type="dxa"/>
            <w:vAlign w:val="center"/>
          </w:tcPr>
          <w:p w14:paraId="05FB91B9">
            <w:pPr>
              <w:pStyle w:val="36"/>
              <w:ind w:firstLine="0" w:firstLineChars="0"/>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1893" w:type="dxa"/>
            <w:vAlign w:val="center"/>
          </w:tcPr>
          <w:p w14:paraId="1E60EBF5">
            <w:pPr>
              <w:pStyle w:val="36"/>
              <w:ind w:firstLine="0" w:firstLineChars="0"/>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1449" w:type="dxa"/>
            <w:vAlign w:val="center"/>
          </w:tcPr>
          <w:p w14:paraId="4F926A3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lang w:val="en-US" w:eastAsia="zh-CN"/>
              </w:rPr>
            </w:pPr>
            <w:r>
              <w:rPr>
                <w:rFonts w:hint="eastAsia" w:cs="Times New Roman"/>
                <w:color w:val="auto"/>
                <w:sz w:val="21"/>
                <w:szCs w:val="21"/>
                <w:lang w:val="en-US" w:eastAsia="zh-CN"/>
              </w:rPr>
              <w:t>36499.2</w:t>
            </w:r>
            <w:r>
              <w:rPr>
                <w:rFonts w:hint="default" w:ascii="Times New Roman" w:hAnsi="Times New Roman" w:cs="Times New Roman"/>
                <w:color w:val="auto"/>
                <w:lang w:val="en-US" w:eastAsia="zh-CN"/>
              </w:rPr>
              <w:t>t/a</w:t>
            </w:r>
          </w:p>
        </w:tc>
        <w:tc>
          <w:tcPr>
            <w:tcW w:w="1736" w:type="dxa"/>
            <w:vAlign w:val="center"/>
          </w:tcPr>
          <w:p w14:paraId="40EF2A6E">
            <w:pPr>
              <w:pStyle w:val="36"/>
              <w:ind w:firstLine="0" w:firstLineChars="0"/>
              <w:rPr>
                <w:rFonts w:hint="default" w:ascii="Times New Roman" w:hAnsi="Times New Roman" w:cs="Times New Roman"/>
                <w:color w:val="auto"/>
              </w:rPr>
            </w:pPr>
            <w:r>
              <w:rPr>
                <w:rFonts w:hint="default" w:ascii="Times New Roman" w:hAnsi="Times New Roman" w:cs="Times New Roman"/>
                <w:color w:val="auto"/>
                <w:lang w:val="en-US" w:eastAsia="zh-CN"/>
              </w:rPr>
              <w:t>/</w:t>
            </w:r>
          </w:p>
        </w:tc>
        <w:tc>
          <w:tcPr>
            <w:tcW w:w="1892" w:type="dxa"/>
            <w:vAlign w:val="center"/>
          </w:tcPr>
          <w:p w14:paraId="123800A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rPr>
            </w:pPr>
            <w:r>
              <w:rPr>
                <w:rFonts w:hint="eastAsia" w:cs="Times New Roman"/>
                <w:color w:val="auto"/>
                <w:sz w:val="21"/>
                <w:szCs w:val="21"/>
                <w:lang w:val="en-US" w:eastAsia="zh-CN"/>
              </w:rPr>
              <w:t>36499.2</w:t>
            </w:r>
            <w:r>
              <w:rPr>
                <w:rFonts w:hint="default" w:ascii="Times New Roman" w:hAnsi="Times New Roman" w:cs="Times New Roman"/>
                <w:color w:val="auto"/>
                <w:lang w:val="en-US" w:eastAsia="zh-CN"/>
              </w:rPr>
              <w:t>t/a</w:t>
            </w:r>
          </w:p>
        </w:tc>
        <w:tc>
          <w:tcPr>
            <w:tcW w:w="1407" w:type="dxa"/>
            <w:vAlign w:val="center"/>
          </w:tcPr>
          <w:p w14:paraId="0C8F369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w:t>
            </w:r>
            <w:r>
              <w:rPr>
                <w:rFonts w:hint="eastAsia" w:cs="Times New Roman"/>
                <w:color w:val="auto"/>
                <w:sz w:val="21"/>
                <w:szCs w:val="21"/>
                <w:lang w:val="en-US" w:eastAsia="zh-CN"/>
              </w:rPr>
              <w:t>36499.2</w:t>
            </w:r>
            <w:r>
              <w:rPr>
                <w:rFonts w:hint="default" w:ascii="Times New Roman" w:hAnsi="Times New Roman" w:cs="Times New Roman"/>
                <w:color w:val="auto"/>
                <w:lang w:val="en-US" w:eastAsia="zh-CN"/>
              </w:rPr>
              <w:t>t/a</w:t>
            </w:r>
          </w:p>
        </w:tc>
      </w:tr>
      <w:tr w14:paraId="1B48D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41" w:type="dxa"/>
            <w:vMerge w:val="restart"/>
            <w:vAlign w:val="center"/>
          </w:tcPr>
          <w:p w14:paraId="4202CFB3">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一般工业</w:t>
            </w:r>
          </w:p>
          <w:p w14:paraId="4D42105E">
            <w:pPr>
              <w:pStyle w:val="36"/>
              <w:rPr>
                <w:rFonts w:hint="default" w:ascii="Times New Roman" w:hAnsi="Times New Roman" w:eastAsia="黑体" w:cs="Times New Roman"/>
                <w:color w:val="auto"/>
              </w:rPr>
            </w:pPr>
            <w:r>
              <w:rPr>
                <w:rFonts w:hint="default" w:ascii="Times New Roman" w:hAnsi="Times New Roman" w:eastAsia="黑体" w:cs="Times New Roman"/>
                <w:color w:val="auto"/>
              </w:rPr>
              <w:t>固体废物</w:t>
            </w:r>
          </w:p>
        </w:tc>
        <w:tc>
          <w:tcPr>
            <w:tcW w:w="1705" w:type="dxa"/>
            <w:shd w:val="clear" w:color="auto" w:fill="auto"/>
            <w:vAlign w:val="center"/>
          </w:tcPr>
          <w:p w14:paraId="283C0EBD">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rPr>
              <w:t>生活垃圾</w:t>
            </w:r>
          </w:p>
        </w:tc>
        <w:tc>
          <w:tcPr>
            <w:tcW w:w="1713" w:type="dxa"/>
            <w:vAlign w:val="center"/>
          </w:tcPr>
          <w:p w14:paraId="64A2D218">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w:t>
            </w:r>
          </w:p>
        </w:tc>
        <w:tc>
          <w:tcPr>
            <w:tcW w:w="1224" w:type="dxa"/>
            <w:vAlign w:val="center"/>
          </w:tcPr>
          <w:p w14:paraId="35FA2122">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w:t>
            </w:r>
          </w:p>
        </w:tc>
        <w:tc>
          <w:tcPr>
            <w:tcW w:w="1893" w:type="dxa"/>
            <w:vAlign w:val="center"/>
          </w:tcPr>
          <w:p w14:paraId="552C761B">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w:t>
            </w:r>
          </w:p>
        </w:tc>
        <w:tc>
          <w:tcPr>
            <w:tcW w:w="1449" w:type="dxa"/>
            <w:shd w:val="clear" w:color="auto" w:fill="auto"/>
            <w:vAlign w:val="center"/>
          </w:tcPr>
          <w:p w14:paraId="198BAA4E">
            <w:pPr>
              <w:pStyle w:val="36"/>
              <w:rPr>
                <w:rFonts w:hint="default" w:ascii="Times New Roman" w:hAnsi="Times New Roman" w:eastAsia="黑体" w:cs="Times New Roman"/>
                <w:color w:val="auto"/>
                <w:lang w:val="en-US" w:eastAsia="zh-CN"/>
              </w:rPr>
            </w:pPr>
            <w:r>
              <w:rPr>
                <w:rFonts w:hint="eastAsia" w:eastAsia="黑体" w:cs="Times New Roman"/>
                <w:color w:val="auto"/>
                <w:lang w:val="en-US" w:eastAsia="zh-CN"/>
              </w:rPr>
              <w:t>6</w:t>
            </w:r>
            <w:r>
              <w:rPr>
                <w:rFonts w:hint="default" w:ascii="Times New Roman" w:hAnsi="Times New Roman" w:eastAsia="黑体" w:cs="Times New Roman"/>
                <w:color w:val="auto"/>
                <w:lang w:val="en-US" w:eastAsia="zh-CN"/>
              </w:rPr>
              <w:t>t/a</w:t>
            </w:r>
          </w:p>
        </w:tc>
        <w:tc>
          <w:tcPr>
            <w:tcW w:w="1736" w:type="dxa"/>
            <w:vAlign w:val="center"/>
          </w:tcPr>
          <w:p w14:paraId="6A4C5E1E">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w:t>
            </w:r>
          </w:p>
        </w:tc>
        <w:tc>
          <w:tcPr>
            <w:tcW w:w="1892" w:type="dxa"/>
            <w:shd w:val="clear" w:color="auto" w:fill="auto"/>
            <w:vAlign w:val="center"/>
          </w:tcPr>
          <w:p w14:paraId="6467D301">
            <w:pPr>
              <w:pStyle w:val="36"/>
              <w:rPr>
                <w:rFonts w:hint="default" w:ascii="Times New Roman" w:hAnsi="Times New Roman" w:eastAsia="黑体" w:cs="Times New Roman"/>
                <w:color w:val="auto"/>
                <w:lang w:val="en-US" w:eastAsia="zh-CN"/>
              </w:rPr>
            </w:pPr>
            <w:r>
              <w:rPr>
                <w:rFonts w:hint="eastAsia" w:eastAsia="黑体" w:cs="Times New Roman"/>
                <w:color w:val="auto"/>
                <w:lang w:val="en-US" w:eastAsia="zh-CN"/>
              </w:rPr>
              <w:t>6</w:t>
            </w:r>
            <w:r>
              <w:rPr>
                <w:rFonts w:hint="default" w:ascii="Times New Roman" w:hAnsi="Times New Roman" w:eastAsia="黑体" w:cs="Times New Roman"/>
                <w:color w:val="auto"/>
                <w:lang w:val="en-US" w:eastAsia="zh-CN"/>
              </w:rPr>
              <w:t>t/a</w:t>
            </w:r>
          </w:p>
        </w:tc>
        <w:tc>
          <w:tcPr>
            <w:tcW w:w="1407" w:type="dxa"/>
            <w:shd w:val="clear" w:color="auto" w:fill="auto"/>
            <w:vAlign w:val="center"/>
          </w:tcPr>
          <w:p w14:paraId="7C62D04F">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w:t>
            </w:r>
            <w:r>
              <w:rPr>
                <w:rFonts w:hint="eastAsia" w:eastAsia="黑体" w:cs="Times New Roman"/>
                <w:color w:val="auto"/>
                <w:lang w:val="en-US" w:eastAsia="zh-CN"/>
              </w:rPr>
              <w:t>6</w:t>
            </w:r>
            <w:r>
              <w:rPr>
                <w:rFonts w:hint="default" w:ascii="Times New Roman" w:hAnsi="Times New Roman" w:eastAsia="黑体" w:cs="Times New Roman"/>
                <w:color w:val="auto"/>
                <w:lang w:val="en-US" w:eastAsia="zh-CN"/>
              </w:rPr>
              <w:t>t/a</w:t>
            </w:r>
          </w:p>
        </w:tc>
      </w:tr>
      <w:tr w14:paraId="092CC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41" w:type="dxa"/>
            <w:vMerge w:val="continue"/>
            <w:vAlign w:val="center"/>
          </w:tcPr>
          <w:p w14:paraId="5402CAC8">
            <w:pPr>
              <w:pStyle w:val="36"/>
              <w:rPr>
                <w:rFonts w:hint="default" w:ascii="Times New Roman" w:hAnsi="Times New Roman" w:eastAsia="黑体" w:cs="Times New Roman"/>
                <w:color w:val="auto"/>
              </w:rPr>
            </w:pPr>
          </w:p>
        </w:tc>
        <w:tc>
          <w:tcPr>
            <w:tcW w:w="1705" w:type="dxa"/>
            <w:shd w:val="clear" w:color="auto" w:fill="auto"/>
            <w:vAlign w:val="center"/>
          </w:tcPr>
          <w:p w14:paraId="5F73501D">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废</w:t>
            </w:r>
            <w:r>
              <w:rPr>
                <w:rFonts w:hint="eastAsia" w:ascii="Times New Roman" w:hAnsi="Times New Roman" w:eastAsia="黑体" w:cs="Times New Roman"/>
                <w:color w:val="auto"/>
                <w:lang w:val="en-US" w:eastAsia="zh-CN"/>
              </w:rPr>
              <w:t>包装</w:t>
            </w:r>
          </w:p>
        </w:tc>
        <w:tc>
          <w:tcPr>
            <w:tcW w:w="1713" w:type="dxa"/>
            <w:vAlign w:val="center"/>
          </w:tcPr>
          <w:p w14:paraId="4BDC22B9">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w:t>
            </w:r>
          </w:p>
        </w:tc>
        <w:tc>
          <w:tcPr>
            <w:tcW w:w="1224" w:type="dxa"/>
            <w:vAlign w:val="center"/>
          </w:tcPr>
          <w:p w14:paraId="6E4ED0DE">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w:t>
            </w:r>
          </w:p>
        </w:tc>
        <w:tc>
          <w:tcPr>
            <w:tcW w:w="1893" w:type="dxa"/>
            <w:vAlign w:val="center"/>
          </w:tcPr>
          <w:p w14:paraId="1FF2A0C6">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w:t>
            </w:r>
          </w:p>
        </w:tc>
        <w:tc>
          <w:tcPr>
            <w:tcW w:w="1449" w:type="dxa"/>
            <w:shd w:val="clear" w:color="auto" w:fill="auto"/>
            <w:vAlign w:val="center"/>
          </w:tcPr>
          <w:p w14:paraId="43C73D25">
            <w:pPr>
              <w:pStyle w:val="36"/>
              <w:rPr>
                <w:rFonts w:hint="default" w:ascii="Times New Roman" w:hAnsi="Times New Roman" w:eastAsia="黑体" w:cs="Times New Roman"/>
                <w:color w:val="auto"/>
                <w:lang w:val="en-US" w:eastAsia="zh-CN"/>
              </w:rPr>
            </w:pPr>
            <w:r>
              <w:rPr>
                <w:rFonts w:hint="eastAsia" w:ascii="Times New Roman" w:hAnsi="Times New Roman" w:eastAsia="黑体" w:cs="Times New Roman"/>
                <w:color w:val="auto"/>
                <w:lang w:val="en-US" w:eastAsia="zh-CN"/>
              </w:rPr>
              <w:t>0.2</w:t>
            </w:r>
            <w:r>
              <w:rPr>
                <w:rFonts w:hint="default" w:ascii="Times New Roman" w:hAnsi="Times New Roman" w:eastAsia="黑体" w:cs="Times New Roman"/>
                <w:color w:val="auto"/>
                <w:lang w:val="en-US" w:eastAsia="zh-CN"/>
              </w:rPr>
              <w:t>t/a</w:t>
            </w:r>
          </w:p>
        </w:tc>
        <w:tc>
          <w:tcPr>
            <w:tcW w:w="1736" w:type="dxa"/>
            <w:vAlign w:val="center"/>
          </w:tcPr>
          <w:p w14:paraId="71FAF99F">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w:t>
            </w:r>
          </w:p>
        </w:tc>
        <w:tc>
          <w:tcPr>
            <w:tcW w:w="1892" w:type="dxa"/>
            <w:shd w:val="clear" w:color="auto" w:fill="auto"/>
            <w:vAlign w:val="center"/>
          </w:tcPr>
          <w:p w14:paraId="4FB2FEC6">
            <w:pPr>
              <w:pStyle w:val="36"/>
              <w:rPr>
                <w:rFonts w:hint="default" w:ascii="Times New Roman" w:hAnsi="Times New Roman" w:eastAsia="黑体" w:cs="Times New Roman"/>
                <w:color w:val="auto"/>
                <w:lang w:val="en-US" w:eastAsia="zh-CN"/>
              </w:rPr>
            </w:pPr>
            <w:r>
              <w:rPr>
                <w:rFonts w:hint="eastAsia" w:ascii="Times New Roman" w:hAnsi="Times New Roman" w:eastAsia="黑体" w:cs="Times New Roman"/>
                <w:color w:val="auto"/>
                <w:lang w:val="en-US" w:eastAsia="zh-CN"/>
              </w:rPr>
              <w:t>0.2</w:t>
            </w:r>
            <w:r>
              <w:rPr>
                <w:rFonts w:hint="default" w:ascii="Times New Roman" w:hAnsi="Times New Roman" w:eastAsia="黑体" w:cs="Times New Roman"/>
                <w:color w:val="auto"/>
                <w:lang w:val="en-US" w:eastAsia="zh-CN"/>
              </w:rPr>
              <w:t>t/a</w:t>
            </w:r>
          </w:p>
        </w:tc>
        <w:tc>
          <w:tcPr>
            <w:tcW w:w="1407" w:type="dxa"/>
            <w:shd w:val="clear" w:color="auto" w:fill="auto"/>
            <w:vAlign w:val="center"/>
          </w:tcPr>
          <w:p w14:paraId="757D32C1">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w:t>
            </w:r>
            <w:r>
              <w:rPr>
                <w:rFonts w:hint="eastAsia" w:ascii="Times New Roman" w:hAnsi="Times New Roman" w:eastAsia="黑体" w:cs="Times New Roman"/>
                <w:color w:val="auto"/>
                <w:lang w:val="en-US" w:eastAsia="zh-CN"/>
              </w:rPr>
              <w:t>0.2</w:t>
            </w:r>
            <w:r>
              <w:rPr>
                <w:rFonts w:hint="default" w:ascii="Times New Roman" w:hAnsi="Times New Roman" w:eastAsia="黑体" w:cs="Times New Roman"/>
                <w:color w:val="auto"/>
                <w:lang w:val="en-US" w:eastAsia="zh-CN"/>
              </w:rPr>
              <w:t>t/a</w:t>
            </w:r>
          </w:p>
        </w:tc>
      </w:tr>
      <w:tr w14:paraId="58278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41" w:type="dxa"/>
            <w:vMerge w:val="continue"/>
            <w:vAlign w:val="center"/>
          </w:tcPr>
          <w:p w14:paraId="3F0C8CBC">
            <w:pPr>
              <w:pStyle w:val="36"/>
              <w:rPr>
                <w:rFonts w:hint="default" w:ascii="Times New Roman" w:hAnsi="Times New Roman" w:eastAsia="黑体" w:cs="Times New Roman"/>
                <w:color w:val="auto"/>
              </w:rPr>
            </w:pPr>
          </w:p>
        </w:tc>
        <w:tc>
          <w:tcPr>
            <w:tcW w:w="1705" w:type="dxa"/>
            <w:shd w:val="clear" w:color="auto" w:fill="auto"/>
            <w:vAlign w:val="center"/>
          </w:tcPr>
          <w:p w14:paraId="2952FC9A">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除尘灰</w:t>
            </w:r>
          </w:p>
        </w:tc>
        <w:tc>
          <w:tcPr>
            <w:tcW w:w="1713" w:type="dxa"/>
            <w:vAlign w:val="center"/>
          </w:tcPr>
          <w:p w14:paraId="250D9BAA">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w:t>
            </w:r>
          </w:p>
        </w:tc>
        <w:tc>
          <w:tcPr>
            <w:tcW w:w="1224" w:type="dxa"/>
            <w:vAlign w:val="center"/>
          </w:tcPr>
          <w:p w14:paraId="218BE109">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w:t>
            </w:r>
          </w:p>
        </w:tc>
        <w:tc>
          <w:tcPr>
            <w:tcW w:w="1893" w:type="dxa"/>
            <w:vAlign w:val="center"/>
          </w:tcPr>
          <w:p w14:paraId="7D803299">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w:t>
            </w:r>
          </w:p>
        </w:tc>
        <w:tc>
          <w:tcPr>
            <w:tcW w:w="1449" w:type="dxa"/>
            <w:shd w:val="clear" w:color="auto" w:fill="auto"/>
            <w:vAlign w:val="center"/>
          </w:tcPr>
          <w:p w14:paraId="2D8459D0">
            <w:pPr>
              <w:pStyle w:val="36"/>
              <w:rPr>
                <w:rFonts w:hint="default" w:ascii="Times New Roman" w:hAnsi="Times New Roman" w:eastAsia="黑体" w:cs="Times New Roman"/>
                <w:color w:val="auto"/>
                <w:lang w:val="en-US" w:eastAsia="zh-CN"/>
              </w:rPr>
            </w:pPr>
            <w:r>
              <w:rPr>
                <w:rFonts w:hint="eastAsia" w:eastAsia="黑体" w:cs="Times New Roman"/>
                <w:color w:val="auto"/>
                <w:lang w:val="en-US" w:eastAsia="zh-CN"/>
              </w:rPr>
              <w:t>10.692</w:t>
            </w:r>
            <w:r>
              <w:rPr>
                <w:rFonts w:hint="default" w:ascii="Times New Roman" w:hAnsi="Times New Roman" w:eastAsia="黑体" w:cs="Times New Roman"/>
                <w:color w:val="auto"/>
                <w:lang w:val="en-US" w:eastAsia="zh-CN"/>
              </w:rPr>
              <w:t>t/a</w:t>
            </w:r>
          </w:p>
        </w:tc>
        <w:tc>
          <w:tcPr>
            <w:tcW w:w="1736" w:type="dxa"/>
            <w:vAlign w:val="center"/>
          </w:tcPr>
          <w:p w14:paraId="47D3097C">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w:t>
            </w:r>
          </w:p>
        </w:tc>
        <w:tc>
          <w:tcPr>
            <w:tcW w:w="1892" w:type="dxa"/>
            <w:shd w:val="clear" w:color="auto" w:fill="auto"/>
            <w:vAlign w:val="center"/>
          </w:tcPr>
          <w:p w14:paraId="79284D0E">
            <w:pPr>
              <w:pStyle w:val="36"/>
              <w:rPr>
                <w:rFonts w:hint="default" w:ascii="Times New Roman" w:hAnsi="Times New Roman" w:eastAsia="黑体" w:cs="Times New Roman"/>
                <w:color w:val="auto"/>
                <w:lang w:val="en-US" w:eastAsia="zh-CN"/>
              </w:rPr>
            </w:pPr>
            <w:r>
              <w:rPr>
                <w:rFonts w:hint="eastAsia" w:eastAsia="黑体" w:cs="Times New Roman"/>
                <w:color w:val="auto"/>
                <w:lang w:val="en-US" w:eastAsia="zh-CN"/>
              </w:rPr>
              <w:t>10.692</w:t>
            </w:r>
            <w:r>
              <w:rPr>
                <w:rFonts w:hint="default" w:ascii="Times New Roman" w:hAnsi="Times New Roman" w:eastAsia="黑体" w:cs="Times New Roman"/>
                <w:color w:val="auto"/>
                <w:lang w:val="en-US" w:eastAsia="zh-CN"/>
              </w:rPr>
              <w:t>t/a</w:t>
            </w:r>
          </w:p>
        </w:tc>
        <w:tc>
          <w:tcPr>
            <w:tcW w:w="1407" w:type="dxa"/>
            <w:shd w:val="clear" w:color="auto" w:fill="auto"/>
            <w:vAlign w:val="center"/>
          </w:tcPr>
          <w:p w14:paraId="360D1B1E">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w:t>
            </w:r>
            <w:r>
              <w:rPr>
                <w:rFonts w:hint="eastAsia" w:eastAsia="黑体" w:cs="Times New Roman"/>
                <w:color w:val="auto"/>
                <w:lang w:val="en-US" w:eastAsia="zh-CN"/>
              </w:rPr>
              <w:t>10.692</w:t>
            </w:r>
            <w:r>
              <w:rPr>
                <w:rFonts w:hint="default" w:ascii="Times New Roman" w:hAnsi="Times New Roman" w:eastAsia="黑体" w:cs="Times New Roman"/>
                <w:color w:val="auto"/>
                <w:lang w:val="en-US" w:eastAsia="zh-CN"/>
              </w:rPr>
              <w:t>t/a</w:t>
            </w:r>
          </w:p>
        </w:tc>
      </w:tr>
      <w:tr w14:paraId="1B984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41" w:type="dxa"/>
            <w:vMerge w:val="continue"/>
            <w:vAlign w:val="center"/>
          </w:tcPr>
          <w:p w14:paraId="1599191C">
            <w:pPr>
              <w:pStyle w:val="36"/>
              <w:rPr>
                <w:rFonts w:hint="default" w:ascii="Times New Roman" w:hAnsi="Times New Roman" w:eastAsia="黑体" w:cs="Times New Roman"/>
                <w:color w:val="auto"/>
              </w:rPr>
            </w:pPr>
          </w:p>
        </w:tc>
        <w:tc>
          <w:tcPr>
            <w:tcW w:w="1705" w:type="dxa"/>
            <w:shd w:val="clear" w:color="auto" w:fill="auto"/>
            <w:vAlign w:val="center"/>
          </w:tcPr>
          <w:p w14:paraId="2C66A3EE">
            <w:pPr>
              <w:pStyle w:val="36"/>
              <w:rPr>
                <w:rFonts w:hint="default" w:ascii="Times New Roman" w:hAnsi="Times New Roman" w:eastAsia="黑体" w:cs="Times New Roman"/>
                <w:color w:val="auto"/>
                <w:lang w:val="en-US" w:eastAsia="zh-CN"/>
              </w:rPr>
            </w:pPr>
            <w:r>
              <w:rPr>
                <w:rFonts w:hint="eastAsia" w:ascii="Times New Roman" w:hAnsi="Times New Roman" w:eastAsia="黑体" w:cs="Times New Roman"/>
                <w:color w:val="auto"/>
                <w:lang w:val="en-US" w:eastAsia="zh-CN"/>
              </w:rPr>
              <w:t>污水站污泥</w:t>
            </w:r>
          </w:p>
        </w:tc>
        <w:tc>
          <w:tcPr>
            <w:tcW w:w="1713" w:type="dxa"/>
            <w:vAlign w:val="center"/>
          </w:tcPr>
          <w:p w14:paraId="02C91C2A">
            <w:pPr>
              <w:pStyle w:val="36"/>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w:t>
            </w:r>
          </w:p>
        </w:tc>
        <w:tc>
          <w:tcPr>
            <w:tcW w:w="1224" w:type="dxa"/>
            <w:vAlign w:val="center"/>
          </w:tcPr>
          <w:p w14:paraId="6800EEFC">
            <w:pPr>
              <w:pStyle w:val="36"/>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w:t>
            </w:r>
          </w:p>
        </w:tc>
        <w:tc>
          <w:tcPr>
            <w:tcW w:w="1893" w:type="dxa"/>
            <w:vAlign w:val="center"/>
          </w:tcPr>
          <w:p w14:paraId="56A3E769">
            <w:pPr>
              <w:pStyle w:val="36"/>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w:t>
            </w:r>
          </w:p>
        </w:tc>
        <w:tc>
          <w:tcPr>
            <w:tcW w:w="1449" w:type="dxa"/>
            <w:shd w:val="clear" w:color="auto" w:fill="auto"/>
            <w:vAlign w:val="center"/>
          </w:tcPr>
          <w:p w14:paraId="6251BF7C">
            <w:pPr>
              <w:pStyle w:val="36"/>
              <w:rPr>
                <w:rFonts w:hint="default" w:ascii="Times New Roman" w:hAnsi="Times New Roman" w:eastAsia="黑体" w:cs="Times New Roman"/>
                <w:color w:val="auto"/>
                <w:lang w:val="en-US" w:eastAsia="zh-CN"/>
              </w:rPr>
            </w:pPr>
            <w:r>
              <w:rPr>
                <w:rFonts w:hint="eastAsia" w:eastAsia="黑体" w:cs="Times New Roman"/>
                <w:color w:val="auto"/>
                <w:lang w:val="en-US" w:eastAsia="zh-CN"/>
              </w:rPr>
              <w:t>5.98</w:t>
            </w:r>
            <w:r>
              <w:rPr>
                <w:rFonts w:hint="eastAsia" w:ascii="Times New Roman" w:hAnsi="Times New Roman" w:eastAsia="黑体" w:cs="Times New Roman"/>
                <w:color w:val="auto"/>
                <w:lang w:val="en-US" w:eastAsia="zh-CN"/>
              </w:rPr>
              <w:t>t/a</w:t>
            </w:r>
          </w:p>
        </w:tc>
        <w:tc>
          <w:tcPr>
            <w:tcW w:w="1736" w:type="dxa"/>
            <w:vAlign w:val="center"/>
          </w:tcPr>
          <w:p w14:paraId="672FA6A7">
            <w:pPr>
              <w:pStyle w:val="36"/>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w:t>
            </w:r>
          </w:p>
        </w:tc>
        <w:tc>
          <w:tcPr>
            <w:tcW w:w="1892" w:type="dxa"/>
            <w:shd w:val="clear" w:color="auto" w:fill="auto"/>
            <w:vAlign w:val="center"/>
          </w:tcPr>
          <w:p w14:paraId="5312654E">
            <w:pPr>
              <w:pStyle w:val="36"/>
              <w:rPr>
                <w:rFonts w:hint="default" w:ascii="Times New Roman" w:hAnsi="Times New Roman" w:eastAsia="黑体" w:cs="Times New Roman"/>
                <w:color w:val="auto"/>
                <w:lang w:val="en-US" w:eastAsia="zh-CN"/>
              </w:rPr>
            </w:pPr>
            <w:r>
              <w:rPr>
                <w:rFonts w:hint="eastAsia" w:eastAsia="黑体" w:cs="Times New Roman"/>
                <w:color w:val="auto"/>
                <w:lang w:val="en-US" w:eastAsia="zh-CN"/>
              </w:rPr>
              <w:t>5.98</w:t>
            </w:r>
            <w:r>
              <w:rPr>
                <w:rFonts w:hint="eastAsia" w:ascii="Times New Roman" w:hAnsi="Times New Roman" w:eastAsia="黑体" w:cs="Times New Roman"/>
                <w:color w:val="auto"/>
                <w:lang w:val="en-US" w:eastAsia="zh-CN"/>
              </w:rPr>
              <w:t>t/a</w:t>
            </w:r>
          </w:p>
        </w:tc>
        <w:tc>
          <w:tcPr>
            <w:tcW w:w="1407" w:type="dxa"/>
            <w:shd w:val="clear" w:color="auto" w:fill="auto"/>
            <w:vAlign w:val="center"/>
          </w:tcPr>
          <w:p w14:paraId="15A05033">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w:t>
            </w:r>
            <w:r>
              <w:rPr>
                <w:rFonts w:hint="eastAsia" w:eastAsia="黑体" w:cs="Times New Roman"/>
                <w:color w:val="auto"/>
                <w:lang w:val="en-US" w:eastAsia="zh-CN"/>
              </w:rPr>
              <w:t>5.98</w:t>
            </w:r>
            <w:r>
              <w:rPr>
                <w:rFonts w:hint="eastAsia" w:ascii="Times New Roman" w:hAnsi="Times New Roman" w:eastAsia="黑体" w:cs="Times New Roman"/>
                <w:color w:val="auto"/>
                <w:lang w:val="en-US" w:eastAsia="zh-CN"/>
              </w:rPr>
              <w:t>t/a</w:t>
            </w:r>
          </w:p>
        </w:tc>
      </w:tr>
      <w:tr w14:paraId="0D166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41" w:type="dxa"/>
            <w:vMerge w:val="continue"/>
          </w:tcPr>
          <w:p w14:paraId="14F1F954">
            <w:pPr>
              <w:pStyle w:val="36"/>
              <w:rPr>
                <w:rFonts w:hint="default" w:ascii="Times New Roman" w:hAnsi="Times New Roman" w:eastAsia="黑体" w:cs="Times New Roman"/>
                <w:color w:val="auto"/>
              </w:rPr>
            </w:pPr>
          </w:p>
        </w:tc>
        <w:tc>
          <w:tcPr>
            <w:tcW w:w="1705" w:type="dxa"/>
            <w:shd w:val="clear" w:color="auto" w:fill="auto"/>
            <w:vAlign w:val="center"/>
          </w:tcPr>
          <w:p w14:paraId="3548350A">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废反渗透膜</w:t>
            </w:r>
          </w:p>
        </w:tc>
        <w:tc>
          <w:tcPr>
            <w:tcW w:w="1713" w:type="dxa"/>
          </w:tcPr>
          <w:p w14:paraId="310BB258">
            <w:pPr>
              <w:pStyle w:val="36"/>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w:t>
            </w:r>
          </w:p>
        </w:tc>
        <w:tc>
          <w:tcPr>
            <w:tcW w:w="1224" w:type="dxa"/>
          </w:tcPr>
          <w:p w14:paraId="2D7BA8D4">
            <w:pPr>
              <w:pStyle w:val="36"/>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w:t>
            </w:r>
          </w:p>
        </w:tc>
        <w:tc>
          <w:tcPr>
            <w:tcW w:w="1893" w:type="dxa"/>
          </w:tcPr>
          <w:p w14:paraId="1554D6BA">
            <w:pPr>
              <w:pStyle w:val="36"/>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w:t>
            </w:r>
          </w:p>
        </w:tc>
        <w:tc>
          <w:tcPr>
            <w:tcW w:w="1449" w:type="dxa"/>
            <w:shd w:val="clear" w:color="auto" w:fill="auto"/>
            <w:vAlign w:val="center"/>
          </w:tcPr>
          <w:p w14:paraId="7CC8E718">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0.</w:t>
            </w:r>
            <w:r>
              <w:rPr>
                <w:rFonts w:hint="eastAsia" w:eastAsia="黑体" w:cs="Times New Roman"/>
                <w:color w:val="auto"/>
                <w:lang w:val="en-US" w:eastAsia="zh-CN"/>
              </w:rPr>
              <w:t>0</w:t>
            </w:r>
            <w:r>
              <w:rPr>
                <w:rFonts w:hint="eastAsia" w:ascii="Times New Roman" w:hAnsi="Times New Roman" w:eastAsia="黑体" w:cs="Times New Roman"/>
                <w:color w:val="auto"/>
                <w:lang w:val="en-US" w:eastAsia="zh-CN"/>
              </w:rPr>
              <w:t>8</w:t>
            </w:r>
            <w:r>
              <w:rPr>
                <w:rFonts w:hint="default" w:ascii="Times New Roman" w:hAnsi="Times New Roman" w:eastAsia="黑体" w:cs="Times New Roman"/>
                <w:color w:val="auto"/>
                <w:lang w:val="en-US" w:eastAsia="zh-CN"/>
              </w:rPr>
              <w:t>t/a</w:t>
            </w:r>
          </w:p>
        </w:tc>
        <w:tc>
          <w:tcPr>
            <w:tcW w:w="1736" w:type="dxa"/>
          </w:tcPr>
          <w:p w14:paraId="1D5645AA">
            <w:pPr>
              <w:pStyle w:val="36"/>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w:t>
            </w:r>
          </w:p>
        </w:tc>
        <w:tc>
          <w:tcPr>
            <w:tcW w:w="1892" w:type="dxa"/>
            <w:shd w:val="clear" w:color="auto" w:fill="auto"/>
            <w:vAlign w:val="center"/>
          </w:tcPr>
          <w:p w14:paraId="2602EE6F">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0.</w:t>
            </w:r>
            <w:r>
              <w:rPr>
                <w:rFonts w:hint="eastAsia" w:eastAsia="黑体" w:cs="Times New Roman"/>
                <w:color w:val="auto"/>
                <w:lang w:val="en-US" w:eastAsia="zh-CN"/>
              </w:rPr>
              <w:t>0</w:t>
            </w:r>
            <w:r>
              <w:rPr>
                <w:rFonts w:hint="eastAsia" w:ascii="Times New Roman" w:hAnsi="Times New Roman" w:eastAsia="黑体" w:cs="Times New Roman"/>
                <w:color w:val="auto"/>
                <w:lang w:val="en-US" w:eastAsia="zh-CN"/>
              </w:rPr>
              <w:t>8</w:t>
            </w:r>
            <w:r>
              <w:rPr>
                <w:rFonts w:hint="default" w:ascii="Times New Roman" w:hAnsi="Times New Roman" w:eastAsia="黑体" w:cs="Times New Roman"/>
                <w:color w:val="auto"/>
                <w:lang w:val="en-US" w:eastAsia="zh-CN"/>
              </w:rPr>
              <w:t>t/a</w:t>
            </w:r>
          </w:p>
        </w:tc>
        <w:tc>
          <w:tcPr>
            <w:tcW w:w="1407" w:type="dxa"/>
            <w:shd w:val="clear" w:color="auto" w:fill="auto"/>
            <w:vAlign w:val="center"/>
          </w:tcPr>
          <w:p w14:paraId="0AE1E69A">
            <w:pPr>
              <w:pStyle w:val="36"/>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+0.</w:t>
            </w:r>
            <w:r>
              <w:rPr>
                <w:rFonts w:hint="eastAsia" w:eastAsia="黑体" w:cs="Times New Roman"/>
                <w:color w:val="auto"/>
                <w:lang w:val="en-US" w:eastAsia="zh-CN"/>
              </w:rPr>
              <w:t>0</w:t>
            </w:r>
            <w:r>
              <w:rPr>
                <w:rFonts w:hint="eastAsia" w:ascii="Times New Roman" w:hAnsi="Times New Roman" w:eastAsia="黑体" w:cs="Times New Roman"/>
                <w:color w:val="auto"/>
                <w:lang w:val="en-US" w:eastAsia="zh-CN"/>
              </w:rPr>
              <w:t>8</w:t>
            </w:r>
            <w:r>
              <w:rPr>
                <w:rFonts w:hint="default" w:ascii="Times New Roman" w:hAnsi="Times New Roman" w:eastAsia="黑体" w:cs="Times New Roman"/>
                <w:color w:val="auto"/>
                <w:lang w:val="en-US" w:eastAsia="zh-CN"/>
              </w:rPr>
              <w:t>t/a</w:t>
            </w:r>
          </w:p>
        </w:tc>
      </w:tr>
    </w:tbl>
    <w:p w14:paraId="371E0FD9">
      <w:pPr>
        <w:spacing w:before="192" w:beforeLines="80" w:after="24"/>
        <w:jc w:val="left"/>
        <w:rPr>
          <w:rFonts w:hint="default" w:ascii="Times New Roman" w:hAnsi="Times New Roman" w:cs="Times New Roman"/>
          <w:color w:val="auto"/>
        </w:rPr>
      </w:pPr>
      <w:r>
        <w:rPr>
          <w:rFonts w:hint="default" w:ascii="Times New Roman" w:hAnsi="Times New Roman" w:cs="Times New Roman"/>
          <w:snapToGrid w:val="0"/>
          <w:color w:val="auto"/>
          <w:kern w:val="21"/>
          <w:szCs w:val="21"/>
        </w:rPr>
        <w:t>注：</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7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sectPr>
      <w:pgSz w:w="16838" w:h="11906" w:orient="landscape"/>
      <w:pgMar w:top="121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美黑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FC7AC">
    <w:pPr>
      <w:tabs>
        <w:tab w:val="center" w:pos="4153"/>
        <w:tab w:val="right"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D2EC8">
                          <w:pPr>
                            <w:snapToGrid w:val="0"/>
                            <w:rPr>
                              <w:rFonts w:hint="default" w:ascii="Times New Roman" w:hAnsi="Times New Roman" w:cs="Times New Roman"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rPr>
                            <w:t>1</w:t>
                          </w:r>
                          <w:r>
                            <w:rPr>
                              <w:rFonts w:hint="default" w:ascii="Times New Roman" w:hAnsi="Times New Roman" w:cs="Times New Roman"/>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C8D2EC8">
                    <w:pPr>
                      <w:snapToGrid w:val="0"/>
                      <w:rPr>
                        <w:rFonts w:hint="default" w:ascii="Times New Roman" w:hAnsi="Times New Roman" w:cs="Times New Roman"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rPr>
                      <w:t>1</w:t>
                    </w:r>
                    <w:r>
                      <w:rPr>
                        <w:rFonts w:hint="default" w:ascii="Times New Roman" w:hAnsi="Times New Roman" w:cs="Times New Roman"/>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20036">
    <w:pPr>
      <w:pBdr>
        <w:bottom w:val="none" w:color="auto" w:sz="0" w:space="1"/>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ind w:left="2310" w:firstLine="0"/>
      </w:pPr>
      <w:rPr>
        <w:rFonts w:hint="eastAsia"/>
      </w:rPr>
    </w:lvl>
    <w:lvl w:ilvl="1" w:tentative="0">
      <w:start w:val="1"/>
      <w:numFmt w:val="decimal"/>
      <w:lvlText w:val="%1.%2"/>
      <w:lvlJc w:val="left"/>
      <w:pPr>
        <w:ind w:left="576" w:hanging="576"/>
      </w:pPr>
      <w:rPr>
        <w:rFonts w:hint="eastAsia"/>
      </w:rPr>
    </w:lvl>
    <w:lvl w:ilvl="2" w:tentative="0">
      <w:start w:val="1"/>
      <w:numFmt w:val="decimal"/>
      <w:pStyle w:val="4"/>
      <w:lvlText w:val="%1.%2.%3"/>
      <w:lvlJc w:val="left"/>
      <w:pPr>
        <w:ind w:left="840" w:firstLine="0"/>
      </w:pPr>
      <w:rPr>
        <w:rFonts w:hint="eastAsia"/>
      </w:rPr>
    </w:lvl>
    <w:lvl w:ilvl="3" w:tentative="0">
      <w:start w:val="1"/>
      <w:numFmt w:val="decimal"/>
      <w:lvlText w:val="%1.%2.%3.%4"/>
      <w:lvlJc w:val="left"/>
      <w:pPr>
        <w:ind w:left="1844" w:hanging="184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281A18CB"/>
    <w:multiLevelType w:val="singleLevel"/>
    <w:tmpl w:val="281A18CB"/>
    <w:lvl w:ilvl="0" w:tentative="0">
      <w:start w:val="1"/>
      <w:numFmt w:val="decimal"/>
      <w:suff w:val="nothing"/>
      <w:lvlText w:val="（%1）"/>
      <w:lvlJc w:val="left"/>
    </w:lvl>
  </w:abstractNum>
  <w:abstractNum w:abstractNumId="2">
    <w:nsid w:val="36EA1031"/>
    <w:multiLevelType w:val="singleLevel"/>
    <w:tmpl w:val="36EA1031"/>
    <w:lvl w:ilvl="0" w:tentative="0">
      <w:start w:val="1"/>
      <w:numFmt w:val="decimal"/>
      <w:suff w:val="nothing"/>
      <w:lvlText w:val="%1）"/>
      <w:lvlJc w:val="left"/>
    </w:lvl>
  </w:abstractNum>
  <w:abstractNum w:abstractNumId="3">
    <w:nsid w:val="4C3D01B2"/>
    <w:multiLevelType w:val="multilevel"/>
    <w:tmpl w:val="4C3D01B2"/>
    <w:lvl w:ilvl="0" w:tentative="0">
      <w:start w:val="1"/>
      <w:numFmt w:val="decimal"/>
      <w:pStyle w:val="7"/>
      <w:lvlText w:val="表%1    "/>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jN2NjMDdjYjdmMjZhNzdjMjIxZDEwODc1YjdmYjMifQ=="/>
  </w:docVars>
  <w:rsids>
    <w:rsidRoot w:val="00172A27"/>
    <w:rsid w:val="00014C5E"/>
    <w:rsid w:val="00092509"/>
    <w:rsid w:val="000A125E"/>
    <w:rsid w:val="00110B1F"/>
    <w:rsid w:val="0011760F"/>
    <w:rsid w:val="00203EAD"/>
    <w:rsid w:val="002135FA"/>
    <w:rsid w:val="002262C5"/>
    <w:rsid w:val="00230C0D"/>
    <w:rsid w:val="002310B3"/>
    <w:rsid w:val="00264E69"/>
    <w:rsid w:val="00282748"/>
    <w:rsid w:val="002D387D"/>
    <w:rsid w:val="003035D8"/>
    <w:rsid w:val="00347F78"/>
    <w:rsid w:val="003C6858"/>
    <w:rsid w:val="004277C9"/>
    <w:rsid w:val="004562ED"/>
    <w:rsid w:val="004B6D0E"/>
    <w:rsid w:val="00503F24"/>
    <w:rsid w:val="00522102"/>
    <w:rsid w:val="005714C6"/>
    <w:rsid w:val="00591FD1"/>
    <w:rsid w:val="0059250F"/>
    <w:rsid w:val="005F1502"/>
    <w:rsid w:val="005F65CD"/>
    <w:rsid w:val="00651E9F"/>
    <w:rsid w:val="00695EB3"/>
    <w:rsid w:val="006B22F2"/>
    <w:rsid w:val="006E0994"/>
    <w:rsid w:val="00741F02"/>
    <w:rsid w:val="0076119F"/>
    <w:rsid w:val="007C76B5"/>
    <w:rsid w:val="008D7AD1"/>
    <w:rsid w:val="008E6906"/>
    <w:rsid w:val="008F1685"/>
    <w:rsid w:val="00901AAB"/>
    <w:rsid w:val="009049D8"/>
    <w:rsid w:val="00920750"/>
    <w:rsid w:val="009224FE"/>
    <w:rsid w:val="009E245B"/>
    <w:rsid w:val="00A566D5"/>
    <w:rsid w:val="00A63433"/>
    <w:rsid w:val="00AE6BFA"/>
    <w:rsid w:val="00B226B8"/>
    <w:rsid w:val="00B46918"/>
    <w:rsid w:val="00B561ED"/>
    <w:rsid w:val="00B756BE"/>
    <w:rsid w:val="00BE7797"/>
    <w:rsid w:val="00BF52BD"/>
    <w:rsid w:val="00C11035"/>
    <w:rsid w:val="00CE2046"/>
    <w:rsid w:val="00DA0ED4"/>
    <w:rsid w:val="00E46AD2"/>
    <w:rsid w:val="00EB1C0E"/>
    <w:rsid w:val="00F22F9D"/>
    <w:rsid w:val="00F63315"/>
    <w:rsid w:val="00FE4037"/>
    <w:rsid w:val="00FE7B94"/>
    <w:rsid w:val="01014F5C"/>
    <w:rsid w:val="01057174"/>
    <w:rsid w:val="01193F2D"/>
    <w:rsid w:val="011A41E3"/>
    <w:rsid w:val="011B7770"/>
    <w:rsid w:val="011E0236"/>
    <w:rsid w:val="012375FA"/>
    <w:rsid w:val="01237B15"/>
    <w:rsid w:val="012C2953"/>
    <w:rsid w:val="01323B0D"/>
    <w:rsid w:val="01326485"/>
    <w:rsid w:val="013712F7"/>
    <w:rsid w:val="013718A4"/>
    <w:rsid w:val="013B2AA6"/>
    <w:rsid w:val="013E61E2"/>
    <w:rsid w:val="014001AC"/>
    <w:rsid w:val="01435A46"/>
    <w:rsid w:val="014516EC"/>
    <w:rsid w:val="014A06FC"/>
    <w:rsid w:val="014D2850"/>
    <w:rsid w:val="014F2D82"/>
    <w:rsid w:val="015170E8"/>
    <w:rsid w:val="0155094A"/>
    <w:rsid w:val="016020EA"/>
    <w:rsid w:val="016B2A51"/>
    <w:rsid w:val="01701196"/>
    <w:rsid w:val="01722FC0"/>
    <w:rsid w:val="01724724"/>
    <w:rsid w:val="018A3C01"/>
    <w:rsid w:val="01917007"/>
    <w:rsid w:val="019422A6"/>
    <w:rsid w:val="019978BC"/>
    <w:rsid w:val="019D6547"/>
    <w:rsid w:val="019F5156"/>
    <w:rsid w:val="01A22C15"/>
    <w:rsid w:val="01A45A37"/>
    <w:rsid w:val="01A77A51"/>
    <w:rsid w:val="01A90283"/>
    <w:rsid w:val="01AC6FB6"/>
    <w:rsid w:val="01BA61B0"/>
    <w:rsid w:val="01BB3CD7"/>
    <w:rsid w:val="01C25065"/>
    <w:rsid w:val="01C2546F"/>
    <w:rsid w:val="01CB2142"/>
    <w:rsid w:val="01D31020"/>
    <w:rsid w:val="01D454A1"/>
    <w:rsid w:val="01D811B2"/>
    <w:rsid w:val="01DC58D9"/>
    <w:rsid w:val="01DE1773"/>
    <w:rsid w:val="01E274B5"/>
    <w:rsid w:val="01E42242"/>
    <w:rsid w:val="01E614B6"/>
    <w:rsid w:val="01E96CE6"/>
    <w:rsid w:val="01F3521E"/>
    <w:rsid w:val="01FB1AB1"/>
    <w:rsid w:val="0204567E"/>
    <w:rsid w:val="02055B31"/>
    <w:rsid w:val="02082863"/>
    <w:rsid w:val="02094A42"/>
    <w:rsid w:val="020F2CD1"/>
    <w:rsid w:val="02107908"/>
    <w:rsid w:val="02145195"/>
    <w:rsid w:val="02176388"/>
    <w:rsid w:val="02177B47"/>
    <w:rsid w:val="02186A33"/>
    <w:rsid w:val="02265DCB"/>
    <w:rsid w:val="022A1D69"/>
    <w:rsid w:val="02301941"/>
    <w:rsid w:val="02312192"/>
    <w:rsid w:val="0241377C"/>
    <w:rsid w:val="02424ABA"/>
    <w:rsid w:val="02440231"/>
    <w:rsid w:val="024751D3"/>
    <w:rsid w:val="02492A04"/>
    <w:rsid w:val="025259A7"/>
    <w:rsid w:val="02604429"/>
    <w:rsid w:val="0264055E"/>
    <w:rsid w:val="02660F29"/>
    <w:rsid w:val="02702D13"/>
    <w:rsid w:val="02741FD5"/>
    <w:rsid w:val="02786567"/>
    <w:rsid w:val="027F4D04"/>
    <w:rsid w:val="028C11CF"/>
    <w:rsid w:val="028D03A1"/>
    <w:rsid w:val="029218C3"/>
    <w:rsid w:val="02930A65"/>
    <w:rsid w:val="029F0F02"/>
    <w:rsid w:val="029F15DF"/>
    <w:rsid w:val="02A66735"/>
    <w:rsid w:val="02A94AF8"/>
    <w:rsid w:val="02AB3D4B"/>
    <w:rsid w:val="02AF4A2D"/>
    <w:rsid w:val="02BF15A4"/>
    <w:rsid w:val="02C1356F"/>
    <w:rsid w:val="02C375AD"/>
    <w:rsid w:val="02C428CD"/>
    <w:rsid w:val="02CC0385"/>
    <w:rsid w:val="02CE6102"/>
    <w:rsid w:val="02D00280"/>
    <w:rsid w:val="02DA1F3A"/>
    <w:rsid w:val="02E132C9"/>
    <w:rsid w:val="02F56D74"/>
    <w:rsid w:val="02F7681B"/>
    <w:rsid w:val="02F969D2"/>
    <w:rsid w:val="03046E4B"/>
    <w:rsid w:val="03082F4B"/>
    <w:rsid w:val="030A6CC4"/>
    <w:rsid w:val="031241B5"/>
    <w:rsid w:val="031306A7"/>
    <w:rsid w:val="03147A88"/>
    <w:rsid w:val="031A60A6"/>
    <w:rsid w:val="031C3C2F"/>
    <w:rsid w:val="031C44D1"/>
    <w:rsid w:val="03282BFF"/>
    <w:rsid w:val="032F04D8"/>
    <w:rsid w:val="03343D40"/>
    <w:rsid w:val="03351867"/>
    <w:rsid w:val="033778FB"/>
    <w:rsid w:val="03420A6B"/>
    <w:rsid w:val="03491008"/>
    <w:rsid w:val="03497C46"/>
    <w:rsid w:val="034C72DC"/>
    <w:rsid w:val="03592BEE"/>
    <w:rsid w:val="035C04E9"/>
    <w:rsid w:val="0362419F"/>
    <w:rsid w:val="03710AF1"/>
    <w:rsid w:val="0374413D"/>
    <w:rsid w:val="037F1340"/>
    <w:rsid w:val="03861635"/>
    <w:rsid w:val="038C56B8"/>
    <w:rsid w:val="039103D5"/>
    <w:rsid w:val="03914CEF"/>
    <w:rsid w:val="03936CB9"/>
    <w:rsid w:val="0394658D"/>
    <w:rsid w:val="03983B56"/>
    <w:rsid w:val="03990047"/>
    <w:rsid w:val="039A5E03"/>
    <w:rsid w:val="039E0B60"/>
    <w:rsid w:val="03A94D0E"/>
    <w:rsid w:val="03B0096E"/>
    <w:rsid w:val="03B0337D"/>
    <w:rsid w:val="03B42887"/>
    <w:rsid w:val="03C376DD"/>
    <w:rsid w:val="03CA0201"/>
    <w:rsid w:val="03CD1A9F"/>
    <w:rsid w:val="03CD478B"/>
    <w:rsid w:val="03D01C8C"/>
    <w:rsid w:val="03D21AD0"/>
    <w:rsid w:val="03DB41BC"/>
    <w:rsid w:val="03E33185"/>
    <w:rsid w:val="03ED524D"/>
    <w:rsid w:val="03EE0393"/>
    <w:rsid w:val="03F0508D"/>
    <w:rsid w:val="03F37758"/>
    <w:rsid w:val="03F446E0"/>
    <w:rsid w:val="03F97F3B"/>
    <w:rsid w:val="03FB2D62"/>
    <w:rsid w:val="0402799B"/>
    <w:rsid w:val="040B66DB"/>
    <w:rsid w:val="04117BDE"/>
    <w:rsid w:val="041F419E"/>
    <w:rsid w:val="042042C5"/>
    <w:rsid w:val="042C2C6A"/>
    <w:rsid w:val="04363AE8"/>
    <w:rsid w:val="04365896"/>
    <w:rsid w:val="043B4D09"/>
    <w:rsid w:val="043F1FEB"/>
    <w:rsid w:val="044004C3"/>
    <w:rsid w:val="04453F68"/>
    <w:rsid w:val="044627E1"/>
    <w:rsid w:val="04496A8E"/>
    <w:rsid w:val="044A038D"/>
    <w:rsid w:val="044A7539"/>
    <w:rsid w:val="044B5AAE"/>
    <w:rsid w:val="044E7DF7"/>
    <w:rsid w:val="0450016C"/>
    <w:rsid w:val="0458383D"/>
    <w:rsid w:val="0461460C"/>
    <w:rsid w:val="04697EC4"/>
    <w:rsid w:val="046C6B33"/>
    <w:rsid w:val="04763EE5"/>
    <w:rsid w:val="047A1C27"/>
    <w:rsid w:val="047D1E53"/>
    <w:rsid w:val="047F0FEB"/>
    <w:rsid w:val="047F61E6"/>
    <w:rsid w:val="04843482"/>
    <w:rsid w:val="048B7990"/>
    <w:rsid w:val="048C1478"/>
    <w:rsid w:val="049A27BF"/>
    <w:rsid w:val="04A24CDA"/>
    <w:rsid w:val="04A43D6F"/>
    <w:rsid w:val="04A647CA"/>
    <w:rsid w:val="04B21CD6"/>
    <w:rsid w:val="04B30F6A"/>
    <w:rsid w:val="04B36EE7"/>
    <w:rsid w:val="04B96380"/>
    <w:rsid w:val="04BA0275"/>
    <w:rsid w:val="04BB0EBF"/>
    <w:rsid w:val="04C0550B"/>
    <w:rsid w:val="04C50D94"/>
    <w:rsid w:val="04C52232"/>
    <w:rsid w:val="04C8555E"/>
    <w:rsid w:val="04C9217C"/>
    <w:rsid w:val="04C9495C"/>
    <w:rsid w:val="04CD7820"/>
    <w:rsid w:val="04CF497E"/>
    <w:rsid w:val="04D550AF"/>
    <w:rsid w:val="04D57392"/>
    <w:rsid w:val="04DD3F64"/>
    <w:rsid w:val="04E11CA6"/>
    <w:rsid w:val="04E30248"/>
    <w:rsid w:val="04E618E8"/>
    <w:rsid w:val="04E71B2F"/>
    <w:rsid w:val="04EA6DAD"/>
    <w:rsid w:val="04EC193B"/>
    <w:rsid w:val="04ED6300"/>
    <w:rsid w:val="04EE62EA"/>
    <w:rsid w:val="04F15B2F"/>
    <w:rsid w:val="04FC43EA"/>
    <w:rsid w:val="04FD0162"/>
    <w:rsid w:val="050576BB"/>
    <w:rsid w:val="05066015"/>
    <w:rsid w:val="050A3DE6"/>
    <w:rsid w:val="050D587E"/>
    <w:rsid w:val="05116DF0"/>
    <w:rsid w:val="05152BD1"/>
    <w:rsid w:val="05190837"/>
    <w:rsid w:val="051E25B2"/>
    <w:rsid w:val="05257C1F"/>
    <w:rsid w:val="052F2A11"/>
    <w:rsid w:val="052F2B61"/>
    <w:rsid w:val="052F7AD0"/>
    <w:rsid w:val="053B2285"/>
    <w:rsid w:val="053B3DCA"/>
    <w:rsid w:val="053E4A03"/>
    <w:rsid w:val="053F69CD"/>
    <w:rsid w:val="055535D9"/>
    <w:rsid w:val="0555754B"/>
    <w:rsid w:val="055A23D6"/>
    <w:rsid w:val="056347E2"/>
    <w:rsid w:val="056414F9"/>
    <w:rsid w:val="05670DD7"/>
    <w:rsid w:val="056B1CE5"/>
    <w:rsid w:val="0571302A"/>
    <w:rsid w:val="057B23D8"/>
    <w:rsid w:val="057E6625"/>
    <w:rsid w:val="058352E1"/>
    <w:rsid w:val="058B1E47"/>
    <w:rsid w:val="058C72E3"/>
    <w:rsid w:val="05940AC6"/>
    <w:rsid w:val="05942727"/>
    <w:rsid w:val="059473F4"/>
    <w:rsid w:val="0595521F"/>
    <w:rsid w:val="05955D32"/>
    <w:rsid w:val="05981687"/>
    <w:rsid w:val="059A4E83"/>
    <w:rsid w:val="059E1945"/>
    <w:rsid w:val="05A267AD"/>
    <w:rsid w:val="05A44A29"/>
    <w:rsid w:val="05B45706"/>
    <w:rsid w:val="05B75484"/>
    <w:rsid w:val="05BC001D"/>
    <w:rsid w:val="05C375FE"/>
    <w:rsid w:val="05C5565C"/>
    <w:rsid w:val="05C70E9C"/>
    <w:rsid w:val="05CA3A9E"/>
    <w:rsid w:val="05CB09A5"/>
    <w:rsid w:val="05CB200E"/>
    <w:rsid w:val="05CB4F40"/>
    <w:rsid w:val="05CD2B23"/>
    <w:rsid w:val="05CF58DB"/>
    <w:rsid w:val="05D07392"/>
    <w:rsid w:val="05D15877"/>
    <w:rsid w:val="05D435B9"/>
    <w:rsid w:val="05D709B3"/>
    <w:rsid w:val="05DC2518"/>
    <w:rsid w:val="05E76E48"/>
    <w:rsid w:val="05FE0636"/>
    <w:rsid w:val="060061D1"/>
    <w:rsid w:val="060B545A"/>
    <w:rsid w:val="060D6AB3"/>
    <w:rsid w:val="060E66A5"/>
    <w:rsid w:val="060F3DD1"/>
    <w:rsid w:val="06122BBE"/>
    <w:rsid w:val="06143B1D"/>
    <w:rsid w:val="0619721E"/>
    <w:rsid w:val="061A5470"/>
    <w:rsid w:val="062B2E63"/>
    <w:rsid w:val="062D5B19"/>
    <w:rsid w:val="063046E0"/>
    <w:rsid w:val="063B12F0"/>
    <w:rsid w:val="06456265"/>
    <w:rsid w:val="06462A74"/>
    <w:rsid w:val="06485F22"/>
    <w:rsid w:val="064B1091"/>
    <w:rsid w:val="064C1DDD"/>
    <w:rsid w:val="064F6B5F"/>
    <w:rsid w:val="065D2EBF"/>
    <w:rsid w:val="066325F0"/>
    <w:rsid w:val="066D2A23"/>
    <w:rsid w:val="06710E08"/>
    <w:rsid w:val="06744454"/>
    <w:rsid w:val="068468E3"/>
    <w:rsid w:val="068B5569"/>
    <w:rsid w:val="06916B65"/>
    <w:rsid w:val="06970C0E"/>
    <w:rsid w:val="069A1BB2"/>
    <w:rsid w:val="069B1F01"/>
    <w:rsid w:val="06AC18B0"/>
    <w:rsid w:val="06AE2364"/>
    <w:rsid w:val="06B41237"/>
    <w:rsid w:val="06B61922"/>
    <w:rsid w:val="06B942D3"/>
    <w:rsid w:val="06BB0AD8"/>
    <w:rsid w:val="06C4362D"/>
    <w:rsid w:val="06CB49BC"/>
    <w:rsid w:val="06CC1F12"/>
    <w:rsid w:val="06D02EE8"/>
    <w:rsid w:val="06D137F0"/>
    <w:rsid w:val="06DA73FF"/>
    <w:rsid w:val="06DE0198"/>
    <w:rsid w:val="06E00A24"/>
    <w:rsid w:val="06FC0CD8"/>
    <w:rsid w:val="0702057C"/>
    <w:rsid w:val="07055530"/>
    <w:rsid w:val="070C77C0"/>
    <w:rsid w:val="071438C4"/>
    <w:rsid w:val="071A324D"/>
    <w:rsid w:val="071E17A9"/>
    <w:rsid w:val="07212A05"/>
    <w:rsid w:val="07294838"/>
    <w:rsid w:val="07296C50"/>
    <w:rsid w:val="072D7776"/>
    <w:rsid w:val="07317B3B"/>
    <w:rsid w:val="07356C05"/>
    <w:rsid w:val="07382C02"/>
    <w:rsid w:val="073D799D"/>
    <w:rsid w:val="074A56A1"/>
    <w:rsid w:val="074D3623"/>
    <w:rsid w:val="0753050D"/>
    <w:rsid w:val="075A6F74"/>
    <w:rsid w:val="075A72E9"/>
    <w:rsid w:val="075B5D40"/>
    <w:rsid w:val="075C26B7"/>
    <w:rsid w:val="076444C8"/>
    <w:rsid w:val="07677921"/>
    <w:rsid w:val="07697D31"/>
    <w:rsid w:val="076B2A57"/>
    <w:rsid w:val="076B300D"/>
    <w:rsid w:val="077409A0"/>
    <w:rsid w:val="0778641C"/>
    <w:rsid w:val="077E18EF"/>
    <w:rsid w:val="077E37DC"/>
    <w:rsid w:val="07802192"/>
    <w:rsid w:val="07824CBE"/>
    <w:rsid w:val="078608E3"/>
    <w:rsid w:val="07893F2F"/>
    <w:rsid w:val="078A2181"/>
    <w:rsid w:val="078D44F4"/>
    <w:rsid w:val="079052BE"/>
    <w:rsid w:val="07943000"/>
    <w:rsid w:val="079B7C39"/>
    <w:rsid w:val="07A146CA"/>
    <w:rsid w:val="07A338CD"/>
    <w:rsid w:val="07A5520D"/>
    <w:rsid w:val="07A814F4"/>
    <w:rsid w:val="07AA053D"/>
    <w:rsid w:val="07AA57DD"/>
    <w:rsid w:val="07AE28E8"/>
    <w:rsid w:val="07AF1BE8"/>
    <w:rsid w:val="07AF71A9"/>
    <w:rsid w:val="07B23486"/>
    <w:rsid w:val="07BB54CA"/>
    <w:rsid w:val="07BC7C97"/>
    <w:rsid w:val="07C04060"/>
    <w:rsid w:val="07C766C7"/>
    <w:rsid w:val="07CC128D"/>
    <w:rsid w:val="07CD79EC"/>
    <w:rsid w:val="07D665CF"/>
    <w:rsid w:val="07D8383A"/>
    <w:rsid w:val="07D94EB6"/>
    <w:rsid w:val="07DE2AEA"/>
    <w:rsid w:val="07F70F7A"/>
    <w:rsid w:val="07F95559"/>
    <w:rsid w:val="07FE2EB9"/>
    <w:rsid w:val="08040FE8"/>
    <w:rsid w:val="08053F9B"/>
    <w:rsid w:val="08070D6B"/>
    <w:rsid w:val="080750A0"/>
    <w:rsid w:val="08091D23"/>
    <w:rsid w:val="080B5339"/>
    <w:rsid w:val="080C18D1"/>
    <w:rsid w:val="08141F0B"/>
    <w:rsid w:val="081B102B"/>
    <w:rsid w:val="081C4DA3"/>
    <w:rsid w:val="08230063"/>
    <w:rsid w:val="08246123"/>
    <w:rsid w:val="08251EAA"/>
    <w:rsid w:val="08286A6B"/>
    <w:rsid w:val="082D47BB"/>
    <w:rsid w:val="08303218"/>
    <w:rsid w:val="08326984"/>
    <w:rsid w:val="08332819"/>
    <w:rsid w:val="0836284F"/>
    <w:rsid w:val="083D0902"/>
    <w:rsid w:val="084123E1"/>
    <w:rsid w:val="08486B26"/>
    <w:rsid w:val="084D7332"/>
    <w:rsid w:val="08513601"/>
    <w:rsid w:val="08531FC8"/>
    <w:rsid w:val="08566507"/>
    <w:rsid w:val="085F51AF"/>
    <w:rsid w:val="086464E2"/>
    <w:rsid w:val="086535E0"/>
    <w:rsid w:val="08680D90"/>
    <w:rsid w:val="086A56CB"/>
    <w:rsid w:val="087218D5"/>
    <w:rsid w:val="0878755D"/>
    <w:rsid w:val="087D487B"/>
    <w:rsid w:val="088453A4"/>
    <w:rsid w:val="08850056"/>
    <w:rsid w:val="088E0A84"/>
    <w:rsid w:val="089010EE"/>
    <w:rsid w:val="089F1C5C"/>
    <w:rsid w:val="08A236A3"/>
    <w:rsid w:val="08A51845"/>
    <w:rsid w:val="08AC088C"/>
    <w:rsid w:val="08BB45BC"/>
    <w:rsid w:val="08BD20E2"/>
    <w:rsid w:val="08C459D3"/>
    <w:rsid w:val="08C711B3"/>
    <w:rsid w:val="08C741D3"/>
    <w:rsid w:val="08CA6B81"/>
    <w:rsid w:val="08D32A64"/>
    <w:rsid w:val="08DD2B3F"/>
    <w:rsid w:val="08DE0DC5"/>
    <w:rsid w:val="08E12275"/>
    <w:rsid w:val="08E72968"/>
    <w:rsid w:val="08E753B1"/>
    <w:rsid w:val="08E85DEF"/>
    <w:rsid w:val="08EA42E4"/>
    <w:rsid w:val="08ED67AF"/>
    <w:rsid w:val="08FD2989"/>
    <w:rsid w:val="09023F99"/>
    <w:rsid w:val="09027770"/>
    <w:rsid w:val="09077801"/>
    <w:rsid w:val="090B7C40"/>
    <w:rsid w:val="09103E9C"/>
    <w:rsid w:val="091361A6"/>
    <w:rsid w:val="091B273C"/>
    <w:rsid w:val="09216EEC"/>
    <w:rsid w:val="09231B28"/>
    <w:rsid w:val="09263BDF"/>
    <w:rsid w:val="092B6E53"/>
    <w:rsid w:val="092D6AE5"/>
    <w:rsid w:val="09347FCE"/>
    <w:rsid w:val="09373296"/>
    <w:rsid w:val="093C74AB"/>
    <w:rsid w:val="09417E11"/>
    <w:rsid w:val="094211D8"/>
    <w:rsid w:val="09455A5D"/>
    <w:rsid w:val="09521E8A"/>
    <w:rsid w:val="095E2B2E"/>
    <w:rsid w:val="095F2514"/>
    <w:rsid w:val="0967691C"/>
    <w:rsid w:val="096B1927"/>
    <w:rsid w:val="096D5BD4"/>
    <w:rsid w:val="0973126F"/>
    <w:rsid w:val="09750E93"/>
    <w:rsid w:val="097828BA"/>
    <w:rsid w:val="097B6AC4"/>
    <w:rsid w:val="097C7143"/>
    <w:rsid w:val="097D0C63"/>
    <w:rsid w:val="09835413"/>
    <w:rsid w:val="09875274"/>
    <w:rsid w:val="0992356F"/>
    <w:rsid w:val="099948FD"/>
    <w:rsid w:val="099A2423"/>
    <w:rsid w:val="099B3CAF"/>
    <w:rsid w:val="099D1666"/>
    <w:rsid w:val="09A339CE"/>
    <w:rsid w:val="09A33CE2"/>
    <w:rsid w:val="09A6526C"/>
    <w:rsid w:val="09AA056F"/>
    <w:rsid w:val="09AB02DC"/>
    <w:rsid w:val="09AC22E0"/>
    <w:rsid w:val="09AE649D"/>
    <w:rsid w:val="09B0524E"/>
    <w:rsid w:val="09B51E7E"/>
    <w:rsid w:val="09B57973"/>
    <w:rsid w:val="09C13E54"/>
    <w:rsid w:val="09C501D7"/>
    <w:rsid w:val="09C53944"/>
    <w:rsid w:val="09CA2D09"/>
    <w:rsid w:val="09CB452E"/>
    <w:rsid w:val="09D03131"/>
    <w:rsid w:val="09D05E45"/>
    <w:rsid w:val="09D26061"/>
    <w:rsid w:val="09D41DD9"/>
    <w:rsid w:val="09D92F4C"/>
    <w:rsid w:val="09E025A9"/>
    <w:rsid w:val="09E104A9"/>
    <w:rsid w:val="09E143EE"/>
    <w:rsid w:val="09E3201C"/>
    <w:rsid w:val="09E52130"/>
    <w:rsid w:val="09E72FC1"/>
    <w:rsid w:val="09EF276F"/>
    <w:rsid w:val="09F34F70"/>
    <w:rsid w:val="09F45FD8"/>
    <w:rsid w:val="09F6647B"/>
    <w:rsid w:val="09F76B21"/>
    <w:rsid w:val="09F77876"/>
    <w:rsid w:val="09FC68EC"/>
    <w:rsid w:val="0A0279ED"/>
    <w:rsid w:val="0A046F3F"/>
    <w:rsid w:val="0A0B6B03"/>
    <w:rsid w:val="0A0D52EB"/>
    <w:rsid w:val="0A1100B3"/>
    <w:rsid w:val="0A1B11A9"/>
    <w:rsid w:val="0A1C108A"/>
    <w:rsid w:val="0A1F1E0A"/>
    <w:rsid w:val="0A2148F3"/>
    <w:rsid w:val="0A236CE1"/>
    <w:rsid w:val="0A2B6797"/>
    <w:rsid w:val="0A3208AE"/>
    <w:rsid w:val="0A321C6A"/>
    <w:rsid w:val="0A325215"/>
    <w:rsid w:val="0A356932"/>
    <w:rsid w:val="0A36464E"/>
    <w:rsid w:val="0A383501"/>
    <w:rsid w:val="0A434869"/>
    <w:rsid w:val="0A4457FF"/>
    <w:rsid w:val="0A481E7F"/>
    <w:rsid w:val="0A4B32CA"/>
    <w:rsid w:val="0A56459C"/>
    <w:rsid w:val="0A682522"/>
    <w:rsid w:val="0A6B26CC"/>
    <w:rsid w:val="0A6F1B02"/>
    <w:rsid w:val="0A72767F"/>
    <w:rsid w:val="0A790E28"/>
    <w:rsid w:val="0A7D7D7B"/>
    <w:rsid w:val="0A8068F0"/>
    <w:rsid w:val="0A820208"/>
    <w:rsid w:val="0A841810"/>
    <w:rsid w:val="0A84735B"/>
    <w:rsid w:val="0A8A693C"/>
    <w:rsid w:val="0A8A6C91"/>
    <w:rsid w:val="0A8A7798"/>
    <w:rsid w:val="0A9357F1"/>
    <w:rsid w:val="0A97793B"/>
    <w:rsid w:val="0AAE3A5B"/>
    <w:rsid w:val="0AAE43D8"/>
    <w:rsid w:val="0AB4205F"/>
    <w:rsid w:val="0AB45767"/>
    <w:rsid w:val="0ABB6AF5"/>
    <w:rsid w:val="0AC2288A"/>
    <w:rsid w:val="0AC415D9"/>
    <w:rsid w:val="0AC4193E"/>
    <w:rsid w:val="0AC43BFC"/>
    <w:rsid w:val="0AC57974"/>
    <w:rsid w:val="0ACD5E27"/>
    <w:rsid w:val="0AD566D3"/>
    <w:rsid w:val="0AD96F7B"/>
    <w:rsid w:val="0AE62DA3"/>
    <w:rsid w:val="0AEA6071"/>
    <w:rsid w:val="0AF9779D"/>
    <w:rsid w:val="0AFB41CE"/>
    <w:rsid w:val="0AFC3BDC"/>
    <w:rsid w:val="0AFE651C"/>
    <w:rsid w:val="0AFF518E"/>
    <w:rsid w:val="0B052BDE"/>
    <w:rsid w:val="0B0F5D3B"/>
    <w:rsid w:val="0B136931"/>
    <w:rsid w:val="0B1D6D46"/>
    <w:rsid w:val="0B206916"/>
    <w:rsid w:val="0B212DFC"/>
    <w:rsid w:val="0B317F29"/>
    <w:rsid w:val="0B350656"/>
    <w:rsid w:val="0B35198D"/>
    <w:rsid w:val="0B3C7FE9"/>
    <w:rsid w:val="0B3E2135"/>
    <w:rsid w:val="0B3E4C4E"/>
    <w:rsid w:val="0B3F5046"/>
    <w:rsid w:val="0B440899"/>
    <w:rsid w:val="0B465055"/>
    <w:rsid w:val="0B4A2DBE"/>
    <w:rsid w:val="0B4A6B8A"/>
    <w:rsid w:val="0B4E1717"/>
    <w:rsid w:val="0B4E5BBB"/>
    <w:rsid w:val="0B521208"/>
    <w:rsid w:val="0B5A00BC"/>
    <w:rsid w:val="0B5A5CF8"/>
    <w:rsid w:val="0B5E107B"/>
    <w:rsid w:val="0B614734"/>
    <w:rsid w:val="0B6147F1"/>
    <w:rsid w:val="0B6A62B6"/>
    <w:rsid w:val="0B6D4294"/>
    <w:rsid w:val="0B710A8D"/>
    <w:rsid w:val="0B726E36"/>
    <w:rsid w:val="0B7324B0"/>
    <w:rsid w:val="0B762D09"/>
    <w:rsid w:val="0B783689"/>
    <w:rsid w:val="0B7B00B5"/>
    <w:rsid w:val="0B84338B"/>
    <w:rsid w:val="0B916D6B"/>
    <w:rsid w:val="0B932092"/>
    <w:rsid w:val="0B9B21E1"/>
    <w:rsid w:val="0B9E269F"/>
    <w:rsid w:val="0B9E444D"/>
    <w:rsid w:val="0BA47589"/>
    <w:rsid w:val="0BAB25EC"/>
    <w:rsid w:val="0BAE49FE"/>
    <w:rsid w:val="0BB74E0C"/>
    <w:rsid w:val="0BB87FCF"/>
    <w:rsid w:val="0BBC66C4"/>
    <w:rsid w:val="0BBD7A70"/>
    <w:rsid w:val="0BBE064B"/>
    <w:rsid w:val="0BC018A5"/>
    <w:rsid w:val="0BC609E0"/>
    <w:rsid w:val="0BC90036"/>
    <w:rsid w:val="0BCA3CD2"/>
    <w:rsid w:val="0BCB7656"/>
    <w:rsid w:val="0BCE35C0"/>
    <w:rsid w:val="0BCE4A0E"/>
    <w:rsid w:val="0BD41C0F"/>
    <w:rsid w:val="0BD93EAE"/>
    <w:rsid w:val="0BDF15F4"/>
    <w:rsid w:val="0BEB6356"/>
    <w:rsid w:val="0BF4406D"/>
    <w:rsid w:val="0BF7590B"/>
    <w:rsid w:val="0C0100BF"/>
    <w:rsid w:val="0C066C97"/>
    <w:rsid w:val="0C083FBC"/>
    <w:rsid w:val="0C085D6A"/>
    <w:rsid w:val="0C10317E"/>
    <w:rsid w:val="0C10764C"/>
    <w:rsid w:val="0C147706"/>
    <w:rsid w:val="0C162B21"/>
    <w:rsid w:val="0C1630E2"/>
    <w:rsid w:val="0C176F65"/>
    <w:rsid w:val="0C1A24D7"/>
    <w:rsid w:val="0C200009"/>
    <w:rsid w:val="0C2506CA"/>
    <w:rsid w:val="0C2C0AC3"/>
    <w:rsid w:val="0C2D039F"/>
    <w:rsid w:val="0C2D5832"/>
    <w:rsid w:val="0C365D6A"/>
    <w:rsid w:val="0C3A0B94"/>
    <w:rsid w:val="0C41302A"/>
    <w:rsid w:val="0C42169F"/>
    <w:rsid w:val="0C47120D"/>
    <w:rsid w:val="0C4831C3"/>
    <w:rsid w:val="0C485287"/>
    <w:rsid w:val="0C4A0131"/>
    <w:rsid w:val="0C4D7C21"/>
    <w:rsid w:val="0C51675E"/>
    <w:rsid w:val="0C566AD6"/>
    <w:rsid w:val="0C57301A"/>
    <w:rsid w:val="0C66032E"/>
    <w:rsid w:val="0C7B02EA"/>
    <w:rsid w:val="0C7C5B04"/>
    <w:rsid w:val="0C7C7517"/>
    <w:rsid w:val="0C823689"/>
    <w:rsid w:val="0C832D84"/>
    <w:rsid w:val="0C8E1793"/>
    <w:rsid w:val="0C940598"/>
    <w:rsid w:val="0C9A1376"/>
    <w:rsid w:val="0C9F09ED"/>
    <w:rsid w:val="0C9F2323"/>
    <w:rsid w:val="0CA05FA3"/>
    <w:rsid w:val="0CA469F1"/>
    <w:rsid w:val="0CA72910"/>
    <w:rsid w:val="0CA84E57"/>
    <w:rsid w:val="0CB6663D"/>
    <w:rsid w:val="0CBC7EA2"/>
    <w:rsid w:val="0CBD4DA7"/>
    <w:rsid w:val="0CBF4989"/>
    <w:rsid w:val="0CC24F9E"/>
    <w:rsid w:val="0CC57246"/>
    <w:rsid w:val="0CCA690C"/>
    <w:rsid w:val="0CCA74C4"/>
    <w:rsid w:val="0CCE233D"/>
    <w:rsid w:val="0CD43E9E"/>
    <w:rsid w:val="0CD619C5"/>
    <w:rsid w:val="0CD67C16"/>
    <w:rsid w:val="0CE0514F"/>
    <w:rsid w:val="0CE22587"/>
    <w:rsid w:val="0CE23EB3"/>
    <w:rsid w:val="0CE542F2"/>
    <w:rsid w:val="0CEA2E2A"/>
    <w:rsid w:val="0CED6017"/>
    <w:rsid w:val="0CF74A71"/>
    <w:rsid w:val="0CFD1647"/>
    <w:rsid w:val="0D036938"/>
    <w:rsid w:val="0D0876E5"/>
    <w:rsid w:val="0D0B75CA"/>
    <w:rsid w:val="0D0C0CD0"/>
    <w:rsid w:val="0D10538F"/>
    <w:rsid w:val="0D116EA1"/>
    <w:rsid w:val="0D18022F"/>
    <w:rsid w:val="0D1D5845"/>
    <w:rsid w:val="0D1F4A80"/>
    <w:rsid w:val="0D284EF9"/>
    <w:rsid w:val="0D2A6FAF"/>
    <w:rsid w:val="0D2B1186"/>
    <w:rsid w:val="0D2D7F9F"/>
    <w:rsid w:val="0D314E4D"/>
    <w:rsid w:val="0D321838"/>
    <w:rsid w:val="0D350669"/>
    <w:rsid w:val="0D3A5F0B"/>
    <w:rsid w:val="0D411534"/>
    <w:rsid w:val="0D4C7ED9"/>
    <w:rsid w:val="0D4D7A26"/>
    <w:rsid w:val="0D4E1EA3"/>
    <w:rsid w:val="0D4E2CC0"/>
    <w:rsid w:val="0D4E59FF"/>
    <w:rsid w:val="0D5079C9"/>
    <w:rsid w:val="0D554C18"/>
    <w:rsid w:val="0D570D57"/>
    <w:rsid w:val="0D57166D"/>
    <w:rsid w:val="0D636046"/>
    <w:rsid w:val="0D693D1F"/>
    <w:rsid w:val="0D6956B4"/>
    <w:rsid w:val="0D6B4803"/>
    <w:rsid w:val="0D6E1E21"/>
    <w:rsid w:val="0D6F3AB9"/>
    <w:rsid w:val="0D70427B"/>
    <w:rsid w:val="0D743CF7"/>
    <w:rsid w:val="0D8238FA"/>
    <w:rsid w:val="0D8942DF"/>
    <w:rsid w:val="0D906017"/>
    <w:rsid w:val="0D927FE1"/>
    <w:rsid w:val="0D9411D9"/>
    <w:rsid w:val="0D9553DC"/>
    <w:rsid w:val="0D960694"/>
    <w:rsid w:val="0D9D0734"/>
    <w:rsid w:val="0D9E6A58"/>
    <w:rsid w:val="0D9F25E8"/>
    <w:rsid w:val="0DAD3310"/>
    <w:rsid w:val="0DAE46EF"/>
    <w:rsid w:val="0DB84644"/>
    <w:rsid w:val="0DB922A6"/>
    <w:rsid w:val="0DB9259F"/>
    <w:rsid w:val="0DD13476"/>
    <w:rsid w:val="0DE243B4"/>
    <w:rsid w:val="0DED4182"/>
    <w:rsid w:val="0DF04372"/>
    <w:rsid w:val="0DFA5B87"/>
    <w:rsid w:val="0DFA7935"/>
    <w:rsid w:val="0DFE22CC"/>
    <w:rsid w:val="0E042561"/>
    <w:rsid w:val="0E0B0BB4"/>
    <w:rsid w:val="0E0D3624"/>
    <w:rsid w:val="0E192E34"/>
    <w:rsid w:val="0E1D6AA2"/>
    <w:rsid w:val="0E211365"/>
    <w:rsid w:val="0E261EA7"/>
    <w:rsid w:val="0E2726DF"/>
    <w:rsid w:val="0E2A13FA"/>
    <w:rsid w:val="0E2A646C"/>
    <w:rsid w:val="0E316732"/>
    <w:rsid w:val="0E341099"/>
    <w:rsid w:val="0E3419BC"/>
    <w:rsid w:val="0E3A606D"/>
    <w:rsid w:val="0E460DCC"/>
    <w:rsid w:val="0E490DB4"/>
    <w:rsid w:val="0E53132A"/>
    <w:rsid w:val="0E5546F5"/>
    <w:rsid w:val="0E63197E"/>
    <w:rsid w:val="0E6405A4"/>
    <w:rsid w:val="0E6574A4"/>
    <w:rsid w:val="0E6675C7"/>
    <w:rsid w:val="0E6928DE"/>
    <w:rsid w:val="0E73598D"/>
    <w:rsid w:val="0E772D33"/>
    <w:rsid w:val="0E7B0A75"/>
    <w:rsid w:val="0E7E2314"/>
    <w:rsid w:val="0E815C25"/>
    <w:rsid w:val="0E820056"/>
    <w:rsid w:val="0E83792A"/>
    <w:rsid w:val="0E837B27"/>
    <w:rsid w:val="0E844F69"/>
    <w:rsid w:val="0E8842FB"/>
    <w:rsid w:val="0E8A6911"/>
    <w:rsid w:val="0E916BE0"/>
    <w:rsid w:val="0E9246A1"/>
    <w:rsid w:val="0E9644C4"/>
    <w:rsid w:val="0E9E1E21"/>
    <w:rsid w:val="0EA24979"/>
    <w:rsid w:val="0EA37E27"/>
    <w:rsid w:val="0EA47316"/>
    <w:rsid w:val="0EA61976"/>
    <w:rsid w:val="0EAB510A"/>
    <w:rsid w:val="0EAB5E82"/>
    <w:rsid w:val="0EB6767C"/>
    <w:rsid w:val="0EBB3F3B"/>
    <w:rsid w:val="0EC07A7C"/>
    <w:rsid w:val="0EC11B75"/>
    <w:rsid w:val="0EC16A7D"/>
    <w:rsid w:val="0EC476FC"/>
    <w:rsid w:val="0ED151FD"/>
    <w:rsid w:val="0ED40186"/>
    <w:rsid w:val="0ED4339F"/>
    <w:rsid w:val="0ED55496"/>
    <w:rsid w:val="0ED65CAC"/>
    <w:rsid w:val="0ED714D2"/>
    <w:rsid w:val="0ED8798F"/>
    <w:rsid w:val="0EDB33DC"/>
    <w:rsid w:val="0EDD2542"/>
    <w:rsid w:val="0EE15159"/>
    <w:rsid w:val="0EE92073"/>
    <w:rsid w:val="0EEA79A9"/>
    <w:rsid w:val="0EED4877"/>
    <w:rsid w:val="0EF31861"/>
    <w:rsid w:val="0EF41B3F"/>
    <w:rsid w:val="0EF44F87"/>
    <w:rsid w:val="0EF57844"/>
    <w:rsid w:val="0EF57979"/>
    <w:rsid w:val="0EFA7935"/>
    <w:rsid w:val="0F0640BB"/>
    <w:rsid w:val="0F066611"/>
    <w:rsid w:val="0F1D0068"/>
    <w:rsid w:val="0F1F58A5"/>
    <w:rsid w:val="0F264E85"/>
    <w:rsid w:val="0F2C1D70"/>
    <w:rsid w:val="0F2D372D"/>
    <w:rsid w:val="0F365551"/>
    <w:rsid w:val="0F3E0ECD"/>
    <w:rsid w:val="0F461DCB"/>
    <w:rsid w:val="0F4D0E58"/>
    <w:rsid w:val="0F4D3847"/>
    <w:rsid w:val="0F4F32A8"/>
    <w:rsid w:val="0F5048B5"/>
    <w:rsid w:val="0F525E77"/>
    <w:rsid w:val="0F5E7AE0"/>
    <w:rsid w:val="0F5F3741"/>
    <w:rsid w:val="0F662F28"/>
    <w:rsid w:val="0F687C1E"/>
    <w:rsid w:val="0F6E182C"/>
    <w:rsid w:val="0F782910"/>
    <w:rsid w:val="0F7D5DEB"/>
    <w:rsid w:val="0F827BE2"/>
    <w:rsid w:val="0F890F70"/>
    <w:rsid w:val="0F976562"/>
    <w:rsid w:val="0F977868"/>
    <w:rsid w:val="0F984777"/>
    <w:rsid w:val="0FA205D6"/>
    <w:rsid w:val="0FA60380"/>
    <w:rsid w:val="0FAB538A"/>
    <w:rsid w:val="0FB715F7"/>
    <w:rsid w:val="0FBB1BAE"/>
    <w:rsid w:val="0FC36311"/>
    <w:rsid w:val="0FC64CA9"/>
    <w:rsid w:val="0FD75FE1"/>
    <w:rsid w:val="0FD77F2D"/>
    <w:rsid w:val="0FE06FB9"/>
    <w:rsid w:val="0FE35BF0"/>
    <w:rsid w:val="0FEB39D9"/>
    <w:rsid w:val="0FEB5D18"/>
    <w:rsid w:val="0FF6686E"/>
    <w:rsid w:val="0FF90E71"/>
    <w:rsid w:val="0FFB001E"/>
    <w:rsid w:val="10064D2C"/>
    <w:rsid w:val="10125F23"/>
    <w:rsid w:val="101271B8"/>
    <w:rsid w:val="101A606C"/>
    <w:rsid w:val="101F49C6"/>
    <w:rsid w:val="10281861"/>
    <w:rsid w:val="10282537"/>
    <w:rsid w:val="102F1E22"/>
    <w:rsid w:val="102F56D0"/>
    <w:rsid w:val="10304BDC"/>
    <w:rsid w:val="10320848"/>
    <w:rsid w:val="10342379"/>
    <w:rsid w:val="103A4E38"/>
    <w:rsid w:val="103C2486"/>
    <w:rsid w:val="103F3D25"/>
    <w:rsid w:val="10407B0F"/>
    <w:rsid w:val="10441748"/>
    <w:rsid w:val="10477A72"/>
    <w:rsid w:val="104D01F0"/>
    <w:rsid w:val="104D4D34"/>
    <w:rsid w:val="104E5D16"/>
    <w:rsid w:val="105000C4"/>
    <w:rsid w:val="105135A2"/>
    <w:rsid w:val="1051513E"/>
    <w:rsid w:val="10557CD8"/>
    <w:rsid w:val="105A2522"/>
    <w:rsid w:val="10637F6E"/>
    <w:rsid w:val="10645539"/>
    <w:rsid w:val="10686A6D"/>
    <w:rsid w:val="10724875"/>
    <w:rsid w:val="107A0D22"/>
    <w:rsid w:val="107B7C29"/>
    <w:rsid w:val="108262D7"/>
    <w:rsid w:val="10882B3A"/>
    <w:rsid w:val="1090632E"/>
    <w:rsid w:val="10914580"/>
    <w:rsid w:val="10986233"/>
    <w:rsid w:val="109B71AD"/>
    <w:rsid w:val="109E6EDD"/>
    <w:rsid w:val="10A938A7"/>
    <w:rsid w:val="10B4026F"/>
    <w:rsid w:val="10B44D4D"/>
    <w:rsid w:val="10B65430"/>
    <w:rsid w:val="10B7109A"/>
    <w:rsid w:val="10BD512E"/>
    <w:rsid w:val="10C04E65"/>
    <w:rsid w:val="10C34956"/>
    <w:rsid w:val="10C53C26"/>
    <w:rsid w:val="10C556CD"/>
    <w:rsid w:val="10CF50A9"/>
    <w:rsid w:val="10CF5719"/>
    <w:rsid w:val="10D95F27"/>
    <w:rsid w:val="10DB3A4D"/>
    <w:rsid w:val="10DD2AC5"/>
    <w:rsid w:val="10DD5148"/>
    <w:rsid w:val="10E06914"/>
    <w:rsid w:val="10E0769B"/>
    <w:rsid w:val="10E30B54"/>
    <w:rsid w:val="10E349B1"/>
    <w:rsid w:val="10E723F2"/>
    <w:rsid w:val="10EA1EE2"/>
    <w:rsid w:val="10ED0688"/>
    <w:rsid w:val="10FF3260"/>
    <w:rsid w:val="10FF5405"/>
    <w:rsid w:val="11044F3A"/>
    <w:rsid w:val="11067ED4"/>
    <w:rsid w:val="110C0E89"/>
    <w:rsid w:val="111013A9"/>
    <w:rsid w:val="1110172A"/>
    <w:rsid w:val="11132FC4"/>
    <w:rsid w:val="11135C47"/>
    <w:rsid w:val="11164A85"/>
    <w:rsid w:val="111B7F32"/>
    <w:rsid w:val="111C3109"/>
    <w:rsid w:val="11290C5D"/>
    <w:rsid w:val="112C473D"/>
    <w:rsid w:val="112F2873"/>
    <w:rsid w:val="11301FEB"/>
    <w:rsid w:val="113118BF"/>
    <w:rsid w:val="113373E5"/>
    <w:rsid w:val="11513D10"/>
    <w:rsid w:val="11514157"/>
    <w:rsid w:val="115831AE"/>
    <w:rsid w:val="115F642C"/>
    <w:rsid w:val="11607A29"/>
    <w:rsid w:val="11625F1D"/>
    <w:rsid w:val="116D3B4A"/>
    <w:rsid w:val="117471A7"/>
    <w:rsid w:val="117537E2"/>
    <w:rsid w:val="11763667"/>
    <w:rsid w:val="118E5061"/>
    <w:rsid w:val="119118A5"/>
    <w:rsid w:val="1191440D"/>
    <w:rsid w:val="119A7DD1"/>
    <w:rsid w:val="119D0D03"/>
    <w:rsid w:val="11B00A36"/>
    <w:rsid w:val="11B72056"/>
    <w:rsid w:val="11B83956"/>
    <w:rsid w:val="11BE1538"/>
    <w:rsid w:val="11BE3BF4"/>
    <w:rsid w:val="11C07657"/>
    <w:rsid w:val="11C13D97"/>
    <w:rsid w:val="11C534E0"/>
    <w:rsid w:val="11CE710E"/>
    <w:rsid w:val="11D32976"/>
    <w:rsid w:val="11D96C80"/>
    <w:rsid w:val="11F30F1D"/>
    <w:rsid w:val="11F748B7"/>
    <w:rsid w:val="11FA794E"/>
    <w:rsid w:val="11FD5C0A"/>
    <w:rsid w:val="11FE3B17"/>
    <w:rsid w:val="120B0362"/>
    <w:rsid w:val="120D005F"/>
    <w:rsid w:val="121742B4"/>
    <w:rsid w:val="1219437D"/>
    <w:rsid w:val="1221719C"/>
    <w:rsid w:val="122704B0"/>
    <w:rsid w:val="12285FBF"/>
    <w:rsid w:val="122D652B"/>
    <w:rsid w:val="12333415"/>
    <w:rsid w:val="123A0C48"/>
    <w:rsid w:val="123E7225"/>
    <w:rsid w:val="124110E1"/>
    <w:rsid w:val="12427186"/>
    <w:rsid w:val="12445007"/>
    <w:rsid w:val="1255011E"/>
    <w:rsid w:val="12597017"/>
    <w:rsid w:val="125A4E46"/>
    <w:rsid w:val="12695089"/>
    <w:rsid w:val="126975A0"/>
    <w:rsid w:val="1277783F"/>
    <w:rsid w:val="1281432E"/>
    <w:rsid w:val="128C4449"/>
    <w:rsid w:val="12957723"/>
    <w:rsid w:val="129735A4"/>
    <w:rsid w:val="12985FA5"/>
    <w:rsid w:val="12992CDA"/>
    <w:rsid w:val="129D39BE"/>
    <w:rsid w:val="129E4C6C"/>
    <w:rsid w:val="12A02541"/>
    <w:rsid w:val="12A10CC7"/>
    <w:rsid w:val="12A24DAF"/>
    <w:rsid w:val="12A367ED"/>
    <w:rsid w:val="12B42F95"/>
    <w:rsid w:val="12B5625B"/>
    <w:rsid w:val="12B66520"/>
    <w:rsid w:val="12B75DF4"/>
    <w:rsid w:val="12BC340B"/>
    <w:rsid w:val="12C02EFB"/>
    <w:rsid w:val="12C30C3D"/>
    <w:rsid w:val="12C624DB"/>
    <w:rsid w:val="12C7714E"/>
    <w:rsid w:val="12C963EE"/>
    <w:rsid w:val="12CF313E"/>
    <w:rsid w:val="12D46AE1"/>
    <w:rsid w:val="12D5269E"/>
    <w:rsid w:val="12D70244"/>
    <w:rsid w:val="12DB7DFA"/>
    <w:rsid w:val="12DD085D"/>
    <w:rsid w:val="12DD2B6C"/>
    <w:rsid w:val="12E36361"/>
    <w:rsid w:val="12E737D2"/>
    <w:rsid w:val="12E83424"/>
    <w:rsid w:val="12EB3CF0"/>
    <w:rsid w:val="12F12B40"/>
    <w:rsid w:val="12F46064"/>
    <w:rsid w:val="130375D8"/>
    <w:rsid w:val="13056BF2"/>
    <w:rsid w:val="130744C6"/>
    <w:rsid w:val="131730B2"/>
    <w:rsid w:val="131E2317"/>
    <w:rsid w:val="131F6AEA"/>
    <w:rsid w:val="13201278"/>
    <w:rsid w:val="13227736"/>
    <w:rsid w:val="13237CDB"/>
    <w:rsid w:val="13297E28"/>
    <w:rsid w:val="132C0590"/>
    <w:rsid w:val="13315BA7"/>
    <w:rsid w:val="13342B8E"/>
    <w:rsid w:val="13364099"/>
    <w:rsid w:val="13390EFF"/>
    <w:rsid w:val="133C4CAD"/>
    <w:rsid w:val="133F4CBD"/>
    <w:rsid w:val="13461CF1"/>
    <w:rsid w:val="134A0A16"/>
    <w:rsid w:val="134C478E"/>
    <w:rsid w:val="13502C93"/>
    <w:rsid w:val="135950FD"/>
    <w:rsid w:val="135E5F5F"/>
    <w:rsid w:val="135F74B9"/>
    <w:rsid w:val="1367781A"/>
    <w:rsid w:val="136E4C07"/>
    <w:rsid w:val="13710699"/>
    <w:rsid w:val="138D1E1E"/>
    <w:rsid w:val="138F0B1F"/>
    <w:rsid w:val="138F25B2"/>
    <w:rsid w:val="139B74C4"/>
    <w:rsid w:val="139D4FEA"/>
    <w:rsid w:val="13A81EE6"/>
    <w:rsid w:val="13AF2B94"/>
    <w:rsid w:val="13B02CF6"/>
    <w:rsid w:val="13B920F8"/>
    <w:rsid w:val="13BC259B"/>
    <w:rsid w:val="13BC503F"/>
    <w:rsid w:val="13BF5955"/>
    <w:rsid w:val="13C273B6"/>
    <w:rsid w:val="13C92338"/>
    <w:rsid w:val="13CC04BA"/>
    <w:rsid w:val="13D370BA"/>
    <w:rsid w:val="13D76DEF"/>
    <w:rsid w:val="13DA3D65"/>
    <w:rsid w:val="13DA62F1"/>
    <w:rsid w:val="13DC51B5"/>
    <w:rsid w:val="13DC7D05"/>
    <w:rsid w:val="13DD5D2E"/>
    <w:rsid w:val="13DF4874"/>
    <w:rsid w:val="13E0446A"/>
    <w:rsid w:val="13EA612F"/>
    <w:rsid w:val="13F217DA"/>
    <w:rsid w:val="13FC61B5"/>
    <w:rsid w:val="1400256B"/>
    <w:rsid w:val="14050BC1"/>
    <w:rsid w:val="140A00DE"/>
    <w:rsid w:val="14131750"/>
    <w:rsid w:val="141F5645"/>
    <w:rsid w:val="142904AD"/>
    <w:rsid w:val="142B2B7A"/>
    <w:rsid w:val="142C68BF"/>
    <w:rsid w:val="14374A54"/>
    <w:rsid w:val="14392BFE"/>
    <w:rsid w:val="143D1CBD"/>
    <w:rsid w:val="14413794"/>
    <w:rsid w:val="14425B91"/>
    <w:rsid w:val="1444512C"/>
    <w:rsid w:val="14477CF7"/>
    <w:rsid w:val="144D4C62"/>
    <w:rsid w:val="144E3E57"/>
    <w:rsid w:val="14505B1B"/>
    <w:rsid w:val="1457163D"/>
    <w:rsid w:val="145F1E31"/>
    <w:rsid w:val="14663141"/>
    <w:rsid w:val="146830E8"/>
    <w:rsid w:val="14740441"/>
    <w:rsid w:val="14785D3D"/>
    <w:rsid w:val="147E12BF"/>
    <w:rsid w:val="148211CE"/>
    <w:rsid w:val="148260E0"/>
    <w:rsid w:val="14863FC2"/>
    <w:rsid w:val="148C6DF2"/>
    <w:rsid w:val="1493561C"/>
    <w:rsid w:val="1495273A"/>
    <w:rsid w:val="149764A7"/>
    <w:rsid w:val="149A777C"/>
    <w:rsid w:val="149D0FE6"/>
    <w:rsid w:val="149F2647"/>
    <w:rsid w:val="14A01236"/>
    <w:rsid w:val="14A2149A"/>
    <w:rsid w:val="14A32C86"/>
    <w:rsid w:val="14AB1989"/>
    <w:rsid w:val="14AE1A02"/>
    <w:rsid w:val="14AF69D7"/>
    <w:rsid w:val="14B168C6"/>
    <w:rsid w:val="14BC76F2"/>
    <w:rsid w:val="14BD6B39"/>
    <w:rsid w:val="14BD7BF1"/>
    <w:rsid w:val="14BE4809"/>
    <w:rsid w:val="14CC7E79"/>
    <w:rsid w:val="14D423B8"/>
    <w:rsid w:val="14D46689"/>
    <w:rsid w:val="14DF1632"/>
    <w:rsid w:val="14E9560E"/>
    <w:rsid w:val="14F055ED"/>
    <w:rsid w:val="15116D32"/>
    <w:rsid w:val="151A266A"/>
    <w:rsid w:val="1522182F"/>
    <w:rsid w:val="152D1ACD"/>
    <w:rsid w:val="152F6A7F"/>
    <w:rsid w:val="1534197E"/>
    <w:rsid w:val="1538246B"/>
    <w:rsid w:val="153D55E1"/>
    <w:rsid w:val="15403BB8"/>
    <w:rsid w:val="15406575"/>
    <w:rsid w:val="15466521"/>
    <w:rsid w:val="154716B1"/>
    <w:rsid w:val="15485429"/>
    <w:rsid w:val="154A0262"/>
    <w:rsid w:val="155030AD"/>
    <w:rsid w:val="1556476C"/>
    <w:rsid w:val="1559286E"/>
    <w:rsid w:val="155C4D84"/>
    <w:rsid w:val="156379C1"/>
    <w:rsid w:val="1565422D"/>
    <w:rsid w:val="15695ACC"/>
    <w:rsid w:val="156A2E54"/>
    <w:rsid w:val="156C736A"/>
    <w:rsid w:val="15765819"/>
    <w:rsid w:val="15774A19"/>
    <w:rsid w:val="1578002F"/>
    <w:rsid w:val="15783F61"/>
    <w:rsid w:val="15804BC3"/>
    <w:rsid w:val="15841D83"/>
    <w:rsid w:val="15885A8E"/>
    <w:rsid w:val="15913ACC"/>
    <w:rsid w:val="159631F3"/>
    <w:rsid w:val="159A4B8D"/>
    <w:rsid w:val="159E1014"/>
    <w:rsid w:val="159E329B"/>
    <w:rsid w:val="15A22918"/>
    <w:rsid w:val="15A4276C"/>
    <w:rsid w:val="15A72150"/>
    <w:rsid w:val="15AC7766"/>
    <w:rsid w:val="15AE7982"/>
    <w:rsid w:val="15B24987"/>
    <w:rsid w:val="15B4048A"/>
    <w:rsid w:val="15B42C3C"/>
    <w:rsid w:val="15C37260"/>
    <w:rsid w:val="15D54968"/>
    <w:rsid w:val="15DA62DC"/>
    <w:rsid w:val="15DB70F3"/>
    <w:rsid w:val="15E07FEC"/>
    <w:rsid w:val="15E61BB7"/>
    <w:rsid w:val="15FE207E"/>
    <w:rsid w:val="15FF37CF"/>
    <w:rsid w:val="16005D04"/>
    <w:rsid w:val="16021A7C"/>
    <w:rsid w:val="16084E81"/>
    <w:rsid w:val="16107C38"/>
    <w:rsid w:val="161B115F"/>
    <w:rsid w:val="16220143"/>
    <w:rsid w:val="1628310B"/>
    <w:rsid w:val="16314B52"/>
    <w:rsid w:val="16377978"/>
    <w:rsid w:val="163836F0"/>
    <w:rsid w:val="1638724C"/>
    <w:rsid w:val="16392032"/>
    <w:rsid w:val="16411302"/>
    <w:rsid w:val="164627B4"/>
    <w:rsid w:val="16473933"/>
    <w:rsid w:val="164D634E"/>
    <w:rsid w:val="165622DC"/>
    <w:rsid w:val="16570ADF"/>
    <w:rsid w:val="165D4F05"/>
    <w:rsid w:val="16623510"/>
    <w:rsid w:val="166335AB"/>
    <w:rsid w:val="1666130B"/>
    <w:rsid w:val="166A6665"/>
    <w:rsid w:val="166C0646"/>
    <w:rsid w:val="167219DA"/>
    <w:rsid w:val="16771340"/>
    <w:rsid w:val="167A42F0"/>
    <w:rsid w:val="167F2107"/>
    <w:rsid w:val="16846935"/>
    <w:rsid w:val="16867DC2"/>
    <w:rsid w:val="168A294D"/>
    <w:rsid w:val="168A7C78"/>
    <w:rsid w:val="168D0580"/>
    <w:rsid w:val="168E3F83"/>
    <w:rsid w:val="1692064E"/>
    <w:rsid w:val="16920AEF"/>
    <w:rsid w:val="1699771B"/>
    <w:rsid w:val="169F5419"/>
    <w:rsid w:val="16A50D85"/>
    <w:rsid w:val="16A71FAA"/>
    <w:rsid w:val="16A837CE"/>
    <w:rsid w:val="16AF0B8A"/>
    <w:rsid w:val="16B25C31"/>
    <w:rsid w:val="16B729CE"/>
    <w:rsid w:val="16B817B9"/>
    <w:rsid w:val="16C46D32"/>
    <w:rsid w:val="16CB00C0"/>
    <w:rsid w:val="16CD0DCE"/>
    <w:rsid w:val="16D2144F"/>
    <w:rsid w:val="16DD3F47"/>
    <w:rsid w:val="16DE4778"/>
    <w:rsid w:val="16F06D6A"/>
    <w:rsid w:val="16F2086F"/>
    <w:rsid w:val="16F413C5"/>
    <w:rsid w:val="16F44350"/>
    <w:rsid w:val="16F508E4"/>
    <w:rsid w:val="16F72126"/>
    <w:rsid w:val="16FB6562"/>
    <w:rsid w:val="17007229"/>
    <w:rsid w:val="1702204C"/>
    <w:rsid w:val="170313BC"/>
    <w:rsid w:val="17081314"/>
    <w:rsid w:val="170A68E7"/>
    <w:rsid w:val="172103F9"/>
    <w:rsid w:val="172120CD"/>
    <w:rsid w:val="1726179A"/>
    <w:rsid w:val="1731642A"/>
    <w:rsid w:val="174557C0"/>
    <w:rsid w:val="174E4464"/>
    <w:rsid w:val="175042BA"/>
    <w:rsid w:val="17512B2B"/>
    <w:rsid w:val="17516817"/>
    <w:rsid w:val="17543034"/>
    <w:rsid w:val="17597500"/>
    <w:rsid w:val="175D340E"/>
    <w:rsid w:val="17625BEE"/>
    <w:rsid w:val="176B3BE3"/>
    <w:rsid w:val="176D11A6"/>
    <w:rsid w:val="17710C68"/>
    <w:rsid w:val="177154E2"/>
    <w:rsid w:val="1775117A"/>
    <w:rsid w:val="177F0424"/>
    <w:rsid w:val="1781216D"/>
    <w:rsid w:val="17890489"/>
    <w:rsid w:val="178A5323"/>
    <w:rsid w:val="178C697B"/>
    <w:rsid w:val="17920BDE"/>
    <w:rsid w:val="17942BA8"/>
    <w:rsid w:val="17A131B9"/>
    <w:rsid w:val="17B172B6"/>
    <w:rsid w:val="17B84AE8"/>
    <w:rsid w:val="17BD3EAD"/>
    <w:rsid w:val="17C23271"/>
    <w:rsid w:val="17C3523B"/>
    <w:rsid w:val="17C376B4"/>
    <w:rsid w:val="17CB6220"/>
    <w:rsid w:val="17D1085A"/>
    <w:rsid w:val="17D66D1D"/>
    <w:rsid w:val="17DF06D4"/>
    <w:rsid w:val="17DF2075"/>
    <w:rsid w:val="17E17FE9"/>
    <w:rsid w:val="17E8145F"/>
    <w:rsid w:val="17F2100D"/>
    <w:rsid w:val="17FE2CE6"/>
    <w:rsid w:val="180513B0"/>
    <w:rsid w:val="18083ED0"/>
    <w:rsid w:val="181234F2"/>
    <w:rsid w:val="18224B85"/>
    <w:rsid w:val="18285828"/>
    <w:rsid w:val="182B02BD"/>
    <w:rsid w:val="182B52BA"/>
    <w:rsid w:val="182C174C"/>
    <w:rsid w:val="183028D1"/>
    <w:rsid w:val="18357EE7"/>
    <w:rsid w:val="18414ADE"/>
    <w:rsid w:val="18417CC9"/>
    <w:rsid w:val="1843460E"/>
    <w:rsid w:val="184C68FC"/>
    <w:rsid w:val="18502413"/>
    <w:rsid w:val="185A5BA0"/>
    <w:rsid w:val="185B309D"/>
    <w:rsid w:val="185F31B6"/>
    <w:rsid w:val="186B3909"/>
    <w:rsid w:val="1888583F"/>
    <w:rsid w:val="188B20DC"/>
    <w:rsid w:val="188C76BF"/>
    <w:rsid w:val="18932E60"/>
    <w:rsid w:val="18934C0E"/>
    <w:rsid w:val="1894436B"/>
    <w:rsid w:val="1895504A"/>
    <w:rsid w:val="18961983"/>
    <w:rsid w:val="189D5A8C"/>
    <w:rsid w:val="189D6891"/>
    <w:rsid w:val="18A30483"/>
    <w:rsid w:val="18A63E73"/>
    <w:rsid w:val="18A87B81"/>
    <w:rsid w:val="18B057C0"/>
    <w:rsid w:val="18B453E2"/>
    <w:rsid w:val="18B52219"/>
    <w:rsid w:val="18B54CDF"/>
    <w:rsid w:val="18B963AB"/>
    <w:rsid w:val="18C37BA4"/>
    <w:rsid w:val="18C66D91"/>
    <w:rsid w:val="18CF10B4"/>
    <w:rsid w:val="18D02242"/>
    <w:rsid w:val="18D22E3A"/>
    <w:rsid w:val="18D25E6F"/>
    <w:rsid w:val="18DC31EC"/>
    <w:rsid w:val="18DC4807"/>
    <w:rsid w:val="18DE3CE7"/>
    <w:rsid w:val="18DE3FB4"/>
    <w:rsid w:val="18E0412C"/>
    <w:rsid w:val="18E13BCB"/>
    <w:rsid w:val="18E40A0F"/>
    <w:rsid w:val="18F102FE"/>
    <w:rsid w:val="18F13AEA"/>
    <w:rsid w:val="18F27B86"/>
    <w:rsid w:val="18F64841"/>
    <w:rsid w:val="18F6639C"/>
    <w:rsid w:val="19041E9F"/>
    <w:rsid w:val="190B6E9A"/>
    <w:rsid w:val="191141E8"/>
    <w:rsid w:val="1913181C"/>
    <w:rsid w:val="19337B2B"/>
    <w:rsid w:val="19415F0A"/>
    <w:rsid w:val="194254D8"/>
    <w:rsid w:val="194C7707"/>
    <w:rsid w:val="195E1C23"/>
    <w:rsid w:val="195E7D3D"/>
    <w:rsid w:val="195F2D42"/>
    <w:rsid w:val="195F72B2"/>
    <w:rsid w:val="196E1A15"/>
    <w:rsid w:val="19721C44"/>
    <w:rsid w:val="197665C1"/>
    <w:rsid w:val="197A329C"/>
    <w:rsid w:val="197B66E9"/>
    <w:rsid w:val="197D3EF2"/>
    <w:rsid w:val="197E766C"/>
    <w:rsid w:val="19837530"/>
    <w:rsid w:val="19881614"/>
    <w:rsid w:val="198D3D53"/>
    <w:rsid w:val="1997232C"/>
    <w:rsid w:val="19A5109C"/>
    <w:rsid w:val="19A9532E"/>
    <w:rsid w:val="19AF5A77"/>
    <w:rsid w:val="19AF7D80"/>
    <w:rsid w:val="19B17A41"/>
    <w:rsid w:val="19BB3CB4"/>
    <w:rsid w:val="19BD77FC"/>
    <w:rsid w:val="19CA0B03"/>
    <w:rsid w:val="19D61256"/>
    <w:rsid w:val="19E420CD"/>
    <w:rsid w:val="19E74A44"/>
    <w:rsid w:val="19E85A1A"/>
    <w:rsid w:val="19EE4C89"/>
    <w:rsid w:val="19F04203"/>
    <w:rsid w:val="19F17E3E"/>
    <w:rsid w:val="19FB651C"/>
    <w:rsid w:val="1A0570F0"/>
    <w:rsid w:val="1A0D279E"/>
    <w:rsid w:val="1A0F2BCC"/>
    <w:rsid w:val="1A122B47"/>
    <w:rsid w:val="1A182F69"/>
    <w:rsid w:val="1A1B4EBB"/>
    <w:rsid w:val="1A1C5075"/>
    <w:rsid w:val="1A2A6185"/>
    <w:rsid w:val="1A2E11D7"/>
    <w:rsid w:val="1A2F4D1B"/>
    <w:rsid w:val="1A386C4C"/>
    <w:rsid w:val="1A3A4FC9"/>
    <w:rsid w:val="1A3D32B3"/>
    <w:rsid w:val="1A3F3E93"/>
    <w:rsid w:val="1A4531F8"/>
    <w:rsid w:val="1A4625ED"/>
    <w:rsid w:val="1A48412A"/>
    <w:rsid w:val="1A4E5290"/>
    <w:rsid w:val="1A5249BA"/>
    <w:rsid w:val="1A530AF8"/>
    <w:rsid w:val="1A5959E3"/>
    <w:rsid w:val="1A5A1E87"/>
    <w:rsid w:val="1A5A3C35"/>
    <w:rsid w:val="1A5B5BFF"/>
    <w:rsid w:val="1A5C01E0"/>
    <w:rsid w:val="1A604837"/>
    <w:rsid w:val="1A664DC3"/>
    <w:rsid w:val="1A6C11C2"/>
    <w:rsid w:val="1A703458"/>
    <w:rsid w:val="1A757E02"/>
    <w:rsid w:val="1A813960"/>
    <w:rsid w:val="1A8266DF"/>
    <w:rsid w:val="1A862C7C"/>
    <w:rsid w:val="1A92107B"/>
    <w:rsid w:val="1A974E89"/>
    <w:rsid w:val="1A986951"/>
    <w:rsid w:val="1A9C5AFC"/>
    <w:rsid w:val="1AAC3F7F"/>
    <w:rsid w:val="1AAE3F81"/>
    <w:rsid w:val="1AB05F4B"/>
    <w:rsid w:val="1AB16F31"/>
    <w:rsid w:val="1AB377E9"/>
    <w:rsid w:val="1AB62E35"/>
    <w:rsid w:val="1AB7076C"/>
    <w:rsid w:val="1ABB0522"/>
    <w:rsid w:val="1ABD5BE7"/>
    <w:rsid w:val="1AC4362E"/>
    <w:rsid w:val="1AC91C0B"/>
    <w:rsid w:val="1ACB068F"/>
    <w:rsid w:val="1AD02CD6"/>
    <w:rsid w:val="1AD92AA5"/>
    <w:rsid w:val="1ADB3896"/>
    <w:rsid w:val="1ADC452D"/>
    <w:rsid w:val="1ADF1D26"/>
    <w:rsid w:val="1AE95846"/>
    <w:rsid w:val="1AEB0D31"/>
    <w:rsid w:val="1AEE2DD0"/>
    <w:rsid w:val="1AF523CC"/>
    <w:rsid w:val="1AF5361F"/>
    <w:rsid w:val="1AF55F60"/>
    <w:rsid w:val="1AF916A0"/>
    <w:rsid w:val="1B012800"/>
    <w:rsid w:val="1B026ED6"/>
    <w:rsid w:val="1B036DFA"/>
    <w:rsid w:val="1B093FDC"/>
    <w:rsid w:val="1B0C544C"/>
    <w:rsid w:val="1B1069E9"/>
    <w:rsid w:val="1B17546B"/>
    <w:rsid w:val="1B18528F"/>
    <w:rsid w:val="1B1E192E"/>
    <w:rsid w:val="1B1F6B94"/>
    <w:rsid w:val="1B23288B"/>
    <w:rsid w:val="1B285AE1"/>
    <w:rsid w:val="1B2B55D1"/>
    <w:rsid w:val="1B2E6E70"/>
    <w:rsid w:val="1B340AB0"/>
    <w:rsid w:val="1B3803F8"/>
    <w:rsid w:val="1B397CEE"/>
    <w:rsid w:val="1B3C09BF"/>
    <w:rsid w:val="1B416BA3"/>
    <w:rsid w:val="1B423293"/>
    <w:rsid w:val="1B43670A"/>
    <w:rsid w:val="1B450B5F"/>
    <w:rsid w:val="1B4956E5"/>
    <w:rsid w:val="1B4D19EC"/>
    <w:rsid w:val="1B4D379A"/>
    <w:rsid w:val="1B5124A1"/>
    <w:rsid w:val="1B59435A"/>
    <w:rsid w:val="1B5E0178"/>
    <w:rsid w:val="1B5F5722"/>
    <w:rsid w:val="1B60236D"/>
    <w:rsid w:val="1B6625A1"/>
    <w:rsid w:val="1B684130"/>
    <w:rsid w:val="1B7167A4"/>
    <w:rsid w:val="1B741A26"/>
    <w:rsid w:val="1B7927E1"/>
    <w:rsid w:val="1B7C407F"/>
    <w:rsid w:val="1B7E7DF7"/>
    <w:rsid w:val="1B805339"/>
    <w:rsid w:val="1B8172EE"/>
    <w:rsid w:val="1B8A6345"/>
    <w:rsid w:val="1B8B656C"/>
    <w:rsid w:val="1B9D40D1"/>
    <w:rsid w:val="1BA62EAA"/>
    <w:rsid w:val="1BB35E28"/>
    <w:rsid w:val="1BB37AC0"/>
    <w:rsid w:val="1BBC26CD"/>
    <w:rsid w:val="1BC021BE"/>
    <w:rsid w:val="1BC27584"/>
    <w:rsid w:val="1BC41878"/>
    <w:rsid w:val="1BC82648"/>
    <w:rsid w:val="1BC90B87"/>
    <w:rsid w:val="1BD17F27"/>
    <w:rsid w:val="1BD35389"/>
    <w:rsid w:val="1BD94CCD"/>
    <w:rsid w:val="1BDC5CB4"/>
    <w:rsid w:val="1BDF5BE0"/>
    <w:rsid w:val="1BE0016A"/>
    <w:rsid w:val="1BE13EE2"/>
    <w:rsid w:val="1BE20386"/>
    <w:rsid w:val="1BE35F0A"/>
    <w:rsid w:val="1BEE6D2B"/>
    <w:rsid w:val="1BF754B3"/>
    <w:rsid w:val="1BF91AFB"/>
    <w:rsid w:val="1BFB4FA4"/>
    <w:rsid w:val="1BFD0D1C"/>
    <w:rsid w:val="1BFD77CB"/>
    <w:rsid w:val="1C071B9A"/>
    <w:rsid w:val="1C085913"/>
    <w:rsid w:val="1C0C5403"/>
    <w:rsid w:val="1C370772"/>
    <w:rsid w:val="1C391FD8"/>
    <w:rsid w:val="1C3E1334"/>
    <w:rsid w:val="1C3E4489"/>
    <w:rsid w:val="1C425E51"/>
    <w:rsid w:val="1C4306F9"/>
    <w:rsid w:val="1C4C07BD"/>
    <w:rsid w:val="1C6233BA"/>
    <w:rsid w:val="1C632B49"/>
    <w:rsid w:val="1C6C0148"/>
    <w:rsid w:val="1C6F4663"/>
    <w:rsid w:val="1C7474C0"/>
    <w:rsid w:val="1C7C57A0"/>
    <w:rsid w:val="1C803BB3"/>
    <w:rsid w:val="1C891F4B"/>
    <w:rsid w:val="1C8B24D4"/>
    <w:rsid w:val="1C8F46C9"/>
    <w:rsid w:val="1C9D24FF"/>
    <w:rsid w:val="1CA74B09"/>
    <w:rsid w:val="1CA93AB0"/>
    <w:rsid w:val="1CAD0DB7"/>
    <w:rsid w:val="1CB05780"/>
    <w:rsid w:val="1CBC0158"/>
    <w:rsid w:val="1CBC684A"/>
    <w:rsid w:val="1CBD7ECD"/>
    <w:rsid w:val="1CC638A1"/>
    <w:rsid w:val="1CCC4E5C"/>
    <w:rsid w:val="1CCE090A"/>
    <w:rsid w:val="1CD74790"/>
    <w:rsid w:val="1CDD0FBF"/>
    <w:rsid w:val="1CDD6D9F"/>
    <w:rsid w:val="1CE0008F"/>
    <w:rsid w:val="1CEC2E4C"/>
    <w:rsid w:val="1CF466F3"/>
    <w:rsid w:val="1CF61426"/>
    <w:rsid w:val="1CFC0F25"/>
    <w:rsid w:val="1CFF6D16"/>
    <w:rsid w:val="1D023725"/>
    <w:rsid w:val="1D0D4B7B"/>
    <w:rsid w:val="1D0F39CD"/>
    <w:rsid w:val="1D17405F"/>
    <w:rsid w:val="1D1C1A71"/>
    <w:rsid w:val="1D1C3416"/>
    <w:rsid w:val="1D21555D"/>
    <w:rsid w:val="1D263F4E"/>
    <w:rsid w:val="1D311C58"/>
    <w:rsid w:val="1D313D02"/>
    <w:rsid w:val="1D3969DD"/>
    <w:rsid w:val="1D5763BC"/>
    <w:rsid w:val="1D59519E"/>
    <w:rsid w:val="1D5A03F0"/>
    <w:rsid w:val="1D5B5F0F"/>
    <w:rsid w:val="1D5F5A06"/>
    <w:rsid w:val="1D633B40"/>
    <w:rsid w:val="1D6355A9"/>
    <w:rsid w:val="1D674C5E"/>
    <w:rsid w:val="1D6D1B2D"/>
    <w:rsid w:val="1D6D5A61"/>
    <w:rsid w:val="1D6E1997"/>
    <w:rsid w:val="1D7F04F5"/>
    <w:rsid w:val="1D84721B"/>
    <w:rsid w:val="1D89436F"/>
    <w:rsid w:val="1D8A3C97"/>
    <w:rsid w:val="1D8E63AF"/>
    <w:rsid w:val="1D9A4E1B"/>
    <w:rsid w:val="1D9C3D07"/>
    <w:rsid w:val="1DA03098"/>
    <w:rsid w:val="1DA40E72"/>
    <w:rsid w:val="1DAB7053"/>
    <w:rsid w:val="1DAC0C4B"/>
    <w:rsid w:val="1DAD0520"/>
    <w:rsid w:val="1DAD49C3"/>
    <w:rsid w:val="1DAD6772"/>
    <w:rsid w:val="1DB5255C"/>
    <w:rsid w:val="1DB95116"/>
    <w:rsid w:val="1DBD123F"/>
    <w:rsid w:val="1DBD4D84"/>
    <w:rsid w:val="1DCB40CF"/>
    <w:rsid w:val="1DCE22F6"/>
    <w:rsid w:val="1DCE5EAE"/>
    <w:rsid w:val="1DD01BCE"/>
    <w:rsid w:val="1DD737EE"/>
    <w:rsid w:val="1DE008F5"/>
    <w:rsid w:val="1DE657E0"/>
    <w:rsid w:val="1DED3012"/>
    <w:rsid w:val="1DF223D6"/>
    <w:rsid w:val="1DF56E17"/>
    <w:rsid w:val="1DF63C75"/>
    <w:rsid w:val="1E037B7D"/>
    <w:rsid w:val="1E0647F8"/>
    <w:rsid w:val="1E0665D7"/>
    <w:rsid w:val="1E075E82"/>
    <w:rsid w:val="1E206BE0"/>
    <w:rsid w:val="1E261A92"/>
    <w:rsid w:val="1E303C99"/>
    <w:rsid w:val="1E312EFF"/>
    <w:rsid w:val="1E366767"/>
    <w:rsid w:val="1E384A67"/>
    <w:rsid w:val="1E3B2B02"/>
    <w:rsid w:val="1E3B4126"/>
    <w:rsid w:val="1E482380"/>
    <w:rsid w:val="1E5007A5"/>
    <w:rsid w:val="1E733517"/>
    <w:rsid w:val="1E745389"/>
    <w:rsid w:val="1E761259"/>
    <w:rsid w:val="1E7948A6"/>
    <w:rsid w:val="1E7B2E90"/>
    <w:rsid w:val="1E835721"/>
    <w:rsid w:val="1E8531F9"/>
    <w:rsid w:val="1E8878BD"/>
    <w:rsid w:val="1E8A6B2E"/>
    <w:rsid w:val="1E8B7826"/>
    <w:rsid w:val="1E9655C1"/>
    <w:rsid w:val="1EA336D1"/>
    <w:rsid w:val="1EBC63A6"/>
    <w:rsid w:val="1EBF701C"/>
    <w:rsid w:val="1EC91389"/>
    <w:rsid w:val="1ED278A6"/>
    <w:rsid w:val="1ED42977"/>
    <w:rsid w:val="1EE066D3"/>
    <w:rsid w:val="1EE26A12"/>
    <w:rsid w:val="1EE454EF"/>
    <w:rsid w:val="1EEC1929"/>
    <w:rsid w:val="1EEC5078"/>
    <w:rsid w:val="1EF35676"/>
    <w:rsid w:val="1EF42CDD"/>
    <w:rsid w:val="1EF77261"/>
    <w:rsid w:val="1EFC175F"/>
    <w:rsid w:val="1EFE4210"/>
    <w:rsid w:val="1EFF2FFD"/>
    <w:rsid w:val="1F0514A8"/>
    <w:rsid w:val="1F08764F"/>
    <w:rsid w:val="1F0C4983"/>
    <w:rsid w:val="1F0F10E7"/>
    <w:rsid w:val="1F114ADE"/>
    <w:rsid w:val="1F122D6C"/>
    <w:rsid w:val="1F157C1D"/>
    <w:rsid w:val="1F162D6B"/>
    <w:rsid w:val="1F1B3E77"/>
    <w:rsid w:val="1F1E3F53"/>
    <w:rsid w:val="1F2162FF"/>
    <w:rsid w:val="1F282E5D"/>
    <w:rsid w:val="1F2B2044"/>
    <w:rsid w:val="1F2E5A4C"/>
    <w:rsid w:val="1F304433"/>
    <w:rsid w:val="1F3127F2"/>
    <w:rsid w:val="1F330EF8"/>
    <w:rsid w:val="1F3F164B"/>
    <w:rsid w:val="1F405473"/>
    <w:rsid w:val="1F422EEA"/>
    <w:rsid w:val="1F435B8B"/>
    <w:rsid w:val="1F471C25"/>
    <w:rsid w:val="1F4C5B16"/>
    <w:rsid w:val="1F4D18BE"/>
    <w:rsid w:val="1F51275B"/>
    <w:rsid w:val="1F5E7056"/>
    <w:rsid w:val="1F6117DF"/>
    <w:rsid w:val="1F680BA2"/>
    <w:rsid w:val="1F686DF4"/>
    <w:rsid w:val="1F6F176D"/>
    <w:rsid w:val="1F78690B"/>
    <w:rsid w:val="1F7D593F"/>
    <w:rsid w:val="1F7E2174"/>
    <w:rsid w:val="1F902E32"/>
    <w:rsid w:val="1F931F00"/>
    <w:rsid w:val="1F941997"/>
    <w:rsid w:val="1F9D5325"/>
    <w:rsid w:val="1FA07319"/>
    <w:rsid w:val="1FAE7605"/>
    <w:rsid w:val="1FB42039"/>
    <w:rsid w:val="1FBB042E"/>
    <w:rsid w:val="1FBF0756"/>
    <w:rsid w:val="1FC14756"/>
    <w:rsid w:val="1FC44AE4"/>
    <w:rsid w:val="1FCD5653"/>
    <w:rsid w:val="1FD770FE"/>
    <w:rsid w:val="1FDC50EC"/>
    <w:rsid w:val="1FDF62C2"/>
    <w:rsid w:val="1FDF698A"/>
    <w:rsid w:val="1FE64060"/>
    <w:rsid w:val="1FEA2534"/>
    <w:rsid w:val="1FEA75B7"/>
    <w:rsid w:val="1FEC2C97"/>
    <w:rsid w:val="1FEF5D34"/>
    <w:rsid w:val="1FF1299E"/>
    <w:rsid w:val="1FF9794D"/>
    <w:rsid w:val="1FFD7107"/>
    <w:rsid w:val="20095C5B"/>
    <w:rsid w:val="200A7EAB"/>
    <w:rsid w:val="200B777F"/>
    <w:rsid w:val="200E00B8"/>
    <w:rsid w:val="20122F3A"/>
    <w:rsid w:val="20166850"/>
    <w:rsid w:val="20166A8E"/>
    <w:rsid w:val="201D1285"/>
    <w:rsid w:val="20216275"/>
    <w:rsid w:val="20216FA3"/>
    <w:rsid w:val="2028614D"/>
    <w:rsid w:val="20310CED"/>
    <w:rsid w:val="20344F28"/>
    <w:rsid w:val="204038CD"/>
    <w:rsid w:val="20473696"/>
    <w:rsid w:val="20495B0B"/>
    <w:rsid w:val="20523600"/>
    <w:rsid w:val="20541126"/>
    <w:rsid w:val="2056636E"/>
    <w:rsid w:val="205B0EFD"/>
    <w:rsid w:val="205B5863"/>
    <w:rsid w:val="205F3053"/>
    <w:rsid w:val="2060783B"/>
    <w:rsid w:val="20672C08"/>
    <w:rsid w:val="206A094A"/>
    <w:rsid w:val="206A339C"/>
    <w:rsid w:val="207109FD"/>
    <w:rsid w:val="2077730D"/>
    <w:rsid w:val="207846C9"/>
    <w:rsid w:val="20796704"/>
    <w:rsid w:val="207D3915"/>
    <w:rsid w:val="2080386A"/>
    <w:rsid w:val="2084716D"/>
    <w:rsid w:val="208A29F1"/>
    <w:rsid w:val="208A2D9A"/>
    <w:rsid w:val="208D7F0D"/>
    <w:rsid w:val="208E288A"/>
    <w:rsid w:val="20913A48"/>
    <w:rsid w:val="20994D8B"/>
    <w:rsid w:val="20A43E5C"/>
    <w:rsid w:val="20A467CC"/>
    <w:rsid w:val="20AA5DB9"/>
    <w:rsid w:val="20B20472"/>
    <w:rsid w:val="20B25B89"/>
    <w:rsid w:val="20B82DF9"/>
    <w:rsid w:val="20BB1CF0"/>
    <w:rsid w:val="20BF64E0"/>
    <w:rsid w:val="20C4005A"/>
    <w:rsid w:val="20C95F19"/>
    <w:rsid w:val="20C979A0"/>
    <w:rsid w:val="20CC5161"/>
    <w:rsid w:val="20CF0217"/>
    <w:rsid w:val="20D803F7"/>
    <w:rsid w:val="20E40FBB"/>
    <w:rsid w:val="20EA541D"/>
    <w:rsid w:val="20EC5ACC"/>
    <w:rsid w:val="20EF5F4E"/>
    <w:rsid w:val="20F4611B"/>
    <w:rsid w:val="20F53880"/>
    <w:rsid w:val="20F711B1"/>
    <w:rsid w:val="20F83033"/>
    <w:rsid w:val="20FB1948"/>
    <w:rsid w:val="20FB5ACB"/>
    <w:rsid w:val="20FE0493"/>
    <w:rsid w:val="210670C8"/>
    <w:rsid w:val="21091F11"/>
    <w:rsid w:val="211E18EE"/>
    <w:rsid w:val="211F3ADE"/>
    <w:rsid w:val="211F3CB8"/>
    <w:rsid w:val="21236853"/>
    <w:rsid w:val="21296072"/>
    <w:rsid w:val="21352EAA"/>
    <w:rsid w:val="21374CD0"/>
    <w:rsid w:val="213A501E"/>
    <w:rsid w:val="213D1BBA"/>
    <w:rsid w:val="214B077B"/>
    <w:rsid w:val="214E541A"/>
    <w:rsid w:val="21570ECE"/>
    <w:rsid w:val="215D400B"/>
    <w:rsid w:val="21685A81"/>
    <w:rsid w:val="216935DC"/>
    <w:rsid w:val="216A579D"/>
    <w:rsid w:val="21747CD2"/>
    <w:rsid w:val="217B780C"/>
    <w:rsid w:val="21832D42"/>
    <w:rsid w:val="21895F3A"/>
    <w:rsid w:val="218F78D9"/>
    <w:rsid w:val="21A46CD6"/>
    <w:rsid w:val="21A67760"/>
    <w:rsid w:val="21AE7940"/>
    <w:rsid w:val="21AF0D0A"/>
    <w:rsid w:val="21B1456D"/>
    <w:rsid w:val="21B17F7D"/>
    <w:rsid w:val="21BC3427"/>
    <w:rsid w:val="21C96C78"/>
    <w:rsid w:val="21CB061C"/>
    <w:rsid w:val="21CB5861"/>
    <w:rsid w:val="21CE44BB"/>
    <w:rsid w:val="21D5504E"/>
    <w:rsid w:val="21DB0381"/>
    <w:rsid w:val="21DC7625"/>
    <w:rsid w:val="21E00BF5"/>
    <w:rsid w:val="21E36C06"/>
    <w:rsid w:val="21E51649"/>
    <w:rsid w:val="21EA1D42"/>
    <w:rsid w:val="21EB0C3A"/>
    <w:rsid w:val="21ED1832"/>
    <w:rsid w:val="21F9118B"/>
    <w:rsid w:val="21F9582C"/>
    <w:rsid w:val="21FB592E"/>
    <w:rsid w:val="21FC3824"/>
    <w:rsid w:val="22037A47"/>
    <w:rsid w:val="2208575C"/>
    <w:rsid w:val="220B3A67"/>
    <w:rsid w:val="220C5780"/>
    <w:rsid w:val="220F64F1"/>
    <w:rsid w:val="22121299"/>
    <w:rsid w:val="2217098D"/>
    <w:rsid w:val="22250FCC"/>
    <w:rsid w:val="222B6ADC"/>
    <w:rsid w:val="222D4DD4"/>
    <w:rsid w:val="222E57C1"/>
    <w:rsid w:val="22364F87"/>
    <w:rsid w:val="22384A31"/>
    <w:rsid w:val="22400730"/>
    <w:rsid w:val="2241038B"/>
    <w:rsid w:val="2245341D"/>
    <w:rsid w:val="2246271F"/>
    <w:rsid w:val="224B4F70"/>
    <w:rsid w:val="224D5FC0"/>
    <w:rsid w:val="224F7DF7"/>
    <w:rsid w:val="22590822"/>
    <w:rsid w:val="22590C76"/>
    <w:rsid w:val="225B49EE"/>
    <w:rsid w:val="225C502B"/>
    <w:rsid w:val="225C66C5"/>
    <w:rsid w:val="225F282B"/>
    <w:rsid w:val="226255A7"/>
    <w:rsid w:val="226456B0"/>
    <w:rsid w:val="226645D2"/>
    <w:rsid w:val="226726F1"/>
    <w:rsid w:val="226A24B2"/>
    <w:rsid w:val="22702B26"/>
    <w:rsid w:val="22712AC2"/>
    <w:rsid w:val="22790BE2"/>
    <w:rsid w:val="227B6E3E"/>
    <w:rsid w:val="227F4C3F"/>
    <w:rsid w:val="22825EA3"/>
    <w:rsid w:val="22883309"/>
    <w:rsid w:val="228B2C1D"/>
    <w:rsid w:val="228C192B"/>
    <w:rsid w:val="228C3AA8"/>
    <w:rsid w:val="228D26CE"/>
    <w:rsid w:val="22925F36"/>
    <w:rsid w:val="2296195E"/>
    <w:rsid w:val="229879F0"/>
    <w:rsid w:val="229C1BA5"/>
    <w:rsid w:val="229E0D7F"/>
    <w:rsid w:val="22B67E76"/>
    <w:rsid w:val="22BB2852"/>
    <w:rsid w:val="22C56FD5"/>
    <w:rsid w:val="22C94D33"/>
    <w:rsid w:val="22CA3922"/>
    <w:rsid w:val="22CA6173"/>
    <w:rsid w:val="22CC5B82"/>
    <w:rsid w:val="22CE3382"/>
    <w:rsid w:val="22D1656D"/>
    <w:rsid w:val="22D55DD9"/>
    <w:rsid w:val="22DA056C"/>
    <w:rsid w:val="22DB68E5"/>
    <w:rsid w:val="22DC2D72"/>
    <w:rsid w:val="22DD18A7"/>
    <w:rsid w:val="22DE1452"/>
    <w:rsid w:val="22E76886"/>
    <w:rsid w:val="22E903E5"/>
    <w:rsid w:val="22EE431B"/>
    <w:rsid w:val="22F15352"/>
    <w:rsid w:val="22F369D5"/>
    <w:rsid w:val="22F4735D"/>
    <w:rsid w:val="22F808CD"/>
    <w:rsid w:val="22FF6476"/>
    <w:rsid w:val="23005595"/>
    <w:rsid w:val="23024E6A"/>
    <w:rsid w:val="23075F39"/>
    <w:rsid w:val="230F1755"/>
    <w:rsid w:val="2315592C"/>
    <w:rsid w:val="231F0629"/>
    <w:rsid w:val="23205618"/>
    <w:rsid w:val="2323222B"/>
    <w:rsid w:val="232517C4"/>
    <w:rsid w:val="232567F7"/>
    <w:rsid w:val="2329689A"/>
    <w:rsid w:val="23322930"/>
    <w:rsid w:val="23377209"/>
    <w:rsid w:val="23390E8B"/>
    <w:rsid w:val="2346265E"/>
    <w:rsid w:val="23472EF5"/>
    <w:rsid w:val="234A61BC"/>
    <w:rsid w:val="234B240D"/>
    <w:rsid w:val="2351194D"/>
    <w:rsid w:val="23525DFC"/>
    <w:rsid w:val="23540A5C"/>
    <w:rsid w:val="235654C1"/>
    <w:rsid w:val="235C0A1E"/>
    <w:rsid w:val="23670455"/>
    <w:rsid w:val="2367445A"/>
    <w:rsid w:val="23694EE9"/>
    <w:rsid w:val="236D0708"/>
    <w:rsid w:val="23700025"/>
    <w:rsid w:val="23704A78"/>
    <w:rsid w:val="23725159"/>
    <w:rsid w:val="23754D35"/>
    <w:rsid w:val="23810484"/>
    <w:rsid w:val="239B6805"/>
    <w:rsid w:val="23A66151"/>
    <w:rsid w:val="23AC34DE"/>
    <w:rsid w:val="23B92019"/>
    <w:rsid w:val="23BF5813"/>
    <w:rsid w:val="23CE7442"/>
    <w:rsid w:val="23D03647"/>
    <w:rsid w:val="23D45C3F"/>
    <w:rsid w:val="23D762F6"/>
    <w:rsid w:val="23D80D88"/>
    <w:rsid w:val="23DA7B95"/>
    <w:rsid w:val="23DD7F14"/>
    <w:rsid w:val="23DE604A"/>
    <w:rsid w:val="23DF164F"/>
    <w:rsid w:val="23DF33FD"/>
    <w:rsid w:val="23E3073F"/>
    <w:rsid w:val="23F029A0"/>
    <w:rsid w:val="24003A9F"/>
    <w:rsid w:val="2408039E"/>
    <w:rsid w:val="24157061"/>
    <w:rsid w:val="241A4435"/>
    <w:rsid w:val="242C71CC"/>
    <w:rsid w:val="242F7EE0"/>
    <w:rsid w:val="243248CB"/>
    <w:rsid w:val="243960BA"/>
    <w:rsid w:val="243F6DB6"/>
    <w:rsid w:val="244135E2"/>
    <w:rsid w:val="24457B3C"/>
    <w:rsid w:val="245C51AD"/>
    <w:rsid w:val="246456B0"/>
    <w:rsid w:val="2464623D"/>
    <w:rsid w:val="246A53BC"/>
    <w:rsid w:val="246C27BB"/>
    <w:rsid w:val="246D441B"/>
    <w:rsid w:val="2471304C"/>
    <w:rsid w:val="24714871"/>
    <w:rsid w:val="24777DFB"/>
    <w:rsid w:val="247E2C3E"/>
    <w:rsid w:val="248728B1"/>
    <w:rsid w:val="24877D1C"/>
    <w:rsid w:val="248C70E1"/>
    <w:rsid w:val="248D1D5F"/>
    <w:rsid w:val="2492221D"/>
    <w:rsid w:val="24957B7B"/>
    <w:rsid w:val="24961D0D"/>
    <w:rsid w:val="24981EE8"/>
    <w:rsid w:val="24987D04"/>
    <w:rsid w:val="249972A7"/>
    <w:rsid w:val="249B151A"/>
    <w:rsid w:val="249B37C8"/>
    <w:rsid w:val="24A44CCC"/>
    <w:rsid w:val="24A54FD8"/>
    <w:rsid w:val="24AC7783"/>
    <w:rsid w:val="24AF4A68"/>
    <w:rsid w:val="24B153AC"/>
    <w:rsid w:val="24B36EEF"/>
    <w:rsid w:val="24BA0C48"/>
    <w:rsid w:val="24BC2350"/>
    <w:rsid w:val="24C13228"/>
    <w:rsid w:val="24C20D54"/>
    <w:rsid w:val="24C84CBC"/>
    <w:rsid w:val="24C970AA"/>
    <w:rsid w:val="24CD561F"/>
    <w:rsid w:val="24D04C64"/>
    <w:rsid w:val="24D84BE4"/>
    <w:rsid w:val="24DB207F"/>
    <w:rsid w:val="24DF712F"/>
    <w:rsid w:val="24E30CCB"/>
    <w:rsid w:val="24EC0984"/>
    <w:rsid w:val="24EC4023"/>
    <w:rsid w:val="24F84776"/>
    <w:rsid w:val="24F85CA3"/>
    <w:rsid w:val="24F91BE8"/>
    <w:rsid w:val="25022AF3"/>
    <w:rsid w:val="250273A3"/>
    <w:rsid w:val="2508581D"/>
    <w:rsid w:val="2514643A"/>
    <w:rsid w:val="251B2A67"/>
    <w:rsid w:val="2523574C"/>
    <w:rsid w:val="25254804"/>
    <w:rsid w:val="252B4B4C"/>
    <w:rsid w:val="252E1691"/>
    <w:rsid w:val="25381017"/>
    <w:rsid w:val="253859BF"/>
    <w:rsid w:val="254062D7"/>
    <w:rsid w:val="25433B52"/>
    <w:rsid w:val="254F010E"/>
    <w:rsid w:val="254F770A"/>
    <w:rsid w:val="255769A7"/>
    <w:rsid w:val="25593AC7"/>
    <w:rsid w:val="2560105E"/>
    <w:rsid w:val="25622ED7"/>
    <w:rsid w:val="2566754E"/>
    <w:rsid w:val="256D55B8"/>
    <w:rsid w:val="256F2580"/>
    <w:rsid w:val="257738AA"/>
    <w:rsid w:val="257E50E5"/>
    <w:rsid w:val="25874651"/>
    <w:rsid w:val="25887151"/>
    <w:rsid w:val="25897C65"/>
    <w:rsid w:val="258A1146"/>
    <w:rsid w:val="2593449F"/>
    <w:rsid w:val="25987D07"/>
    <w:rsid w:val="25A20B86"/>
    <w:rsid w:val="25AB17E9"/>
    <w:rsid w:val="25B31654"/>
    <w:rsid w:val="25B368B2"/>
    <w:rsid w:val="25B901EB"/>
    <w:rsid w:val="25BE2B81"/>
    <w:rsid w:val="25BF78C9"/>
    <w:rsid w:val="25BF7E37"/>
    <w:rsid w:val="25C127B2"/>
    <w:rsid w:val="25C20C03"/>
    <w:rsid w:val="25C97E90"/>
    <w:rsid w:val="25CB2474"/>
    <w:rsid w:val="25D65232"/>
    <w:rsid w:val="25D77372"/>
    <w:rsid w:val="25DA27E6"/>
    <w:rsid w:val="25E76EA7"/>
    <w:rsid w:val="25E86EDB"/>
    <w:rsid w:val="25E93882"/>
    <w:rsid w:val="25F10781"/>
    <w:rsid w:val="25F902CB"/>
    <w:rsid w:val="260654E2"/>
    <w:rsid w:val="26092D37"/>
    <w:rsid w:val="260E1FCD"/>
    <w:rsid w:val="2610413B"/>
    <w:rsid w:val="26105E9C"/>
    <w:rsid w:val="26144E66"/>
    <w:rsid w:val="261609D6"/>
    <w:rsid w:val="261A071C"/>
    <w:rsid w:val="261F0E38"/>
    <w:rsid w:val="26274517"/>
    <w:rsid w:val="262B2929"/>
    <w:rsid w:val="262D48F3"/>
    <w:rsid w:val="262D60D8"/>
    <w:rsid w:val="262E1137"/>
    <w:rsid w:val="26346017"/>
    <w:rsid w:val="263C4B36"/>
    <w:rsid w:val="263E440B"/>
    <w:rsid w:val="264735CF"/>
    <w:rsid w:val="264739C3"/>
    <w:rsid w:val="264834DB"/>
    <w:rsid w:val="264D218D"/>
    <w:rsid w:val="26532A92"/>
    <w:rsid w:val="26551754"/>
    <w:rsid w:val="265727D9"/>
    <w:rsid w:val="26591245"/>
    <w:rsid w:val="26596E64"/>
    <w:rsid w:val="26631D2C"/>
    <w:rsid w:val="266621E4"/>
    <w:rsid w:val="26671A05"/>
    <w:rsid w:val="2668501B"/>
    <w:rsid w:val="26697691"/>
    <w:rsid w:val="266C6374"/>
    <w:rsid w:val="266D7B2D"/>
    <w:rsid w:val="266F0A68"/>
    <w:rsid w:val="26760048"/>
    <w:rsid w:val="26840FCF"/>
    <w:rsid w:val="268F4C66"/>
    <w:rsid w:val="268F5426"/>
    <w:rsid w:val="269E29A0"/>
    <w:rsid w:val="26A26DE0"/>
    <w:rsid w:val="26A30712"/>
    <w:rsid w:val="26A80506"/>
    <w:rsid w:val="26A94ADA"/>
    <w:rsid w:val="26AB75C6"/>
    <w:rsid w:val="26AF1520"/>
    <w:rsid w:val="26B455C4"/>
    <w:rsid w:val="26BD52F6"/>
    <w:rsid w:val="26C863CA"/>
    <w:rsid w:val="26CC24B0"/>
    <w:rsid w:val="26CC5EBA"/>
    <w:rsid w:val="26CE3992"/>
    <w:rsid w:val="26CE55FF"/>
    <w:rsid w:val="26D226B1"/>
    <w:rsid w:val="26DC44D7"/>
    <w:rsid w:val="26E03714"/>
    <w:rsid w:val="26F33261"/>
    <w:rsid w:val="26F6146E"/>
    <w:rsid w:val="26FE4A6A"/>
    <w:rsid w:val="27083DF0"/>
    <w:rsid w:val="270D202F"/>
    <w:rsid w:val="271E423C"/>
    <w:rsid w:val="272C4D67"/>
    <w:rsid w:val="272F62E3"/>
    <w:rsid w:val="27321A96"/>
    <w:rsid w:val="27331115"/>
    <w:rsid w:val="273640A2"/>
    <w:rsid w:val="27367680"/>
    <w:rsid w:val="273E38B4"/>
    <w:rsid w:val="274253F0"/>
    <w:rsid w:val="2744720F"/>
    <w:rsid w:val="27483067"/>
    <w:rsid w:val="274D7608"/>
    <w:rsid w:val="274F0899"/>
    <w:rsid w:val="27547C5E"/>
    <w:rsid w:val="275555EC"/>
    <w:rsid w:val="275674A0"/>
    <w:rsid w:val="27595274"/>
    <w:rsid w:val="275E288B"/>
    <w:rsid w:val="2760653C"/>
    <w:rsid w:val="276162B0"/>
    <w:rsid w:val="27645116"/>
    <w:rsid w:val="27657DBC"/>
    <w:rsid w:val="276A28DA"/>
    <w:rsid w:val="276E0D20"/>
    <w:rsid w:val="276E51C4"/>
    <w:rsid w:val="276F4A98"/>
    <w:rsid w:val="277628A1"/>
    <w:rsid w:val="27767BD4"/>
    <w:rsid w:val="277E548C"/>
    <w:rsid w:val="277E7C51"/>
    <w:rsid w:val="2780551A"/>
    <w:rsid w:val="27815CE2"/>
    <w:rsid w:val="2786250D"/>
    <w:rsid w:val="278B013C"/>
    <w:rsid w:val="278F60C4"/>
    <w:rsid w:val="279010F0"/>
    <w:rsid w:val="27912E18"/>
    <w:rsid w:val="27A8169D"/>
    <w:rsid w:val="27A81B8F"/>
    <w:rsid w:val="27AA526D"/>
    <w:rsid w:val="27AE50AB"/>
    <w:rsid w:val="27B878F9"/>
    <w:rsid w:val="27C51810"/>
    <w:rsid w:val="27C834CD"/>
    <w:rsid w:val="27C905DC"/>
    <w:rsid w:val="27D02931"/>
    <w:rsid w:val="27D4123F"/>
    <w:rsid w:val="27D52B4D"/>
    <w:rsid w:val="27D572A7"/>
    <w:rsid w:val="27DD4808"/>
    <w:rsid w:val="27E157F3"/>
    <w:rsid w:val="27F60D15"/>
    <w:rsid w:val="27F66BB0"/>
    <w:rsid w:val="27F77B3D"/>
    <w:rsid w:val="27F82CDF"/>
    <w:rsid w:val="27FA562A"/>
    <w:rsid w:val="28055C99"/>
    <w:rsid w:val="28074CD2"/>
    <w:rsid w:val="28121C92"/>
    <w:rsid w:val="281B6598"/>
    <w:rsid w:val="281B7CEA"/>
    <w:rsid w:val="281C077C"/>
    <w:rsid w:val="281C21CB"/>
    <w:rsid w:val="281D6B88"/>
    <w:rsid w:val="282023CE"/>
    <w:rsid w:val="2823031C"/>
    <w:rsid w:val="28357D8B"/>
    <w:rsid w:val="283B0145"/>
    <w:rsid w:val="283C798F"/>
    <w:rsid w:val="283E6919"/>
    <w:rsid w:val="28434864"/>
    <w:rsid w:val="284E337B"/>
    <w:rsid w:val="284F07A5"/>
    <w:rsid w:val="2858552C"/>
    <w:rsid w:val="285A0043"/>
    <w:rsid w:val="285B05DC"/>
    <w:rsid w:val="285C6DCA"/>
    <w:rsid w:val="286262E7"/>
    <w:rsid w:val="2864641F"/>
    <w:rsid w:val="286546D6"/>
    <w:rsid w:val="28687E65"/>
    <w:rsid w:val="286F2FA1"/>
    <w:rsid w:val="28704231"/>
    <w:rsid w:val="28783A77"/>
    <w:rsid w:val="28793607"/>
    <w:rsid w:val="287C2615"/>
    <w:rsid w:val="28833121"/>
    <w:rsid w:val="28876A75"/>
    <w:rsid w:val="288B26B1"/>
    <w:rsid w:val="288B76AF"/>
    <w:rsid w:val="288D1BFD"/>
    <w:rsid w:val="288D1F9B"/>
    <w:rsid w:val="288F3B81"/>
    <w:rsid w:val="28901037"/>
    <w:rsid w:val="289742A6"/>
    <w:rsid w:val="2899001E"/>
    <w:rsid w:val="289A5B44"/>
    <w:rsid w:val="289C53B7"/>
    <w:rsid w:val="289D1014"/>
    <w:rsid w:val="289F0A7C"/>
    <w:rsid w:val="28A557C3"/>
    <w:rsid w:val="28A569C3"/>
    <w:rsid w:val="28A8374F"/>
    <w:rsid w:val="28A961D8"/>
    <w:rsid w:val="28AD1D1C"/>
    <w:rsid w:val="28AE2C78"/>
    <w:rsid w:val="28AF15F0"/>
    <w:rsid w:val="28B44E58"/>
    <w:rsid w:val="28BA1044"/>
    <w:rsid w:val="28CF3A40"/>
    <w:rsid w:val="28D23530"/>
    <w:rsid w:val="28DC615D"/>
    <w:rsid w:val="28E878A7"/>
    <w:rsid w:val="28ED46E4"/>
    <w:rsid w:val="28ED4932"/>
    <w:rsid w:val="28EE593F"/>
    <w:rsid w:val="28F72F97"/>
    <w:rsid w:val="28FA127A"/>
    <w:rsid w:val="29045B43"/>
    <w:rsid w:val="290B1812"/>
    <w:rsid w:val="290E4025"/>
    <w:rsid w:val="2916166F"/>
    <w:rsid w:val="29187587"/>
    <w:rsid w:val="291D7ECA"/>
    <w:rsid w:val="291E49C7"/>
    <w:rsid w:val="2920637B"/>
    <w:rsid w:val="292163F6"/>
    <w:rsid w:val="29251A24"/>
    <w:rsid w:val="292C2674"/>
    <w:rsid w:val="29342BEB"/>
    <w:rsid w:val="293820EE"/>
    <w:rsid w:val="29386B2A"/>
    <w:rsid w:val="293B62ED"/>
    <w:rsid w:val="293E04D8"/>
    <w:rsid w:val="29422464"/>
    <w:rsid w:val="294A0518"/>
    <w:rsid w:val="29514C52"/>
    <w:rsid w:val="2954607D"/>
    <w:rsid w:val="29574EB0"/>
    <w:rsid w:val="295A0CD2"/>
    <w:rsid w:val="296805DA"/>
    <w:rsid w:val="29683511"/>
    <w:rsid w:val="296D4025"/>
    <w:rsid w:val="29763EBB"/>
    <w:rsid w:val="29791BFE"/>
    <w:rsid w:val="297A4D12"/>
    <w:rsid w:val="297C0D99"/>
    <w:rsid w:val="297D0119"/>
    <w:rsid w:val="29820AB2"/>
    <w:rsid w:val="2982458F"/>
    <w:rsid w:val="29885003"/>
    <w:rsid w:val="298E6DC8"/>
    <w:rsid w:val="2990383D"/>
    <w:rsid w:val="29986528"/>
    <w:rsid w:val="299B7DC6"/>
    <w:rsid w:val="299E003E"/>
    <w:rsid w:val="29A174EF"/>
    <w:rsid w:val="29A17806"/>
    <w:rsid w:val="29A20248"/>
    <w:rsid w:val="29AB7A94"/>
    <w:rsid w:val="29AC73DD"/>
    <w:rsid w:val="29B161C9"/>
    <w:rsid w:val="29B16290"/>
    <w:rsid w:val="29C20636"/>
    <w:rsid w:val="29C37A02"/>
    <w:rsid w:val="29C63095"/>
    <w:rsid w:val="29D0673C"/>
    <w:rsid w:val="29D532D8"/>
    <w:rsid w:val="29D82DC8"/>
    <w:rsid w:val="29E17BDE"/>
    <w:rsid w:val="29F179E6"/>
    <w:rsid w:val="29FC2C7B"/>
    <w:rsid w:val="2A0B35D5"/>
    <w:rsid w:val="2A0C2A72"/>
    <w:rsid w:val="2A0C72CF"/>
    <w:rsid w:val="2A157B78"/>
    <w:rsid w:val="2A185197"/>
    <w:rsid w:val="2A1B5837"/>
    <w:rsid w:val="2A1E0CD3"/>
    <w:rsid w:val="2A2051EF"/>
    <w:rsid w:val="2A22517F"/>
    <w:rsid w:val="2A22647F"/>
    <w:rsid w:val="2A2618C6"/>
    <w:rsid w:val="2A2D45FB"/>
    <w:rsid w:val="2A2E2911"/>
    <w:rsid w:val="2A3C5AE6"/>
    <w:rsid w:val="2A3D2C2B"/>
    <w:rsid w:val="2A453E14"/>
    <w:rsid w:val="2A473181"/>
    <w:rsid w:val="2A4E00E4"/>
    <w:rsid w:val="2A557F75"/>
    <w:rsid w:val="2A5C4360"/>
    <w:rsid w:val="2A5C7C57"/>
    <w:rsid w:val="2A5E7172"/>
    <w:rsid w:val="2A64697D"/>
    <w:rsid w:val="2A6F3449"/>
    <w:rsid w:val="2A701253"/>
    <w:rsid w:val="2A73664D"/>
    <w:rsid w:val="2A751DCE"/>
    <w:rsid w:val="2A7A3E7F"/>
    <w:rsid w:val="2A7B6DFC"/>
    <w:rsid w:val="2A7F4FF2"/>
    <w:rsid w:val="2A8060D9"/>
    <w:rsid w:val="2A834B34"/>
    <w:rsid w:val="2A8645D2"/>
    <w:rsid w:val="2A8B3E7D"/>
    <w:rsid w:val="2A8E3487"/>
    <w:rsid w:val="2A946CEF"/>
    <w:rsid w:val="2AA13CD5"/>
    <w:rsid w:val="2AA42CAA"/>
    <w:rsid w:val="2AB15E6C"/>
    <w:rsid w:val="2AC15BD3"/>
    <w:rsid w:val="2AC46EA9"/>
    <w:rsid w:val="2ACB46DB"/>
    <w:rsid w:val="2ADC2444"/>
    <w:rsid w:val="2ADF7A16"/>
    <w:rsid w:val="2AE038E8"/>
    <w:rsid w:val="2AE632C3"/>
    <w:rsid w:val="2AE96E77"/>
    <w:rsid w:val="2AF10348"/>
    <w:rsid w:val="2AF4495B"/>
    <w:rsid w:val="2AF55953"/>
    <w:rsid w:val="2B033E75"/>
    <w:rsid w:val="2B05237A"/>
    <w:rsid w:val="2B0A07EC"/>
    <w:rsid w:val="2B1E3053"/>
    <w:rsid w:val="2B24537E"/>
    <w:rsid w:val="2B256856"/>
    <w:rsid w:val="2B2F4C6A"/>
    <w:rsid w:val="2B300EE0"/>
    <w:rsid w:val="2B313424"/>
    <w:rsid w:val="2B366C7F"/>
    <w:rsid w:val="2B380917"/>
    <w:rsid w:val="2B3918E4"/>
    <w:rsid w:val="2B397A77"/>
    <w:rsid w:val="2B400970"/>
    <w:rsid w:val="2B4066A0"/>
    <w:rsid w:val="2B4303F2"/>
    <w:rsid w:val="2B44645E"/>
    <w:rsid w:val="2B456A93"/>
    <w:rsid w:val="2B464D12"/>
    <w:rsid w:val="2B487BB1"/>
    <w:rsid w:val="2B4E1941"/>
    <w:rsid w:val="2B4F4ECF"/>
    <w:rsid w:val="2B5100EC"/>
    <w:rsid w:val="2B5621F6"/>
    <w:rsid w:val="2B564404"/>
    <w:rsid w:val="2B576013"/>
    <w:rsid w:val="2B577D1D"/>
    <w:rsid w:val="2B585F6F"/>
    <w:rsid w:val="2B61329A"/>
    <w:rsid w:val="2B614A16"/>
    <w:rsid w:val="2B687699"/>
    <w:rsid w:val="2B6B5007"/>
    <w:rsid w:val="2B6D12EE"/>
    <w:rsid w:val="2B74038B"/>
    <w:rsid w:val="2B7E174D"/>
    <w:rsid w:val="2B82123D"/>
    <w:rsid w:val="2B8512DA"/>
    <w:rsid w:val="2B8566E0"/>
    <w:rsid w:val="2B8B2FAB"/>
    <w:rsid w:val="2B8F1FA5"/>
    <w:rsid w:val="2B9122CF"/>
    <w:rsid w:val="2B9237DD"/>
    <w:rsid w:val="2B9245E7"/>
    <w:rsid w:val="2B9725A9"/>
    <w:rsid w:val="2B996587"/>
    <w:rsid w:val="2B9F3B9D"/>
    <w:rsid w:val="2BAC1091"/>
    <w:rsid w:val="2BAD4976"/>
    <w:rsid w:val="2BB62C95"/>
    <w:rsid w:val="2BBA4534"/>
    <w:rsid w:val="2BBB6579"/>
    <w:rsid w:val="2BC20277"/>
    <w:rsid w:val="2BC84190"/>
    <w:rsid w:val="2BC90C1A"/>
    <w:rsid w:val="2BCD6826"/>
    <w:rsid w:val="2BD95FFD"/>
    <w:rsid w:val="2BDD46C6"/>
    <w:rsid w:val="2BDE3F9A"/>
    <w:rsid w:val="2BDF3BFB"/>
    <w:rsid w:val="2BE33F12"/>
    <w:rsid w:val="2BE85579"/>
    <w:rsid w:val="2BF01B9E"/>
    <w:rsid w:val="2BF02096"/>
    <w:rsid w:val="2BF30094"/>
    <w:rsid w:val="2BF30742"/>
    <w:rsid w:val="2BF452C7"/>
    <w:rsid w:val="2BF75DBE"/>
    <w:rsid w:val="2BFA7026"/>
    <w:rsid w:val="2C086981"/>
    <w:rsid w:val="2C167BD8"/>
    <w:rsid w:val="2C1F6A8C"/>
    <w:rsid w:val="2C2A1E79"/>
    <w:rsid w:val="2C307D5C"/>
    <w:rsid w:val="2C3348D0"/>
    <w:rsid w:val="2C3562B0"/>
    <w:rsid w:val="2C3A5674"/>
    <w:rsid w:val="2C4A0200"/>
    <w:rsid w:val="2C4E566E"/>
    <w:rsid w:val="2C5A7AC4"/>
    <w:rsid w:val="2C5B070C"/>
    <w:rsid w:val="2C701006"/>
    <w:rsid w:val="2C787CC9"/>
    <w:rsid w:val="2C7A1F15"/>
    <w:rsid w:val="2C7C55D9"/>
    <w:rsid w:val="2C813B70"/>
    <w:rsid w:val="2C815051"/>
    <w:rsid w:val="2C837FA2"/>
    <w:rsid w:val="2C844B41"/>
    <w:rsid w:val="2C846580"/>
    <w:rsid w:val="2C866DCC"/>
    <w:rsid w:val="2C942392"/>
    <w:rsid w:val="2C950AFD"/>
    <w:rsid w:val="2C9D668D"/>
    <w:rsid w:val="2C9E3E55"/>
    <w:rsid w:val="2CA156F3"/>
    <w:rsid w:val="2CB573F1"/>
    <w:rsid w:val="2CB57D7B"/>
    <w:rsid w:val="2CB94733"/>
    <w:rsid w:val="2CC348A3"/>
    <w:rsid w:val="2CCA4DEB"/>
    <w:rsid w:val="2CCD0296"/>
    <w:rsid w:val="2CCD3F02"/>
    <w:rsid w:val="2CD51841"/>
    <w:rsid w:val="2CD6192B"/>
    <w:rsid w:val="2CE007C2"/>
    <w:rsid w:val="2CE6635D"/>
    <w:rsid w:val="2CEA52EC"/>
    <w:rsid w:val="2CEE3413"/>
    <w:rsid w:val="2CEE480A"/>
    <w:rsid w:val="2CEF759B"/>
    <w:rsid w:val="2CFB12A7"/>
    <w:rsid w:val="2D0143D8"/>
    <w:rsid w:val="2D054D39"/>
    <w:rsid w:val="2D087520"/>
    <w:rsid w:val="2D10158B"/>
    <w:rsid w:val="2D160A44"/>
    <w:rsid w:val="2D1945F6"/>
    <w:rsid w:val="2D1A22E0"/>
    <w:rsid w:val="2D1C4D7A"/>
    <w:rsid w:val="2D1E0AF2"/>
    <w:rsid w:val="2D256324"/>
    <w:rsid w:val="2D287EB1"/>
    <w:rsid w:val="2D323DB0"/>
    <w:rsid w:val="2D355E3C"/>
    <w:rsid w:val="2D37238E"/>
    <w:rsid w:val="2D3C0D7D"/>
    <w:rsid w:val="2D412322"/>
    <w:rsid w:val="2D4207FF"/>
    <w:rsid w:val="2D4F33A1"/>
    <w:rsid w:val="2D522978"/>
    <w:rsid w:val="2D524C40"/>
    <w:rsid w:val="2D5628C7"/>
    <w:rsid w:val="2D564572"/>
    <w:rsid w:val="2D571572"/>
    <w:rsid w:val="2D5A3E9F"/>
    <w:rsid w:val="2D5D5673"/>
    <w:rsid w:val="2D5E5392"/>
    <w:rsid w:val="2D60735C"/>
    <w:rsid w:val="2D662499"/>
    <w:rsid w:val="2D673705"/>
    <w:rsid w:val="2D7B5E39"/>
    <w:rsid w:val="2D7E77E3"/>
    <w:rsid w:val="2D82073D"/>
    <w:rsid w:val="2D850B71"/>
    <w:rsid w:val="2D8843AE"/>
    <w:rsid w:val="2D8901B7"/>
    <w:rsid w:val="2D8A005E"/>
    <w:rsid w:val="2D8A6187"/>
    <w:rsid w:val="2D8F19F0"/>
    <w:rsid w:val="2D8F379E"/>
    <w:rsid w:val="2D9506CE"/>
    <w:rsid w:val="2D951141"/>
    <w:rsid w:val="2DA21723"/>
    <w:rsid w:val="2DA3176E"/>
    <w:rsid w:val="2DA826ED"/>
    <w:rsid w:val="2DA93A99"/>
    <w:rsid w:val="2DB00B6B"/>
    <w:rsid w:val="2DB30329"/>
    <w:rsid w:val="2DB32F9A"/>
    <w:rsid w:val="2DBB79E9"/>
    <w:rsid w:val="2DBC7C8C"/>
    <w:rsid w:val="2DBD4696"/>
    <w:rsid w:val="2DC72451"/>
    <w:rsid w:val="2DCC22C4"/>
    <w:rsid w:val="2DCC512C"/>
    <w:rsid w:val="2DCD0FB0"/>
    <w:rsid w:val="2DD00D29"/>
    <w:rsid w:val="2DD37B2E"/>
    <w:rsid w:val="2DD741C9"/>
    <w:rsid w:val="2DD81805"/>
    <w:rsid w:val="2DE24837"/>
    <w:rsid w:val="2DE51610"/>
    <w:rsid w:val="2DE66B25"/>
    <w:rsid w:val="2DEA37D4"/>
    <w:rsid w:val="2DF259BD"/>
    <w:rsid w:val="2DF67A38"/>
    <w:rsid w:val="2DFB07A6"/>
    <w:rsid w:val="2DFE17A9"/>
    <w:rsid w:val="2E013F6C"/>
    <w:rsid w:val="2E1006B4"/>
    <w:rsid w:val="2E1676FD"/>
    <w:rsid w:val="2E1C33C2"/>
    <w:rsid w:val="2E1E3A40"/>
    <w:rsid w:val="2E206AEC"/>
    <w:rsid w:val="2E22450F"/>
    <w:rsid w:val="2E285D42"/>
    <w:rsid w:val="2E2928E5"/>
    <w:rsid w:val="2E3305CD"/>
    <w:rsid w:val="2E3D5C0B"/>
    <w:rsid w:val="2E456DB2"/>
    <w:rsid w:val="2E491087"/>
    <w:rsid w:val="2E496BCA"/>
    <w:rsid w:val="2E4B00C0"/>
    <w:rsid w:val="2E4C3F8E"/>
    <w:rsid w:val="2E4F3494"/>
    <w:rsid w:val="2E5549B1"/>
    <w:rsid w:val="2E5660D5"/>
    <w:rsid w:val="2E5A4293"/>
    <w:rsid w:val="2E5C032A"/>
    <w:rsid w:val="2E5D5F9C"/>
    <w:rsid w:val="2E63784A"/>
    <w:rsid w:val="2E671CAB"/>
    <w:rsid w:val="2E6A3BF9"/>
    <w:rsid w:val="2E6C788F"/>
    <w:rsid w:val="2E782484"/>
    <w:rsid w:val="2E7D5CEC"/>
    <w:rsid w:val="2E7F46BB"/>
    <w:rsid w:val="2E8157DC"/>
    <w:rsid w:val="2E835C86"/>
    <w:rsid w:val="2E852055"/>
    <w:rsid w:val="2E870919"/>
    <w:rsid w:val="2E875E1A"/>
    <w:rsid w:val="2E8E5FE8"/>
    <w:rsid w:val="2E9E0FE6"/>
    <w:rsid w:val="2E9F22A8"/>
    <w:rsid w:val="2EA353ED"/>
    <w:rsid w:val="2EA41D60"/>
    <w:rsid w:val="2EAE1D44"/>
    <w:rsid w:val="2EB87BA9"/>
    <w:rsid w:val="2EBA4787"/>
    <w:rsid w:val="2EBA7874"/>
    <w:rsid w:val="2EBC4CCC"/>
    <w:rsid w:val="2EBF5E63"/>
    <w:rsid w:val="2EBF6305"/>
    <w:rsid w:val="2EC14271"/>
    <w:rsid w:val="2ECB795B"/>
    <w:rsid w:val="2ECC3C8C"/>
    <w:rsid w:val="2ED61D35"/>
    <w:rsid w:val="2EDA284B"/>
    <w:rsid w:val="2EE402EC"/>
    <w:rsid w:val="2EE5240C"/>
    <w:rsid w:val="2EE8343E"/>
    <w:rsid w:val="2EEA191A"/>
    <w:rsid w:val="2EEA72B5"/>
    <w:rsid w:val="2EEB760A"/>
    <w:rsid w:val="2EEC2D2C"/>
    <w:rsid w:val="2EED10C4"/>
    <w:rsid w:val="2EF15D2F"/>
    <w:rsid w:val="2EF63ADA"/>
    <w:rsid w:val="2EF73CF0"/>
    <w:rsid w:val="2EF84491"/>
    <w:rsid w:val="2EFA535E"/>
    <w:rsid w:val="2EFF4953"/>
    <w:rsid w:val="2F0274CC"/>
    <w:rsid w:val="2F0F6E4B"/>
    <w:rsid w:val="2F106B60"/>
    <w:rsid w:val="2F111485"/>
    <w:rsid w:val="2F157D9F"/>
    <w:rsid w:val="2F1A0163"/>
    <w:rsid w:val="2F21634C"/>
    <w:rsid w:val="2F281481"/>
    <w:rsid w:val="2F2820FC"/>
    <w:rsid w:val="2F307202"/>
    <w:rsid w:val="2F314BEE"/>
    <w:rsid w:val="2F391C13"/>
    <w:rsid w:val="2F3E357A"/>
    <w:rsid w:val="2F45126A"/>
    <w:rsid w:val="2F4B0A1D"/>
    <w:rsid w:val="2F5563A5"/>
    <w:rsid w:val="2F603B44"/>
    <w:rsid w:val="2F63663A"/>
    <w:rsid w:val="2F6642A5"/>
    <w:rsid w:val="2F6C788A"/>
    <w:rsid w:val="2F77098D"/>
    <w:rsid w:val="2F792A45"/>
    <w:rsid w:val="2F7931B0"/>
    <w:rsid w:val="2F796D46"/>
    <w:rsid w:val="2F7B047E"/>
    <w:rsid w:val="2F7C2054"/>
    <w:rsid w:val="2F7F7E67"/>
    <w:rsid w:val="2F8B747C"/>
    <w:rsid w:val="2F8E2DD5"/>
    <w:rsid w:val="2F9037FD"/>
    <w:rsid w:val="2F9652B7"/>
    <w:rsid w:val="2F9819AE"/>
    <w:rsid w:val="2F995CD3"/>
    <w:rsid w:val="2F9C41C9"/>
    <w:rsid w:val="2FA005EA"/>
    <w:rsid w:val="2FA72E53"/>
    <w:rsid w:val="2FA951DB"/>
    <w:rsid w:val="2FAC56C6"/>
    <w:rsid w:val="2FB120F1"/>
    <w:rsid w:val="2FB67708"/>
    <w:rsid w:val="2FB75B14"/>
    <w:rsid w:val="2FBC5667"/>
    <w:rsid w:val="2FBD0A96"/>
    <w:rsid w:val="2FC00BF1"/>
    <w:rsid w:val="2FC405AC"/>
    <w:rsid w:val="2FC43958"/>
    <w:rsid w:val="2FC730A6"/>
    <w:rsid w:val="2FC83AA1"/>
    <w:rsid w:val="2FCD31CB"/>
    <w:rsid w:val="2FD02E25"/>
    <w:rsid w:val="2FE15DB9"/>
    <w:rsid w:val="2FE204FD"/>
    <w:rsid w:val="2FE240B1"/>
    <w:rsid w:val="2FE72D7B"/>
    <w:rsid w:val="2FE778C1"/>
    <w:rsid w:val="2FEA09D3"/>
    <w:rsid w:val="2FF110C2"/>
    <w:rsid w:val="2FF216DC"/>
    <w:rsid w:val="2FF246B5"/>
    <w:rsid w:val="2FF47055"/>
    <w:rsid w:val="3004649F"/>
    <w:rsid w:val="30093CDB"/>
    <w:rsid w:val="300D217C"/>
    <w:rsid w:val="300D4E4E"/>
    <w:rsid w:val="301066F3"/>
    <w:rsid w:val="3019263C"/>
    <w:rsid w:val="301E76A2"/>
    <w:rsid w:val="302147B2"/>
    <w:rsid w:val="302D08E4"/>
    <w:rsid w:val="302F1A35"/>
    <w:rsid w:val="30356C78"/>
    <w:rsid w:val="3035721E"/>
    <w:rsid w:val="30363D1B"/>
    <w:rsid w:val="303B19BB"/>
    <w:rsid w:val="30405223"/>
    <w:rsid w:val="30424D24"/>
    <w:rsid w:val="30492B35"/>
    <w:rsid w:val="304B2383"/>
    <w:rsid w:val="305609BF"/>
    <w:rsid w:val="305B205D"/>
    <w:rsid w:val="30624B65"/>
    <w:rsid w:val="30683B1D"/>
    <w:rsid w:val="306840D4"/>
    <w:rsid w:val="3069477A"/>
    <w:rsid w:val="30696F43"/>
    <w:rsid w:val="306A08C4"/>
    <w:rsid w:val="306F2DEB"/>
    <w:rsid w:val="306F535B"/>
    <w:rsid w:val="30703D5A"/>
    <w:rsid w:val="3076107A"/>
    <w:rsid w:val="30766E97"/>
    <w:rsid w:val="307B625B"/>
    <w:rsid w:val="3084169C"/>
    <w:rsid w:val="308B0912"/>
    <w:rsid w:val="308B2942"/>
    <w:rsid w:val="308C0468"/>
    <w:rsid w:val="30916D50"/>
    <w:rsid w:val="309E2E56"/>
    <w:rsid w:val="30A853ED"/>
    <w:rsid w:val="30AA0D94"/>
    <w:rsid w:val="30B305F0"/>
    <w:rsid w:val="30B85BF6"/>
    <w:rsid w:val="30B949E0"/>
    <w:rsid w:val="30BA4265"/>
    <w:rsid w:val="30BA457D"/>
    <w:rsid w:val="30BC76EC"/>
    <w:rsid w:val="30CB0F91"/>
    <w:rsid w:val="30CC6AB7"/>
    <w:rsid w:val="30E02AE2"/>
    <w:rsid w:val="30E33B3D"/>
    <w:rsid w:val="30E50BB6"/>
    <w:rsid w:val="30ED092F"/>
    <w:rsid w:val="30F06C49"/>
    <w:rsid w:val="30F229C1"/>
    <w:rsid w:val="30FD33DA"/>
    <w:rsid w:val="30FE2D35"/>
    <w:rsid w:val="30FF363C"/>
    <w:rsid w:val="310617EB"/>
    <w:rsid w:val="310C2CC5"/>
    <w:rsid w:val="310D0152"/>
    <w:rsid w:val="310F5106"/>
    <w:rsid w:val="311622CB"/>
    <w:rsid w:val="311A3CC6"/>
    <w:rsid w:val="311E37B6"/>
    <w:rsid w:val="312132A7"/>
    <w:rsid w:val="31224929"/>
    <w:rsid w:val="31271F3F"/>
    <w:rsid w:val="31282650"/>
    <w:rsid w:val="312B253A"/>
    <w:rsid w:val="31324B8F"/>
    <w:rsid w:val="3135465C"/>
    <w:rsid w:val="313C4BD7"/>
    <w:rsid w:val="31552F50"/>
    <w:rsid w:val="315718BA"/>
    <w:rsid w:val="315C608D"/>
    <w:rsid w:val="315C744C"/>
    <w:rsid w:val="31604378"/>
    <w:rsid w:val="31621D8B"/>
    <w:rsid w:val="3163135F"/>
    <w:rsid w:val="316B0C91"/>
    <w:rsid w:val="316B26D5"/>
    <w:rsid w:val="316F4012"/>
    <w:rsid w:val="3172721A"/>
    <w:rsid w:val="31736A7C"/>
    <w:rsid w:val="31741628"/>
    <w:rsid w:val="31750EFD"/>
    <w:rsid w:val="31792ACF"/>
    <w:rsid w:val="317A4765"/>
    <w:rsid w:val="317C228B"/>
    <w:rsid w:val="317C29D0"/>
    <w:rsid w:val="31831AA7"/>
    <w:rsid w:val="318B0720"/>
    <w:rsid w:val="318B178B"/>
    <w:rsid w:val="31921AAF"/>
    <w:rsid w:val="3196266A"/>
    <w:rsid w:val="31963220"/>
    <w:rsid w:val="31981B98"/>
    <w:rsid w:val="319A0963"/>
    <w:rsid w:val="319F241E"/>
    <w:rsid w:val="31A15A3B"/>
    <w:rsid w:val="31A33CBC"/>
    <w:rsid w:val="31B770FA"/>
    <w:rsid w:val="31BA0233"/>
    <w:rsid w:val="31BA2DD5"/>
    <w:rsid w:val="31C37E4E"/>
    <w:rsid w:val="31C660B8"/>
    <w:rsid w:val="31C9260C"/>
    <w:rsid w:val="31CD0B60"/>
    <w:rsid w:val="31D16A7B"/>
    <w:rsid w:val="31DC0F7C"/>
    <w:rsid w:val="31DE2F46"/>
    <w:rsid w:val="31E06CBE"/>
    <w:rsid w:val="31E62936"/>
    <w:rsid w:val="31E963EB"/>
    <w:rsid w:val="31EA5447"/>
    <w:rsid w:val="31ED3189"/>
    <w:rsid w:val="31F14A27"/>
    <w:rsid w:val="31F2568B"/>
    <w:rsid w:val="320027C8"/>
    <w:rsid w:val="320449D6"/>
    <w:rsid w:val="320816BC"/>
    <w:rsid w:val="32082F6E"/>
    <w:rsid w:val="321001C7"/>
    <w:rsid w:val="3214751E"/>
    <w:rsid w:val="32152505"/>
    <w:rsid w:val="321921D0"/>
    <w:rsid w:val="321A493A"/>
    <w:rsid w:val="32270449"/>
    <w:rsid w:val="322C1338"/>
    <w:rsid w:val="322E1966"/>
    <w:rsid w:val="32313882"/>
    <w:rsid w:val="3238509C"/>
    <w:rsid w:val="3239017C"/>
    <w:rsid w:val="323A7182"/>
    <w:rsid w:val="323B3EF4"/>
    <w:rsid w:val="323C275B"/>
    <w:rsid w:val="3243730B"/>
    <w:rsid w:val="3244724D"/>
    <w:rsid w:val="32546D64"/>
    <w:rsid w:val="325D20BC"/>
    <w:rsid w:val="3260395B"/>
    <w:rsid w:val="32656DC0"/>
    <w:rsid w:val="32737B32"/>
    <w:rsid w:val="327613D0"/>
    <w:rsid w:val="327A5E20"/>
    <w:rsid w:val="327C2E6E"/>
    <w:rsid w:val="32885057"/>
    <w:rsid w:val="32894C60"/>
    <w:rsid w:val="328E0429"/>
    <w:rsid w:val="328E04C8"/>
    <w:rsid w:val="3292532D"/>
    <w:rsid w:val="32951532"/>
    <w:rsid w:val="329F744A"/>
    <w:rsid w:val="32A03811"/>
    <w:rsid w:val="32A044C6"/>
    <w:rsid w:val="32A23F73"/>
    <w:rsid w:val="32AA0070"/>
    <w:rsid w:val="32AE0763"/>
    <w:rsid w:val="32B11BD7"/>
    <w:rsid w:val="32B4307D"/>
    <w:rsid w:val="32B65BE4"/>
    <w:rsid w:val="32BC0413"/>
    <w:rsid w:val="32C24352"/>
    <w:rsid w:val="32CA3406"/>
    <w:rsid w:val="32D219C2"/>
    <w:rsid w:val="32D560F7"/>
    <w:rsid w:val="32DC3BF3"/>
    <w:rsid w:val="32DD31FD"/>
    <w:rsid w:val="32DE09B1"/>
    <w:rsid w:val="32DF17F1"/>
    <w:rsid w:val="32EF4252"/>
    <w:rsid w:val="32F21589"/>
    <w:rsid w:val="32F879EC"/>
    <w:rsid w:val="32FC7B27"/>
    <w:rsid w:val="32FD564D"/>
    <w:rsid w:val="33022C64"/>
    <w:rsid w:val="3307618A"/>
    <w:rsid w:val="33080A15"/>
    <w:rsid w:val="330E785B"/>
    <w:rsid w:val="33121531"/>
    <w:rsid w:val="33136E16"/>
    <w:rsid w:val="33153C46"/>
    <w:rsid w:val="331704BD"/>
    <w:rsid w:val="3317784C"/>
    <w:rsid w:val="33185FE3"/>
    <w:rsid w:val="331F55C4"/>
    <w:rsid w:val="331F6B86"/>
    <w:rsid w:val="33221986"/>
    <w:rsid w:val="33356B95"/>
    <w:rsid w:val="333A72BD"/>
    <w:rsid w:val="334119DE"/>
    <w:rsid w:val="33416243"/>
    <w:rsid w:val="33456BEA"/>
    <w:rsid w:val="33481417"/>
    <w:rsid w:val="334E5EA9"/>
    <w:rsid w:val="33501C21"/>
    <w:rsid w:val="33534540"/>
    <w:rsid w:val="33583277"/>
    <w:rsid w:val="335F0916"/>
    <w:rsid w:val="33607F54"/>
    <w:rsid w:val="33613E2E"/>
    <w:rsid w:val="33621A51"/>
    <w:rsid w:val="33681A34"/>
    <w:rsid w:val="336C0C71"/>
    <w:rsid w:val="33770F5C"/>
    <w:rsid w:val="3378443B"/>
    <w:rsid w:val="33792F26"/>
    <w:rsid w:val="337C6572"/>
    <w:rsid w:val="3382186D"/>
    <w:rsid w:val="33835B53"/>
    <w:rsid w:val="33843487"/>
    <w:rsid w:val="3389447C"/>
    <w:rsid w:val="33932C57"/>
    <w:rsid w:val="33934B30"/>
    <w:rsid w:val="33965519"/>
    <w:rsid w:val="339C4E66"/>
    <w:rsid w:val="33A018CD"/>
    <w:rsid w:val="33A31D51"/>
    <w:rsid w:val="33AB50A9"/>
    <w:rsid w:val="33AD55C7"/>
    <w:rsid w:val="33B57CD6"/>
    <w:rsid w:val="33B757FC"/>
    <w:rsid w:val="33BE4DDD"/>
    <w:rsid w:val="33C323F3"/>
    <w:rsid w:val="33C34180"/>
    <w:rsid w:val="33CA462F"/>
    <w:rsid w:val="33CA7E5C"/>
    <w:rsid w:val="33D06B30"/>
    <w:rsid w:val="33D51294"/>
    <w:rsid w:val="33D532A2"/>
    <w:rsid w:val="33D65317"/>
    <w:rsid w:val="33D91C79"/>
    <w:rsid w:val="33DE0FDB"/>
    <w:rsid w:val="33E505BB"/>
    <w:rsid w:val="33E759B9"/>
    <w:rsid w:val="33F25709"/>
    <w:rsid w:val="33FA5BBF"/>
    <w:rsid w:val="33FD3B57"/>
    <w:rsid w:val="33FF48DB"/>
    <w:rsid w:val="340F73E6"/>
    <w:rsid w:val="3413079D"/>
    <w:rsid w:val="341744ED"/>
    <w:rsid w:val="34191ADA"/>
    <w:rsid w:val="341A4012"/>
    <w:rsid w:val="341B3FDD"/>
    <w:rsid w:val="341B56DC"/>
    <w:rsid w:val="342C0D0F"/>
    <w:rsid w:val="342D6042"/>
    <w:rsid w:val="342F7A16"/>
    <w:rsid w:val="343B6034"/>
    <w:rsid w:val="343D359B"/>
    <w:rsid w:val="344C5BD9"/>
    <w:rsid w:val="344D6161"/>
    <w:rsid w:val="345A09EA"/>
    <w:rsid w:val="34696610"/>
    <w:rsid w:val="346A3F42"/>
    <w:rsid w:val="346B742F"/>
    <w:rsid w:val="347136CE"/>
    <w:rsid w:val="34740C34"/>
    <w:rsid w:val="34761214"/>
    <w:rsid w:val="347F740C"/>
    <w:rsid w:val="348559B0"/>
    <w:rsid w:val="348876A6"/>
    <w:rsid w:val="34931975"/>
    <w:rsid w:val="34931C0A"/>
    <w:rsid w:val="349808D3"/>
    <w:rsid w:val="349810C5"/>
    <w:rsid w:val="34981204"/>
    <w:rsid w:val="34984067"/>
    <w:rsid w:val="349B4A35"/>
    <w:rsid w:val="349B511E"/>
    <w:rsid w:val="349D781F"/>
    <w:rsid w:val="34A42769"/>
    <w:rsid w:val="34A5127B"/>
    <w:rsid w:val="34A73AC3"/>
    <w:rsid w:val="34A83F30"/>
    <w:rsid w:val="34AB3545"/>
    <w:rsid w:val="34B1328E"/>
    <w:rsid w:val="34B45EFF"/>
    <w:rsid w:val="34B57F7D"/>
    <w:rsid w:val="34C14BBF"/>
    <w:rsid w:val="34C24459"/>
    <w:rsid w:val="34CB7535"/>
    <w:rsid w:val="34D11640"/>
    <w:rsid w:val="34DC14E4"/>
    <w:rsid w:val="34DE4E29"/>
    <w:rsid w:val="34E20478"/>
    <w:rsid w:val="34E43027"/>
    <w:rsid w:val="34E547B5"/>
    <w:rsid w:val="34EC4BC8"/>
    <w:rsid w:val="34FA0097"/>
    <w:rsid w:val="350122D8"/>
    <w:rsid w:val="35085E36"/>
    <w:rsid w:val="350905C0"/>
    <w:rsid w:val="35092088"/>
    <w:rsid w:val="350B012F"/>
    <w:rsid w:val="3510017B"/>
    <w:rsid w:val="3510480A"/>
    <w:rsid w:val="35134CB4"/>
    <w:rsid w:val="3523380C"/>
    <w:rsid w:val="352F3371"/>
    <w:rsid w:val="35337105"/>
    <w:rsid w:val="3538296D"/>
    <w:rsid w:val="35390638"/>
    <w:rsid w:val="353E341E"/>
    <w:rsid w:val="353F3EC8"/>
    <w:rsid w:val="353F703A"/>
    <w:rsid w:val="354015E3"/>
    <w:rsid w:val="3542559A"/>
    <w:rsid w:val="354A53CE"/>
    <w:rsid w:val="354A6B2F"/>
    <w:rsid w:val="35531555"/>
    <w:rsid w:val="355754CD"/>
    <w:rsid w:val="355A0B35"/>
    <w:rsid w:val="355A28E3"/>
    <w:rsid w:val="355F4ABA"/>
    <w:rsid w:val="35645510"/>
    <w:rsid w:val="35647717"/>
    <w:rsid w:val="356E7C5B"/>
    <w:rsid w:val="357117DE"/>
    <w:rsid w:val="357507DB"/>
    <w:rsid w:val="35753B38"/>
    <w:rsid w:val="35777939"/>
    <w:rsid w:val="357E2A76"/>
    <w:rsid w:val="357F223A"/>
    <w:rsid w:val="35885201"/>
    <w:rsid w:val="35891DD7"/>
    <w:rsid w:val="358B6F41"/>
    <w:rsid w:val="359B3CE5"/>
    <w:rsid w:val="359E79E8"/>
    <w:rsid w:val="35A57BB6"/>
    <w:rsid w:val="35A96A8D"/>
    <w:rsid w:val="35AA5672"/>
    <w:rsid w:val="35B53FBD"/>
    <w:rsid w:val="35BA1584"/>
    <w:rsid w:val="35BA7E27"/>
    <w:rsid w:val="35BB5A78"/>
    <w:rsid w:val="35CA1EBB"/>
    <w:rsid w:val="35CD57AB"/>
    <w:rsid w:val="35CD7559"/>
    <w:rsid w:val="35D95EFE"/>
    <w:rsid w:val="35D97CAC"/>
    <w:rsid w:val="35DA7E11"/>
    <w:rsid w:val="35E1338D"/>
    <w:rsid w:val="35EC6A77"/>
    <w:rsid w:val="35EE2687"/>
    <w:rsid w:val="35EE6ECC"/>
    <w:rsid w:val="35F811F6"/>
    <w:rsid w:val="35F84DEE"/>
    <w:rsid w:val="35F9034E"/>
    <w:rsid w:val="35FB2318"/>
    <w:rsid w:val="35FC1EA9"/>
    <w:rsid w:val="36042729"/>
    <w:rsid w:val="360A5CEB"/>
    <w:rsid w:val="360C0508"/>
    <w:rsid w:val="360C3EC3"/>
    <w:rsid w:val="360F7131"/>
    <w:rsid w:val="3619010D"/>
    <w:rsid w:val="361B02C4"/>
    <w:rsid w:val="361B0F6C"/>
    <w:rsid w:val="361C453F"/>
    <w:rsid w:val="36203CB2"/>
    <w:rsid w:val="36227E01"/>
    <w:rsid w:val="3627162E"/>
    <w:rsid w:val="362A61B9"/>
    <w:rsid w:val="362E023C"/>
    <w:rsid w:val="36335713"/>
    <w:rsid w:val="36393C64"/>
    <w:rsid w:val="364041CF"/>
    <w:rsid w:val="36456592"/>
    <w:rsid w:val="36495EB3"/>
    <w:rsid w:val="364B370E"/>
    <w:rsid w:val="364C7BB9"/>
    <w:rsid w:val="364D0DF5"/>
    <w:rsid w:val="364E616C"/>
    <w:rsid w:val="36574DD9"/>
    <w:rsid w:val="36672D0A"/>
    <w:rsid w:val="366A4E4C"/>
    <w:rsid w:val="367020EA"/>
    <w:rsid w:val="36785717"/>
    <w:rsid w:val="367C4ADB"/>
    <w:rsid w:val="367C56F1"/>
    <w:rsid w:val="36811876"/>
    <w:rsid w:val="36830224"/>
    <w:rsid w:val="3683372A"/>
    <w:rsid w:val="36851BE2"/>
    <w:rsid w:val="368F0657"/>
    <w:rsid w:val="36925CAE"/>
    <w:rsid w:val="369B6C48"/>
    <w:rsid w:val="36A05158"/>
    <w:rsid w:val="36A12FA1"/>
    <w:rsid w:val="36A4650C"/>
    <w:rsid w:val="36B55EFA"/>
    <w:rsid w:val="36CF1B47"/>
    <w:rsid w:val="36D15A75"/>
    <w:rsid w:val="36D84665"/>
    <w:rsid w:val="36DF0F62"/>
    <w:rsid w:val="36E4027A"/>
    <w:rsid w:val="36F0650D"/>
    <w:rsid w:val="36FB7674"/>
    <w:rsid w:val="36FD6F68"/>
    <w:rsid w:val="37050EA2"/>
    <w:rsid w:val="37127616"/>
    <w:rsid w:val="37135440"/>
    <w:rsid w:val="372413FB"/>
    <w:rsid w:val="372731BA"/>
    <w:rsid w:val="37294235"/>
    <w:rsid w:val="372E4027"/>
    <w:rsid w:val="373167D8"/>
    <w:rsid w:val="373338A5"/>
    <w:rsid w:val="3737215B"/>
    <w:rsid w:val="3739216A"/>
    <w:rsid w:val="37393030"/>
    <w:rsid w:val="373A0A99"/>
    <w:rsid w:val="3745491D"/>
    <w:rsid w:val="374A5C82"/>
    <w:rsid w:val="374A7ADC"/>
    <w:rsid w:val="374E4FBA"/>
    <w:rsid w:val="37531A01"/>
    <w:rsid w:val="37531CE0"/>
    <w:rsid w:val="375D2B5F"/>
    <w:rsid w:val="3764399C"/>
    <w:rsid w:val="376528B2"/>
    <w:rsid w:val="37704640"/>
    <w:rsid w:val="377341A6"/>
    <w:rsid w:val="37781853"/>
    <w:rsid w:val="377D2E4F"/>
    <w:rsid w:val="3780322D"/>
    <w:rsid w:val="378906D0"/>
    <w:rsid w:val="37942300"/>
    <w:rsid w:val="37994C0F"/>
    <w:rsid w:val="379E11AD"/>
    <w:rsid w:val="37A17364"/>
    <w:rsid w:val="37A70FF1"/>
    <w:rsid w:val="37AB5678"/>
    <w:rsid w:val="37AC15B8"/>
    <w:rsid w:val="37AE6F16"/>
    <w:rsid w:val="37B3093D"/>
    <w:rsid w:val="37B37C8C"/>
    <w:rsid w:val="37B5675C"/>
    <w:rsid w:val="37B732BA"/>
    <w:rsid w:val="37CC0C62"/>
    <w:rsid w:val="37CE55D0"/>
    <w:rsid w:val="37D15C78"/>
    <w:rsid w:val="37D71757"/>
    <w:rsid w:val="37DE35D0"/>
    <w:rsid w:val="37E1109A"/>
    <w:rsid w:val="37E37C46"/>
    <w:rsid w:val="37E779DE"/>
    <w:rsid w:val="37EB76BC"/>
    <w:rsid w:val="37F828A2"/>
    <w:rsid w:val="37FA2A7A"/>
    <w:rsid w:val="37FC5FAF"/>
    <w:rsid w:val="3801798E"/>
    <w:rsid w:val="38087608"/>
    <w:rsid w:val="380A7E28"/>
    <w:rsid w:val="380B25BB"/>
    <w:rsid w:val="3814146F"/>
    <w:rsid w:val="38151E40"/>
    <w:rsid w:val="38191A55"/>
    <w:rsid w:val="381B27FE"/>
    <w:rsid w:val="382C1672"/>
    <w:rsid w:val="3833469D"/>
    <w:rsid w:val="383438BF"/>
    <w:rsid w:val="3836502D"/>
    <w:rsid w:val="3837038B"/>
    <w:rsid w:val="383A2024"/>
    <w:rsid w:val="383E1885"/>
    <w:rsid w:val="3851621F"/>
    <w:rsid w:val="38537496"/>
    <w:rsid w:val="38540630"/>
    <w:rsid w:val="38612D80"/>
    <w:rsid w:val="38640990"/>
    <w:rsid w:val="386A5533"/>
    <w:rsid w:val="386B1513"/>
    <w:rsid w:val="38832151"/>
    <w:rsid w:val="38925531"/>
    <w:rsid w:val="389306D7"/>
    <w:rsid w:val="389F4678"/>
    <w:rsid w:val="38A547BD"/>
    <w:rsid w:val="38A5656B"/>
    <w:rsid w:val="38A769B2"/>
    <w:rsid w:val="38AC5B4C"/>
    <w:rsid w:val="38B659B3"/>
    <w:rsid w:val="38C05153"/>
    <w:rsid w:val="38C23BAB"/>
    <w:rsid w:val="38E15B68"/>
    <w:rsid w:val="38E92E84"/>
    <w:rsid w:val="38FB7F54"/>
    <w:rsid w:val="38FC1CF5"/>
    <w:rsid w:val="390019F4"/>
    <w:rsid w:val="39057FD3"/>
    <w:rsid w:val="390A1D13"/>
    <w:rsid w:val="39113C01"/>
    <w:rsid w:val="39115056"/>
    <w:rsid w:val="3912168D"/>
    <w:rsid w:val="39150830"/>
    <w:rsid w:val="391647ED"/>
    <w:rsid w:val="391B53C0"/>
    <w:rsid w:val="391C3DFC"/>
    <w:rsid w:val="391D1023"/>
    <w:rsid w:val="392C147D"/>
    <w:rsid w:val="392E063C"/>
    <w:rsid w:val="39382F10"/>
    <w:rsid w:val="39386D5F"/>
    <w:rsid w:val="393A6378"/>
    <w:rsid w:val="393B274D"/>
    <w:rsid w:val="39400008"/>
    <w:rsid w:val="394713D0"/>
    <w:rsid w:val="39475874"/>
    <w:rsid w:val="39497035"/>
    <w:rsid w:val="394D216A"/>
    <w:rsid w:val="39530076"/>
    <w:rsid w:val="39555F58"/>
    <w:rsid w:val="39577F1B"/>
    <w:rsid w:val="395B30CE"/>
    <w:rsid w:val="396221C9"/>
    <w:rsid w:val="3962620A"/>
    <w:rsid w:val="396876EF"/>
    <w:rsid w:val="39693A3D"/>
    <w:rsid w:val="396B3311"/>
    <w:rsid w:val="396B71A4"/>
    <w:rsid w:val="396D0C46"/>
    <w:rsid w:val="398842E0"/>
    <w:rsid w:val="398D165E"/>
    <w:rsid w:val="3995213C"/>
    <w:rsid w:val="39967A20"/>
    <w:rsid w:val="39992293"/>
    <w:rsid w:val="399B7FE6"/>
    <w:rsid w:val="399D5494"/>
    <w:rsid w:val="399E405B"/>
    <w:rsid w:val="399E5554"/>
    <w:rsid w:val="39A0339E"/>
    <w:rsid w:val="39A7437D"/>
    <w:rsid w:val="39A81F53"/>
    <w:rsid w:val="39A86313"/>
    <w:rsid w:val="39AE6C99"/>
    <w:rsid w:val="39BE0B27"/>
    <w:rsid w:val="39BF6C7F"/>
    <w:rsid w:val="39C66F26"/>
    <w:rsid w:val="39C96289"/>
    <w:rsid w:val="39CB0253"/>
    <w:rsid w:val="39CE23DA"/>
    <w:rsid w:val="39D569DC"/>
    <w:rsid w:val="39E3559D"/>
    <w:rsid w:val="39E42618"/>
    <w:rsid w:val="39EA5D4D"/>
    <w:rsid w:val="39EB2F67"/>
    <w:rsid w:val="39EF7076"/>
    <w:rsid w:val="39F4755D"/>
    <w:rsid w:val="3A003D69"/>
    <w:rsid w:val="3A0076E8"/>
    <w:rsid w:val="3A0D6CB3"/>
    <w:rsid w:val="3A105C66"/>
    <w:rsid w:val="3A164690"/>
    <w:rsid w:val="3A1A6AE5"/>
    <w:rsid w:val="3A1E4879"/>
    <w:rsid w:val="3A267F9B"/>
    <w:rsid w:val="3A282FB0"/>
    <w:rsid w:val="3A294660"/>
    <w:rsid w:val="3A2B63D4"/>
    <w:rsid w:val="3A2F1285"/>
    <w:rsid w:val="3A335C58"/>
    <w:rsid w:val="3A361392"/>
    <w:rsid w:val="3A3B5662"/>
    <w:rsid w:val="3A3E2951"/>
    <w:rsid w:val="3A3F13DF"/>
    <w:rsid w:val="3A420BA4"/>
    <w:rsid w:val="3A425101"/>
    <w:rsid w:val="3A497913"/>
    <w:rsid w:val="3A4C7CD1"/>
    <w:rsid w:val="3A504BB4"/>
    <w:rsid w:val="3A571CD2"/>
    <w:rsid w:val="3A5C78CD"/>
    <w:rsid w:val="3A5D167B"/>
    <w:rsid w:val="3A5F5A76"/>
    <w:rsid w:val="3A69435F"/>
    <w:rsid w:val="3A6A28B3"/>
    <w:rsid w:val="3A6C2245"/>
    <w:rsid w:val="3A726921"/>
    <w:rsid w:val="3A7D702E"/>
    <w:rsid w:val="3A8657EA"/>
    <w:rsid w:val="3A8C21CC"/>
    <w:rsid w:val="3A926D28"/>
    <w:rsid w:val="3A954673"/>
    <w:rsid w:val="3A9802C4"/>
    <w:rsid w:val="3A9C053F"/>
    <w:rsid w:val="3AA049EF"/>
    <w:rsid w:val="3AA50AA5"/>
    <w:rsid w:val="3AA54601"/>
    <w:rsid w:val="3AA840F1"/>
    <w:rsid w:val="3AAB3040"/>
    <w:rsid w:val="3AAC1E33"/>
    <w:rsid w:val="3AAD1BCB"/>
    <w:rsid w:val="3AB113E8"/>
    <w:rsid w:val="3AB24F6F"/>
    <w:rsid w:val="3AB962FE"/>
    <w:rsid w:val="3AC706F4"/>
    <w:rsid w:val="3AC95EB9"/>
    <w:rsid w:val="3AD012D2"/>
    <w:rsid w:val="3AD27452"/>
    <w:rsid w:val="3AD91EC8"/>
    <w:rsid w:val="3ADA6948"/>
    <w:rsid w:val="3AE07D2F"/>
    <w:rsid w:val="3AE67E1B"/>
    <w:rsid w:val="3AE80CDF"/>
    <w:rsid w:val="3AEE244B"/>
    <w:rsid w:val="3AF050E0"/>
    <w:rsid w:val="3AF72A11"/>
    <w:rsid w:val="3AFA0DF0"/>
    <w:rsid w:val="3AFB06C4"/>
    <w:rsid w:val="3AFB7AF2"/>
    <w:rsid w:val="3B00217F"/>
    <w:rsid w:val="3B060750"/>
    <w:rsid w:val="3B132DDD"/>
    <w:rsid w:val="3B141786"/>
    <w:rsid w:val="3B143A26"/>
    <w:rsid w:val="3B190B4B"/>
    <w:rsid w:val="3B1D4C46"/>
    <w:rsid w:val="3B200EF2"/>
    <w:rsid w:val="3B242657"/>
    <w:rsid w:val="3B2722DA"/>
    <w:rsid w:val="3B280374"/>
    <w:rsid w:val="3B2A5B1D"/>
    <w:rsid w:val="3B2B7D6B"/>
    <w:rsid w:val="3B2E41C5"/>
    <w:rsid w:val="3B2F2F08"/>
    <w:rsid w:val="3B387410"/>
    <w:rsid w:val="3B396431"/>
    <w:rsid w:val="3B4051F4"/>
    <w:rsid w:val="3B4D7B65"/>
    <w:rsid w:val="3B4E2E09"/>
    <w:rsid w:val="3B501FF8"/>
    <w:rsid w:val="3B53405D"/>
    <w:rsid w:val="3B576815"/>
    <w:rsid w:val="3B5D137F"/>
    <w:rsid w:val="3B604081"/>
    <w:rsid w:val="3B62270A"/>
    <w:rsid w:val="3B651551"/>
    <w:rsid w:val="3B676655"/>
    <w:rsid w:val="3B7808BD"/>
    <w:rsid w:val="3B7B1805"/>
    <w:rsid w:val="3B7D37CF"/>
    <w:rsid w:val="3B81653C"/>
    <w:rsid w:val="3B840371"/>
    <w:rsid w:val="3B893F22"/>
    <w:rsid w:val="3B8A61BE"/>
    <w:rsid w:val="3B8D6C15"/>
    <w:rsid w:val="3B945917"/>
    <w:rsid w:val="3B9E333D"/>
    <w:rsid w:val="3BA26EF4"/>
    <w:rsid w:val="3BA32AA8"/>
    <w:rsid w:val="3BA55E85"/>
    <w:rsid w:val="3BA64AD4"/>
    <w:rsid w:val="3BA772EF"/>
    <w:rsid w:val="3BAE3989"/>
    <w:rsid w:val="3BB3424F"/>
    <w:rsid w:val="3BBA232E"/>
    <w:rsid w:val="3BBA4839"/>
    <w:rsid w:val="3BBC315E"/>
    <w:rsid w:val="3BBF5B96"/>
    <w:rsid w:val="3BC96A15"/>
    <w:rsid w:val="3BD03B90"/>
    <w:rsid w:val="3BD23FDC"/>
    <w:rsid w:val="3BD32652"/>
    <w:rsid w:val="3BD44F09"/>
    <w:rsid w:val="3BD473E3"/>
    <w:rsid w:val="3BD80A06"/>
    <w:rsid w:val="3BE42FED"/>
    <w:rsid w:val="3BE5505D"/>
    <w:rsid w:val="3BE60641"/>
    <w:rsid w:val="3BED2CE2"/>
    <w:rsid w:val="3BEE670D"/>
    <w:rsid w:val="3BF21AC7"/>
    <w:rsid w:val="3BF462D3"/>
    <w:rsid w:val="3BF471F3"/>
    <w:rsid w:val="3C0417FB"/>
    <w:rsid w:val="3C047A4D"/>
    <w:rsid w:val="3C0845F5"/>
    <w:rsid w:val="3C156FA3"/>
    <w:rsid w:val="3C1A4C86"/>
    <w:rsid w:val="3C2034B7"/>
    <w:rsid w:val="3C261093"/>
    <w:rsid w:val="3C2908D6"/>
    <w:rsid w:val="3C2A2FFB"/>
    <w:rsid w:val="3C2D2A2C"/>
    <w:rsid w:val="3C4021E4"/>
    <w:rsid w:val="3C447687"/>
    <w:rsid w:val="3C480B52"/>
    <w:rsid w:val="3C4F6F1A"/>
    <w:rsid w:val="3C534158"/>
    <w:rsid w:val="3C554B73"/>
    <w:rsid w:val="3C5824BB"/>
    <w:rsid w:val="3C5C6D27"/>
    <w:rsid w:val="3C5F6EB8"/>
    <w:rsid w:val="3C6353DC"/>
    <w:rsid w:val="3C66556A"/>
    <w:rsid w:val="3C716004"/>
    <w:rsid w:val="3C7571D3"/>
    <w:rsid w:val="3C7C6326"/>
    <w:rsid w:val="3C7F002E"/>
    <w:rsid w:val="3C7F39E0"/>
    <w:rsid w:val="3C834E15"/>
    <w:rsid w:val="3C887A83"/>
    <w:rsid w:val="3C8E355B"/>
    <w:rsid w:val="3C8E7C8F"/>
    <w:rsid w:val="3C8F0529"/>
    <w:rsid w:val="3C940DD1"/>
    <w:rsid w:val="3C99357C"/>
    <w:rsid w:val="3C9B2308"/>
    <w:rsid w:val="3CA20176"/>
    <w:rsid w:val="3CB7061B"/>
    <w:rsid w:val="3CC22E05"/>
    <w:rsid w:val="3CCA1178"/>
    <w:rsid w:val="3CCC4ECB"/>
    <w:rsid w:val="3CD00700"/>
    <w:rsid w:val="3CD5357B"/>
    <w:rsid w:val="3CD967E3"/>
    <w:rsid w:val="3CE0791B"/>
    <w:rsid w:val="3CE55188"/>
    <w:rsid w:val="3CEB035F"/>
    <w:rsid w:val="3CED1B10"/>
    <w:rsid w:val="3CEF4259"/>
    <w:rsid w:val="3CF257A2"/>
    <w:rsid w:val="3CF30BE3"/>
    <w:rsid w:val="3CF7310E"/>
    <w:rsid w:val="3CF7718B"/>
    <w:rsid w:val="3CFB2BFE"/>
    <w:rsid w:val="3D001FC2"/>
    <w:rsid w:val="3D0101D3"/>
    <w:rsid w:val="3D015A0B"/>
    <w:rsid w:val="3D0404B0"/>
    <w:rsid w:val="3D072F30"/>
    <w:rsid w:val="3D08318F"/>
    <w:rsid w:val="3D0E0365"/>
    <w:rsid w:val="3D134C63"/>
    <w:rsid w:val="3D14760C"/>
    <w:rsid w:val="3D2916A1"/>
    <w:rsid w:val="3D2A3509"/>
    <w:rsid w:val="3D33483F"/>
    <w:rsid w:val="3D4143D0"/>
    <w:rsid w:val="3D4625FA"/>
    <w:rsid w:val="3D4F4ED5"/>
    <w:rsid w:val="3D507BF5"/>
    <w:rsid w:val="3D564193"/>
    <w:rsid w:val="3D5B71DC"/>
    <w:rsid w:val="3D6707F2"/>
    <w:rsid w:val="3D6A0A80"/>
    <w:rsid w:val="3D6D1D5D"/>
    <w:rsid w:val="3D734E8A"/>
    <w:rsid w:val="3D74475E"/>
    <w:rsid w:val="3D78424E"/>
    <w:rsid w:val="3D794344"/>
    <w:rsid w:val="3D7A6218"/>
    <w:rsid w:val="3D7B789B"/>
    <w:rsid w:val="3D9675AA"/>
    <w:rsid w:val="3DA54918"/>
    <w:rsid w:val="3DBF1E7D"/>
    <w:rsid w:val="3DBF3C2B"/>
    <w:rsid w:val="3DCB7546"/>
    <w:rsid w:val="3DCF1599"/>
    <w:rsid w:val="3DDB0390"/>
    <w:rsid w:val="3DE23DBE"/>
    <w:rsid w:val="3DE47B36"/>
    <w:rsid w:val="3DE6740A"/>
    <w:rsid w:val="3DEC34B6"/>
    <w:rsid w:val="3DEF1757"/>
    <w:rsid w:val="3DF3200C"/>
    <w:rsid w:val="3DF73D01"/>
    <w:rsid w:val="3DF910FC"/>
    <w:rsid w:val="3DFB73CB"/>
    <w:rsid w:val="3DFC1B77"/>
    <w:rsid w:val="3E0222B5"/>
    <w:rsid w:val="3E034AC1"/>
    <w:rsid w:val="3E046F71"/>
    <w:rsid w:val="3E050A68"/>
    <w:rsid w:val="3E0850A4"/>
    <w:rsid w:val="3E104487"/>
    <w:rsid w:val="3E173A67"/>
    <w:rsid w:val="3E1E619A"/>
    <w:rsid w:val="3E216694"/>
    <w:rsid w:val="3E23240C"/>
    <w:rsid w:val="3E2E18EC"/>
    <w:rsid w:val="3E30750E"/>
    <w:rsid w:val="3E32264F"/>
    <w:rsid w:val="3E4156A5"/>
    <w:rsid w:val="3E442382"/>
    <w:rsid w:val="3E4B49E8"/>
    <w:rsid w:val="3E4B7F4E"/>
    <w:rsid w:val="3E4F68A5"/>
    <w:rsid w:val="3E573E64"/>
    <w:rsid w:val="3E5812FA"/>
    <w:rsid w:val="3E5F60A2"/>
    <w:rsid w:val="3E654386"/>
    <w:rsid w:val="3E6622F9"/>
    <w:rsid w:val="3E68529E"/>
    <w:rsid w:val="3E6B7393"/>
    <w:rsid w:val="3E6E73FF"/>
    <w:rsid w:val="3E6F5651"/>
    <w:rsid w:val="3E774F5A"/>
    <w:rsid w:val="3E77620E"/>
    <w:rsid w:val="3E7F1FE4"/>
    <w:rsid w:val="3E81287B"/>
    <w:rsid w:val="3E894239"/>
    <w:rsid w:val="3E9055C8"/>
    <w:rsid w:val="3E914969"/>
    <w:rsid w:val="3E98404E"/>
    <w:rsid w:val="3EA015EC"/>
    <w:rsid w:val="3EA1086B"/>
    <w:rsid w:val="3EAA48DB"/>
    <w:rsid w:val="3EAA6689"/>
    <w:rsid w:val="3EAC21FA"/>
    <w:rsid w:val="3EB02E2D"/>
    <w:rsid w:val="3EB24839"/>
    <w:rsid w:val="3EB35491"/>
    <w:rsid w:val="3EB8316F"/>
    <w:rsid w:val="3EB95E43"/>
    <w:rsid w:val="3EC12775"/>
    <w:rsid w:val="3EC966CF"/>
    <w:rsid w:val="3EC96C64"/>
    <w:rsid w:val="3ECA6C43"/>
    <w:rsid w:val="3ED00ECD"/>
    <w:rsid w:val="3ED03C16"/>
    <w:rsid w:val="3ED53B3C"/>
    <w:rsid w:val="3EE31EA6"/>
    <w:rsid w:val="3EE5713F"/>
    <w:rsid w:val="3EE74946"/>
    <w:rsid w:val="3EF11B92"/>
    <w:rsid w:val="3EF277F9"/>
    <w:rsid w:val="3EFC4A0B"/>
    <w:rsid w:val="3F0724A4"/>
    <w:rsid w:val="3F0D515D"/>
    <w:rsid w:val="3F0F796A"/>
    <w:rsid w:val="3F165ACD"/>
    <w:rsid w:val="3F214472"/>
    <w:rsid w:val="3F2727F8"/>
    <w:rsid w:val="3F2B77E2"/>
    <w:rsid w:val="3F2F2D8E"/>
    <w:rsid w:val="3F3271BB"/>
    <w:rsid w:val="3F3643C1"/>
    <w:rsid w:val="3F3E5024"/>
    <w:rsid w:val="3F47037C"/>
    <w:rsid w:val="3F522568"/>
    <w:rsid w:val="3F5465F5"/>
    <w:rsid w:val="3F595D3C"/>
    <w:rsid w:val="3F6B17E4"/>
    <w:rsid w:val="3F6C7DE3"/>
    <w:rsid w:val="3F7F7924"/>
    <w:rsid w:val="3F823162"/>
    <w:rsid w:val="3F8A17FF"/>
    <w:rsid w:val="3F8A350A"/>
    <w:rsid w:val="3F8A64BB"/>
    <w:rsid w:val="3F8C5D8F"/>
    <w:rsid w:val="3F8F587F"/>
    <w:rsid w:val="3FA02720"/>
    <w:rsid w:val="3FA35BA4"/>
    <w:rsid w:val="3FA94B93"/>
    <w:rsid w:val="3FAC1997"/>
    <w:rsid w:val="3FB5178A"/>
    <w:rsid w:val="3FB851E0"/>
    <w:rsid w:val="3FB911F5"/>
    <w:rsid w:val="3FC60FC8"/>
    <w:rsid w:val="3FD37E62"/>
    <w:rsid w:val="3FDD2A8F"/>
    <w:rsid w:val="3FF1653A"/>
    <w:rsid w:val="3FF30210"/>
    <w:rsid w:val="3FF51B86"/>
    <w:rsid w:val="3FFC71E9"/>
    <w:rsid w:val="3FFE33A3"/>
    <w:rsid w:val="3FFF0C57"/>
    <w:rsid w:val="40012E41"/>
    <w:rsid w:val="40094FF5"/>
    <w:rsid w:val="400D3374"/>
    <w:rsid w:val="400F34F7"/>
    <w:rsid w:val="4011166F"/>
    <w:rsid w:val="401B0998"/>
    <w:rsid w:val="40273E0D"/>
    <w:rsid w:val="40291830"/>
    <w:rsid w:val="40294F5F"/>
    <w:rsid w:val="40322C2D"/>
    <w:rsid w:val="4033280B"/>
    <w:rsid w:val="40343026"/>
    <w:rsid w:val="40354679"/>
    <w:rsid w:val="403D352D"/>
    <w:rsid w:val="40462383"/>
    <w:rsid w:val="404A78DD"/>
    <w:rsid w:val="404B1BED"/>
    <w:rsid w:val="40542B45"/>
    <w:rsid w:val="4056022A"/>
    <w:rsid w:val="405C77AF"/>
    <w:rsid w:val="406867FC"/>
    <w:rsid w:val="406B3DDC"/>
    <w:rsid w:val="406E6242"/>
    <w:rsid w:val="407221FF"/>
    <w:rsid w:val="4081341A"/>
    <w:rsid w:val="40845E58"/>
    <w:rsid w:val="40905D53"/>
    <w:rsid w:val="40907B01"/>
    <w:rsid w:val="40911C15"/>
    <w:rsid w:val="40925627"/>
    <w:rsid w:val="4093314D"/>
    <w:rsid w:val="409C765F"/>
    <w:rsid w:val="40A62914"/>
    <w:rsid w:val="40A67324"/>
    <w:rsid w:val="40A95673"/>
    <w:rsid w:val="40B732E0"/>
    <w:rsid w:val="40C15F0C"/>
    <w:rsid w:val="40C651F1"/>
    <w:rsid w:val="40C750AA"/>
    <w:rsid w:val="40CA4115"/>
    <w:rsid w:val="40CC3F40"/>
    <w:rsid w:val="40CD6321"/>
    <w:rsid w:val="40D26604"/>
    <w:rsid w:val="40DD1A68"/>
    <w:rsid w:val="40EA5463"/>
    <w:rsid w:val="40EE2715"/>
    <w:rsid w:val="40F0502E"/>
    <w:rsid w:val="40F462E2"/>
    <w:rsid w:val="40F63E08"/>
    <w:rsid w:val="40FA3575"/>
    <w:rsid w:val="40FC4E09"/>
    <w:rsid w:val="41023748"/>
    <w:rsid w:val="41035097"/>
    <w:rsid w:val="41057DE0"/>
    <w:rsid w:val="41061B71"/>
    <w:rsid w:val="410A1889"/>
    <w:rsid w:val="410B16EF"/>
    <w:rsid w:val="4117150B"/>
    <w:rsid w:val="41181366"/>
    <w:rsid w:val="411E1F15"/>
    <w:rsid w:val="41211FBB"/>
    <w:rsid w:val="41261F49"/>
    <w:rsid w:val="41272213"/>
    <w:rsid w:val="412B5304"/>
    <w:rsid w:val="413B181B"/>
    <w:rsid w:val="41443D64"/>
    <w:rsid w:val="41474664"/>
    <w:rsid w:val="41490D31"/>
    <w:rsid w:val="4151255B"/>
    <w:rsid w:val="41596145"/>
    <w:rsid w:val="415C1173"/>
    <w:rsid w:val="415C417C"/>
    <w:rsid w:val="415C4B8E"/>
    <w:rsid w:val="416319F7"/>
    <w:rsid w:val="41665ED0"/>
    <w:rsid w:val="41686388"/>
    <w:rsid w:val="41686E62"/>
    <w:rsid w:val="416A0352"/>
    <w:rsid w:val="416A0E3B"/>
    <w:rsid w:val="416C3AA9"/>
    <w:rsid w:val="416F3794"/>
    <w:rsid w:val="41717848"/>
    <w:rsid w:val="4179790B"/>
    <w:rsid w:val="417E17B0"/>
    <w:rsid w:val="417E5BAB"/>
    <w:rsid w:val="41816FB0"/>
    <w:rsid w:val="419159FB"/>
    <w:rsid w:val="419558CE"/>
    <w:rsid w:val="41AB5AEF"/>
    <w:rsid w:val="41B11ADD"/>
    <w:rsid w:val="41BD747A"/>
    <w:rsid w:val="41C23CEA"/>
    <w:rsid w:val="41C55588"/>
    <w:rsid w:val="41CD52D8"/>
    <w:rsid w:val="41CF4659"/>
    <w:rsid w:val="41DA3647"/>
    <w:rsid w:val="41E032FE"/>
    <w:rsid w:val="41E955AA"/>
    <w:rsid w:val="41EA2076"/>
    <w:rsid w:val="41EA6B81"/>
    <w:rsid w:val="41EB03C1"/>
    <w:rsid w:val="41F11145"/>
    <w:rsid w:val="41F66E4E"/>
    <w:rsid w:val="41F74508"/>
    <w:rsid w:val="41F93484"/>
    <w:rsid w:val="41F97720"/>
    <w:rsid w:val="41FB71FC"/>
    <w:rsid w:val="42017CE3"/>
    <w:rsid w:val="4202289F"/>
    <w:rsid w:val="42054128"/>
    <w:rsid w:val="420A5691"/>
    <w:rsid w:val="420A743F"/>
    <w:rsid w:val="420E42B9"/>
    <w:rsid w:val="421309EA"/>
    <w:rsid w:val="42156510"/>
    <w:rsid w:val="42181B5C"/>
    <w:rsid w:val="42345E06"/>
    <w:rsid w:val="423D3A9E"/>
    <w:rsid w:val="423D7815"/>
    <w:rsid w:val="42402E61"/>
    <w:rsid w:val="42444F4E"/>
    <w:rsid w:val="42460CEA"/>
    <w:rsid w:val="42470693"/>
    <w:rsid w:val="424C7A58"/>
    <w:rsid w:val="425778E1"/>
    <w:rsid w:val="425865D7"/>
    <w:rsid w:val="425927A2"/>
    <w:rsid w:val="425E0747"/>
    <w:rsid w:val="426869A1"/>
    <w:rsid w:val="426923B8"/>
    <w:rsid w:val="42694E0E"/>
    <w:rsid w:val="426E79CE"/>
    <w:rsid w:val="4275052D"/>
    <w:rsid w:val="427C1F15"/>
    <w:rsid w:val="427C658F"/>
    <w:rsid w:val="428223F3"/>
    <w:rsid w:val="428D2914"/>
    <w:rsid w:val="428F1165"/>
    <w:rsid w:val="42924041"/>
    <w:rsid w:val="429553A8"/>
    <w:rsid w:val="429D152F"/>
    <w:rsid w:val="429D193A"/>
    <w:rsid w:val="429F2ABC"/>
    <w:rsid w:val="42A101B2"/>
    <w:rsid w:val="42A33B1C"/>
    <w:rsid w:val="42A56425"/>
    <w:rsid w:val="42CB5B28"/>
    <w:rsid w:val="42CC1A5E"/>
    <w:rsid w:val="42D379EF"/>
    <w:rsid w:val="42FA1AFE"/>
    <w:rsid w:val="42FA74B4"/>
    <w:rsid w:val="42FC4E3E"/>
    <w:rsid w:val="42FC7811"/>
    <w:rsid w:val="430024ED"/>
    <w:rsid w:val="430240C3"/>
    <w:rsid w:val="430420E0"/>
    <w:rsid w:val="430A55F3"/>
    <w:rsid w:val="430A7235"/>
    <w:rsid w:val="430C3A34"/>
    <w:rsid w:val="430D0799"/>
    <w:rsid w:val="43104C39"/>
    <w:rsid w:val="431052A6"/>
    <w:rsid w:val="43110A35"/>
    <w:rsid w:val="431316A9"/>
    <w:rsid w:val="431762B8"/>
    <w:rsid w:val="432558D0"/>
    <w:rsid w:val="43284D8F"/>
    <w:rsid w:val="433E192A"/>
    <w:rsid w:val="43494C0B"/>
    <w:rsid w:val="434A043B"/>
    <w:rsid w:val="434B7D0F"/>
    <w:rsid w:val="434E7699"/>
    <w:rsid w:val="43507826"/>
    <w:rsid w:val="43545CBE"/>
    <w:rsid w:val="435B52E5"/>
    <w:rsid w:val="436037BB"/>
    <w:rsid w:val="436045E9"/>
    <w:rsid w:val="436B466C"/>
    <w:rsid w:val="437A6F67"/>
    <w:rsid w:val="437B18AF"/>
    <w:rsid w:val="437B6321"/>
    <w:rsid w:val="438405F4"/>
    <w:rsid w:val="43853221"/>
    <w:rsid w:val="43870782"/>
    <w:rsid w:val="438F22F2"/>
    <w:rsid w:val="43911F54"/>
    <w:rsid w:val="43945F75"/>
    <w:rsid w:val="43953029"/>
    <w:rsid w:val="439711A6"/>
    <w:rsid w:val="439A440D"/>
    <w:rsid w:val="43A01E09"/>
    <w:rsid w:val="43A959FE"/>
    <w:rsid w:val="43B14016"/>
    <w:rsid w:val="43B21B3C"/>
    <w:rsid w:val="43B55C46"/>
    <w:rsid w:val="43B5612A"/>
    <w:rsid w:val="43B74172"/>
    <w:rsid w:val="43C2420E"/>
    <w:rsid w:val="43C33D49"/>
    <w:rsid w:val="43C44A4E"/>
    <w:rsid w:val="43C75473"/>
    <w:rsid w:val="43C829BF"/>
    <w:rsid w:val="43C845CF"/>
    <w:rsid w:val="43EC65F0"/>
    <w:rsid w:val="43F34003"/>
    <w:rsid w:val="43F7602E"/>
    <w:rsid w:val="43F8634B"/>
    <w:rsid w:val="43FC6EDD"/>
    <w:rsid w:val="43FE1FA9"/>
    <w:rsid w:val="43FF74C3"/>
    <w:rsid w:val="440225A9"/>
    <w:rsid w:val="44024318"/>
    <w:rsid w:val="44095DA6"/>
    <w:rsid w:val="440B6DD5"/>
    <w:rsid w:val="441134BA"/>
    <w:rsid w:val="441B3B85"/>
    <w:rsid w:val="44201064"/>
    <w:rsid w:val="44204BAD"/>
    <w:rsid w:val="44222FDB"/>
    <w:rsid w:val="442951EE"/>
    <w:rsid w:val="44344496"/>
    <w:rsid w:val="44386523"/>
    <w:rsid w:val="4447244C"/>
    <w:rsid w:val="444B343E"/>
    <w:rsid w:val="444D254C"/>
    <w:rsid w:val="4453331F"/>
    <w:rsid w:val="445552E9"/>
    <w:rsid w:val="4458351A"/>
    <w:rsid w:val="44587386"/>
    <w:rsid w:val="445A01A7"/>
    <w:rsid w:val="445D3A4B"/>
    <w:rsid w:val="445F7F16"/>
    <w:rsid w:val="44630352"/>
    <w:rsid w:val="44692B43"/>
    <w:rsid w:val="446B02C1"/>
    <w:rsid w:val="447339C1"/>
    <w:rsid w:val="44735584"/>
    <w:rsid w:val="4481345B"/>
    <w:rsid w:val="448263D2"/>
    <w:rsid w:val="44867251"/>
    <w:rsid w:val="448D5DB8"/>
    <w:rsid w:val="4493196E"/>
    <w:rsid w:val="449B50EE"/>
    <w:rsid w:val="44A060B2"/>
    <w:rsid w:val="44A51AA3"/>
    <w:rsid w:val="44AF36CF"/>
    <w:rsid w:val="44B502DB"/>
    <w:rsid w:val="44B547FF"/>
    <w:rsid w:val="44B738AE"/>
    <w:rsid w:val="44B7395D"/>
    <w:rsid w:val="44BA6822"/>
    <w:rsid w:val="44BE6DB2"/>
    <w:rsid w:val="44C164DB"/>
    <w:rsid w:val="44D83825"/>
    <w:rsid w:val="44D911BB"/>
    <w:rsid w:val="44DA3834"/>
    <w:rsid w:val="44DC3315"/>
    <w:rsid w:val="44E73547"/>
    <w:rsid w:val="44EB79FC"/>
    <w:rsid w:val="44F729BA"/>
    <w:rsid w:val="44F87A23"/>
    <w:rsid w:val="44FB4294"/>
    <w:rsid w:val="44FC7513"/>
    <w:rsid w:val="4504697C"/>
    <w:rsid w:val="45222610"/>
    <w:rsid w:val="45284329"/>
    <w:rsid w:val="4532123D"/>
    <w:rsid w:val="45382B8C"/>
    <w:rsid w:val="453C1FC5"/>
    <w:rsid w:val="453C7530"/>
    <w:rsid w:val="453D23A7"/>
    <w:rsid w:val="45405164"/>
    <w:rsid w:val="454113CA"/>
    <w:rsid w:val="454600A2"/>
    <w:rsid w:val="45477B61"/>
    <w:rsid w:val="454A66F4"/>
    <w:rsid w:val="454B2248"/>
    <w:rsid w:val="454B4708"/>
    <w:rsid w:val="45502BEA"/>
    <w:rsid w:val="456357E4"/>
    <w:rsid w:val="456569F7"/>
    <w:rsid w:val="457019F1"/>
    <w:rsid w:val="457479F1"/>
    <w:rsid w:val="45771049"/>
    <w:rsid w:val="457833C8"/>
    <w:rsid w:val="45791ADB"/>
    <w:rsid w:val="457C2402"/>
    <w:rsid w:val="4580055A"/>
    <w:rsid w:val="45801B9A"/>
    <w:rsid w:val="45825359"/>
    <w:rsid w:val="45853741"/>
    <w:rsid w:val="458551C6"/>
    <w:rsid w:val="45855E9B"/>
    <w:rsid w:val="458A38DA"/>
    <w:rsid w:val="45901303"/>
    <w:rsid w:val="45912351"/>
    <w:rsid w:val="459260C9"/>
    <w:rsid w:val="459A7709"/>
    <w:rsid w:val="459B6D2C"/>
    <w:rsid w:val="459E4EE0"/>
    <w:rsid w:val="45A1630C"/>
    <w:rsid w:val="45AC0F39"/>
    <w:rsid w:val="45BB117C"/>
    <w:rsid w:val="45C07176"/>
    <w:rsid w:val="45C22B11"/>
    <w:rsid w:val="45C2748B"/>
    <w:rsid w:val="45C40CF1"/>
    <w:rsid w:val="45C7324C"/>
    <w:rsid w:val="45CA2142"/>
    <w:rsid w:val="45CF62EB"/>
    <w:rsid w:val="45CF6FE6"/>
    <w:rsid w:val="45D36AA0"/>
    <w:rsid w:val="45D80932"/>
    <w:rsid w:val="45DA4AF1"/>
    <w:rsid w:val="45DD7344"/>
    <w:rsid w:val="45E3144D"/>
    <w:rsid w:val="45EF6CC2"/>
    <w:rsid w:val="45F15CCF"/>
    <w:rsid w:val="45F90B02"/>
    <w:rsid w:val="45FD643C"/>
    <w:rsid w:val="4601278A"/>
    <w:rsid w:val="460551BB"/>
    <w:rsid w:val="460807AA"/>
    <w:rsid w:val="460C19D8"/>
    <w:rsid w:val="460D2E7A"/>
    <w:rsid w:val="461A0599"/>
    <w:rsid w:val="4621769E"/>
    <w:rsid w:val="462211FB"/>
    <w:rsid w:val="46250CEB"/>
    <w:rsid w:val="462945E0"/>
    <w:rsid w:val="46313695"/>
    <w:rsid w:val="463A12D0"/>
    <w:rsid w:val="463E4552"/>
    <w:rsid w:val="46440AE2"/>
    <w:rsid w:val="464523D6"/>
    <w:rsid w:val="46482343"/>
    <w:rsid w:val="464B61C6"/>
    <w:rsid w:val="464C0026"/>
    <w:rsid w:val="464F1FEB"/>
    <w:rsid w:val="465364F1"/>
    <w:rsid w:val="46571904"/>
    <w:rsid w:val="465B045A"/>
    <w:rsid w:val="465C6464"/>
    <w:rsid w:val="465D66D7"/>
    <w:rsid w:val="466435C2"/>
    <w:rsid w:val="466C27B5"/>
    <w:rsid w:val="467001B9"/>
    <w:rsid w:val="467416E9"/>
    <w:rsid w:val="46767799"/>
    <w:rsid w:val="46775747"/>
    <w:rsid w:val="467A0BB9"/>
    <w:rsid w:val="467B3CF3"/>
    <w:rsid w:val="46817CD6"/>
    <w:rsid w:val="46900685"/>
    <w:rsid w:val="46911EDD"/>
    <w:rsid w:val="469D0882"/>
    <w:rsid w:val="46A0464B"/>
    <w:rsid w:val="46A10B7A"/>
    <w:rsid w:val="46AF508A"/>
    <w:rsid w:val="46B01609"/>
    <w:rsid w:val="46B876F4"/>
    <w:rsid w:val="46C04479"/>
    <w:rsid w:val="46C05B3F"/>
    <w:rsid w:val="46C33871"/>
    <w:rsid w:val="46C86140"/>
    <w:rsid w:val="46CB3641"/>
    <w:rsid w:val="46CC1167"/>
    <w:rsid w:val="46D544C0"/>
    <w:rsid w:val="46E94D99"/>
    <w:rsid w:val="46F10BCE"/>
    <w:rsid w:val="46F51AA8"/>
    <w:rsid w:val="46F67E99"/>
    <w:rsid w:val="46F819D7"/>
    <w:rsid w:val="46FA5CD4"/>
    <w:rsid w:val="46FB49DC"/>
    <w:rsid w:val="470075FB"/>
    <w:rsid w:val="47017980"/>
    <w:rsid w:val="47060B41"/>
    <w:rsid w:val="470E02AC"/>
    <w:rsid w:val="471262FE"/>
    <w:rsid w:val="47173C04"/>
    <w:rsid w:val="471E5E67"/>
    <w:rsid w:val="471E7C15"/>
    <w:rsid w:val="472410E3"/>
    <w:rsid w:val="47254111"/>
    <w:rsid w:val="47282841"/>
    <w:rsid w:val="472B2331"/>
    <w:rsid w:val="473867FC"/>
    <w:rsid w:val="473D3E13"/>
    <w:rsid w:val="474927B8"/>
    <w:rsid w:val="474B2C24"/>
    <w:rsid w:val="474C4E9C"/>
    <w:rsid w:val="474C591F"/>
    <w:rsid w:val="474D28D2"/>
    <w:rsid w:val="47574ED5"/>
    <w:rsid w:val="475F022D"/>
    <w:rsid w:val="477A3E8E"/>
    <w:rsid w:val="4780351F"/>
    <w:rsid w:val="478A1520"/>
    <w:rsid w:val="478D4D9A"/>
    <w:rsid w:val="47917722"/>
    <w:rsid w:val="479912F6"/>
    <w:rsid w:val="479D48F7"/>
    <w:rsid w:val="47A520E4"/>
    <w:rsid w:val="47A75FA1"/>
    <w:rsid w:val="47A83221"/>
    <w:rsid w:val="47AA76FA"/>
    <w:rsid w:val="47AF6ABF"/>
    <w:rsid w:val="47B57546"/>
    <w:rsid w:val="47BA5463"/>
    <w:rsid w:val="47C3155A"/>
    <w:rsid w:val="47C36A0E"/>
    <w:rsid w:val="47C61E24"/>
    <w:rsid w:val="47CE4C7D"/>
    <w:rsid w:val="47D34163"/>
    <w:rsid w:val="47D35790"/>
    <w:rsid w:val="47EB386F"/>
    <w:rsid w:val="47F7474E"/>
    <w:rsid w:val="47FB7F56"/>
    <w:rsid w:val="480534F6"/>
    <w:rsid w:val="4809385D"/>
    <w:rsid w:val="481053FB"/>
    <w:rsid w:val="48111527"/>
    <w:rsid w:val="48147269"/>
    <w:rsid w:val="48160EBD"/>
    <w:rsid w:val="48176AAA"/>
    <w:rsid w:val="481E4F70"/>
    <w:rsid w:val="481F684B"/>
    <w:rsid w:val="4820195D"/>
    <w:rsid w:val="482136D6"/>
    <w:rsid w:val="482252E7"/>
    <w:rsid w:val="48252737"/>
    <w:rsid w:val="48272AF9"/>
    <w:rsid w:val="482B5ECF"/>
    <w:rsid w:val="482C6361"/>
    <w:rsid w:val="483720F7"/>
    <w:rsid w:val="483A3441"/>
    <w:rsid w:val="483C3691"/>
    <w:rsid w:val="48425B85"/>
    <w:rsid w:val="4842688A"/>
    <w:rsid w:val="484336AB"/>
    <w:rsid w:val="48435B96"/>
    <w:rsid w:val="484569E9"/>
    <w:rsid w:val="484622AA"/>
    <w:rsid w:val="48474CBD"/>
    <w:rsid w:val="484A1AFC"/>
    <w:rsid w:val="484D5CE1"/>
    <w:rsid w:val="4851024F"/>
    <w:rsid w:val="485151BB"/>
    <w:rsid w:val="48535370"/>
    <w:rsid w:val="485435FA"/>
    <w:rsid w:val="4859093F"/>
    <w:rsid w:val="485B27A2"/>
    <w:rsid w:val="485D2F2D"/>
    <w:rsid w:val="48653621"/>
    <w:rsid w:val="4867383D"/>
    <w:rsid w:val="48691363"/>
    <w:rsid w:val="48733F90"/>
    <w:rsid w:val="487E6FFC"/>
    <w:rsid w:val="488013D8"/>
    <w:rsid w:val="488979C5"/>
    <w:rsid w:val="488B208B"/>
    <w:rsid w:val="488C78BF"/>
    <w:rsid w:val="48981C49"/>
    <w:rsid w:val="48992CBF"/>
    <w:rsid w:val="48AC1250"/>
    <w:rsid w:val="48B34706"/>
    <w:rsid w:val="48B86D48"/>
    <w:rsid w:val="48BC44DB"/>
    <w:rsid w:val="48C227BA"/>
    <w:rsid w:val="48C26CC5"/>
    <w:rsid w:val="48C56ED1"/>
    <w:rsid w:val="48C63320"/>
    <w:rsid w:val="48CB5B7A"/>
    <w:rsid w:val="48CC544E"/>
    <w:rsid w:val="48D013E2"/>
    <w:rsid w:val="48D16F09"/>
    <w:rsid w:val="48D41966"/>
    <w:rsid w:val="48DA5DBD"/>
    <w:rsid w:val="48EA3CA3"/>
    <w:rsid w:val="48EB30B5"/>
    <w:rsid w:val="48EF3D26"/>
    <w:rsid w:val="48F84A3C"/>
    <w:rsid w:val="48FA6C7D"/>
    <w:rsid w:val="48FB3AF8"/>
    <w:rsid w:val="48FD385A"/>
    <w:rsid w:val="49050CAD"/>
    <w:rsid w:val="4906782A"/>
    <w:rsid w:val="490746D8"/>
    <w:rsid w:val="49077251"/>
    <w:rsid w:val="490A79AC"/>
    <w:rsid w:val="490C57F8"/>
    <w:rsid w:val="49107A31"/>
    <w:rsid w:val="49167EA7"/>
    <w:rsid w:val="491D05DF"/>
    <w:rsid w:val="491F23FF"/>
    <w:rsid w:val="49201912"/>
    <w:rsid w:val="49251D4C"/>
    <w:rsid w:val="492B7D0F"/>
    <w:rsid w:val="493279A7"/>
    <w:rsid w:val="49352C9B"/>
    <w:rsid w:val="4936256D"/>
    <w:rsid w:val="49395F0F"/>
    <w:rsid w:val="493C508A"/>
    <w:rsid w:val="493C6A78"/>
    <w:rsid w:val="49407735"/>
    <w:rsid w:val="494B6B16"/>
    <w:rsid w:val="494F4B15"/>
    <w:rsid w:val="495039F0"/>
    <w:rsid w:val="49583186"/>
    <w:rsid w:val="495E5C39"/>
    <w:rsid w:val="495F0611"/>
    <w:rsid w:val="49602898"/>
    <w:rsid w:val="496164DE"/>
    <w:rsid w:val="4970134C"/>
    <w:rsid w:val="497043A0"/>
    <w:rsid w:val="49706D97"/>
    <w:rsid w:val="49755AE6"/>
    <w:rsid w:val="4977314E"/>
    <w:rsid w:val="497E05A8"/>
    <w:rsid w:val="498225C8"/>
    <w:rsid w:val="498248ED"/>
    <w:rsid w:val="498850C5"/>
    <w:rsid w:val="498B4939"/>
    <w:rsid w:val="498F6A02"/>
    <w:rsid w:val="49904FB7"/>
    <w:rsid w:val="499457CE"/>
    <w:rsid w:val="49A339A6"/>
    <w:rsid w:val="49B34935"/>
    <w:rsid w:val="49B93C25"/>
    <w:rsid w:val="49BE6C6F"/>
    <w:rsid w:val="49D15373"/>
    <w:rsid w:val="49D15D84"/>
    <w:rsid w:val="49D96DED"/>
    <w:rsid w:val="49DD6553"/>
    <w:rsid w:val="49E07403"/>
    <w:rsid w:val="49E1317B"/>
    <w:rsid w:val="49E441E2"/>
    <w:rsid w:val="49E65892"/>
    <w:rsid w:val="49EB5DA8"/>
    <w:rsid w:val="49ED5B47"/>
    <w:rsid w:val="49EF7B64"/>
    <w:rsid w:val="49F25388"/>
    <w:rsid w:val="49F63520"/>
    <w:rsid w:val="4A0B5513"/>
    <w:rsid w:val="4A121587"/>
    <w:rsid w:val="4A1D4168"/>
    <w:rsid w:val="4A1E18DE"/>
    <w:rsid w:val="4A21503A"/>
    <w:rsid w:val="4A2638AF"/>
    <w:rsid w:val="4A295A54"/>
    <w:rsid w:val="4A2D2BE4"/>
    <w:rsid w:val="4A345DAE"/>
    <w:rsid w:val="4A3D1372"/>
    <w:rsid w:val="4A4200BE"/>
    <w:rsid w:val="4A486E08"/>
    <w:rsid w:val="4A4F27DB"/>
    <w:rsid w:val="4A555A5C"/>
    <w:rsid w:val="4A5D6430"/>
    <w:rsid w:val="4A5E2A1E"/>
    <w:rsid w:val="4A6412CC"/>
    <w:rsid w:val="4A673438"/>
    <w:rsid w:val="4A6A6669"/>
    <w:rsid w:val="4A75006D"/>
    <w:rsid w:val="4A7579D8"/>
    <w:rsid w:val="4A774094"/>
    <w:rsid w:val="4A7B35D0"/>
    <w:rsid w:val="4A7E09CA"/>
    <w:rsid w:val="4A80346C"/>
    <w:rsid w:val="4A852437"/>
    <w:rsid w:val="4A861B98"/>
    <w:rsid w:val="4A873D23"/>
    <w:rsid w:val="4A895CED"/>
    <w:rsid w:val="4A951F1B"/>
    <w:rsid w:val="4A993A56"/>
    <w:rsid w:val="4A9B157C"/>
    <w:rsid w:val="4AA10770"/>
    <w:rsid w:val="4AA73424"/>
    <w:rsid w:val="4AA743C5"/>
    <w:rsid w:val="4AAC5537"/>
    <w:rsid w:val="4AAF5028"/>
    <w:rsid w:val="4AB12B4E"/>
    <w:rsid w:val="4AB3441B"/>
    <w:rsid w:val="4AB87F21"/>
    <w:rsid w:val="4ABB39CC"/>
    <w:rsid w:val="4ABC535F"/>
    <w:rsid w:val="4AC07F8F"/>
    <w:rsid w:val="4AC25450"/>
    <w:rsid w:val="4AC625EB"/>
    <w:rsid w:val="4AC62A9D"/>
    <w:rsid w:val="4AD326A0"/>
    <w:rsid w:val="4AD7068A"/>
    <w:rsid w:val="4AD75757"/>
    <w:rsid w:val="4AD8632C"/>
    <w:rsid w:val="4ADB5E1D"/>
    <w:rsid w:val="4ADB7BCB"/>
    <w:rsid w:val="4AE125D5"/>
    <w:rsid w:val="4AE95EE1"/>
    <w:rsid w:val="4AEB2504"/>
    <w:rsid w:val="4AEE5B50"/>
    <w:rsid w:val="4AEE78FE"/>
    <w:rsid w:val="4AF37469"/>
    <w:rsid w:val="4AF862A5"/>
    <w:rsid w:val="4B013AD5"/>
    <w:rsid w:val="4B0506D8"/>
    <w:rsid w:val="4B0B6702"/>
    <w:rsid w:val="4B136D6D"/>
    <w:rsid w:val="4B164768"/>
    <w:rsid w:val="4B180E1F"/>
    <w:rsid w:val="4B1B0C83"/>
    <w:rsid w:val="4B1B794C"/>
    <w:rsid w:val="4B1C2E55"/>
    <w:rsid w:val="4B1D4687"/>
    <w:rsid w:val="4B2012ED"/>
    <w:rsid w:val="4B2E1E22"/>
    <w:rsid w:val="4B3043BA"/>
    <w:rsid w:val="4B313C8F"/>
    <w:rsid w:val="4B320132"/>
    <w:rsid w:val="4B350574"/>
    <w:rsid w:val="4B353F1B"/>
    <w:rsid w:val="4B3625D7"/>
    <w:rsid w:val="4B43392A"/>
    <w:rsid w:val="4B475260"/>
    <w:rsid w:val="4B481ACB"/>
    <w:rsid w:val="4B583528"/>
    <w:rsid w:val="4B6628D4"/>
    <w:rsid w:val="4B67055E"/>
    <w:rsid w:val="4B6776B0"/>
    <w:rsid w:val="4B683B54"/>
    <w:rsid w:val="4B7324F9"/>
    <w:rsid w:val="4B7778F3"/>
    <w:rsid w:val="4B840262"/>
    <w:rsid w:val="4B8502B7"/>
    <w:rsid w:val="4B876623"/>
    <w:rsid w:val="4B8B5AB3"/>
    <w:rsid w:val="4B901A3F"/>
    <w:rsid w:val="4B904E59"/>
    <w:rsid w:val="4B910F90"/>
    <w:rsid w:val="4B9E1324"/>
    <w:rsid w:val="4B9F5FE4"/>
    <w:rsid w:val="4BA861F3"/>
    <w:rsid w:val="4BAF3150"/>
    <w:rsid w:val="4BAF5523"/>
    <w:rsid w:val="4BB32C9E"/>
    <w:rsid w:val="4BB5500A"/>
    <w:rsid w:val="4BB84D14"/>
    <w:rsid w:val="4BCC6C16"/>
    <w:rsid w:val="4BD905AE"/>
    <w:rsid w:val="4BDE0179"/>
    <w:rsid w:val="4BDE2069"/>
    <w:rsid w:val="4BDF77A8"/>
    <w:rsid w:val="4BE348AB"/>
    <w:rsid w:val="4BE52506"/>
    <w:rsid w:val="4BE60F1D"/>
    <w:rsid w:val="4BFB073B"/>
    <w:rsid w:val="4BFC1F47"/>
    <w:rsid w:val="4C172533"/>
    <w:rsid w:val="4C172E84"/>
    <w:rsid w:val="4C2744F4"/>
    <w:rsid w:val="4C296917"/>
    <w:rsid w:val="4C2A4D76"/>
    <w:rsid w:val="4C2C2DD4"/>
    <w:rsid w:val="4C2C4B82"/>
    <w:rsid w:val="4C30524F"/>
    <w:rsid w:val="4C307622"/>
    <w:rsid w:val="4C431ECB"/>
    <w:rsid w:val="4C483B0E"/>
    <w:rsid w:val="4C4A5008"/>
    <w:rsid w:val="4C4F6AC2"/>
    <w:rsid w:val="4C524267"/>
    <w:rsid w:val="4C5260E7"/>
    <w:rsid w:val="4C526E21"/>
    <w:rsid w:val="4C54106F"/>
    <w:rsid w:val="4C565B97"/>
    <w:rsid w:val="4C5927E4"/>
    <w:rsid w:val="4C59349D"/>
    <w:rsid w:val="4C5C2CEC"/>
    <w:rsid w:val="4C6836E0"/>
    <w:rsid w:val="4C6A56AA"/>
    <w:rsid w:val="4C6D1B20"/>
    <w:rsid w:val="4C6D6F48"/>
    <w:rsid w:val="4C716A38"/>
    <w:rsid w:val="4C8C1845"/>
    <w:rsid w:val="4C905E16"/>
    <w:rsid w:val="4C9255A1"/>
    <w:rsid w:val="4C9347F7"/>
    <w:rsid w:val="4C961325"/>
    <w:rsid w:val="4C9B0624"/>
    <w:rsid w:val="4C9E4260"/>
    <w:rsid w:val="4CA5016D"/>
    <w:rsid w:val="4CA843B8"/>
    <w:rsid w:val="4CA94424"/>
    <w:rsid w:val="4CB31EC8"/>
    <w:rsid w:val="4CBC2E49"/>
    <w:rsid w:val="4CC910F8"/>
    <w:rsid w:val="4CCC06EB"/>
    <w:rsid w:val="4CD01503"/>
    <w:rsid w:val="4CD40D75"/>
    <w:rsid w:val="4CD55219"/>
    <w:rsid w:val="4CE52274"/>
    <w:rsid w:val="4CE70AA9"/>
    <w:rsid w:val="4CE76CFB"/>
    <w:rsid w:val="4CE96B33"/>
    <w:rsid w:val="4CF63519"/>
    <w:rsid w:val="4CF93305"/>
    <w:rsid w:val="4CFE0A31"/>
    <w:rsid w:val="4CFF4CB4"/>
    <w:rsid w:val="4D055698"/>
    <w:rsid w:val="4D0611AF"/>
    <w:rsid w:val="4D0F29E3"/>
    <w:rsid w:val="4D0F7F46"/>
    <w:rsid w:val="4D1406C0"/>
    <w:rsid w:val="4D156152"/>
    <w:rsid w:val="4D1644A2"/>
    <w:rsid w:val="4D167536"/>
    <w:rsid w:val="4D1C331F"/>
    <w:rsid w:val="4D1D096E"/>
    <w:rsid w:val="4D21045F"/>
    <w:rsid w:val="4D28647C"/>
    <w:rsid w:val="4D304CE7"/>
    <w:rsid w:val="4D337FD9"/>
    <w:rsid w:val="4D381FAE"/>
    <w:rsid w:val="4D3B2BA3"/>
    <w:rsid w:val="4D3D691B"/>
    <w:rsid w:val="4D50664E"/>
    <w:rsid w:val="4D513EF1"/>
    <w:rsid w:val="4D5E485D"/>
    <w:rsid w:val="4D6131DF"/>
    <w:rsid w:val="4D644BC2"/>
    <w:rsid w:val="4D761E2D"/>
    <w:rsid w:val="4D786CEC"/>
    <w:rsid w:val="4D7D60F2"/>
    <w:rsid w:val="4D903641"/>
    <w:rsid w:val="4D92310A"/>
    <w:rsid w:val="4D924EB8"/>
    <w:rsid w:val="4D926C66"/>
    <w:rsid w:val="4D9549A9"/>
    <w:rsid w:val="4D961F79"/>
    <w:rsid w:val="4D9925A0"/>
    <w:rsid w:val="4D994499"/>
    <w:rsid w:val="4D997446"/>
    <w:rsid w:val="4D9E569F"/>
    <w:rsid w:val="4D9F4818"/>
    <w:rsid w:val="4DA4699A"/>
    <w:rsid w:val="4DAC3BC5"/>
    <w:rsid w:val="4DAE33E7"/>
    <w:rsid w:val="4DB02907"/>
    <w:rsid w:val="4DB637CE"/>
    <w:rsid w:val="4DBA2A12"/>
    <w:rsid w:val="4DBC3CE3"/>
    <w:rsid w:val="4DC25EA9"/>
    <w:rsid w:val="4DC40DEA"/>
    <w:rsid w:val="4DC42A8D"/>
    <w:rsid w:val="4DCC1D1E"/>
    <w:rsid w:val="4DD059E1"/>
    <w:rsid w:val="4DD21759"/>
    <w:rsid w:val="4DD83BC4"/>
    <w:rsid w:val="4DE1199C"/>
    <w:rsid w:val="4DE4323A"/>
    <w:rsid w:val="4DE65C56"/>
    <w:rsid w:val="4DED20EF"/>
    <w:rsid w:val="4DEF40B9"/>
    <w:rsid w:val="4DF10760"/>
    <w:rsid w:val="4DF47921"/>
    <w:rsid w:val="4E0458D0"/>
    <w:rsid w:val="4E0833CC"/>
    <w:rsid w:val="4E105DDD"/>
    <w:rsid w:val="4E10770C"/>
    <w:rsid w:val="4E123098"/>
    <w:rsid w:val="4E1D173A"/>
    <w:rsid w:val="4E1D546A"/>
    <w:rsid w:val="4E1F4272"/>
    <w:rsid w:val="4E1F74A3"/>
    <w:rsid w:val="4E2161A7"/>
    <w:rsid w:val="4E2B0E45"/>
    <w:rsid w:val="4E3221F7"/>
    <w:rsid w:val="4E347D1E"/>
    <w:rsid w:val="4E37780E"/>
    <w:rsid w:val="4E46762C"/>
    <w:rsid w:val="4E493F5E"/>
    <w:rsid w:val="4E515574"/>
    <w:rsid w:val="4E516FF8"/>
    <w:rsid w:val="4E5D2B87"/>
    <w:rsid w:val="4E61632A"/>
    <w:rsid w:val="4E661EA1"/>
    <w:rsid w:val="4E66734D"/>
    <w:rsid w:val="4E6A17B3"/>
    <w:rsid w:val="4E6A373F"/>
    <w:rsid w:val="4E6C5709"/>
    <w:rsid w:val="4E6F51FA"/>
    <w:rsid w:val="4E775E5C"/>
    <w:rsid w:val="4E7B3534"/>
    <w:rsid w:val="4E7D229F"/>
    <w:rsid w:val="4E8642F1"/>
    <w:rsid w:val="4E8A3F38"/>
    <w:rsid w:val="4E8B072C"/>
    <w:rsid w:val="4E8E7451"/>
    <w:rsid w:val="4E8F502C"/>
    <w:rsid w:val="4E8F7D58"/>
    <w:rsid w:val="4E914B9B"/>
    <w:rsid w:val="4E9A5B0F"/>
    <w:rsid w:val="4EA12ED9"/>
    <w:rsid w:val="4EA66C09"/>
    <w:rsid w:val="4EB175C0"/>
    <w:rsid w:val="4EB628A4"/>
    <w:rsid w:val="4EC06A0D"/>
    <w:rsid w:val="4EC2357B"/>
    <w:rsid w:val="4EC72940"/>
    <w:rsid w:val="4ECC43FA"/>
    <w:rsid w:val="4ECC4D51"/>
    <w:rsid w:val="4ED05DD6"/>
    <w:rsid w:val="4ED072DF"/>
    <w:rsid w:val="4ED47209"/>
    <w:rsid w:val="4ED665E7"/>
    <w:rsid w:val="4EDE5EDB"/>
    <w:rsid w:val="4EDF376B"/>
    <w:rsid w:val="4EF061C5"/>
    <w:rsid w:val="4EF13E61"/>
    <w:rsid w:val="4EF17EE5"/>
    <w:rsid w:val="4EF3571C"/>
    <w:rsid w:val="4EFE032C"/>
    <w:rsid w:val="4EFF5071"/>
    <w:rsid w:val="4EFF657E"/>
    <w:rsid w:val="4F047E64"/>
    <w:rsid w:val="4F063A0B"/>
    <w:rsid w:val="4F0771E0"/>
    <w:rsid w:val="4F0A4221"/>
    <w:rsid w:val="4F0D4CCC"/>
    <w:rsid w:val="4F0E2788"/>
    <w:rsid w:val="4F107C57"/>
    <w:rsid w:val="4F13186D"/>
    <w:rsid w:val="4F18763F"/>
    <w:rsid w:val="4F1D1E74"/>
    <w:rsid w:val="4F1D6A04"/>
    <w:rsid w:val="4F2558B8"/>
    <w:rsid w:val="4F2F4D16"/>
    <w:rsid w:val="4F30219D"/>
    <w:rsid w:val="4F311899"/>
    <w:rsid w:val="4F343D4D"/>
    <w:rsid w:val="4F3E18FD"/>
    <w:rsid w:val="4F4026F2"/>
    <w:rsid w:val="4F440C33"/>
    <w:rsid w:val="4F455F5A"/>
    <w:rsid w:val="4F4605C3"/>
    <w:rsid w:val="4F4835FB"/>
    <w:rsid w:val="4F4C5721"/>
    <w:rsid w:val="4F5128E1"/>
    <w:rsid w:val="4F526C80"/>
    <w:rsid w:val="4F560A85"/>
    <w:rsid w:val="4F630935"/>
    <w:rsid w:val="4F6775E4"/>
    <w:rsid w:val="4F7B3317"/>
    <w:rsid w:val="4F7F3C30"/>
    <w:rsid w:val="4F800C22"/>
    <w:rsid w:val="4F8151E4"/>
    <w:rsid w:val="4F870B06"/>
    <w:rsid w:val="4F89790F"/>
    <w:rsid w:val="4F8C5937"/>
    <w:rsid w:val="4F8E3B7F"/>
    <w:rsid w:val="4F9C2D1F"/>
    <w:rsid w:val="4F9E7BDE"/>
    <w:rsid w:val="4F9F20A5"/>
    <w:rsid w:val="4FA41C5B"/>
    <w:rsid w:val="4FA47D95"/>
    <w:rsid w:val="4FA933A2"/>
    <w:rsid w:val="4FA9656C"/>
    <w:rsid w:val="4FAB565E"/>
    <w:rsid w:val="4FAF50EC"/>
    <w:rsid w:val="4FBA6948"/>
    <w:rsid w:val="4FBE05CD"/>
    <w:rsid w:val="4FBE7234"/>
    <w:rsid w:val="4FBF5D0D"/>
    <w:rsid w:val="4FC32F05"/>
    <w:rsid w:val="4FCC48AC"/>
    <w:rsid w:val="4FD73056"/>
    <w:rsid w:val="4FD84670"/>
    <w:rsid w:val="4FDF015D"/>
    <w:rsid w:val="4FE21EDC"/>
    <w:rsid w:val="4FE419CE"/>
    <w:rsid w:val="4FE71966"/>
    <w:rsid w:val="4FED287A"/>
    <w:rsid w:val="4FF01B09"/>
    <w:rsid w:val="4FF0236A"/>
    <w:rsid w:val="4FF3303B"/>
    <w:rsid w:val="4FF94900"/>
    <w:rsid w:val="4FFB2B57"/>
    <w:rsid w:val="50083210"/>
    <w:rsid w:val="50094D4F"/>
    <w:rsid w:val="501222E0"/>
    <w:rsid w:val="502A3165"/>
    <w:rsid w:val="50301046"/>
    <w:rsid w:val="50354221"/>
    <w:rsid w:val="50362872"/>
    <w:rsid w:val="503A34B1"/>
    <w:rsid w:val="503C4584"/>
    <w:rsid w:val="503E5A15"/>
    <w:rsid w:val="504F30C9"/>
    <w:rsid w:val="50571CEF"/>
    <w:rsid w:val="505919F5"/>
    <w:rsid w:val="505B0EE4"/>
    <w:rsid w:val="506107D9"/>
    <w:rsid w:val="50616D46"/>
    <w:rsid w:val="5067058D"/>
    <w:rsid w:val="507B0E89"/>
    <w:rsid w:val="507C20FC"/>
    <w:rsid w:val="507F0A30"/>
    <w:rsid w:val="508A47CF"/>
    <w:rsid w:val="508E1939"/>
    <w:rsid w:val="508E76EB"/>
    <w:rsid w:val="5093138D"/>
    <w:rsid w:val="50945EAB"/>
    <w:rsid w:val="509A6EA1"/>
    <w:rsid w:val="509C249C"/>
    <w:rsid w:val="509F1447"/>
    <w:rsid w:val="50AD2009"/>
    <w:rsid w:val="50AE5DFE"/>
    <w:rsid w:val="50B817FF"/>
    <w:rsid w:val="50C35389"/>
    <w:rsid w:val="50C55AFE"/>
    <w:rsid w:val="50CF219C"/>
    <w:rsid w:val="50CF59F6"/>
    <w:rsid w:val="50D15111"/>
    <w:rsid w:val="50D47596"/>
    <w:rsid w:val="50E13A61"/>
    <w:rsid w:val="50E61077"/>
    <w:rsid w:val="50EB6AB9"/>
    <w:rsid w:val="50EF0EA9"/>
    <w:rsid w:val="50EF1AB0"/>
    <w:rsid w:val="50F43794"/>
    <w:rsid w:val="51030AB4"/>
    <w:rsid w:val="51031C29"/>
    <w:rsid w:val="51064320"/>
    <w:rsid w:val="510734C7"/>
    <w:rsid w:val="510E2CFD"/>
    <w:rsid w:val="510E3376"/>
    <w:rsid w:val="51113F4B"/>
    <w:rsid w:val="51240CF1"/>
    <w:rsid w:val="51293BDD"/>
    <w:rsid w:val="512E0729"/>
    <w:rsid w:val="513930FB"/>
    <w:rsid w:val="513B7615"/>
    <w:rsid w:val="513E41A7"/>
    <w:rsid w:val="51412678"/>
    <w:rsid w:val="51466ECA"/>
    <w:rsid w:val="5147420C"/>
    <w:rsid w:val="515D3A2F"/>
    <w:rsid w:val="515D4421"/>
    <w:rsid w:val="515D5ECD"/>
    <w:rsid w:val="51660CCD"/>
    <w:rsid w:val="51694182"/>
    <w:rsid w:val="516A1CA8"/>
    <w:rsid w:val="51730B5D"/>
    <w:rsid w:val="5182239F"/>
    <w:rsid w:val="518F5863"/>
    <w:rsid w:val="51907961"/>
    <w:rsid w:val="519311FF"/>
    <w:rsid w:val="519515F0"/>
    <w:rsid w:val="519B5AC3"/>
    <w:rsid w:val="519D0CAA"/>
    <w:rsid w:val="519D1EA5"/>
    <w:rsid w:val="51A44A95"/>
    <w:rsid w:val="51A97DC4"/>
    <w:rsid w:val="51AC0EFB"/>
    <w:rsid w:val="51AC41BA"/>
    <w:rsid w:val="51AE133D"/>
    <w:rsid w:val="51B01DB1"/>
    <w:rsid w:val="51B15B29"/>
    <w:rsid w:val="51B27AEE"/>
    <w:rsid w:val="51B856C6"/>
    <w:rsid w:val="51CC6F2E"/>
    <w:rsid w:val="51D05FAF"/>
    <w:rsid w:val="51DF1C29"/>
    <w:rsid w:val="51E101BC"/>
    <w:rsid w:val="51E26DF6"/>
    <w:rsid w:val="51E279EE"/>
    <w:rsid w:val="51F85506"/>
    <w:rsid w:val="52026112"/>
    <w:rsid w:val="521A1642"/>
    <w:rsid w:val="52241694"/>
    <w:rsid w:val="52263E21"/>
    <w:rsid w:val="52271947"/>
    <w:rsid w:val="5229185E"/>
    <w:rsid w:val="522B1438"/>
    <w:rsid w:val="522D5360"/>
    <w:rsid w:val="522F79E2"/>
    <w:rsid w:val="52306A4E"/>
    <w:rsid w:val="52344790"/>
    <w:rsid w:val="5237134C"/>
    <w:rsid w:val="52374280"/>
    <w:rsid w:val="52383E94"/>
    <w:rsid w:val="523A5673"/>
    <w:rsid w:val="523E12B7"/>
    <w:rsid w:val="52440E04"/>
    <w:rsid w:val="52564698"/>
    <w:rsid w:val="5257047F"/>
    <w:rsid w:val="525E3943"/>
    <w:rsid w:val="525F2D53"/>
    <w:rsid w:val="52604D8C"/>
    <w:rsid w:val="52631544"/>
    <w:rsid w:val="526A4336"/>
    <w:rsid w:val="526A53C9"/>
    <w:rsid w:val="526C7420"/>
    <w:rsid w:val="52736F6F"/>
    <w:rsid w:val="52797D38"/>
    <w:rsid w:val="527E0DBE"/>
    <w:rsid w:val="52805C53"/>
    <w:rsid w:val="5281184F"/>
    <w:rsid w:val="52820760"/>
    <w:rsid w:val="5287044A"/>
    <w:rsid w:val="5288594B"/>
    <w:rsid w:val="528B3111"/>
    <w:rsid w:val="528D3E39"/>
    <w:rsid w:val="528E6060"/>
    <w:rsid w:val="529918DD"/>
    <w:rsid w:val="52A07821"/>
    <w:rsid w:val="52A54C25"/>
    <w:rsid w:val="52A804D2"/>
    <w:rsid w:val="52AB4326"/>
    <w:rsid w:val="52B16163"/>
    <w:rsid w:val="52B729E6"/>
    <w:rsid w:val="52B96402"/>
    <w:rsid w:val="52BA18DD"/>
    <w:rsid w:val="52BF30B7"/>
    <w:rsid w:val="52C04276"/>
    <w:rsid w:val="52C16118"/>
    <w:rsid w:val="52C50C32"/>
    <w:rsid w:val="52C63CA3"/>
    <w:rsid w:val="52C80654"/>
    <w:rsid w:val="52CF48A6"/>
    <w:rsid w:val="52D0615C"/>
    <w:rsid w:val="52D7576D"/>
    <w:rsid w:val="52E02A83"/>
    <w:rsid w:val="52E31D12"/>
    <w:rsid w:val="52E51B1C"/>
    <w:rsid w:val="52EA6182"/>
    <w:rsid w:val="52EB6192"/>
    <w:rsid w:val="52FD5BB4"/>
    <w:rsid w:val="52FF4E50"/>
    <w:rsid w:val="53080DD1"/>
    <w:rsid w:val="530E6968"/>
    <w:rsid w:val="530F48B5"/>
    <w:rsid w:val="530F6FAB"/>
    <w:rsid w:val="531243A6"/>
    <w:rsid w:val="531A75E1"/>
    <w:rsid w:val="53200135"/>
    <w:rsid w:val="53203A05"/>
    <w:rsid w:val="53275F32"/>
    <w:rsid w:val="532D5EAE"/>
    <w:rsid w:val="532F31A9"/>
    <w:rsid w:val="532F6D06"/>
    <w:rsid w:val="5333389E"/>
    <w:rsid w:val="533B7043"/>
    <w:rsid w:val="533C1234"/>
    <w:rsid w:val="533E33EC"/>
    <w:rsid w:val="53407165"/>
    <w:rsid w:val="534529CD"/>
    <w:rsid w:val="534762EA"/>
    <w:rsid w:val="53491E6F"/>
    <w:rsid w:val="534C0565"/>
    <w:rsid w:val="534E3F79"/>
    <w:rsid w:val="534F76CB"/>
    <w:rsid w:val="53575B42"/>
    <w:rsid w:val="535A5814"/>
    <w:rsid w:val="535E2181"/>
    <w:rsid w:val="535F584B"/>
    <w:rsid w:val="536270DB"/>
    <w:rsid w:val="53683893"/>
    <w:rsid w:val="536913AD"/>
    <w:rsid w:val="536E5A80"/>
    <w:rsid w:val="537174FC"/>
    <w:rsid w:val="53786C62"/>
    <w:rsid w:val="537A08C9"/>
    <w:rsid w:val="537B0DE5"/>
    <w:rsid w:val="537D2167"/>
    <w:rsid w:val="53807837"/>
    <w:rsid w:val="538A6632"/>
    <w:rsid w:val="538C0881"/>
    <w:rsid w:val="539059CA"/>
    <w:rsid w:val="539461BF"/>
    <w:rsid w:val="53966B08"/>
    <w:rsid w:val="539A6CBE"/>
    <w:rsid w:val="539F1B71"/>
    <w:rsid w:val="53A15DCF"/>
    <w:rsid w:val="53A26F61"/>
    <w:rsid w:val="53A87670"/>
    <w:rsid w:val="53B339F3"/>
    <w:rsid w:val="53B37937"/>
    <w:rsid w:val="53B4545D"/>
    <w:rsid w:val="53B455AD"/>
    <w:rsid w:val="53B92A73"/>
    <w:rsid w:val="53BC2C8F"/>
    <w:rsid w:val="53C11125"/>
    <w:rsid w:val="53C82B01"/>
    <w:rsid w:val="53C87B58"/>
    <w:rsid w:val="53D17DBD"/>
    <w:rsid w:val="53D36BC5"/>
    <w:rsid w:val="53D578AD"/>
    <w:rsid w:val="53DA4EC3"/>
    <w:rsid w:val="53DA5C32"/>
    <w:rsid w:val="53E0627B"/>
    <w:rsid w:val="53E140A6"/>
    <w:rsid w:val="53E15AD2"/>
    <w:rsid w:val="53E65F68"/>
    <w:rsid w:val="53EF457B"/>
    <w:rsid w:val="53F87A3F"/>
    <w:rsid w:val="53F973C0"/>
    <w:rsid w:val="53FF0DCE"/>
    <w:rsid w:val="54013931"/>
    <w:rsid w:val="540208BE"/>
    <w:rsid w:val="54052830"/>
    <w:rsid w:val="5407648A"/>
    <w:rsid w:val="541618D0"/>
    <w:rsid w:val="541917E4"/>
    <w:rsid w:val="54216F96"/>
    <w:rsid w:val="5425714F"/>
    <w:rsid w:val="542845D1"/>
    <w:rsid w:val="542B1566"/>
    <w:rsid w:val="542E14C3"/>
    <w:rsid w:val="543640C4"/>
    <w:rsid w:val="54376309"/>
    <w:rsid w:val="543A1313"/>
    <w:rsid w:val="543C792C"/>
    <w:rsid w:val="543D29B9"/>
    <w:rsid w:val="54451CE7"/>
    <w:rsid w:val="54520EFE"/>
    <w:rsid w:val="54542F4D"/>
    <w:rsid w:val="545A257A"/>
    <w:rsid w:val="54613836"/>
    <w:rsid w:val="5466745D"/>
    <w:rsid w:val="546902B2"/>
    <w:rsid w:val="546A3A54"/>
    <w:rsid w:val="54751090"/>
    <w:rsid w:val="54785B32"/>
    <w:rsid w:val="547E551D"/>
    <w:rsid w:val="54802C70"/>
    <w:rsid w:val="54827BA6"/>
    <w:rsid w:val="548916C3"/>
    <w:rsid w:val="549664CC"/>
    <w:rsid w:val="54967F1F"/>
    <w:rsid w:val="549F5578"/>
    <w:rsid w:val="549F7EBB"/>
    <w:rsid w:val="54A11E85"/>
    <w:rsid w:val="54AB6633"/>
    <w:rsid w:val="54AF3BF2"/>
    <w:rsid w:val="54BB29BB"/>
    <w:rsid w:val="54C00160"/>
    <w:rsid w:val="54C42EBE"/>
    <w:rsid w:val="54C475D8"/>
    <w:rsid w:val="54D02905"/>
    <w:rsid w:val="54D0343D"/>
    <w:rsid w:val="54D17021"/>
    <w:rsid w:val="54D47B64"/>
    <w:rsid w:val="54D85725"/>
    <w:rsid w:val="54DB08C2"/>
    <w:rsid w:val="54F61523"/>
    <w:rsid w:val="54FB040C"/>
    <w:rsid w:val="55061CE8"/>
    <w:rsid w:val="550B1EC8"/>
    <w:rsid w:val="55144405"/>
    <w:rsid w:val="55144BA1"/>
    <w:rsid w:val="5515331C"/>
    <w:rsid w:val="551638BF"/>
    <w:rsid w:val="55166813"/>
    <w:rsid w:val="551B5B04"/>
    <w:rsid w:val="55230AEC"/>
    <w:rsid w:val="552503C0"/>
    <w:rsid w:val="5526089D"/>
    <w:rsid w:val="55263C99"/>
    <w:rsid w:val="552F4820"/>
    <w:rsid w:val="5535568B"/>
    <w:rsid w:val="55365586"/>
    <w:rsid w:val="553C395C"/>
    <w:rsid w:val="553F2BC3"/>
    <w:rsid w:val="55404587"/>
    <w:rsid w:val="55425B3F"/>
    <w:rsid w:val="5544059B"/>
    <w:rsid w:val="55481F5E"/>
    <w:rsid w:val="554C0043"/>
    <w:rsid w:val="555C53DB"/>
    <w:rsid w:val="555D37A4"/>
    <w:rsid w:val="556E18A4"/>
    <w:rsid w:val="55701EBB"/>
    <w:rsid w:val="5576250F"/>
    <w:rsid w:val="557650C0"/>
    <w:rsid w:val="55766056"/>
    <w:rsid w:val="558171BC"/>
    <w:rsid w:val="5585077B"/>
    <w:rsid w:val="55855303"/>
    <w:rsid w:val="558F7F2F"/>
    <w:rsid w:val="55961970"/>
    <w:rsid w:val="55964831"/>
    <w:rsid w:val="55A17EC8"/>
    <w:rsid w:val="55AB64D4"/>
    <w:rsid w:val="55B32D2C"/>
    <w:rsid w:val="55BE7737"/>
    <w:rsid w:val="55C574EB"/>
    <w:rsid w:val="55CB4A71"/>
    <w:rsid w:val="55CE4DCC"/>
    <w:rsid w:val="55D354BA"/>
    <w:rsid w:val="55D852D7"/>
    <w:rsid w:val="55DD6EED"/>
    <w:rsid w:val="55E12AEC"/>
    <w:rsid w:val="55E24545"/>
    <w:rsid w:val="55E259AB"/>
    <w:rsid w:val="55E71B19"/>
    <w:rsid w:val="55E758A5"/>
    <w:rsid w:val="55E77E72"/>
    <w:rsid w:val="55E922EA"/>
    <w:rsid w:val="55EC7130"/>
    <w:rsid w:val="55EE7BC2"/>
    <w:rsid w:val="55F304BE"/>
    <w:rsid w:val="56027752"/>
    <w:rsid w:val="560B0BE2"/>
    <w:rsid w:val="560D7C9D"/>
    <w:rsid w:val="560E4047"/>
    <w:rsid w:val="561072C2"/>
    <w:rsid w:val="56114DE8"/>
    <w:rsid w:val="5613322F"/>
    <w:rsid w:val="561D19DF"/>
    <w:rsid w:val="5625457A"/>
    <w:rsid w:val="56382375"/>
    <w:rsid w:val="5640122A"/>
    <w:rsid w:val="56430414"/>
    <w:rsid w:val="564369D4"/>
    <w:rsid w:val="564C7BCE"/>
    <w:rsid w:val="564E389C"/>
    <w:rsid w:val="5658292C"/>
    <w:rsid w:val="56617C04"/>
    <w:rsid w:val="566413BC"/>
    <w:rsid w:val="566429D6"/>
    <w:rsid w:val="566A2D9F"/>
    <w:rsid w:val="56701B0F"/>
    <w:rsid w:val="56725887"/>
    <w:rsid w:val="56757C77"/>
    <w:rsid w:val="567A4F97"/>
    <w:rsid w:val="567F7FA4"/>
    <w:rsid w:val="5680612B"/>
    <w:rsid w:val="5683552C"/>
    <w:rsid w:val="568832FC"/>
    <w:rsid w:val="568D7E09"/>
    <w:rsid w:val="568E1F75"/>
    <w:rsid w:val="56906F6D"/>
    <w:rsid w:val="56934061"/>
    <w:rsid w:val="569644F9"/>
    <w:rsid w:val="569C22C2"/>
    <w:rsid w:val="569E38BC"/>
    <w:rsid w:val="56A67859"/>
    <w:rsid w:val="56A812A9"/>
    <w:rsid w:val="56AB0725"/>
    <w:rsid w:val="56C40C5C"/>
    <w:rsid w:val="56C62AE0"/>
    <w:rsid w:val="56CE5CDD"/>
    <w:rsid w:val="56D166C6"/>
    <w:rsid w:val="56D90A1C"/>
    <w:rsid w:val="56DA167E"/>
    <w:rsid w:val="56DC10AC"/>
    <w:rsid w:val="56DE2F1C"/>
    <w:rsid w:val="56E524FD"/>
    <w:rsid w:val="56F63737"/>
    <w:rsid w:val="56FB0C90"/>
    <w:rsid w:val="5705569E"/>
    <w:rsid w:val="57091BA0"/>
    <w:rsid w:val="570A0786"/>
    <w:rsid w:val="570E3A04"/>
    <w:rsid w:val="57113508"/>
    <w:rsid w:val="571504FB"/>
    <w:rsid w:val="57154464"/>
    <w:rsid w:val="571550ED"/>
    <w:rsid w:val="57173EB7"/>
    <w:rsid w:val="57195E4E"/>
    <w:rsid w:val="571E672C"/>
    <w:rsid w:val="572A6162"/>
    <w:rsid w:val="572B6A33"/>
    <w:rsid w:val="573068AA"/>
    <w:rsid w:val="573539BC"/>
    <w:rsid w:val="574014E1"/>
    <w:rsid w:val="57422C03"/>
    <w:rsid w:val="574B60D8"/>
    <w:rsid w:val="575907F5"/>
    <w:rsid w:val="575D5EE9"/>
    <w:rsid w:val="575F569B"/>
    <w:rsid w:val="57657277"/>
    <w:rsid w:val="57680A38"/>
    <w:rsid w:val="577008BE"/>
    <w:rsid w:val="577730E6"/>
    <w:rsid w:val="57824DD9"/>
    <w:rsid w:val="5787669B"/>
    <w:rsid w:val="578D17F8"/>
    <w:rsid w:val="57945CD1"/>
    <w:rsid w:val="57961A49"/>
    <w:rsid w:val="579932E7"/>
    <w:rsid w:val="57995095"/>
    <w:rsid w:val="579A7467"/>
    <w:rsid w:val="57A56228"/>
    <w:rsid w:val="57A852D8"/>
    <w:rsid w:val="57AA1051"/>
    <w:rsid w:val="57BF711C"/>
    <w:rsid w:val="57C1149D"/>
    <w:rsid w:val="57CE11E3"/>
    <w:rsid w:val="57CE67DA"/>
    <w:rsid w:val="57CF6D09"/>
    <w:rsid w:val="57D0394B"/>
    <w:rsid w:val="57D4431F"/>
    <w:rsid w:val="57DE0E68"/>
    <w:rsid w:val="57E205DF"/>
    <w:rsid w:val="57EA2CD5"/>
    <w:rsid w:val="57EB11BC"/>
    <w:rsid w:val="57F27BD1"/>
    <w:rsid w:val="57F66044"/>
    <w:rsid w:val="58002865"/>
    <w:rsid w:val="58024622"/>
    <w:rsid w:val="580E7230"/>
    <w:rsid w:val="581069B0"/>
    <w:rsid w:val="58203538"/>
    <w:rsid w:val="582673BB"/>
    <w:rsid w:val="582B382E"/>
    <w:rsid w:val="582E0576"/>
    <w:rsid w:val="58323532"/>
    <w:rsid w:val="584078BF"/>
    <w:rsid w:val="584132E2"/>
    <w:rsid w:val="58486C8A"/>
    <w:rsid w:val="585404B6"/>
    <w:rsid w:val="585A65D3"/>
    <w:rsid w:val="58615BB3"/>
    <w:rsid w:val="58714D0C"/>
    <w:rsid w:val="587358E6"/>
    <w:rsid w:val="58735A72"/>
    <w:rsid w:val="58790811"/>
    <w:rsid w:val="587C29ED"/>
    <w:rsid w:val="587D2A70"/>
    <w:rsid w:val="588411BE"/>
    <w:rsid w:val="588673C8"/>
    <w:rsid w:val="58904D4B"/>
    <w:rsid w:val="58922210"/>
    <w:rsid w:val="58935F89"/>
    <w:rsid w:val="589526C4"/>
    <w:rsid w:val="58974DAF"/>
    <w:rsid w:val="58980101"/>
    <w:rsid w:val="589E7BDC"/>
    <w:rsid w:val="589F0979"/>
    <w:rsid w:val="589F66DB"/>
    <w:rsid w:val="58B02697"/>
    <w:rsid w:val="58B23A18"/>
    <w:rsid w:val="58B60599"/>
    <w:rsid w:val="58B9446F"/>
    <w:rsid w:val="58BF5EE7"/>
    <w:rsid w:val="58BF6D7E"/>
    <w:rsid w:val="58C148A4"/>
    <w:rsid w:val="58C1740E"/>
    <w:rsid w:val="58CA58DB"/>
    <w:rsid w:val="58CC28C6"/>
    <w:rsid w:val="58D2260D"/>
    <w:rsid w:val="58D26AB1"/>
    <w:rsid w:val="58D4378A"/>
    <w:rsid w:val="58D82F25"/>
    <w:rsid w:val="58DB496E"/>
    <w:rsid w:val="58DC7930"/>
    <w:rsid w:val="58E15131"/>
    <w:rsid w:val="58F85DEC"/>
    <w:rsid w:val="58FA1B64"/>
    <w:rsid w:val="590429E2"/>
    <w:rsid w:val="590B6EA3"/>
    <w:rsid w:val="590E7108"/>
    <w:rsid w:val="59172716"/>
    <w:rsid w:val="591744C4"/>
    <w:rsid w:val="591750B0"/>
    <w:rsid w:val="59234493"/>
    <w:rsid w:val="59254E33"/>
    <w:rsid w:val="59266ED9"/>
    <w:rsid w:val="592F7A5F"/>
    <w:rsid w:val="59326FEE"/>
    <w:rsid w:val="5934056F"/>
    <w:rsid w:val="5936392A"/>
    <w:rsid w:val="59374B66"/>
    <w:rsid w:val="593B549E"/>
    <w:rsid w:val="593F6ED8"/>
    <w:rsid w:val="59403FCA"/>
    <w:rsid w:val="594178AE"/>
    <w:rsid w:val="59456ACA"/>
    <w:rsid w:val="59457283"/>
    <w:rsid w:val="594D6137"/>
    <w:rsid w:val="594F61F2"/>
    <w:rsid w:val="595A13EA"/>
    <w:rsid w:val="595B0854"/>
    <w:rsid w:val="596360E9"/>
    <w:rsid w:val="59637DF3"/>
    <w:rsid w:val="5966599C"/>
    <w:rsid w:val="596B4DF3"/>
    <w:rsid w:val="598633F7"/>
    <w:rsid w:val="598D733D"/>
    <w:rsid w:val="59983264"/>
    <w:rsid w:val="599D6CAE"/>
    <w:rsid w:val="599E3F51"/>
    <w:rsid w:val="59A624EE"/>
    <w:rsid w:val="59AD3D41"/>
    <w:rsid w:val="59AF6DF2"/>
    <w:rsid w:val="59B21091"/>
    <w:rsid w:val="59B43A6D"/>
    <w:rsid w:val="59B64B4D"/>
    <w:rsid w:val="59BB6D0D"/>
    <w:rsid w:val="59BE0C4D"/>
    <w:rsid w:val="59C036EB"/>
    <w:rsid w:val="59C2663D"/>
    <w:rsid w:val="59C36A7A"/>
    <w:rsid w:val="59C40D50"/>
    <w:rsid w:val="59C83E39"/>
    <w:rsid w:val="59C9068A"/>
    <w:rsid w:val="59CB12E1"/>
    <w:rsid w:val="59CB5746"/>
    <w:rsid w:val="59CB7D7C"/>
    <w:rsid w:val="59CE5EE3"/>
    <w:rsid w:val="59E40810"/>
    <w:rsid w:val="59E61E83"/>
    <w:rsid w:val="5A0031AA"/>
    <w:rsid w:val="5A02136F"/>
    <w:rsid w:val="5A081026"/>
    <w:rsid w:val="5A091F29"/>
    <w:rsid w:val="5A0A78CC"/>
    <w:rsid w:val="5A0E58C7"/>
    <w:rsid w:val="5A0E70E6"/>
    <w:rsid w:val="5A113609"/>
    <w:rsid w:val="5A140085"/>
    <w:rsid w:val="5A1A3A36"/>
    <w:rsid w:val="5A296035"/>
    <w:rsid w:val="5A2D4BBE"/>
    <w:rsid w:val="5A2F3A8F"/>
    <w:rsid w:val="5A351CBF"/>
    <w:rsid w:val="5A3D6F53"/>
    <w:rsid w:val="5A4243E1"/>
    <w:rsid w:val="5A44578C"/>
    <w:rsid w:val="5A471695"/>
    <w:rsid w:val="5A4A33CD"/>
    <w:rsid w:val="5A64198B"/>
    <w:rsid w:val="5A643739"/>
    <w:rsid w:val="5A64557E"/>
    <w:rsid w:val="5A70032F"/>
    <w:rsid w:val="5A705076"/>
    <w:rsid w:val="5A7279BE"/>
    <w:rsid w:val="5A730650"/>
    <w:rsid w:val="5A783688"/>
    <w:rsid w:val="5A7866EC"/>
    <w:rsid w:val="5A7D2384"/>
    <w:rsid w:val="5A8305CA"/>
    <w:rsid w:val="5A843DDB"/>
    <w:rsid w:val="5A8750D0"/>
    <w:rsid w:val="5A89579F"/>
    <w:rsid w:val="5A992DA6"/>
    <w:rsid w:val="5A9A4E1F"/>
    <w:rsid w:val="5A9D5BD0"/>
    <w:rsid w:val="5AA004E9"/>
    <w:rsid w:val="5AA0544C"/>
    <w:rsid w:val="5AA20697"/>
    <w:rsid w:val="5AA47FD9"/>
    <w:rsid w:val="5AA610E0"/>
    <w:rsid w:val="5AAC68A2"/>
    <w:rsid w:val="5AAE5738"/>
    <w:rsid w:val="5AAF6137"/>
    <w:rsid w:val="5ABC4BD3"/>
    <w:rsid w:val="5AC02939"/>
    <w:rsid w:val="5AC24903"/>
    <w:rsid w:val="5AC441D8"/>
    <w:rsid w:val="5ACA47EA"/>
    <w:rsid w:val="5ACA66AB"/>
    <w:rsid w:val="5AD62E54"/>
    <w:rsid w:val="5AD847ED"/>
    <w:rsid w:val="5AD85ED5"/>
    <w:rsid w:val="5AE76118"/>
    <w:rsid w:val="5AEF4800"/>
    <w:rsid w:val="5AF357FC"/>
    <w:rsid w:val="5AF716B9"/>
    <w:rsid w:val="5AF869C4"/>
    <w:rsid w:val="5AFF1940"/>
    <w:rsid w:val="5AFF1BCC"/>
    <w:rsid w:val="5AFF1F98"/>
    <w:rsid w:val="5B0D3DD0"/>
    <w:rsid w:val="5B0E6E96"/>
    <w:rsid w:val="5B0F63BF"/>
    <w:rsid w:val="5B152C85"/>
    <w:rsid w:val="5B1A3272"/>
    <w:rsid w:val="5B1A36D2"/>
    <w:rsid w:val="5B203151"/>
    <w:rsid w:val="5B217BFC"/>
    <w:rsid w:val="5B2630E4"/>
    <w:rsid w:val="5B264E92"/>
    <w:rsid w:val="5B273110"/>
    <w:rsid w:val="5B2A0BEB"/>
    <w:rsid w:val="5B2C31A6"/>
    <w:rsid w:val="5B3911A4"/>
    <w:rsid w:val="5B3D732F"/>
    <w:rsid w:val="5B4E152E"/>
    <w:rsid w:val="5B4E25D2"/>
    <w:rsid w:val="5B520175"/>
    <w:rsid w:val="5B5D69D1"/>
    <w:rsid w:val="5B5E462C"/>
    <w:rsid w:val="5B6A1223"/>
    <w:rsid w:val="5B767FEE"/>
    <w:rsid w:val="5B7F5E9B"/>
    <w:rsid w:val="5B84083B"/>
    <w:rsid w:val="5B8C1028"/>
    <w:rsid w:val="5B90545F"/>
    <w:rsid w:val="5B94004E"/>
    <w:rsid w:val="5B9F1982"/>
    <w:rsid w:val="5B9F2561"/>
    <w:rsid w:val="5BA65FD3"/>
    <w:rsid w:val="5BAE2EE8"/>
    <w:rsid w:val="5BAE4B8A"/>
    <w:rsid w:val="5BAF6589"/>
    <w:rsid w:val="5BB14F47"/>
    <w:rsid w:val="5BB23419"/>
    <w:rsid w:val="5BB430E5"/>
    <w:rsid w:val="5BB57FC4"/>
    <w:rsid w:val="5BB64929"/>
    <w:rsid w:val="5BBD1EE9"/>
    <w:rsid w:val="5BBE156E"/>
    <w:rsid w:val="5BC551A3"/>
    <w:rsid w:val="5BD42B40"/>
    <w:rsid w:val="5BD60666"/>
    <w:rsid w:val="5BD74E9E"/>
    <w:rsid w:val="5BE74B09"/>
    <w:rsid w:val="5BE9125F"/>
    <w:rsid w:val="5BF03202"/>
    <w:rsid w:val="5BF60D08"/>
    <w:rsid w:val="5BF62A83"/>
    <w:rsid w:val="5BF7437E"/>
    <w:rsid w:val="5BF77482"/>
    <w:rsid w:val="5C044784"/>
    <w:rsid w:val="5C066DCD"/>
    <w:rsid w:val="5C0A0662"/>
    <w:rsid w:val="5C0A7B3C"/>
    <w:rsid w:val="5C0C24BB"/>
    <w:rsid w:val="5C1271C4"/>
    <w:rsid w:val="5C1340D1"/>
    <w:rsid w:val="5C163158"/>
    <w:rsid w:val="5C1C4A79"/>
    <w:rsid w:val="5C257D12"/>
    <w:rsid w:val="5C2609B8"/>
    <w:rsid w:val="5C2A2760"/>
    <w:rsid w:val="5C2A4177"/>
    <w:rsid w:val="5C2F329C"/>
    <w:rsid w:val="5C3D115F"/>
    <w:rsid w:val="5C3F26AF"/>
    <w:rsid w:val="5C416DB1"/>
    <w:rsid w:val="5C466ABF"/>
    <w:rsid w:val="5C491058"/>
    <w:rsid w:val="5C49708A"/>
    <w:rsid w:val="5C5D40A6"/>
    <w:rsid w:val="5C606182"/>
    <w:rsid w:val="5C617961"/>
    <w:rsid w:val="5C6B34A4"/>
    <w:rsid w:val="5C7A1CBE"/>
    <w:rsid w:val="5C7C622F"/>
    <w:rsid w:val="5C7F4FEA"/>
    <w:rsid w:val="5C855E34"/>
    <w:rsid w:val="5C8658A3"/>
    <w:rsid w:val="5C901A04"/>
    <w:rsid w:val="5C987DAA"/>
    <w:rsid w:val="5CA00AE8"/>
    <w:rsid w:val="5CA15992"/>
    <w:rsid w:val="5CA249EC"/>
    <w:rsid w:val="5CAD42F5"/>
    <w:rsid w:val="5CAE2CDD"/>
    <w:rsid w:val="5CB07109"/>
    <w:rsid w:val="5CB36BF9"/>
    <w:rsid w:val="5CB41A93"/>
    <w:rsid w:val="5CB46D9C"/>
    <w:rsid w:val="5CB564CD"/>
    <w:rsid w:val="5CB8530D"/>
    <w:rsid w:val="5CBD35D4"/>
    <w:rsid w:val="5CBE1EC0"/>
    <w:rsid w:val="5CBF12B4"/>
    <w:rsid w:val="5CC53B48"/>
    <w:rsid w:val="5CCF1BEF"/>
    <w:rsid w:val="5CD12812"/>
    <w:rsid w:val="5CD252D1"/>
    <w:rsid w:val="5CD33634"/>
    <w:rsid w:val="5CD56993"/>
    <w:rsid w:val="5CD71364"/>
    <w:rsid w:val="5CD821BC"/>
    <w:rsid w:val="5CE12A7F"/>
    <w:rsid w:val="5CE82235"/>
    <w:rsid w:val="5CEA73AD"/>
    <w:rsid w:val="5CF07506"/>
    <w:rsid w:val="5CF14A60"/>
    <w:rsid w:val="5CFD2757"/>
    <w:rsid w:val="5D027239"/>
    <w:rsid w:val="5D06414C"/>
    <w:rsid w:val="5D073273"/>
    <w:rsid w:val="5D0911D4"/>
    <w:rsid w:val="5D092065"/>
    <w:rsid w:val="5D0F291B"/>
    <w:rsid w:val="5D1643BE"/>
    <w:rsid w:val="5D1828ED"/>
    <w:rsid w:val="5D196213"/>
    <w:rsid w:val="5D204E0B"/>
    <w:rsid w:val="5D305B0B"/>
    <w:rsid w:val="5D321BD6"/>
    <w:rsid w:val="5D347D3A"/>
    <w:rsid w:val="5D3523AF"/>
    <w:rsid w:val="5D35760E"/>
    <w:rsid w:val="5D362D17"/>
    <w:rsid w:val="5D376BA4"/>
    <w:rsid w:val="5D3C73A3"/>
    <w:rsid w:val="5D3D0669"/>
    <w:rsid w:val="5D436B1B"/>
    <w:rsid w:val="5D4810F0"/>
    <w:rsid w:val="5D4854BC"/>
    <w:rsid w:val="5D546386"/>
    <w:rsid w:val="5D5977A1"/>
    <w:rsid w:val="5D633429"/>
    <w:rsid w:val="5D6337D0"/>
    <w:rsid w:val="5D6C4251"/>
    <w:rsid w:val="5D707517"/>
    <w:rsid w:val="5D7D7F42"/>
    <w:rsid w:val="5D836A1F"/>
    <w:rsid w:val="5D942587"/>
    <w:rsid w:val="5D9500AD"/>
    <w:rsid w:val="5D97130E"/>
    <w:rsid w:val="5D9D2CED"/>
    <w:rsid w:val="5D9D5EC0"/>
    <w:rsid w:val="5DA40594"/>
    <w:rsid w:val="5DB721C8"/>
    <w:rsid w:val="5DB91FED"/>
    <w:rsid w:val="5DBB44E1"/>
    <w:rsid w:val="5DCF02F1"/>
    <w:rsid w:val="5DCF1038"/>
    <w:rsid w:val="5DD76917"/>
    <w:rsid w:val="5DD946FC"/>
    <w:rsid w:val="5DDB4F58"/>
    <w:rsid w:val="5DEA3ED1"/>
    <w:rsid w:val="5DEC0929"/>
    <w:rsid w:val="5DED0234"/>
    <w:rsid w:val="5DF474C9"/>
    <w:rsid w:val="5E041E42"/>
    <w:rsid w:val="5E0A4175"/>
    <w:rsid w:val="5E0D1EDD"/>
    <w:rsid w:val="5E127950"/>
    <w:rsid w:val="5E1939BA"/>
    <w:rsid w:val="5E196403"/>
    <w:rsid w:val="5E22638A"/>
    <w:rsid w:val="5E227B93"/>
    <w:rsid w:val="5E3930E1"/>
    <w:rsid w:val="5E3D4216"/>
    <w:rsid w:val="5E3E24F3"/>
    <w:rsid w:val="5E3F687B"/>
    <w:rsid w:val="5E473551"/>
    <w:rsid w:val="5E4A533B"/>
    <w:rsid w:val="5E4F2952"/>
    <w:rsid w:val="5E5B4E53"/>
    <w:rsid w:val="5E5F48E4"/>
    <w:rsid w:val="5E6056C4"/>
    <w:rsid w:val="5E633BD0"/>
    <w:rsid w:val="5E6441C6"/>
    <w:rsid w:val="5E663254"/>
    <w:rsid w:val="5E6722C3"/>
    <w:rsid w:val="5E676A84"/>
    <w:rsid w:val="5E6F3C66"/>
    <w:rsid w:val="5E771F8F"/>
    <w:rsid w:val="5E7768B8"/>
    <w:rsid w:val="5E800D5D"/>
    <w:rsid w:val="5E841535"/>
    <w:rsid w:val="5E911564"/>
    <w:rsid w:val="5E997A50"/>
    <w:rsid w:val="5E9B739E"/>
    <w:rsid w:val="5E9D546B"/>
    <w:rsid w:val="5E9F45C6"/>
    <w:rsid w:val="5EA016F4"/>
    <w:rsid w:val="5EA25514"/>
    <w:rsid w:val="5EA55DC2"/>
    <w:rsid w:val="5EA75CB0"/>
    <w:rsid w:val="5EB172BE"/>
    <w:rsid w:val="5EB9218A"/>
    <w:rsid w:val="5EBB3B43"/>
    <w:rsid w:val="5EBB4658"/>
    <w:rsid w:val="5EC26B12"/>
    <w:rsid w:val="5EC34D24"/>
    <w:rsid w:val="5EC72049"/>
    <w:rsid w:val="5EC91DE1"/>
    <w:rsid w:val="5EC93EB2"/>
    <w:rsid w:val="5EE85A29"/>
    <w:rsid w:val="5EF000AF"/>
    <w:rsid w:val="5EF3074C"/>
    <w:rsid w:val="5EFE4F36"/>
    <w:rsid w:val="5EFF1C82"/>
    <w:rsid w:val="5F0C25F1"/>
    <w:rsid w:val="5F0E6369"/>
    <w:rsid w:val="5F155949"/>
    <w:rsid w:val="5F1912ED"/>
    <w:rsid w:val="5F1976D8"/>
    <w:rsid w:val="5F1B02D5"/>
    <w:rsid w:val="5F1E783B"/>
    <w:rsid w:val="5F2555AC"/>
    <w:rsid w:val="5F265461"/>
    <w:rsid w:val="5F280472"/>
    <w:rsid w:val="5F2913F5"/>
    <w:rsid w:val="5F33093E"/>
    <w:rsid w:val="5F3570BF"/>
    <w:rsid w:val="5F361F01"/>
    <w:rsid w:val="5F3649AD"/>
    <w:rsid w:val="5F3F4774"/>
    <w:rsid w:val="5F410C69"/>
    <w:rsid w:val="5F4536E4"/>
    <w:rsid w:val="5F5024DD"/>
    <w:rsid w:val="5F520240"/>
    <w:rsid w:val="5F530220"/>
    <w:rsid w:val="5F6146EB"/>
    <w:rsid w:val="5F6434DB"/>
    <w:rsid w:val="5F665EC3"/>
    <w:rsid w:val="5F681F1D"/>
    <w:rsid w:val="5F682CAB"/>
    <w:rsid w:val="5F6D2A51"/>
    <w:rsid w:val="5F7D704B"/>
    <w:rsid w:val="5F812FDF"/>
    <w:rsid w:val="5F870DB9"/>
    <w:rsid w:val="5F8804AC"/>
    <w:rsid w:val="5F8B6623"/>
    <w:rsid w:val="5F966646"/>
    <w:rsid w:val="5F9C3975"/>
    <w:rsid w:val="5F9E3594"/>
    <w:rsid w:val="5FA171DD"/>
    <w:rsid w:val="5FAC179C"/>
    <w:rsid w:val="5FAC2728"/>
    <w:rsid w:val="5FBC4017"/>
    <w:rsid w:val="5FBC7B73"/>
    <w:rsid w:val="5FBE2AC7"/>
    <w:rsid w:val="5FBE37C6"/>
    <w:rsid w:val="5FD17E77"/>
    <w:rsid w:val="5FD56E87"/>
    <w:rsid w:val="5FD621A4"/>
    <w:rsid w:val="5FD9212E"/>
    <w:rsid w:val="5FDB26EF"/>
    <w:rsid w:val="5FDB44FB"/>
    <w:rsid w:val="5FDC7142"/>
    <w:rsid w:val="5FE37D4D"/>
    <w:rsid w:val="5FE507F4"/>
    <w:rsid w:val="5FE90F01"/>
    <w:rsid w:val="5FEA0642"/>
    <w:rsid w:val="5FEB66AA"/>
    <w:rsid w:val="5FEF49B4"/>
    <w:rsid w:val="5FF16665"/>
    <w:rsid w:val="5FF612D7"/>
    <w:rsid w:val="5FF778C2"/>
    <w:rsid w:val="5FFD16AB"/>
    <w:rsid w:val="5FFE018B"/>
    <w:rsid w:val="6007120F"/>
    <w:rsid w:val="60077CC5"/>
    <w:rsid w:val="60082DB8"/>
    <w:rsid w:val="600C644D"/>
    <w:rsid w:val="600F0F88"/>
    <w:rsid w:val="601856F1"/>
    <w:rsid w:val="602045A6"/>
    <w:rsid w:val="60260263"/>
    <w:rsid w:val="60285208"/>
    <w:rsid w:val="602A5424"/>
    <w:rsid w:val="60301AB6"/>
    <w:rsid w:val="603240D2"/>
    <w:rsid w:val="60365B77"/>
    <w:rsid w:val="60365E9C"/>
    <w:rsid w:val="603F6D2E"/>
    <w:rsid w:val="6042451C"/>
    <w:rsid w:val="604638E0"/>
    <w:rsid w:val="60476284"/>
    <w:rsid w:val="604A33D1"/>
    <w:rsid w:val="604C7149"/>
    <w:rsid w:val="6051475F"/>
    <w:rsid w:val="60575B21"/>
    <w:rsid w:val="605A0C66"/>
    <w:rsid w:val="60600A87"/>
    <w:rsid w:val="60602BF4"/>
    <w:rsid w:val="606247CA"/>
    <w:rsid w:val="606302F9"/>
    <w:rsid w:val="60630B72"/>
    <w:rsid w:val="60745756"/>
    <w:rsid w:val="607466A0"/>
    <w:rsid w:val="60780B96"/>
    <w:rsid w:val="60787F3E"/>
    <w:rsid w:val="607A190A"/>
    <w:rsid w:val="607C7302"/>
    <w:rsid w:val="608368E3"/>
    <w:rsid w:val="608A6CA0"/>
    <w:rsid w:val="608B1E61"/>
    <w:rsid w:val="608C0F26"/>
    <w:rsid w:val="609043A9"/>
    <w:rsid w:val="6098238E"/>
    <w:rsid w:val="609A4358"/>
    <w:rsid w:val="609B00D0"/>
    <w:rsid w:val="609D4888"/>
    <w:rsid w:val="60A549D4"/>
    <w:rsid w:val="60A87FA8"/>
    <w:rsid w:val="60AF6D3D"/>
    <w:rsid w:val="60B3541A"/>
    <w:rsid w:val="60B4114A"/>
    <w:rsid w:val="60B60A66"/>
    <w:rsid w:val="60B63D91"/>
    <w:rsid w:val="60BF3DBF"/>
    <w:rsid w:val="60C45895"/>
    <w:rsid w:val="60C969EB"/>
    <w:rsid w:val="60D6149F"/>
    <w:rsid w:val="60D87A48"/>
    <w:rsid w:val="60DB65DA"/>
    <w:rsid w:val="60DE3D8C"/>
    <w:rsid w:val="60E23609"/>
    <w:rsid w:val="60EA6962"/>
    <w:rsid w:val="60EC641D"/>
    <w:rsid w:val="60F02A2F"/>
    <w:rsid w:val="60F846B1"/>
    <w:rsid w:val="60FD2FE2"/>
    <w:rsid w:val="610760B7"/>
    <w:rsid w:val="6109496F"/>
    <w:rsid w:val="610B0DB2"/>
    <w:rsid w:val="610E43FE"/>
    <w:rsid w:val="61135EB8"/>
    <w:rsid w:val="611759A9"/>
    <w:rsid w:val="611834CF"/>
    <w:rsid w:val="611B661E"/>
    <w:rsid w:val="611B71FA"/>
    <w:rsid w:val="611C5D71"/>
    <w:rsid w:val="611D2893"/>
    <w:rsid w:val="611F660B"/>
    <w:rsid w:val="61204131"/>
    <w:rsid w:val="6128204E"/>
    <w:rsid w:val="612C0D28"/>
    <w:rsid w:val="61306DF0"/>
    <w:rsid w:val="61351C9A"/>
    <w:rsid w:val="613801AC"/>
    <w:rsid w:val="613876CD"/>
    <w:rsid w:val="613C0BFE"/>
    <w:rsid w:val="613F5903"/>
    <w:rsid w:val="61424911"/>
    <w:rsid w:val="6142679E"/>
    <w:rsid w:val="61477910"/>
    <w:rsid w:val="614E6EF1"/>
    <w:rsid w:val="61504A17"/>
    <w:rsid w:val="61505601"/>
    <w:rsid w:val="61524ACB"/>
    <w:rsid w:val="61593CAF"/>
    <w:rsid w:val="616365C7"/>
    <w:rsid w:val="616A3728"/>
    <w:rsid w:val="6176208B"/>
    <w:rsid w:val="617624A9"/>
    <w:rsid w:val="6179438F"/>
    <w:rsid w:val="617B0C2F"/>
    <w:rsid w:val="617F3FF0"/>
    <w:rsid w:val="617F4CA3"/>
    <w:rsid w:val="6187156F"/>
    <w:rsid w:val="61880657"/>
    <w:rsid w:val="61902BF0"/>
    <w:rsid w:val="619419A8"/>
    <w:rsid w:val="61946FF9"/>
    <w:rsid w:val="6197057A"/>
    <w:rsid w:val="619A625E"/>
    <w:rsid w:val="619D1B13"/>
    <w:rsid w:val="61A043A7"/>
    <w:rsid w:val="61A11DBA"/>
    <w:rsid w:val="61A12736"/>
    <w:rsid w:val="61A43C29"/>
    <w:rsid w:val="61A76C0E"/>
    <w:rsid w:val="61AF3E33"/>
    <w:rsid w:val="61B17C19"/>
    <w:rsid w:val="61B825BC"/>
    <w:rsid w:val="61BF405A"/>
    <w:rsid w:val="61C17C93"/>
    <w:rsid w:val="61C3343B"/>
    <w:rsid w:val="61CD42B9"/>
    <w:rsid w:val="61D031B9"/>
    <w:rsid w:val="61D20071"/>
    <w:rsid w:val="61D45648"/>
    <w:rsid w:val="61D5316E"/>
    <w:rsid w:val="61DC62AA"/>
    <w:rsid w:val="61E111F8"/>
    <w:rsid w:val="61E479F6"/>
    <w:rsid w:val="61E635CD"/>
    <w:rsid w:val="61E94541"/>
    <w:rsid w:val="61EC04B0"/>
    <w:rsid w:val="61ED3E04"/>
    <w:rsid w:val="61EF7A65"/>
    <w:rsid w:val="61F46858"/>
    <w:rsid w:val="61F47A98"/>
    <w:rsid w:val="61F83DDA"/>
    <w:rsid w:val="61FA4982"/>
    <w:rsid w:val="61FD24E3"/>
    <w:rsid w:val="61FE0178"/>
    <w:rsid w:val="61FF2C6E"/>
    <w:rsid w:val="621023F8"/>
    <w:rsid w:val="62122B7E"/>
    <w:rsid w:val="6213714C"/>
    <w:rsid w:val="621921D2"/>
    <w:rsid w:val="62211E07"/>
    <w:rsid w:val="622A170C"/>
    <w:rsid w:val="622F3D56"/>
    <w:rsid w:val="62336A59"/>
    <w:rsid w:val="623600B0"/>
    <w:rsid w:val="6242348B"/>
    <w:rsid w:val="62433585"/>
    <w:rsid w:val="624547C2"/>
    <w:rsid w:val="62481B92"/>
    <w:rsid w:val="62494F4E"/>
    <w:rsid w:val="624F5230"/>
    <w:rsid w:val="625161A2"/>
    <w:rsid w:val="625C13BD"/>
    <w:rsid w:val="625D0840"/>
    <w:rsid w:val="625D154C"/>
    <w:rsid w:val="626D62B2"/>
    <w:rsid w:val="62725461"/>
    <w:rsid w:val="62763CCE"/>
    <w:rsid w:val="627B3CF7"/>
    <w:rsid w:val="627B6D2E"/>
    <w:rsid w:val="62876F13"/>
    <w:rsid w:val="628801E0"/>
    <w:rsid w:val="62894684"/>
    <w:rsid w:val="629022BC"/>
    <w:rsid w:val="62946B85"/>
    <w:rsid w:val="62A76742"/>
    <w:rsid w:val="62AF3611"/>
    <w:rsid w:val="62AF7631"/>
    <w:rsid w:val="62B178B8"/>
    <w:rsid w:val="62B229AC"/>
    <w:rsid w:val="62B31604"/>
    <w:rsid w:val="62B965EC"/>
    <w:rsid w:val="62BA3D24"/>
    <w:rsid w:val="62C834F0"/>
    <w:rsid w:val="62CA6A4B"/>
    <w:rsid w:val="62CB2A92"/>
    <w:rsid w:val="62D521FE"/>
    <w:rsid w:val="62D9648A"/>
    <w:rsid w:val="62DD22DA"/>
    <w:rsid w:val="62F01445"/>
    <w:rsid w:val="62F2544C"/>
    <w:rsid w:val="62F34586"/>
    <w:rsid w:val="62F35F1D"/>
    <w:rsid w:val="62F90D38"/>
    <w:rsid w:val="62FB09DA"/>
    <w:rsid w:val="63086047"/>
    <w:rsid w:val="63173335"/>
    <w:rsid w:val="631B7E5E"/>
    <w:rsid w:val="632304D9"/>
    <w:rsid w:val="63234528"/>
    <w:rsid w:val="63260125"/>
    <w:rsid w:val="632C2F9D"/>
    <w:rsid w:val="632E2765"/>
    <w:rsid w:val="633A3BD0"/>
    <w:rsid w:val="633B10F0"/>
    <w:rsid w:val="6340703E"/>
    <w:rsid w:val="634339F5"/>
    <w:rsid w:val="63445820"/>
    <w:rsid w:val="6345292E"/>
    <w:rsid w:val="63467E25"/>
    <w:rsid w:val="63503EE4"/>
    <w:rsid w:val="6354133E"/>
    <w:rsid w:val="6360241E"/>
    <w:rsid w:val="636E5626"/>
    <w:rsid w:val="636E73D6"/>
    <w:rsid w:val="6370314E"/>
    <w:rsid w:val="63715720"/>
    <w:rsid w:val="637569B7"/>
    <w:rsid w:val="637C7D45"/>
    <w:rsid w:val="637D1D0F"/>
    <w:rsid w:val="637E3421"/>
    <w:rsid w:val="63835BE3"/>
    <w:rsid w:val="63843A6B"/>
    <w:rsid w:val="63852AF5"/>
    <w:rsid w:val="63860B2A"/>
    <w:rsid w:val="63862972"/>
    <w:rsid w:val="63894210"/>
    <w:rsid w:val="638A52B0"/>
    <w:rsid w:val="638B66AE"/>
    <w:rsid w:val="638C0349"/>
    <w:rsid w:val="638D5F70"/>
    <w:rsid w:val="638F1788"/>
    <w:rsid w:val="639304F7"/>
    <w:rsid w:val="639B7529"/>
    <w:rsid w:val="63A03243"/>
    <w:rsid w:val="63A252D2"/>
    <w:rsid w:val="63A27421"/>
    <w:rsid w:val="63A45CB2"/>
    <w:rsid w:val="63A45F3F"/>
    <w:rsid w:val="63A904A7"/>
    <w:rsid w:val="63A917FA"/>
    <w:rsid w:val="63AB23D8"/>
    <w:rsid w:val="63AB25E6"/>
    <w:rsid w:val="63B30C44"/>
    <w:rsid w:val="63BD1D3D"/>
    <w:rsid w:val="63C03081"/>
    <w:rsid w:val="63CB26E4"/>
    <w:rsid w:val="63CB2950"/>
    <w:rsid w:val="63D11741"/>
    <w:rsid w:val="63D31EFD"/>
    <w:rsid w:val="63D56988"/>
    <w:rsid w:val="63D61C5F"/>
    <w:rsid w:val="63DD7D62"/>
    <w:rsid w:val="63DF084E"/>
    <w:rsid w:val="63ED7248"/>
    <w:rsid w:val="63F2612C"/>
    <w:rsid w:val="64002E35"/>
    <w:rsid w:val="640275CF"/>
    <w:rsid w:val="64060C1E"/>
    <w:rsid w:val="640B10C9"/>
    <w:rsid w:val="64127B0E"/>
    <w:rsid w:val="64151F48"/>
    <w:rsid w:val="641C2D5B"/>
    <w:rsid w:val="6420094B"/>
    <w:rsid w:val="642108EC"/>
    <w:rsid w:val="642A1F39"/>
    <w:rsid w:val="642B7C8F"/>
    <w:rsid w:val="642F3009"/>
    <w:rsid w:val="64300B2F"/>
    <w:rsid w:val="643423CE"/>
    <w:rsid w:val="643614AA"/>
    <w:rsid w:val="64393B1D"/>
    <w:rsid w:val="6440304C"/>
    <w:rsid w:val="64496ED6"/>
    <w:rsid w:val="644F6609"/>
    <w:rsid w:val="645237C1"/>
    <w:rsid w:val="645962D8"/>
    <w:rsid w:val="646031C3"/>
    <w:rsid w:val="64624721"/>
    <w:rsid w:val="64634A61"/>
    <w:rsid w:val="64722EF6"/>
    <w:rsid w:val="6477675E"/>
    <w:rsid w:val="64786C6E"/>
    <w:rsid w:val="647B0E18"/>
    <w:rsid w:val="647E77BF"/>
    <w:rsid w:val="64800A38"/>
    <w:rsid w:val="64800E7D"/>
    <w:rsid w:val="64852C29"/>
    <w:rsid w:val="6487214D"/>
    <w:rsid w:val="64873B9B"/>
    <w:rsid w:val="64913310"/>
    <w:rsid w:val="649856BD"/>
    <w:rsid w:val="64996D28"/>
    <w:rsid w:val="64A04D13"/>
    <w:rsid w:val="64A62BA0"/>
    <w:rsid w:val="64A804B7"/>
    <w:rsid w:val="64B14D8B"/>
    <w:rsid w:val="64B41760"/>
    <w:rsid w:val="64BA65D2"/>
    <w:rsid w:val="64C03627"/>
    <w:rsid w:val="64C56E7F"/>
    <w:rsid w:val="64C6410B"/>
    <w:rsid w:val="64C95CA3"/>
    <w:rsid w:val="64C96A10"/>
    <w:rsid w:val="64D140C0"/>
    <w:rsid w:val="64D2609A"/>
    <w:rsid w:val="64D37A43"/>
    <w:rsid w:val="64D4770D"/>
    <w:rsid w:val="64DB6CED"/>
    <w:rsid w:val="64DD4813"/>
    <w:rsid w:val="64DE53D1"/>
    <w:rsid w:val="64DF4A2F"/>
    <w:rsid w:val="64E27519"/>
    <w:rsid w:val="64EF2799"/>
    <w:rsid w:val="64FA2FE8"/>
    <w:rsid w:val="64FB591F"/>
    <w:rsid w:val="64FF004B"/>
    <w:rsid w:val="64FF0C2E"/>
    <w:rsid w:val="65000502"/>
    <w:rsid w:val="651A3112"/>
    <w:rsid w:val="65241007"/>
    <w:rsid w:val="652562B8"/>
    <w:rsid w:val="6526799D"/>
    <w:rsid w:val="652E5FD9"/>
    <w:rsid w:val="653715BB"/>
    <w:rsid w:val="65384D31"/>
    <w:rsid w:val="653D6DE8"/>
    <w:rsid w:val="65444A55"/>
    <w:rsid w:val="6545060B"/>
    <w:rsid w:val="654B25B5"/>
    <w:rsid w:val="65545021"/>
    <w:rsid w:val="65562818"/>
    <w:rsid w:val="656624F6"/>
    <w:rsid w:val="65682970"/>
    <w:rsid w:val="656B1438"/>
    <w:rsid w:val="656E3788"/>
    <w:rsid w:val="656E7DF2"/>
    <w:rsid w:val="657038D9"/>
    <w:rsid w:val="657D53BB"/>
    <w:rsid w:val="65887B87"/>
    <w:rsid w:val="658C7FE7"/>
    <w:rsid w:val="658E3D60"/>
    <w:rsid w:val="658F41AA"/>
    <w:rsid w:val="659679A8"/>
    <w:rsid w:val="659A46C1"/>
    <w:rsid w:val="659B66DC"/>
    <w:rsid w:val="65A215B9"/>
    <w:rsid w:val="65A417D5"/>
    <w:rsid w:val="65A52BD2"/>
    <w:rsid w:val="65A664C9"/>
    <w:rsid w:val="65AB3622"/>
    <w:rsid w:val="65B203F2"/>
    <w:rsid w:val="65B40E5D"/>
    <w:rsid w:val="65B5753E"/>
    <w:rsid w:val="65C06D2A"/>
    <w:rsid w:val="65C25B7B"/>
    <w:rsid w:val="65CC7A0B"/>
    <w:rsid w:val="65CD1C39"/>
    <w:rsid w:val="65CE0600"/>
    <w:rsid w:val="65D47740"/>
    <w:rsid w:val="65D845C5"/>
    <w:rsid w:val="65DB4BD8"/>
    <w:rsid w:val="65DD65E4"/>
    <w:rsid w:val="65E47ADC"/>
    <w:rsid w:val="65E53F3A"/>
    <w:rsid w:val="65E54D83"/>
    <w:rsid w:val="65E971E8"/>
    <w:rsid w:val="65F75DA9"/>
    <w:rsid w:val="65F91B21"/>
    <w:rsid w:val="65FF1908"/>
    <w:rsid w:val="660035B2"/>
    <w:rsid w:val="66052E26"/>
    <w:rsid w:val="66065FEC"/>
    <w:rsid w:val="660F78DB"/>
    <w:rsid w:val="661029C7"/>
    <w:rsid w:val="66113F7D"/>
    <w:rsid w:val="661504E0"/>
    <w:rsid w:val="66196469"/>
    <w:rsid w:val="66220F0D"/>
    <w:rsid w:val="662326FA"/>
    <w:rsid w:val="662446E2"/>
    <w:rsid w:val="66290D64"/>
    <w:rsid w:val="662C6594"/>
    <w:rsid w:val="66364D5F"/>
    <w:rsid w:val="6638786B"/>
    <w:rsid w:val="663921BB"/>
    <w:rsid w:val="663E4D49"/>
    <w:rsid w:val="66452A0F"/>
    <w:rsid w:val="66456668"/>
    <w:rsid w:val="66484076"/>
    <w:rsid w:val="664F0D9A"/>
    <w:rsid w:val="66507267"/>
    <w:rsid w:val="66513A5B"/>
    <w:rsid w:val="665234A6"/>
    <w:rsid w:val="6658021A"/>
    <w:rsid w:val="666929BA"/>
    <w:rsid w:val="666A2B1C"/>
    <w:rsid w:val="666E26DA"/>
    <w:rsid w:val="667231EC"/>
    <w:rsid w:val="66870377"/>
    <w:rsid w:val="66884514"/>
    <w:rsid w:val="6689561B"/>
    <w:rsid w:val="668F795B"/>
    <w:rsid w:val="66917422"/>
    <w:rsid w:val="669D36E5"/>
    <w:rsid w:val="669E67BA"/>
    <w:rsid w:val="66A001EE"/>
    <w:rsid w:val="66A15D14"/>
    <w:rsid w:val="66A6332B"/>
    <w:rsid w:val="66A85FD7"/>
    <w:rsid w:val="66AB2D65"/>
    <w:rsid w:val="66B36B5F"/>
    <w:rsid w:val="66B617C0"/>
    <w:rsid w:val="66B67D71"/>
    <w:rsid w:val="66BE7EC7"/>
    <w:rsid w:val="66C018BB"/>
    <w:rsid w:val="66C34B3A"/>
    <w:rsid w:val="66C51A03"/>
    <w:rsid w:val="66CB51F0"/>
    <w:rsid w:val="66CC5A50"/>
    <w:rsid w:val="66CF2390"/>
    <w:rsid w:val="66D93700"/>
    <w:rsid w:val="66D96A08"/>
    <w:rsid w:val="66E31E89"/>
    <w:rsid w:val="66E54664"/>
    <w:rsid w:val="66E94DB8"/>
    <w:rsid w:val="66EA4627"/>
    <w:rsid w:val="66FB5425"/>
    <w:rsid w:val="66FD3399"/>
    <w:rsid w:val="670068BA"/>
    <w:rsid w:val="67014938"/>
    <w:rsid w:val="67053791"/>
    <w:rsid w:val="670676FA"/>
    <w:rsid w:val="670D5F7B"/>
    <w:rsid w:val="670F0ED0"/>
    <w:rsid w:val="6712372B"/>
    <w:rsid w:val="671A2ABD"/>
    <w:rsid w:val="672447DF"/>
    <w:rsid w:val="6728031E"/>
    <w:rsid w:val="673062A4"/>
    <w:rsid w:val="67347F0F"/>
    <w:rsid w:val="67424E02"/>
    <w:rsid w:val="674566A0"/>
    <w:rsid w:val="675211BC"/>
    <w:rsid w:val="675840FA"/>
    <w:rsid w:val="67620082"/>
    <w:rsid w:val="676835D5"/>
    <w:rsid w:val="676D405E"/>
    <w:rsid w:val="67795540"/>
    <w:rsid w:val="67796505"/>
    <w:rsid w:val="677B0314"/>
    <w:rsid w:val="677B479B"/>
    <w:rsid w:val="67811A27"/>
    <w:rsid w:val="67847534"/>
    <w:rsid w:val="678749F8"/>
    <w:rsid w:val="678B49FB"/>
    <w:rsid w:val="678C11D2"/>
    <w:rsid w:val="679338AF"/>
    <w:rsid w:val="67935D65"/>
    <w:rsid w:val="6794336C"/>
    <w:rsid w:val="679C4EAB"/>
    <w:rsid w:val="67A07D7A"/>
    <w:rsid w:val="67A13325"/>
    <w:rsid w:val="67A45B82"/>
    <w:rsid w:val="67A50164"/>
    <w:rsid w:val="67A6363F"/>
    <w:rsid w:val="67A81FCC"/>
    <w:rsid w:val="67A85A2D"/>
    <w:rsid w:val="67A91325"/>
    <w:rsid w:val="67B11A97"/>
    <w:rsid w:val="67BD092C"/>
    <w:rsid w:val="67BE2E69"/>
    <w:rsid w:val="67C023A9"/>
    <w:rsid w:val="67CA40DB"/>
    <w:rsid w:val="67CB6A09"/>
    <w:rsid w:val="67CE2041"/>
    <w:rsid w:val="67D14B0D"/>
    <w:rsid w:val="67D22A5B"/>
    <w:rsid w:val="67D47D4B"/>
    <w:rsid w:val="67D838E1"/>
    <w:rsid w:val="67DB7004"/>
    <w:rsid w:val="67E2020D"/>
    <w:rsid w:val="67E8268A"/>
    <w:rsid w:val="67F22B8E"/>
    <w:rsid w:val="67F85E08"/>
    <w:rsid w:val="67FC1BB1"/>
    <w:rsid w:val="67FC5D13"/>
    <w:rsid w:val="68077DF9"/>
    <w:rsid w:val="68144AA1"/>
    <w:rsid w:val="68257195"/>
    <w:rsid w:val="68264723"/>
    <w:rsid w:val="682A37BC"/>
    <w:rsid w:val="682A7DE5"/>
    <w:rsid w:val="682C19E8"/>
    <w:rsid w:val="68307350"/>
    <w:rsid w:val="683565FD"/>
    <w:rsid w:val="683864F0"/>
    <w:rsid w:val="683E7CBF"/>
    <w:rsid w:val="684033BA"/>
    <w:rsid w:val="684352D5"/>
    <w:rsid w:val="684D7F02"/>
    <w:rsid w:val="685C6397"/>
    <w:rsid w:val="68602179"/>
    <w:rsid w:val="686B0388"/>
    <w:rsid w:val="68705E0E"/>
    <w:rsid w:val="6873723D"/>
    <w:rsid w:val="68757CDC"/>
    <w:rsid w:val="687B0E2A"/>
    <w:rsid w:val="687E7E6F"/>
    <w:rsid w:val="687F66D1"/>
    <w:rsid w:val="688064E3"/>
    <w:rsid w:val="68810EFB"/>
    <w:rsid w:val="68811417"/>
    <w:rsid w:val="688304C3"/>
    <w:rsid w:val="68840C68"/>
    <w:rsid w:val="6885568C"/>
    <w:rsid w:val="688651C2"/>
    <w:rsid w:val="68896A60"/>
    <w:rsid w:val="68966F46"/>
    <w:rsid w:val="689A0C6D"/>
    <w:rsid w:val="689B1AC1"/>
    <w:rsid w:val="689E250C"/>
    <w:rsid w:val="68A15639"/>
    <w:rsid w:val="68A21A7A"/>
    <w:rsid w:val="68A4112B"/>
    <w:rsid w:val="68A45563"/>
    <w:rsid w:val="68AA7BF7"/>
    <w:rsid w:val="68B35318"/>
    <w:rsid w:val="68B52481"/>
    <w:rsid w:val="68B603CC"/>
    <w:rsid w:val="68B8295B"/>
    <w:rsid w:val="68B95B09"/>
    <w:rsid w:val="68BE3A63"/>
    <w:rsid w:val="68C758FA"/>
    <w:rsid w:val="68CD39AE"/>
    <w:rsid w:val="68CE14DC"/>
    <w:rsid w:val="68DA057D"/>
    <w:rsid w:val="68DB53E7"/>
    <w:rsid w:val="68DC3040"/>
    <w:rsid w:val="68E048D2"/>
    <w:rsid w:val="68E50EAD"/>
    <w:rsid w:val="68E97C3F"/>
    <w:rsid w:val="68F20564"/>
    <w:rsid w:val="68F300B8"/>
    <w:rsid w:val="68F342EA"/>
    <w:rsid w:val="68F44BE4"/>
    <w:rsid w:val="68FC0451"/>
    <w:rsid w:val="690216D8"/>
    <w:rsid w:val="69034814"/>
    <w:rsid w:val="6905532A"/>
    <w:rsid w:val="690565AF"/>
    <w:rsid w:val="690636D5"/>
    <w:rsid w:val="690A793C"/>
    <w:rsid w:val="690B56C7"/>
    <w:rsid w:val="690D2412"/>
    <w:rsid w:val="69137C9B"/>
    <w:rsid w:val="69140A20"/>
    <w:rsid w:val="6914653F"/>
    <w:rsid w:val="691D5B26"/>
    <w:rsid w:val="69223B64"/>
    <w:rsid w:val="6925039E"/>
    <w:rsid w:val="692B513B"/>
    <w:rsid w:val="69307211"/>
    <w:rsid w:val="693410C2"/>
    <w:rsid w:val="693764BC"/>
    <w:rsid w:val="693A2B34"/>
    <w:rsid w:val="693D0545"/>
    <w:rsid w:val="693E589E"/>
    <w:rsid w:val="694C01BA"/>
    <w:rsid w:val="694C2ED1"/>
    <w:rsid w:val="69513380"/>
    <w:rsid w:val="69584DB0"/>
    <w:rsid w:val="695B73AE"/>
    <w:rsid w:val="695C7075"/>
    <w:rsid w:val="695F4AD3"/>
    <w:rsid w:val="69676DA1"/>
    <w:rsid w:val="696C085C"/>
    <w:rsid w:val="6973225B"/>
    <w:rsid w:val="69747710"/>
    <w:rsid w:val="698042D3"/>
    <w:rsid w:val="69831701"/>
    <w:rsid w:val="69935DE8"/>
    <w:rsid w:val="699606DF"/>
    <w:rsid w:val="69A431ED"/>
    <w:rsid w:val="69AE6E80"/>
    <w:rsid w:val="69B02143"/>
    <w:rsid w:val="69B20CF4"/>
    <w:rsid w:val="69B932D0"/>
    <w:rsid w:val="69C13081"/>
    <w:rsid w:val="69C5593D"/>
    <w:rsid w:val="69C8096C"/>
    <w:rsid w:val="69C9180A"/>
    <w:rsid w:val="69D32689"/>
    <w:rsid w:val="69D75029"/>
    <w:rsid w:val="69E37F28"/>
    <w:rsid w:val="69E53F39"/>
    <w:rsid w:val="69F525FF"/>
    <w:rsid w:val="69FB37EF"/>
    <w:rsid w:val="69FF522C"/>
    <w:rsid w:val="6A072332"/>
    <w:rsid w:val="6A0E1BAA"/>
    <w:rsid w:val="6A132A85"/>
    <w:rsid w:val="6A155081"/>
    <w:rsid w:val="6A166B1A"/>
    <w:rsid w:val="6A1A689E"/>
    <w:rsid w:val="6A1D56E9"/>
    <w:rsid w:val="6A1E6F6E"/>
    <w:rsid w:val="6A202D1D"/>
    <w:rsid w:val="6A2133F4"/>
    <w:rsid w:val="6A2D7FEB"/>
    <w:rsid w:val="6A301CE3"/>
    <w:rsid w:val="6A3053E5"/>
    <w:rsid w:val="6A3140CE"/>
    <w:rsid w:val="6A373953"/>
    <w:rsid w:val="6A3C1223"/>
    <w:rsid w:val="6A3D7B09"/>
    <w:rsid w:val="6A407A08"/>
    <w:rsid w:val="6A444A84"/>
    <w:rsid w:val="6A49722E"/>
    <w:rsid w:val="6A4A43CB"/>
    <w:rsid w:val="6A4B2FC2"/>
    <w:rsid w:val="6A5512F0"/>
    <w:rsid w:val="6A553A08"/>
    <w:rsid w:val="6A573ACE"/>
    <w:rsid w:val="6A575068"/>
    <w:rsid w:val="6A5A4B58"/>
    <w:rsid w:val="6A5C2DE8"/>
    <w:rsid w:val="6A734307"/>
    <w:rsid w:val="6A7C6BA9"/>
    <w:rsid w:val="6A822A1B"/>
    <w:rsid w:val="6A890F99"/>
    <w:rsid w:val="6A8960F2"/>
    <w:rsid w:val="6A92659D"/>
    <w:rsid w:val="6A9912A0"/>
    <w:rsid w:val="6A9C645D"/>
    <w:rsid w:val="6AA0095B"/>
    <w:rsid w:val="6AB42F9C"/>
    <w:rsid w:val="6ABA5440"/>
    <w:rsid w:val="6AC51CD0"/>
    <w:rsid w:val="6AD06BC8"/>
    <w:rsid w:val="6AD3138B"/>
    <w:rsid w:val="6AD40467"/>
    <w:rsid w:val="6AD7114A"/>
    <w:rsid w:val="6AF24FD4"/>
    <w:rsid w:val="6AF26B3F"/>
    <w:rsid w:val="6AFC79BD"/>
    <w:rsid w:val="6AFF1F1A"/>
    <w:rsid w:val="6B023C61"/>
    <w:rsid w:val="6B073273"/>
    <w:rsid w:val="6B0872A0"/>
    <w:rsid w:val="6B0F76F1"/>
    <w:rsid w:val="6B0F7A6B"/>
    <w:rsid w:val="6B1539A2"/>
    <w:rsid w:val="6B16271B"/>
    <w:rsid w:val="6B1B52E4"/>
    <w:rsid w:val="6B1B7E43"/>
    <w:rsid w:val="6B1E7186"/>
    <w:rsid w:val="6B2F1B41"/>
    <w:rsid w:val="6B300B47"/>
    <w:rsid w:val="6B30192B"/>
    <w:rsid w:val="6B3455FE"/>
    <w:rsid w:val="6B3E7FD6"/>
    <w:rsid w:val="6B443FA0"/>
    <w:rsid w:val="6B4C1713"/>
    <w:rsid w:val="6B4D0219"/>
    <w:rsid w:val="6B4E2458"/>
    <w:rsid w:val="6B4F4FA3"/>
    <w:rsid w:val="6B500C42"/>
    <w:rsid w:val="6B583B8B"/>
    <w:rsid w:val="6B587F9A"/>
    <w:rsid w:val="6B596E21"/>
    <w:rsid w:val="6B5E228B"/>
    <w:rsid w:val="6B5E2879"/>
    <w:rsid w:val="6B5F2A83"/>
    <w:rsid w:val="6B60290F"/>
    <w:rsid w:val="6B637A3C"/>
    <w:rsid w:val="6B6535FA"/>
    <w:rsid w:val="6B662EB1"/>
    <w:rsid w:val="6B6755DD"/>
    <w:rsid w:val="6B6932A5"/>
    <w:rsid w:val="6B6A65EB"/>
    <w:rsid w:val="6B715CB5"/>
    <w:rsid w:val="6B737827"/>
    <w:rsid w:val="6B76419A"/>
    <w:rsid w:val="6B7923E3"/>
    <w:rsid w:val="6B7938CC"/>
    <w:rsid w:val="6B797260"/>
    <w:rsid w:val="6B7A401A"/>
    <w:rsid w:val="6B7D348E"/>
    <w:rsid w:val="6B7E49EE"/>
    <w:rsid w:val="6B8A17D1"/>
    <w:rsid w:val="6B8B204B"/>
    <w:rsid w:val="6B8D0757"/>
    <w:rsid w:val="6B8E3753"/>
    <w:rsid w:val="6B901EE7"/>
    <w:rsid w:val="6B945E48"/>
    <w:rsid w:val="6B964A8A"/>
    <w:rsid w:val="6B9D0DA2"/>
    <w:rsid w:val="6BA0659B"/>
    <w:rsid w:val="6BA35628"/>
    <w:rsid w:val="6BA442DD"/>
    <w:rsid w:val="6BA8311C"/>
    <w:rsid w:val="6BAF6D49"/>
    <w:rsid w:val="6BBA0F52"/>
    <w:rsid w:val="6BBA3B00"/>
    <w:rsid w:val="6BBE6551"/>
    <w:rsid w:val="6BBF141B"/>
    <w:rsid w:val="6BC71BA3"/>
    <w:rsid w:val="6BCA186A"/>
    <w:rsid w:val="6BCE6A3C"/>
    <w:rsid w:val="6BD27F04"/>
    <w:rsid w:val="6BE72F8F"/>
    <w:rsid w:val="6BE96914"/>
    <w:rsid w:val="6BEE084D"/>
    <w:rsid w:val="6BF17D39"/>
    <w:rsid w:val="6BF24119"/>
    <w:rsid w:val="6BF44BD0"/>
    <w:rsid w:val="6BF84629"/>
    <w:rsid w:val="6BF93062"/>
    <w:rsid w:val="6BF951C8"/>
    <w:rsid w:val="6BFD579B"/>
    <w:rsid w:val="6C025AF2"/>
    <w:rsid w:val="6C132FE6"/>
    <w:rsid w:val="6C153505"/>
    <w:rsid w:val="6C1668FD"/>
    <w:rsid w:val="6C184383"/>
    <w:rsid w:val="6C191372"/>
    <w:rsid w:val="6C1D7FAC"/>
    <w:rsid w:val="6C222E90"/>
    <w:rsid w:val="6C2F059B"/>
    <w:rsid w:val="6C322756"/>
    <w:rsid w:val="6C33225F"/>
    <w:rsid w:val="6C34323F"/>
    <w:rsid w:val="6C370C14"/>
    <w:rsid w:val="6C3903FA"/>
    <w:rsid w:val="6C3A123B"/>
    <w:rsid w:val="6C3A1515"/>
    <w:rsid w:val="6C3C4515"/>
    <w:rsid w:val="6C4C227F"/>
    <w:rsid w:val="6C505E23"/>
    <w:rsid w:val="6C5D7894"/>
    <w:rsid w:val="6C614AD3"/>
    <w:rsid w:val="6C6339A4"/>
    <w:rsid w:val="6C6645FD"/>
    <w:rsid w:val="6C68355C"/>
    <w:rsid w:val="6C6E5DE1"/>
    <w:rsid w:val="6C74163E"/>
    <w:rsid w:val="6C746B7F"/>
    <w:rsid w:val="6C772C6E"/>
    <w:rsid w:val="6C7824A4"/>
    <w:rsid w:val="6C7B1B55"/>
    <w:rsid w:val="6C825A36"/>
    <w:rsid w:val="6C8454C5"/>
    <w:rsid w:val="6C8F6F50"/>
    <w:rsid w:val="6C9A7A27"/>
    <w:rsid w:val="6CA40527"/>
    <w:rsid w:val="6CA43325"/>
    <w:rsid w:val="6CA6153F"/>
    <w:rsid w:val="6CA61B73"/>
    <w:rsid w:val="6CA72915"/>
    <w:rsid w:val="6CA8505C"/>
    <w:rsid w:val="6CAB51F7"/>
    <w:rsid w:val="6CB25C33"/>
    <w:rsid w:val="6CB57362"/>
    <w:rsid w:val="6CB758BD"/>
    <w:rsid w:val="6CB93806"/>
    <w:rsid w:val="6CBE6FB1"/>
    <w:rsid w:val="6CBF47EE"/>
    <w:rsid w:val="6CC4275D"/>
    <w:rsid w:val="6CDE5BCA"/>
    <w:rsid w:val="6CE8644B"/>
    <w:rsid w:val="6CED1DC0"/>
    <w:rsid w:val="6CF10BA2"/>
    <w:rsid w:val="6CF21078"/>
    <w:rsid w:val="6CF7043C"/>
    <w:rsid w:val="6CFA17F1"/>
    <w:rsid w:val="6CFD5E0A"/>
    <w:rsid w:val="6D082F71"/>
    <w:rsid w:val="6D0A63C2"/>
    <w:rsid w:val="6D0C3C58"/>
    <w:rsid w:val="6D1B05CF"/>
    <w:rsid w:val="6D233FB8"/>
    <w:rsid w:val="6D2912F8"/>
    <w:rsid w:val="6D2A0F79"/>
    <w:rsid w:val="6D3276C6"/>
    <w:rsid w:val="6D371A44"/>
    <w:rsid w:val="6D4265E0"/>
    <w:rsid w:val="6D433682"/>
    <w:rsid w:val="6D4457E1"/>
    <w:rsid w:val="6D465CE0"/>
    <w:rsid w:val="6D47769A"/>
    <w:rsid w:val="6D4B7B8E"/>
    <w:rsid w:val="6D4F1E03"/>
    <w:rsid w:val="6D502495"/>
    <w:rsid w:val="6D5A7144"/>
    <w:rsid w:val="6D5E32B0"/>
    <w:rsid w:val="6D626A9A"/>
    <w:rsid w:val="6D634513"/>
    <w:rsid w:val="6D663675"/>
    <w:rsid w:val="6D683D68"/>
    <w:rsid w:val="6D68575A"/>
    <w:rsid w:val="6D6A50B2"/>
    <w:rsid w:val="6D6C299F"/>
    <w:rsid w:val="6D7505CB"/>
    <w:rsid w:val="6D765805"/>
    <w:rsid w:val="6D7B02E9"/>
    <w:rsid w:val="6D7E543B"/>
    <w:rsid w:val="6D8061DC"/>
    <w:rsid w:val="6D8A7502"/>
    <w:rsid w:val="6D8C4CE9"/>
    <w:rsid w:val="6D8D42E0"/>
    <w:rsid w:val="6D9263B7"/>
    <w:rsid w:val="6D943EDD"/>
    <w:rsid w:val="6D997745"/>
    <w:rsid w:val="6D9E2710"/>
    <w:rsid w:val="6DA73FD4"/>
    <w:rsid w:val="6DB51DCD"/>
    <w:rsid w:val="6DB60045"/>
    <w:rsid w:val="6DB61FA8"/>
    <w:rsid w:val="6DBE0F5A"/>
    <w:rsid w:val="6DBF1B21"/>
    <w:rsid w:val="6DCD6D51"/>
    <w:rsid w:val="6DD50B64"/>
    <w:rsid w:val="6DD724B0"/>
    <w:rsid w:val="6DDB4F06"/>
    <w:rsid w:val="6DDE276E"/>
    <w:rsid w:val="6DE0742F"/>
    <w:rsid w:val="6DE22867"/>
    <w:rsid w:val="6DE309C1"/>
    <w:rsid w:val="6DE401C0"/>
    <w:rsid w:val="6DE44515"/>
    <w:rsid w:val="6DE765F6"/>
    <w:rsid w:val="6DEC1F6B"/>
    <w:rsid w:val="6DEF2152"/>
    <w:rsid w:val="6DF17AA8"/>
    <w:rsid w:val="6DFB58B2"/>
    <w:rsid w:val="6DFF1C9E"/>
    <w:rsid w:val="6E0710AD"/>
    <w:rsid w:val="6E0C1662"/>
    <w:rsid w:val="6E0E1EE1"/>
    <w:rsid w:val="6E0E2611"/>
    <w:rsid w:val="6E0E3C8F"/>
    <w:rsid w:val="6E1444DF"/>
    <w:rsid w:val="6E1973F6"/>
    <w:rsid w:val="6E1A6AD8"/>
    <w:rsid w:val="6E1B015A"/>
    <w:rsid w:val="6E1F7C4B"/>
    <w:rsid w:val="6E2039C3"/>
    <w:rsid w:val="6E2249E0"/>
    <w:rsid w:val="6E290AC9"/>
    <w:rsid w:val="6E2B1EDA"/>
    <w:rsid w:val="6E2B4F8C"/>
    <w:rsid w:val="6E2F52EB"/>
    <w:rsid w:val="6E301E58"/>
    <w:rsid w:val="6E3D60AF"/>
    <w:rsid w:val="6E3F653F"/>
    <w:rsid w:val="6E442927"/>
    <w:rsid w:val="6E4B4EE4"/>
    <w:rsid w:val="6E510020"/>
    <w:rsid w:val="6E5145BB"/>
    <w:rsid w:val="6E5A6ED5"/>
    <w:rsid w:val="6E6324B2"/>
    <w:rsid w:val="6E6E3125"/>
    <w:rsid w:val="6E7F1EC4"/>
    <w:rsid w:val="6E802FDD"/>
    <w:rsid w:val="6E82467D"/>
    <w:rsid w:val="6E8550FA"/>
    <w:rsid w:val="6E8A362D"/>
    <w:rsid w:val="6E8A49DE"/>
    <w:rsid w:val="6E8B1350"/>
    <w:rsid w:val="6E8B6320"/>
    <w:rsid w:val="6E8F7534"/>
    <w:rsid w:val="6E930CAB"/>
    <w:rsid w:val="6E96104E"/>
    <w:rsid w:val="6E972B76"/>
    <w:rsid w:val="6E992E9F"/>
    <w:rsid w:val="6E9D3265"/>
    <w:rsid w:val="6E9D5013"/>
    <w:rsid w:val="6E9E3ED6"/>
    <w:rsid w:val="6E9E4358"/>
    <w:rsid w:val="6EAD34A8"/>
    <w:rsid w:val="6EAD5D25"/>
    <w:rsid w:val="6EAD63FE"/>
    <w:rsid w:val="6EAF7BC4"/>
    <w:rsid w:val="6EB74166"/>
    <w:rsid w:val="6EB760D5"/>
    <w:rsid w:val="6EBF4F8A"/>
    <w:rsid w:val="6EC73924"/>
    <w:rsid w:val="6ECB27BE"/>
    <w:rsid w:val="6ED00F45"/>
    <w:rsid w:val="6ED22F0F"/>
    <w:rsid w:val="6ED26D8F"/>
    <w:rsid w:val="6ED35DAD"/>
    <w:rsid w:val="6ED71BE6"/>
    <w:rsid w:val="6EDA2ACB"/>
    <w:rsid w:val="6EDB160C"/>
    <w:rsid w:val="6EDE33E8"/>
    <w:rsid w:val="6EE15554"/>
    <w:rsid w:val="6EE82732"/>
    <w:rsid w:val="6EE90259"/>
    <w:rsid w:val="6EEE1AEC"/>
    <w:rsid w:val="6EF04498"/>
    <w:rsid w:val="6EF36B68"/>
    <w:rsid w:val="6EF42B09"/>
    <w:rsid w:val="6EF72AFA"/>
    <w:rsid w:val="6EF8049C"/>
    <w:rsid w:val="6EF97FDE"/>
    <w:rsid w:val="6EFD5AB2"/>
    <w:rsid w:val="6EFF218C"/>
    <w:rsid w:val="6F016213"/>
    <w:rsid w:val="6F0357BE"/>
    <w:rsid w:val="6F0532DE"/>
    <w:rsid w:val="6F056CD8"/>
    <w:rsid w:val="6F0E64E8"/>
    <w:rsid w:val="6F106519"/>
    <w:rsid w:val="6F15104E"/>
    <w:rsid w:val="6F1D2CB0"/>
    <w:rsid w:val="6F220978"/>
    <w:rsid w:val="6F2614AD"/>
    <w:rsid w:val="6F2757F2"/>
    <w:rsid w:val="6F2F65B3"/>
    <w:rsid w:val="6F4B6E55"/>
    <w:rsid w:val="6F4B7B88"/>
    <w:rsid w:val="6F526FA9"/>
    <w:rsid w:val="6F5A5303"/>
    <w:rsid w:val="6F6248A5"/>
    <w:rsid w:val="6F636301"/>
    <w:rsid w:val="6F7567DD"/>
    <w:rsid w:val="6F7778C3"/>
    <w:rsid w:val="6F822D2D"/>
    <w:rsid w:val="6F96218E"/>
    <w:rsid w:val="6FA70C07"/>
    <w:rsid w:val="6FAA7484"/>
    <w:rsid w:val="6FB14DD0"/>
    <w:rsid w:val="6FB36CAD"/>
    <w:rsid w:val="6FB751FD"/>
    <w:rsid w:val="6FB97C2B"/>
    <w:rsid w:val="6FBB39A3"/>
    <w:rsid w:val="6FBD0480"/>
    <w:rsid w:val="6FC0397E"/>
    <w:rsid w:val="6FC45B02"/>
    <w:rsid w:val="6FD4792B"/>
    <w:rsid w:val="6FD75796"/>
    <w:rsid w:val="6FDE58E3"/>
    <w:rsid w:val="6FE215D0"/>
    <w:rsid w:val="6FE248BB"/>
    <w:rsid w:val="6FE25FBC"/>
    <w:rsid w:val="6FE612E2"/>
    <w:rsid w:val="6FE900D4"/>
    <w:rsid w:val="6FEB2A10"/>
    <w:rsid w:val="6FEC77B5"/>
    <w:rsid w:val="6FEC7FFF"/>
    <w:rsid w:val="6FEF189F"/>
    <w:rsid w:val="6FF23A21"/>
    <w:rsid w:val="6FF27251"/>
    <w:rsid w:val="700215D2"/>
    <w:rsid w:val="70023B9B"/>
    <w:rsid w:val="700318AE"/>
    <w:rsid w:val="700614F9"/>
    <w:rsid w:val="700A69A5"/>
    <w:rsid w:val="701032FA"/>
    <w:rsid w:val="70130F47"/>
    <w:rsid w:val="701B5C4E"/>
    <w:rsid w:val="701D465E"/>
    <w:rsid w:val="70207CAA"/>
    <w:rsid w:val="70223A22"/>
    <w:rsid w:val="70260612"/>
    <w:rsid w:val="70264F98"/>
    <w:rsid w:val="70312AA1"/>
    <w:rsid w:val="70360167"/>
    <w:rsid w:val="703604AA"/>
    <w:rsid w:val="703660D9"/>
    <w:rsid w:val="703A617E"/>
    <w:rsid w:val="70406FB1"/>
    <w:rsid w:val="70451B32"/>
    <w:rsid w:val="704A6141"/>
    <w:rsid w:val="704A7190"/>
    <w:rsid w:val="704B11CB"/>
    <w:rsid w:val="704D106E"/>
    <w:rsid w:val="704E4817"/>
    <w:rsid w:val="704F233D"/>
    <w:rsid w:val="705C04CE"/>
    <w:rsid w:val="7063612F"/>
    <w:rsid w:val="706549B2"/>
    <w:rsid w:val="70671D7D"/>
    <w:rsid w:val="70673B2B"/>
    <w:rsid w:val="706C68BA"/>
    <w:rsid w:val="706E19D4"/>
    <w:rsid w:val="70747100"/>
    <w:rsid w:val="70775DC5"/>
    <w:rsid w:val="707E76F2"/>
    <w:rsid w:val="70902E1B"/>
    <w:rsid w:val="70904E30"/>
    <w:rsid w:val="7092752C"/>
    <w:rsid w:val="70931B2C"/>
    <w:rsid w:val="70932B72"/>
    <w:rsid w:val="709457A3"/>
    <w:rsid w:val="709E26C4"/>
    <w:rsid w:val="709F103E"/>
    <w:rsid w:val="70AB3A18"/>
    <w:rsid w:val="70AC081A"/>
    <w:rsid w:val="70B86135"/>
    <w:rsid w:val="70B93EB7"/>
    <w:rsid w:val="70B965AD"/>
    <w:rsid w:val="70BB57A9"/>
    <w:rsid w:val="70C04FE9"/>
    <w:rsid w:val="70C40F7D"/>
    <w:rsid w:val="70C50F4C"/>
    <w:rsid w:val="70D347BD"/>
    <w:rsid w:val="70D54C95"/>
    <w:rsid w:val="70E1568B"/>
    <w:rsid w:val="70E94540"/>
    <w:rsid w:val="70EE7DA8"/>
    <w:rsid w:val="70EF5D16"/>
    <w:rsid w:val="70F01D72"/>
    <w:rsid w:val="70F24C64"/>
    <w:rsid w:val="710524B6"/>
    <w:rsid w:val="710C022E"/>
    <w:rsid w:val="71186BD3"/>
    <w:rsid w:val="711E625A"/>
    <w:rsid w:val="711F4620"/>
    <w:rsid w:val="7122515B"/>
    <w:rsid w:val="712437CA"/>
    <w:rsid w:val="71267EE8"/>
    <w:rsid w:val="71274F9D"/>
    <w:rsid w:val="712A5FCB"/>
    <w:rsid w:val="712F2F7F"/>
    <w:rsid w:val="71306613"/>
    <w:rsid w:val="71327B6D"/>
    <w:rsid w:val="71333A0D"/>
    <w:rsid w:val="713C1FAA"/>
    <w:rsid w:val="714125CE"/>
    <w:rsid w:val="714262A5"/>
    <w:rsid w:val="71500A63"/>
    <w:rsid w:val="71583E79"/>
    <w:rsid w:val="715C11B6"/>
    <w:rsid w:val="715C1AB0"/>
    <w:rsid w:val="715C3DED"/>
    <w:rsid w:val="71607E45"/>
    <w:rsid w:val="71685DAD"/>
    <w:rsid w:val="71706A0F"/>
    <w:rsid w:val="718647FC"/>
    <w:rsid w:val="71873719"/>
    <w:rsid w:val="718D23D4"/>
    <w:rsid w:val="71911A1E"/>
    <w:rsid w:val="71924BD7"/>
    <w:rsid w:val="71960211"/>
    <w:rsid w:val="719A3A8C"/>
    <w:rsid w:val="719B276D"/>
    <w:rsid w:val="719F14F4"/>
    <w:rsid w:val="71A21802"/>
    <w:rsid w:val="71A52B1F"/>
    <w:rsid w:val="71AB0F7A"/>
    <w:rsid w:val="71AB7532"/>
    <w:rsid w:val="71B22998"/>
    <w:rsid w:val="71B47370"/>
    <w:rsid w:val="71B50E67"/>
    <w:rsid w:val="71BB2380"/>
    <w:rsid w:val="71BF337A"/>
    <w:rsid w:val="71C1726B"/>
    <w:rsid w:val="71C21512"/>
    <w:rsid w:val="71C25966"/>
    <w:rsid w:val="71CB68C2"/>
    <w:rsid w:val="71CC00E9"/>
    <w:rsid w:val="71D025FE"/>
    <w:rsid w:val="71D13952"/>
    <w:rsid w:val="71D1699E"/>
    <w:rsid w:val="71D21EFE"/>
    <w:rsid w:val="71E23754"/>
    <w:rsid w:val="71E841A0"/>
    <w:rsid w:val="71EE178F"/>
    <w:rsid w:val="71F557D4"/>
    <w:rsid w:val="71F57D86"/>
    <w:rsid w:val="71F82FEB"/>
    <w:rsid w:val="72015E09"/>
    <w:rsid w:val="72023B0B"/>
    <w:rsid w:val="72033E49"/>
    <w:rsid w:val="72044BD8"/>
    <w:rsid w:val="7205184D"/>
    <w:rsid w:val="720909ED"/>
    <w:rsid w:val="720E478E"/>
    <w:rsid w:val="720F447A"/>
    <w:rsid w:val="72115BAA"/>
    <w:rsid w:val="721609CC"/>
    <w:rsid w:val="721B697B"/>
    <w:rsid w:val="721F4F80"/>
    <w:rsid w:val="723E3B08"/>
    <w:rsid w:val="723F4D5F"/>
    <w:rsid w:val="72455FB5"/>
    <w:rsid w:val="72462BEB"/>
    <w:rsid w:val="724C4D86"/>
    <w:rsid w:val="725565BF"/>
    <w:rsid w:val="72586C8D"/>
    <w:rsid w:val="725C7493"/>
    <w:rsid w:val="725E5157"/>
    <w:rsid w:val="726F1F6E"/>
    <w:rsid w:val="727442DD"/>
    <w:rsid w:val="72750781"/>
    <w:rsid w:val="727A5D97"/>
    <w:rsid w:val="72843DBF"/>
    <w:rsid w:val="728728F7"/>
    <w:rsid w:val="72873AD7"/>
    <w:rsid w:val="72907369"/>
    <w:rsid w:val="72916C3D"/>
    <w:rsid w:val="72917D37"/>
    <w:rsid w:val="7298621E"/>
    <w:rsid w:val="72A46970"/>
    <w:rsid w:val="72A61A7B"/>
    <w:rsid w:val="72A87200"/>
    <w:rsid w:val="72AA5763"/>
    <w:rsid w:val="72AD0771"/>
    <w:rsid w:val="72B433A6"/>
    <w:rsid w:val="72B50B7E"/>
    <w:rsid w:val="72B77AA3"/>
    <w:rsid w:val="72BA1761"/>
    <w:rsid w:val="72BA6194"/>
    <w:rsid w:val="72BE7968"/>
    <w:rsid w:val="72C62878"/>
    <w:rsid w:val="72CE3FD8"/>
    <w:rsid w:val="72D75592"/>
    <w:rsid w:val="72D903A9"/>
    <w:rsid w:val="72DF5F61"/>
    <w:rsid w:val="72E007B6"/>
    <w:rsid w:val="72E12C3F"/>
    <w:rsid w:val="72E15072"/>
    <w:rsid w:val="72E3698D"/>
    <w:rsid w:val="72E93681"/>
    <w:rsid w:val="72E975A1"/>
    <w:rsid w:val="72EA0E0F"/>
    <w:rsid w:val="72EC6569"/>
    <w:rsid w:val="72EC76A5"/>
    <w:rsid w:val="72EF5085"/>
    <w:rsid w:val="72F659E2"/>
    <w:rsid w:val="72F86CBC"/>
    <w:rsid w:val="73096498"/>
    <w:rsid w:val="730B3B4E"/>
    <w:rsid w:val="730E64E0"/>
    <w:rsid w:val="73124222"/>
    <w:rsid w:val="73137F9A"/>
    <w:rsid w:val="73171A37"/>
    <w:rsid w:val="73183E24"/>
    <w:rsid w:val="73193C05"/>
    <w:rsid w:val="731A30D6"/>
    <w:rsid w:val="73221D6D"/>
    <w:rsid w:val="73295D72"/>
    <w:rsid w:val="73332ABB"/>
    <w:rsid w:val="7335463A"/>
    <w:rsid w:val="733A1083"/>
    <w:rsid w:val="7343262D"/>
    <w:rsid w:val="734B1779"/>
    <w:rsid w:val="734C0DB6"/>
    <w:rsid w:val="734F0FD2"/>
    <w:rsid w:val="734F5377"/>
    <w:rsid w:val="735E3FF0"/>
    <w:rsid w:val="735F5938"/>
    <w:rsid w:val="736040CB"/>
    <w:rsid w:val="73604489"/>
    <w:rsid w:val="73700F48"/>
    <w:rsid w:val="7370719A"/>
    <w:rsid w:val="73727B71"/>
    <w:rsid w:val="73765B5E"/>
    <w:rsid w:val="737A6E0A"/>
    <w:rsid w:val="737F118B"/>
    <w:rsid w:val="73802D1B"/>
    <w:rsid w:val="738178A1"/>
    <w:rsid w:val="738775D0"/>
    <w:rsid w:val="738D000D"/>
    <w:rsid w:val="73972065"/>
    <w:rsid w:val="739877BB"/>
    <w:rsid w:val="739E1A08"/>
    <w:rsid w:val="739E34FE"/>
    <w:rsid w:val="739E3C45"/>
    <w:rsid w:val="73A17354"/>
    <w:rsid w:val="73A23D40"/>
    <w:rsid w:val="73AD34A2"/>
    <w:rsid w:val="73B26A84"/>
    <w:rsid w:val="73B3090C"/>
    <w:rsid w:val="73C023AA"/>
    <w:rsid w:val="73C02820"/>
    <w:rsid w:val="73C661F3"/>
    <w:rsid w:val="73CC4F88"/>
    <w:rsid w:val="73CD5DB1"/>
    <w:rsid w:val="73D32A82"/>
    <w:rsid w:val="73D414D7"/>
    <w:rsid w:val="73D43285"/>
    <w:rsid w:val="73D634A1"/>
    <w:rsid w:val="73D6524F"/>
    <w:rsid w:val="73DE1B39"/>
    <w:rsid w:val="73EB05CF"/>
    <w:rsid w:val="73EC69B7"/>
    <w:rsid w:val="73ED4347"/>
    <w:rsid w:val="73EF06E2"/>
    <w:rsid w:val="73EF50C4"/>
    <w:rsid w:val="73F13B20"/>
    <w:rsid w:val="740A0140"/>
    <w:rsid w:val="740C0C71"/>
    <w:rsid w:val="740D6797"/>
    <w:rsid w:val="740F3F7D"/>
    <w:rsid w:val="7416197C"/>
    <w:rsid w:val="74185FD6"/>
    <w:rsid w:val="742D4AD1"/>
    <w:rsid w:val="74387CB8"/>
    <w:rsid w:val="743B3304"/>
    <w:rsid w:val="744009DC"/>
    <w:rsid w:val="74407028"/>
    <w:rsid w:val="74434153"/>
    <w:rsid w:val="74471CA9"/>
    <w:rsid w:val="744B7C95"/>
    <w:rsid w:val="744E0F97"/>
    <w:rsid w:val="744F6DB0"/>
    <w:rsid w:val="745B39A7"/>
    <w:rsid w:val="745F14A8"/>
    <w:rsid w:val="7462210F"/>
    <w:rsid w:val="74665B17"/>
    <w:rsid w:val="74696FDD"/>
    <w:rsid w:val="746A1E3C"/>
    <w:rsid w:val="746A3BEA"/>
    <w:rsid w:val="746E36DA"/>
    <w:rsid w:val="74721889"/>
    <w:rsid w:val="74751D22"/>
    <w:rsid w:val="74770188"/>
    <w:rsid w:val="7479475A"/>
    <w:rsid w:val="74840EBC"/>
    <w:rsid w:val="748A6DE2"/>
    <w:rsid w:val="74947BF4"/>
    <w:rsid w:val="749D3705"/>
    <w:rsid w:val="749E238C"/>
    <w:rsid w:val="74A07641"/>
    <w:rsid w:val="74A82EDE"/>
    <w:rsid w:val="74AE3AD6"/>
    <w:rsid w:val="74BA691F"/>
    <w:rsid w:val="74BD7AA7"/>
    <w:rsid w:val="74C91883"/>
    <w:rsid w:val="74CA4688"/>
    <w:rsid w:val="74CE4254"/>
    <w:rsid w:val="74D379EE"/>
    <w:rsid w:val="74D641E0"/>
    <w:rsid w:val="74DC789B"/>
    <w:rsid w:val="74DE1419"/>
    <w:rsid w:val="74E435B0"/>
    <w:rsid w:val="74E8322E"/>
    <w:rsid w:val="74F67823"/>
    <w:rsid w:val="74FB58D6"/>
    <w:rsid w:val="74FC6F38"/>
    <w:rsid w:val="75023E22"/>
    <w:rsid w:val="750951B1"/>
    <w:rsid w:val="750F267E"/>
    <w:rsid w:val="75107330"/>
    <w:rsid w:val="751E7BDB"/>
    <w:rsid w:val="75236DCA"/>
    <w:rsid w:val="75271ADB"/>
    <w:rsid w:val="75297601"/>
    <w:rsid w:val="752F469C"/>
    <w:rsid w:val="753753E6"/>
    <w:rsid w:val="753D22F5"/>
    <w:rsid w:val="753D4A0D"/>
    <w:rsid w:val="75426493"/>
    <w:rsid w:val="75437DC7"/>
    <w:rsid w:val="754461E9"/>
    <w:rsid w:val="75501031"/>
    <w:rsid w:val="75580138"/>
    <w:rsid w:val="755B785F"/>
    <w:rsid w:val="755C6EB3"/>
    <w:rsid w:val="7563189E"/>
    <w:rsid w:val="756B19C7"/>
    <w:rsid w:val="756C0301"/>
    <w:rsid w:val="75703778"/>
    <w:rsid w:val="75751C4F"/>
    <w:rsid w:val="757E2D17"/>
    <w:rsid w:val="757F3EBB"/>
    <w:rsid w:val="75802627"/>
    <w:rsid w:val="75876E0E"/>
    <w:rsid w:val="75896EF3"/>
    <w:rsid w:val="758B206A"/>
    <w:rsid w:val="758D2490"/>
    <w:rsid w:val="758D68DD"/>
    <w:rsid w:val="758E2122"/>
    <w:rsid w:val="75907680"/>
    <w:rsid w:val="759267AF"/>
    <w:rsid w:val="75932CCC"/>
    <w:rsid w:val="75954C96"/>
    <w:rsid w:val="759A592E"/>
    <w:rsid w:val="75AC25F2"/>
    <w:rsid w:val="75AD6CC1"/>
    <w:rsid w:val="75AE51FC"/>
    <w:rsid w:val="75AF5D58"/>
    <w:rsid w:val="75B508C1"/>
    <w:rsid w:val="75B710B1"/>
    <w:rsid w:val="75BB6B9A"/>
    <w:rsid w:val="75CA2B92"/>
    <w:rsid w:val="75D770C9"/>
    <w:rsid w:val="75DF6CAA"/>
    <w:rsid w:val="75E722D0"/>
    <w:rsid w:val="75E7775D"/>
    <w:rsid w:val="75EA3778"/>
    <w:rsid w:val="75EB2B08"/>
    <w:rsid w:val="75FC6AC3"/>
    <w:rsid w:val="75FC6BDC"/>
    <w:rsid w:val="75FD6299"/>
    <w:rsid w:val="76100E78"/>
    <w:rsid w:val="76131BB8"/>
    <w:rsid w:val="761B0B76"/>
    <w:rsid w:val="762229CE"/>
    <w:rsid w:val="7624264E"/>
    <w:rsid w:val="76263DFD"/>
    <w:rsid w:val="76356EC8"/>
    <w:rsid w:val="76361FD5"/>
    <w:rsid w:val="764B1D52"/>
    <w:rsid w:val="764F553D"/>
    <w:rsid w:val="765468FF"/>
    <w:rsid w:val="7655770F"/>
    <w:rsid w:val="76581EF3"/>
    <w:rsid w:val="765B46EE"/>
    <w:rsid w:val="765D1A08"/>
    <w:rsid w:val="765F5A43"/>
    <w:rsid w:val="766948EC"/>
    <w:rsid w:val="766E4FBE"/>
    <w:rsid w:val="76725892"/>
    <w:rsid w:val="76740D50"/>
    <w:rsid w:val="76760624"/>
    <w:rsid w:val="76764AC8"/>
    <w:rsid w:val="76774E9C"/>
    <w:rsid w:val="768A6907"/>
    <w:rsid w:val="7691545E"/>
    <w:rsid w:val="7696744A"/>
    <w:rsid w:val="76990445"/>
    <w:rsid w:val="769D2054"/>
    <w:rsid w:val="76A21E2A"/>
    <w:rsid w:val="76A73E28"/>
    <w:rsid w:val="76A95767"/>
    <w:rsid w:val="76B0598B"/>
    <w:rsid w:val="76B661D8"/>
    <w:rsid w:val="76BB2FFE"/>
    <w:rsid w:val="76BE5D92"/>
    <w:rsid w:val="76C12E0A"/>
    <w:rsid w:val="76C24062"/>
    <w:rsid w:val="76D65566"/>
    <w:rsid w:val="76D73143"/>
    <w:rsid w:val="76D7455C"/>
    <w:rsid w:val="76D74A5C"/>
    <w:rsid w:val="76DC6F10"/>
    <w:rsid w:val="76DD06A3"/>
    <w:rsid w:val="76DE5773"/>
    <w:rsid w:val="76E077F2"/>
    <w:rsid w:val="76E338CF"/>
    <w:rsid w:val="76E47C83"/>
    <w:rsid w:val="76E66A53"/>
    <w:rsid w:val="76EE0B02"/>
    <w:rsid w:val="76F16BB0"/>
    <w:rsid w:val="76F57999"/>
    <w:rsid w:val="76FE2EC8"/>
    <w:rsid w:val="76FF2D0F"/>
    <w:rsid w:val="76FF686B"/>
    <w:rsid w:val="77071BC4"/>
    <w:rsid w:val="770932F6"/>
    <w:rsid w:val="770E3456"/>
    <w:rsid w:val="770F060F"/>
    <w:rsid w:val="77132D94"/>
    <w:rsid w:val="771349B7"/>
    <w:rsid w:val="771763C0"/>
    <w:rsid w:val="77234981"/>
    <w:rsid w:val="772558CB"/>
    <w:rsid w:val="7726029C"/>
    <w:rsid w:val="772B7960"/>
    <w:rsid w:val="773128C1"/>
    <w:rsid w:val="77317722"/>
    <w:rsid w:val="7734689D"/>
    <w:rsid w:val="773F310C"/>
    <w:rsid w:val="7742069F"/>
    <w:rsid w:val="77422B77"/>
    <w:rsid w:val="7744410E"/>
    <w:rsid w:val="774A385E"/>
    <w:rsid w:val="774D5385"/>
    <w:rsid w:val="774E77F3"/>
    <w:rsid w:val="775E5C88"/>
    <w:rsid w:val="77667120"/>
    <w:rsid w:val="776808B4"/>
    <w:rsid w:val="77725F78"/>
    <w:rsid w:val="77752B7C"/>
    <w:rsid w:val="778B2BD6"/>
    <w:rsid w:val="778C70EA"/>
    <w:rsid w:val="77901BB9"/>
    <w:rsid w:val="77910850"/>
    <w:rsid w:val="77A02CCB"/>
    <w:rsid w:val="77A45665"/>
    <w:rsid w:val="77A64F39"/>
    <w:rsid w:val="77AE1E46"/>
    <w:rsid w:val="77AE2A02"/>
    <w:rsid w:val="77AE6466"/>
    <w:rsid w:val="77AF64E3"/>
    <w:rsid w:val="77B05304"/>
    <w:rsid w:val="77B0556B"/>
    <w:rsid w:val="77B65BA7"/>
    <w:rsid w:val="77C17FC5"/>
    <w:rsid w:val="77C43794"/>
    <w:rsid w:val="77C63DBC"/>
    <w:rsid w:val="77CA4F1E"/>
    <w:rsid w:val="77D23F80"/>
    <w:rsid w:val="77D53A70"/>
    <w:rsid w:val="77D64FF5"/>
    <w:rsid w:val="77D97AE9"/>
    <w:rsid w:val="77E12F89"/>
    <w:rsid w:val="77E16753"/>
    <w:rsid w:val="77E43CB3"/>
    <w:rsid w:val="77ED6081"/>
    <w:rsid w:val="77F972C7"/>
    <w:rsid w:val="77FB0392"/>
    <w:rsid w:val="77FE2FC7"/>
    <w:rsid w:val="77FE6B23"/>
    <w:rsid w:val="78000AED"/>
    <w:rsid w:val="780305DD"/>
    <w:rsid w:val="78032CA0"/>
    <w:rsid w:val="780B56E4"/>
    <w:rsid w:val="780F7711"/>
    <w:rsid w:val="78104AA8"/>
    <w:rsid w:val="781441A0"/>
    <w:rsid w:val="781520BE"/>
    <w:rsid w:val="781F6A99"/>
    <w:rsid w:val="782347DB"/>
    <w:rsid w:val="782A7918"/>
    <w:rsid w:val="78364E7A"/>
    <w:rsid w:val="78411F37"/>
    <w:rsid w:val="784A1D68"/>
    <w:rsid w:val="784C2AAC"/>
    <w:rsid w:val="784F01BC"/>
    <w:rsid w:val="78526E6F"/>
    <w:rsid w:val="78533B6B"/>
    <w:rsid w:val="785D5F3F"/>
    <w:rsid w:val="78615928"/>
    <w:rsid w:val="78656BA2"/>
    <w:rsid w:val="786D0045"/>
    <w:rsid w:val="78702FE9"/>
    <w:rsid w:val="787550A9"/>
    <w:rsid w:val="7880578A"/>
    <w:rsid w:val="78841C5F"/>
    <w:rsid w:val="788D4CF3"/>
    <w:rsid w:val="788F00C3"/>
    <w:rsid w:val="7890190A"/>
    <w:rsid w:val="7891567A"/>
    <w:rsid w:val="7892370F"/>
    <w:rsid w:val="78975512"/>
    <w:rsid w:val="789B185C"/>
    <w:rsid w:val="78A0407E"/>
    <w:rsid w:val="78A51694"/>
    <w:rsid w:val="78AD3249"/>
    <w:rsid w:val="78B10645"/>
    <w:rsid w:val="78B5016B"/>
    <w:rsid w:val="78B5210B"/>
    <w:rsid w:val="78BA6B12"/>
    <w:rsid w:val="78BC253A"/>
    <w:rsid w:val="78C935D5"/>
    <w:rsid w:val="78CA0296"/>
    <w:rsid w:val="78CF4963"/>
    <w:rsid w:val="78DD2EDD"/>
    <w:rsid w:val="78F970E4"/>
    <w:rsid w:val="78FA0A2F"/>
    <w:rsid w:val="78FA0F79"/>
    <w:rsid w:val="79026F34"/>
    <w:rsid w:val="79053EE1"/>
    <w:rsid w:val="79094251"/>
    <w:rsid w:val="790F5416"/>
    <w:rsid w:val="79141BA4"/>
    <w:rsid w:val="791A25B8"/>
    <w:rsid w:val="791B4066"/>
    <w:rsid w:val="791E704F"/>
    <w:rsid w:val="79235345"/>
    <w:rsid w:val="79282296"/>
    <w:rsid w:val="792E3438"/>
    <w:rsid w:val="793374C4"/>
    <w:rsid w:val="79404F19"/>
    <w:rsid w:val="7942170D"/>
    <w:rsid w:val="79426EE3"/>
    <w:rsid w:val="794637C2"/>
    <w:rsid w:val="794C02A8"/>
    <w:rsid w:val="794C17CC"/>
    <w:rsid w:val="79526176"/>
    <w:rsid w:val="796D1764"/>
    <w:rsid w:val="796D6C42"/>
    <w:rsid w:val="796E3EA4"/>
    <w:rsid w:val="796E5657"/>
    <w:rsid w:val="79757D30"/>
    <w:rsid w:val="79767402"/>
    <w:rsid w:val="797A1D8C"/>
    <w:rsid w:val="797D4E6E"/>
    <w:rsid w:val="79817AFD"/>
    <w:rsid w:val="79894B12"/>
    <w:rsid w:val="79915775"/>
    <w:rsid w:val="799E29F4"/>
    <w:rsid w:val="799E5BFD"/>
    <w:rsid w:val="79A312A6"/>
    <w:rsid w:val="79A968A6"/>
    <w:rsid w:val="79AB62FC"/>
    <w:rsid w:val="79AC1D98"/>
    <w:rsid w:val="79AD64ED"/>
    <w:rsid w:val="79B40F18"/>
    <w:rsid w:val="79B53B59"/>
    <w:rsid w:val="79B7269D"/>
    <w:rsid w:val="79BE44FA"/>
    <w:rsid w:val="79C10BF5"/>
    <w:rsid w:val="79C353DB"/>
    <w:rsid w:val="79C773E8"/>
    <w:rsid w:val="79D044EF"/>
    <w:rsid w:val="79D42DFB"/>
    <w:rsid w:val="79D94CC8"/>
    <w:rsid w:val="79DA167B"/>
    <w:rsid w:val="79E41D48"/>
    <w:rsid w:val="79FC02B6"/>
    <w:rsid w:val="7A0128FA"/>
    <w:rsid w:val="7A055C28"/>
    <w:rsid w:val="7A0737BF"/>
    <w:rsid w:val="7A1059AA"/>
    <w:rsid w:val="7A124B07"/>
    <w:rsid w:val="7A173ECC"/>
    <w:rsid w:val="7A1A35A6"/>
    <w:rsid w:val="7A1E2B23"/>
    <w:rsid w:val="7A217D95"/>
    <w:rsid w:val="7A34167B"/>
    <w:rsid w:val="7A342CD0"/>
    <w:rsid w:val="7A3525A4"/>
    <w:rsid w:val="7A380976"/>
    <w:rsid w:val="7A403436"/>
    <w:rsid w:val="7A446B89"/>
    <w:rsid w:val="7A4652A6"/>
    <w:rsid w:val="7A47108D"/>
    <w:rsid w:val="7A480529"/>
    <w:rsid w:val="7A4A42A1"/>
    <w:rsid w:val="7A4B328B"/>
    <w:rsid w:val="7A4D5B40"/>
    <w:rsid w:val="7A4F01EA"/>
    <w:rsid w:val="7A546ECE"/>
    <w:rsid w:val="7A5C0085"/>
    <w:rsid w:val="7A5C5D83"/>
    <w:rsid w:val="7A6F5AB6"/>
    <w:rsid w:val="7A704706"/>
    <w:rsid w:val="7A773C8D"/>
    <w:rsid w:val="7A796935"/>
    <w:rsid w:val="7A7D5E97"/>
    <w:rsid w:val="7A825B33"/>
    <w:rsid w:val="7A8A0B42"/>
    <w:rsid w:val="7A8F6158"/>
    <w:rsid w:val="7A96796D"/>
    <w:rsid w:val="7A9F3A94"/>
    <w:rsid w:val="7AA33FC6"/>
    <w:rsid w:val="7AA530BC"/>
    <w:rsid w:val="7AA6281C"/>
    <w:rsid w:val="7AA86EC7"/>
    <w:rsid w:val="7AAA7582"/>
    <w:rsid w:val="7AAD0F0D"/>
    <w:rsid w:val="7AB27670"/>
    <w:rsid w:val="7AB63A8D"/>
    <w:rsid w:val="7ACA39BB"/>
    <w:rsid w:val="7ACD1580"/>
    <w:rsid w:val="7AD125F8"/>
    <w:rsid w:val="7AD4000F"/>
    <w:rsid w:val="7AEA5A84"/>
    <w:rsid w:val="7AED57EC"/>
    <w:rsid w:val="7AEF6BF7"/>
    <w:rsid w:val="7AF20495"/>
    <w:rsid w:val="7AF33BEF"/>
    <w:rsid w:val="7AFA51F3"/>
    <w:rsid w:val="7AFB7EEB"/>
    <w:rsid w:val="7B000E04"/>
    <w:rsid w:val="7B002BB2"/>
    <w:rsid w:val="7B0D52CF"/>
    <w:rsid w:val="7B12230D"/>
    <w:rsid w:val="7B1530AF"/>
    <w:rsid w:val="7B1C4C50"/>
    <w:rsid w:val="7B1E5118"/>
    <w:rsid w:val="7B1F6271"/>
    <w:rsid w:val="7B2014A6"/>
    <w:rsid w:val="7B225863"/>
    <w:rsid w:val="7B2E3BC3"/>
    <w:rsid w:val="7B2F2881"/>
    <w:rsid w:val="7B315461"/>
    <w:rsid w:val="7B33490F"/>
    <w:rsid w:val="7B362957"/>
    <w:rsid w:val="7B3B008E"/>
    <w:rsid w:val="7B3D243E"/>
    <w:rsid w:val="7B3F192C"/>
    <w:rsid w:val="7B3F67F2"/>
    <w:rsid w:val="7B434D14"/>
    <w:rsid w:val="7B4A07CE"/>
    <w:rsid w:val="7B4A6A24"/>
    <w:rsid w:val="7B5C6878"/>
    <w:rsid w:val="7B665DDD"/>
    <w:rsid w:val="7B73558E"/>
    <w:rsid w:val="7B7518E5"/>
    <w:rsid w:val="7B810197"/>
    <w:rsid w:val="7B863371"/>
    <w:rsid w:val="7B8E7573"/>
    <w:rsid w:val="7BA211DF"/>
    <w:rsid w:val="7BA572B0"/>
    <w:rsid w:val="7BA62420"/>
    <w:rsid w:val="7BA734E1"/>
    <w:rsid w:val="7BA9149B"/>
    <w:rsid w:val="7BAA34C0"/>
    <w:rsid w:val="7BAB30F3"/>
    <w:rsid w:val="7BB504F0"/>
    <w:rsid w:val="7BBF2A6D"/>
    <w:rsid w:val="7BC41E31"/>
    <w:rsid w:val="7BC65BA9"/>
    <w:rsid w:val="7BD44183"/>
    <w:rsid w:val="7BD80EB9"/>
    <w:rsid w:val="7BDD499F"/>
    <w:rsid w:val="7BE139E3"/>
    <w:rsid w:val="7BE20B18"/>
    <w:rsid w:val="7BE63648"/>
    <w:rsid w:val="7BE91898"/>
    <w:rsid w:val="7BF81ADB"/>
    <w:rsid w:val="7BFA0377"/>
    <w:rsid w:val="7C016BE2"/>
    <w:rsid w:val="7C137F09"/>
    <w:rsid w:val="7C1508DF"/>
    <w:rsid w:val="7C1B74AF"/>
    <w:rsid w:val="7C1D7794"/>
    <w:rsid w:val="7C1F350C"/>
    <w:rsid w:val="7C296A0F"/>
    <w:rsid w:val="7C2B1EB0"/>
    <w:rsid w:val="7C2D5C29"/>
    <w:rsid w:val="7C306801"/>
    <w:rsid w:val="7C3074C7"/>
    <w:rsid w:val="7C377E12"/>
    <w:rsid w:val="7C472D41"/>
    <w:rsid w:val="7C49264A"/>
    <w:rsid w:val="7C4B7BB0"/>
    <w:rsid w:val="7C4D7544"/>
    <w:rsid w:val="7C4E5B9F"/>
    <w:rsid w:val="7C4F3E6E"/>
    <w:rsid w:val="7C501917"/>
    <w:rsid w:val="7C5675DB"/>
    <w:rsid w:val="7C596A1E"/>
    <w:rsid w:val="7C611D76"/>
    <w:rsid w:val="7C684A4E"/>
    <w:rsid w:val="7C6D4A72"/>
    <w:rsid w:val="7C7970C0"/>
    <w:rsid w:val="7C7C171E"/>
    <w:rsid w:val="7C872E59"/>
    <w:rsid w:val="7C907F65"/>
    <w:rsid w:val="7C987CEC"/>
    <w:rsid w:val="7C987F4B"/>
    <w:rsid w:val="7C99506C"/>
    <w:rsid w:val="7C9C1C28"/>
    <w:rsid w:val="7C9F434C"/>
    <w:rsid w:val="7CA54C2B"/>
    <w:rsid w:val="7CA8270B"/>
    <w:rsid w:val="7CBA49A7"/>
    <w:rsid w:val="7CC52305"/>
    <w:rsid w:val="7CCB2264"/>
    <w:rsid w:val="7CD2057E"/>
    <w:rsid w:val="7CDB2A51"/>
    <w:rsid w:val="7CE01742"/>
    <w:rsid w:val="7CE307C9"/>
    <w:rsid w:val="7CE54237"/>
    <w:rsid w:val="7CE81E99"/>
    <w:rsid w:val="7CEA32FE"/>
    <w:rsid w:val="7CEB2EAC"/>
    <w:rsid w:val="7CF01DD4"/>
    <w:rsid w:val="7CF13EEF"/>
    <w:rsid w:val="7CF2291D"/>
    <w:rsid w:val="7CF41B3D"/>
    <w:rsid w:val="7CF95D69"/>
    <w:rsid w:val="7D0E4F43"/>
    <w:rsid w:val="7D13207E"/>
    <w:rsid w:val="7D161497"/>
    <w:rsid w:val="7D180687"/>
    <w:rsid w:val="7D1B357B"/>
    <w:rsid w:val="7D1F1AAE"/>
    <w:rsid w:val="7D221505"/>
    <w:rsid w:val="7D317257"/>
    <w:rsid w:val="7D3828D0"/>
    <w:rsid w:val="7D382AD7"/>
    <w:rsid w:val="7D3A62EB"/>
    <w:rsid w:val="7D3F20B7"/>
    <w:rsid w:val="7D4547B0"/>
    <w:rsid w:val="7D4C1C23"/>
    <w:rsid w:val="7D4E7E17"/>
    <w:rsid w:val="7D507956"/>
    <w:rsid w:val="7D556464"/>
    <w:rsid w:val="7D59210C"/>
    <w:rsid w:val="7D5D2FF6"/>
    <w:rsid w:val="7D67566B"/>
    <w:rsid w:val="7D6C09D3"/>
    <w:rsid w:val="7D6E64F9"/>
    <w:rsid w:val="7D75332D"/>
    <w:rsid w:val="7D760552"/>
    <w:rsid w:val="7D7C4395"/>
    <w:rsid w:val="7D7D04EA"/>
    <w:rsid w:val="7D832BC0"/>
    <w:rsid w:val="7D8F7BF3"/>
    <w:rsid w:val="7D983576"/>
    <w:rsid w:val="7D99557F"/>
    <w:rsid w:val="7DA038FF"/>
    <w:rsid w:val="7DA22646"/>
    <w:rsid w:val="7DA27ABD"/>
    <w:rsid w:val="7DA737B9"/>
    <w:rsid w:val="7DB242A3"/>
    <w:rsid w:val="7DB67EA0"/>
    <w:rsid w:val="7DC42566"/>
    <w:rsid w:val="7DC65239"/>
    <w:rsid w:val="7DD86068"/>
    <w:rsid w:val="7DE25920"/>
    <w:rsid w:val="7DE26BE4"/>
    <w:rsid w:val="7DE92990"/>
    <w:rsid w:val="7DEB4724"/>
    <w:rsid w:val="7DF127CA"/>
    <w:rsid w:val="7DF34C50"/>
    <w:rsid w:val="7DF438B1"/>
    <w:rsid w:val="7DF707D8"/>
    <w:rsid w:val="7DFA1EC7"/>
    <w:rsid w:val="7DFF7E1F"/>
    <w:rsid w:val="7E0230E5"/>
    <w:rsid w:val="7E0703F7"/>
    <w:rsid w:val="7E133F18"/>
    <w:rsid w:val="7E1633E2"/>
    <w:rsid w:val="7E17670F"/>
    <w:rsid w:val="7E276553"/>
    <w:rsid w:val="7E2968C4"/>
    <w:rsid w:val="7E2B1E75"/>
    <w:rsid w:val="7E2B64A4"/>
    <w:rsid w:val="7E38534E"/>
    <w:rsid w:val="7E3C2153"/>
    <w:rsid w:val="7E3F7E95"/>
    <w:rsid w:val="7E4208E1"/>
    <w:rsid w:val="7E475AE9"/>
    <w:rsid w:val="7E4F632A"/>
    <w:rsid w:val="7E526F3F"/>
    <w:rsid w:val="7E531466"/>
    <w:rsid w:val="7E5356EF"/>
    <w:rsid w:val="7E5573EF"/>
    <w:rsid w:val="7E5A4CCF"/>
    <w:rsid w:val="7E5E47BF"/>
    <w:rsid w:val="7E603997"/>
    <w:rsid w:val="7E617723"/>
    <w:rsid w:val="7E617E0B"/>
    <w:rsid w:val="7E633B84"/>
    <w:rsid w:val="7E6A394F"/>
    <w:rsid w:val="7E752AAC"/>
    <w:rsid w:val="7E7861FE"/>
    <w:rsid w:val="7E7C4C45"/>
    <w:rsid w:val="7E7F1613"/>
    <w:rsid w:val="7E840E77"/>
    <w:rsid w:val="7E891110"/>
    <w:rsid w:val="7E90249F"/>
    <w:rsid w:val="7E960365"/>
    <w:rsid w:val="7E973F61"/>
    <w:rsid w:val="7E9975A5"/>
    <w:rsid w:val="7E9F0934"/>
    <w:rsid w:val="7EA61CC2"/>
    <w:rsid w:val="7EA83607"/>
    <w:rsid w:val="7EBC5E02"/>
    <w:rsid w:val="7EC43904"/>
    <w:rsid w:val="7EC50111"/>
    <w:rsid w:val="7EC64112"/>
    <w:rsid w:val="7ED11F48"/>
    <w:rsid w:val="7ED60BFE"/>
    <w:rsid w:val="7ED92098"/>
    <w:rsid w:val="7ED97F96"/>
    <w:rsid w:val="7EDF789E"/>
    <w:rsid w:val="7EE10256"/>
    <w:rsid w:val="7EE54599"/>
    <w:rsid w:val="7EE7188B"/>
    <w:rsid w:val="7EEB074D"/>
    <w:rsid w:val="7EF0118F"/>
    <w:rsid w:val="7EF55FF8"/>
    <w:rsid w:val="7EFE3275"/>
    <w:rsid w:val="7F052E8D"/>
    <w:rsid w:val="7F057708"/>
    <w:rsid w:val="7F075696"/>
    <w:rsid w:val="7F077624"/>
    <w:rsid w:val="7F086388"/>
    <w:rsid w:val="7F0F0CBC"/>
    <w:rsid w:val="7F1013DB"/>
    <w:rsid w:val="7F1A32D8"/>
    <w:rsid w:val="7F1B3E76"/>
    <w:rsid w:val="7F1D01D6"/>
    <w:rsid w:val="7F1F0B8C"/>
    <w:rsid w:val="7F280929"/>
    <w:rsid w:val="7F2F1CB8"/>
    <w:rsid w:val="7F303F70"/>
    <w:rsid w:val="7F332A7D"/>
    <w:rsid w:val="7F3B065C"/>
    <w:rsid w:val="7F4219EB"/>
    <w:rsid w:val="7F4339B5"/>
    <w:rsid w:val="7F472EBC"/>
    <w:rsid w:val="7F4F3A6A"/>
    <w:rsid w:val="7F571B1F"/>
    <w:rsid w:val="7F601E71"/>
    <w:rsid w:val="7F6851CA"/>
    <w:rsid w:val="7F6C4D2C"/>
    <w:rsid w:val="7F6D27E0"/>
    <w:rsid w:val="7F7511B7"/>
    <w:rsid w:val="7F7C654D"/>
    <w:rsid w:val="7F7D5458"/>
    <w:rsid w:val="7F850F73"/>
    <w:rsid w:val="7F8E1EA1"/>
    <w:rsid w:val="7F97487F"/>
    <w:rsid w:val="7F9B559F"/>
    <w:rsid w:val="7F9D1317"/>
    <w:rsid w:val="7FA206DC"/>
    <w:rsid w:val="7FA97CBC"/>
    <w:rsid w:val="7FBD18F5"/>
    <w:rsid w:val="7FCF169B"/>
    <w:rsid w:val="7FDA60C7"/>
    <w:rsid w:val="7FDA7AFC"/>
    <w:rsid w:val="7FDD12E6"/>
    <w:rsid w:val="7FDE044F"/>
    <w:rsid w:val="7FE653A0"/>
    <w:rsid w:val="7FF700D2"/>
    <w:rsid w:val="7FF73D79"/>
    <w:rsid w:val="7FF82B52"/>
    <w:rsid w:val="7FFC4E60"/>
    <w:rsid w:val="7FFF7E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00" w:firstLineChars="200"/>
      <w:jc w:val="both"/>
    </w:pPr>
    <w:rPr>
      <w:rFonts w:ascii="Times New Roman" w:hAnsi="Times New Roman" w:eastAsia="宋体" w:cstheme="minorBidi"/>
      <w:kern w:val="2"/>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120" w:beforeLines="0" w:after="110" w:afterLines="0" w:line="360" w:lineRule="auto"/>
      <w:jc w:val="left"/>
      <w:outlineLvl w:val="1"/>
    </w:pPr>
    <w:rPr>
      <w:rFonts w:ascii="宋体" w:hAnsi="宋体" w:eastAsia="仿宋_GB2312"/>
      <w:b/>
      <w:bCs/>
      <w:sz w:val="32"/>
      <w:szCs w:val="32"/>
    </w:rPr>
  </w:style>
  <w:style w:type="paragraph" w:styleId="4">
    <w:name w:val="heading 3"/>
    <w:basedOn w:val="1"/>
    <w:next w:val="1"/>
    <w:unhideWhenUsed/>
    <w:qFormat/>
    <w:uiPriority w:val="0"/>
    <w:pPr>
      <w:keepNext/>
      <w:keepLines/>
      <w:numPr>
        <w:ilvl w:val="2"/>
        <w:numId w:val="1"/>
      </w:numPr>
      <w:spacing w:before="260" w:after="260" w:line="360" w:lineRule="auto"/>
      <w:outlineLvl w:val="2"/>
    </w:pPr>
    <w:rPr>
      <w:rFonts w:ascii="方正美黑简体" w:eastAsia="方正美黑简体"/>
      <w:bCs/>
      <w:sz w:val="28"/>
      <w:szCs w:val="32"/>
    </w:rPr>
  </w:style>
  <w:style w:type="paragraph" w:styleId="5">
    <w:name w:val="heading 4"/>
    <w:basedOn w:val="1"/>
    <w:next w:val="1"/>
    <w:link w:val="37"/>
    <w:unhideWhenUsed/>
    <w:qFormat/>
    <w:uiPriority w:val="0"/>
    <w:pPr>
      <w:keepNext/>
      <w:keepLines/>
      <w:spacing w:beforeLines="0" w:beforeAutospacing="0" w:afterLines="0" w:afterAutospacing="0" w:line="240" w:lineRule="auto"/>
      <w:ind w:leftChars="0"/>
      <w:jc w:val="both"/>
      <w:outlineLvl w:val="9"/>
    </w:pPr>
    <w:rPr>
      <w:rFonts w:ascii="Times New Roman" w:hAnsi="Times New Roman" w:eastAsia="宋体"/>
      <w:b/>
      <w:kern w:val="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caption"/>
    <w:basedOn w:val="1"/>
    <w:next w:val="1"/>
    <w:qFormat/>
    <w:uiPriority w:val="0"/>
    <w:pPr>
      <w:numPr>
        <w:ilvl w:val="0"/>
        <w:numId w:val="2"/>
      </w:numPr>
      <w:jc w:val="center"/>
    </w:pPr>
    <w:rPr>
      <w:rFonts w:ascii="Arial" w:hAnsi="Arial" w:cs="Arial"/>
      <w:sz w:val="24"/>
      <w:szCs w:val="20"/>
    </w:rPr>
  </w:style>
  <w:style w:type="paragraph" w:styleId="8">
    <w:name w:val="annotation text"/>
    <w:basedOn w:val="1"/>
    <w:qFormat/>
    <w:uiPriority w:val="0"/>
    <w:pPr>
      <w:jc w:val="left"/>
    </w:pPr>
  </w:style>
  <w:style w:type="paragraph" w:styleId="9">
    <w:name w:val="Body Text 3"/>
    <w:basedOn w:val="1"/>
    <w:qFormat/>
    <w:uiPriority w:val="0"/>
    <w:pPr>
      <w:spacing w:after="120"/>
    </w:pPr>
    <w:rPr>
      <w:sz w:val="16"/>
      <w:szCs w:val="16"/>
      <w:lang w:val="zh-CN"/>
    </w:rPr>
  </w:style>
  <w:style w:type="paragraph" w:styleId="10">
    <w:name w:val="Body Text"/>
    <w:basedOn w:val="1"/>
    <w:next w:val="1"/>
    <w:qFormat/>
    <w:uiPriority w:val="0"/>
    <w:pPr>
      <w:widowControl/>
      <w:snapToGrid w:val="0"/>
      <w:spacing w:before="60" w:after="160" w:line="259" w:lineRule="auto"/>
      <w:ind w:right="113"/>
    </w:pPr>
    <w:rPr>
      <w:kern w:val="0"/>
      <w:sz w:val="18"/>
      <w:szCs w:val="20"/>
    </w:rPr>
  </w:style>
  <w:style w:type="paragraph" w:styleId="11">
    <w:name w:val="Body Text Indent"/>
    <w:basedOn w:val="1"/>
    <w:next w:val="1"/>
    <w:qFormat/>
    <w:uiPriority w:val="0"/>
    <w:pPr>
      <w:spacing w:after="120"/>
      <w:ind w:left="420" w:leftChars="200"/>
    </w:pPr>
    <w:rPr>
      <w:kern w:val="0"/>
      <w:sz w:val="24"/>
      <w:szCs w:val="20"/>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index heading"/>
    <w:basedOn w:val="1"/>
    <w:next w:val="14"/>
    <w:qFormat/>
    <w:uiPriority w:val="0"/>
    <w:rPr>
      <w:rFonts w:ascii="Arial" w:hAnsi="Arial" w:cs="Arial"/>
      <w:b/>
      <w:bCs/>
    </w:rPr>
  </w:style>
  <w:style w:type="paragraph" w:styleId="14">
    <w:name w:val="index 1"/>
    <w:basedOn w:val="1"/>
    <w:next w:val="1"/>
    <w:semiHidden/>
    <w:qFormat/>
    <w:uiPriority w:val="0"/>
    <w:pPr>
      <w:ind w:left="210" w:hanging="210"/>
      <w:jc w:val="center"/>
    </w:pPr>
    <w:rPr>
      <w:szCs w:val="21"/>
    </w:rPr>
  </w:style>
  <w:style w:type="paragraph" w:styleId="15">
    <w:name w:val="List"/>
    <w:basedOn w:val="1"/>
    <w:next w:val="1"/>
    <w:unhideWhenUsed/>
    <w:qFormat/>
    <w:uiPriority w:val="99"/>
    <w:rPr>
      <w:kern w:val="2"/>
      <w:sz w:val="21"/>
      <w:szCs w:val="24"/>
      <w:lang w:val="en-US" w:eastAsia="zh-CN" w:bidi="ar-SA"/>
    </w:rPr>
  </w:style>
  <w:style w:type="paragraph" w:styleId="16">
    <w:name w:val="Body Text 2"/>
    <w:basedOn w:val="1"/>
    <w:qFormat/>
    <w:uiPriority w:val="0"/>
    <w:pPr>
      <w:spacing w:after="120" w:line="480" w:lineRule="auto"/>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10"/>
    <w:next w:val="19"/>
    <w:qFormat/>
    <w:uiPriority w:val="0"/>
    <w:pPr>
      <w:adjustRightInd/>
      <w:spacing w:after="120" w:afterLines="0" w:line="240" w:lineRule="auto"/>
      <w:ind w:firstLine="420" w:firstLineChars="100"/>
      <w:jc w:val="both"/>
      <w:textAlignment w:val="auto"/>
    </w:pPr>
    <w:rPr>
      <w:kern w:val="2"/>
      <w:szCs w:val="24"/>
    </w:rPr>
  </w:style>
  <w:style w:type="paragraph" w:styleId="19">
    <w:name w:val="Body Text First Indent 2"/>
    <w:basedOn w:val="11"/>
    <w:next w:val="11"/>
    <w:qFormat/>
    <w:uiPriority w:val="0"/>
    <w:pPr>
      <w:spacing w:line="360" w:lineRule="auto"/>
      <w:ind w:firstLine="420" w:firstLineChars="200"/>
    </w:pPr>
    <w:rPr>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Emphasis"/>
    <w:basedOn w:val="22"/>
    <w:qFormat/>
    <w:uiPriority w:val="0"/>
    <w:rPr>
      <w:i/>
    </w:rPr>
  </w:style>
  <w:style w:type="character" w:styleId="25">
    <w:name w:val="Hyperlink"/>
    <w:basedOn w:val="22"/>
    <w:unhideWhenUsed/>
    <w:qFormat/>
    <w:uiPriority w:val="99"/>
    <w:rPr>
      <w:rFonts w:ascii="宋体" w:hAnsi="宋体" w:cs="宋体"/>
      <w:color w:val="333366"/>
      <w:sz w:val="24"/>
      <w:szCs w:val="24"/>
      <w:u w:val="none"/>
    </w:rPr>
  </w:style>
  <w:style w:type="paragraph" w:customStyle="1" w:styleId="26">
    <w:name w:val="Default"/>
    <w:basedOn w:val="27"/>
    <w:qFormat/>
    <w:uiPriority w:val="0"/>
    <w:pPr>
      <w:widowControl w:val="0"/>
      <w:autoSpaceDE w:val="0"/>
      <w:autoSpaceDN w:val="0"/>
      <w:adjustRightInd w:val="0"/>
    </w:pPr>
    <w:rPr>
      <w:color w:val="000000"/>
      <w:sz w:val="24"/>
      <w:szCs w:val="24"/>
      <w:lang w:val="en-US" w:eastAsia="zh-CN" w:bidi="ar-SA"/>
    </w:rPr>
  </w:style>
  <w:style w:type="paragraph" w:customStyle="1" w:styleId="27">
    <w:name w:val="纯文本1"/>
    <w:basedOn w:val="1"/>
    <w:qFormat/>
    <w:uiPriority w:val="0"/>
    <w:rPr>
      <w:rFonts w:ascii="宋体" w:hAnsi="Courier New" w:eastAsia="宋体"/>
      <w:kern w:val="2"/>
      <w:sz w:val="21"/>
      <w:szCs w:val="24"/>
      <w:lang w:val="en-US" w:eastAsia="zh-CN" w:bidi="ar-SA"/>
    </w:rPr>
  </w:style>
  <w:style w:type="paragraph" w:customStyle="1" w:styleId="28">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customStyle="1" w:styleId="29">
    <w:name w:val="表格内"/>
    <w:basedOn w:val="1"/>
    <w:qFormat/>
    <w:uiPriority w:val="0"/>
    <w:pPr>
      <w:spacing w:line="360" w:lineRule="exact"/>
      <w:jc w:val="center"/>
    </w:pPr>
    <w:rPr>
      <w:snapToGrid w:val="0"/>
      <w:szCs w:val="21"/>
    </w:rPr>
  </w:style>
  <w:style w:type="paragraph" w:customStyle="1" w:styleId="30">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1">
    <w:name w:val="样式1"/>
    <w:basedOn w:val="13"/>
    <w:next w:val="1"/>
    <w:qFormat/>
    <w:uiPriority w:val="0"/>
    <w:pPr>
      <w:spacing w:line="360" w:lineRule="auto"/>
      <w:ind w:firstLine="425"/>
    </w:pPr>
    <w:rPr>
      <w:kern w:val="44"/>
    </w:rPr>
  </w:style>
  <w:style w:type="paragraph" w:customStyle="1" w:styleId="32">
    <w:name w:val="表格"/>
    <w:basedOn w:val="6"/>
    <w:next w:val="1"/>
    <w:qFormat/>
    <w:uiPriority w:val="0"/>
    <w:pPr>
      <w:spacing w:line="240" w:lineRule="auto"/>
      <w:ind w:left="0" w:firstLine="0" w:firstLineChars="0"/>
      <w:jc w:val="center"/>
    </w:pPr>
    <w:rPr>
      <w:rFonts w:ascii="Times New Roman" w:hAnsi="Times New Roman" w:eastAsia="宋体"/>
      <w:color w:val="000000"/>
      <w:sz w:val="21"/>
      <w:szCs w:val="21"/>
    </w:rPr>
  </w:style>
  <w:style w:type="paragraph" w:customStyle="1" w:styleId="33">
    <w:name w:val="表格标题"/>
    <w:basedOn w:val="34"/>
    <w:next w:val="1"/>
    <w:link w:val="41"/>
    <w:qFormat/>
    <w:uiPriority w:val="0"/>
    <w:pPr>
      <w:widowControl w:val="0"/>
      <w:adjustRightInd/>
      <w:snapToGrid/>
      <w:spacing w:line="240" w:lineRule="auto"/>
      <w:jc w:val="both"/>
      <w:outlineLvl w:val="9"/>
    </w:pPr>
    <w:rPr>
      <w:rFonts w:ascii="Times New Roman" w:hAnsi="Times New Roman" w:eastAsia="宋体" w:cs="Times New Roman"/>
      <w:bCs/>
      <w:color w:val="000000" w:themeColor="text1"/>
      <w14:textFill>
        <w14:solidFill>
          <w14:schemeClr w14:val="tx1"/>
        </w14:solidFill>
      </w14:textFill>
    </w:rPr>
  </w:style>
  <w:style w:type="paragraph" w:customStyle="1" w:styleId="34">
    <w:name w:val="大标题"/>
    <w:basedOn w:val="1"/>
    <w:qFormat/>
    <w:uiPriority w:val="0"/>
    <w:pPr>
      <w:jc w:val="center"/>
    </w:pPr>
    <w:rPr>
      <w:rFonts w:ascii="Calibri" w:hAnsi="Calibri"/>
      <w:sz w:val="44"/>
    </w:rPr>
  </w:style>
  <w:style w:type="paragraph" w:customStyle="1" w:styleId="35">
    <w:name w:val="@正文缩进"/>
    <w:basedOn w:val="1"/>
    <w:qFormat/>
    <w:uiPriority w:val="0"/>
    <w:pPr>
      <w:ind w:firstLine="200" w:firstLineChars="200"/>
      <w:jc w:val="left"/>
    </w:pPr>
    <w:rPr>
      <w:kern w:val="0"/>
    </w:rPr>
  </w:style>
  <w:style w:type="paragraph" w:customStyle="1" w:styleId="36">
    <w:name w:val="表格内容"/>
    <w:basedOn w:val="1"/>
    <w:next w:val="1"/>
    <w:link w:val="39"/>
    <w:qFormat/>
    <w:uiPriority w:val="0"/>
    <w:pPr>
      <w:adjustRightInd/>
      <w:snapToGrid/>
      <w:spacing w:line="240" w:lineRule="auto"/>
      <w:ind w:firstLine="0" w:firstLineChars="0"/>
      <w:jc w:val="center"/>
    </w:pPr>
    <w:rPr>
      <w:kern w:val="0"/>
    </w:rPr>
  </w:style>
  <w:style w:type="character" w:customStyle="1" w:styleId="37">
    <w:name w:val="标题 4 Char"/>
    <w:link w:val="5"/>
    <w:qFormat/>
    <w:uiPriority w:val="0"/>
    <w:rPr>
      <w:rFonts w:ascii="Times New Roman" w:hAnsi="Times New Roman" w:eastAsia="宋体"/>
      <w:b/>
      <w:kern w:val="0"/>
    </w:rPr>
  </w:style>
  <w:style w:type="paragraph" w:customStyle="1" w:styleId="38">
    <w:name w:val="表格样式"/>
    <w:basedOn w:val="1"/>
    <w:link w:val="40"/>
    <w:qFormat/>
    <w:uiPriority w:val="0"/>
    <w:pPr>
      <w:widowControl/>
      <w:spacing w:line="360" w:lineRule="auto"/>
      <w:jc w:val="center"/>
    </w:pPr>
    <w:rPr>
      <w:kern w:val="0"/>
      <w:sz w:val="20"/>
      <w:szCs w:val="21"/>
    </w:rPr>
  </w:style>
  <w:style w:type="character" w:customStyle="1" w:styleId="39">
    <w:name w:val="表格内容 Char"/>
    <w:link w:val="36"/>
    <w:qFormat/>
    <w:uiPriority w:val="0"/>
    <w:rPr>
      <w:kern w:val="0"/>
    </w:rPr>
  </w:style>
  <w:style w:type="character" w:customStyle="1" w:styleId="40">
    <w:name w:val="表格样式 Char"/>
    <w:link w:val="38"/>
    <w:qFormat/>
    <w:uiPriority w:val="0"/>
    <w:rPr>
      <w:kern w:val="0"/>
      <w:sz w:val="20"/>
      <w:szCs w:val="21"/>
    </w:rPr>
  </w:style>
  <w:style w:type="character" w:customStyle="1" w:styleId="41">
    <w:name w:val="表格标题 Char"/>
    <w:link w:val="33"/>
    <w:qFormat/>
    <w:uiPriority w:val="0"/>
    <w:rPr>
      <w:rFonts w:ascii="Times New Roman" w:hAnsi="Times New Roman" w:eastAsia="宋体" w:cs="Times New Roman"/>
      <w:bCs/>
      <w:color w:val="000000" w:themeColor="text1"/>
      <w14:textFill>
        <w14:solidFill>
          <w14:schemeClr w14:val="tx1"/>
        </w14:solidFill>
      </w14:textFill>
    </w:rPr>
  </w:style>
  <w:style w:type="paragraph" w:customStyle="1" w:styleId="42">
    <w:name w:val="文章正文"/>
    <w:basedOn w:val="1"/>
    <w:next w:val="1"/>
    <w:qFormat/>
    <w:uiPriority w:val="0"/>
    <w:pPr>
      <w:spacing w:line="360" w:lineRule="auto"/>
      <w:ind w:firstLine="883" w:firstLineChars="200"/>
    </w:pPr>
    <w:rPr>
      <w:rFonts w:ascii="Times New Roman" w:hAnsi="Times New Roman" w:eastAsia="宋体"/>
      <w:sz w:val="24"/>
    </w:rPr>
  </w:style>
  <w:style w:type="paragraph" w:customStyle="1" w:styleId="43">
    <w:name w:val="样式 首行缩进:  2 字符1"/>
    <w:basedOn w:val="1"/>
    <w:qFormat/>
    <w:uiPriority w:val="0"/>
    <w:pPr>
      <w:spacing w:before="120" w:line="400" w:lineRule="exact"/>
    </w:pPr>
    <w:rPr>
      <w:rFonts w:ascii="宋体"/>
      <w:szCs w:val="20"/>
    </w:rPr>
  </w:style>
  <w:style w:type="paragraph" w:customStyle="1" w:styleId="44">
    <w:name w:val="正本文字"/>
    <w:basedOn w:val="1"/>
    <w:qFormat/>
    <w:uiPriority w:val="0"/>
    <w:pPr>
      <w:adjustRightInd w:val="0"/>
      <w:snapToGrid w:val="0"/>
      <w:spacing w:line="360" w:lineRule="auto"/>
      <w:ind w:firstLine="480" w:firstLineChars="200"/>
      <w:jc w:val="left"/>
    </w:pPr>
    <w:rPr>
      <w:rFonts w:ascii="Times New Roman" w:hAnsi="Times New Roman"/>
      <w:kern w:val="18"/>
      <w:sz w:val="24"/>
      <w:szCs w:val="20"/>
    </w:rPr>
  </w:style>
  <w:style w:type="paragraph" w:customStyle="1" w:styleId="45">
    <w:name w:val="List Paragraph"/>
    <w:basedOn w:val="1"/>
    <w:qFormat/>
    <w:uiPriority w:val="34"/>
    <w:pPr>
      <w:ind w:firstLine="420" w:firstLineChars="200"/>
    </w:pPr>
  </w:style>
  <w:style w:type="paragraph" w:customStyle="1" w:styleId="46">
    <w:name w:val="报告书正文"/>
    <w:basedOn w:val="1"/>
    <w:qFormat/>
    <w:uiPriority w:val="0"/>
    <w:pPr>
      <w:adjustRightInd w:val="0"/>
      <w:textAlignment w:val="baseline"/>
    </w:pPr>
    <w:rPr>
      <w:rFonts w:ascii="Times New Roman" w:hAnsi="宋体"/>
      <w:kern w:val="0"/>
      <w:szCs w:val="21"/>
      <w:lang w:val="zh-CN"/>
    </w:rPr>
  </w:style>
  <w:style w:type="paragraph" w:customStyle="1" w:styleId="47">
    <w:name w:val="No Spacing"/>
    <w:qFormat/>
    <w:uiPriority w:val="0"/>
    <w:pPr>
      <w:widowControl w:val="0"/>
      <w:jc w:val="center"/>
    </w:pPr>
    <w:rPr>
      <w:rFonts w:ascii="宋体" w:hAnsi="Times New Roman" w:eastAsia="宋体" w:cs="Times New Roman"/>
      <w:kern w:val="2"/>
      <w:sz w:val="24"/>
      <w:lang w:val="en-US" w:eastAsia="zh-CN" w:bidi="ar-SA"/>
    </w:rPr>
  </w:style>
  <w:style w:type="paragraph" w:customStyle="1" w:styleId="48">
    <w:name w:val="1-君邦正文格式"/>
    <w:basedOn w:val="49"/>
    <w:qFormat/>
    <w:uiPriority w:val="0"/>
    <w:rPr>
      <w:snapToGrid/>
    </w:rPr>
  </w:style>
  <w:style w:type="paragraph" w:customStyle="1" w:styleId="49">
    <w:name w:val="君邦正文"/>
    <w:qFormat/>
    <w:uiPriority w:val="0"/>
    <w:pPr>
      <w:spacing w:after="60" w:line="360" w:lineRule="auto"/>
      <w:ind w:firstLine="480" w:firstLineChars="200"/>
      <w:jc w:val="both"/>
    </w:pPr>
    <w:rPr>
      <w:rFonts w:ascii="Times New Roman" w:hAnsi="Times New Roman" w:eastAsia="宋体" w:cs="Times New Roman"/>
      <w:bCs/>
      <w:snapToGrid w:val="0"/>
      <w:sz w:val="24"/>
      <w:lang w:val="en-US" w:eastAsia="zh-CN" w:bidi="ar-SA"/>
    </w:rPr>
  </w:style>
  <w:style w:type="paragraph" w:customStyle="1" w:styleId="50">
    <w:name w:val="正文1"/>
    <w:basedOn w:val="9"/>
    <w:qFormat/>
    <w:uiPriority w:val="0"/>
    <w:pPr>
      <w:tabs>
        <w:tab w:val="left" w:pos="794"/>
      </w:tabs>
      <w:spacing w:after="0" w:line="400" w:lineRule="exact"/>
      <w:ind w:left="794" w:hanging="624"/>
    </w:pPr>
    <w:rPr>
      <w:sz w:val="24"/>
    </w:rPr>
  </w:style>
  <w:style w:type="paragraph" w:customStyle="1" w:styleId="51">
    <w:name w:val="Table Text"/>
    <w:basedOn w:val="1"/>
    <w:semiHidden/>
    <w:qFormat/>
    <w:uiPriority w:val="0"/>
    <w:rPr>
      <w:rFonts w:ascii="仿宋" w:hAnsi="仿宋" w:eastAsia="仿宋" w:cs="仿宋"/>
      <w:sz w:val="20"/>
      <w:szCs w:val="20"/>
      <w:lang w:val="en-US" w:eastAsia="en-US" w:bidi="ar-SA"/>
    </w:rPr>
  </w:style>
  <w:style w:type="table" w:customStyle="1" w:styleId="52">
    <w:name w:val="Table Normal"/>
    <w:unhideWhenUsed/>
    <w:qFormat/>
    <w:uiPriority w:val="0"/>
    <w:tblPr>
      <w:tblCellMar>
        <w:top w:w="0" w:type="dxa"/>
        <w:left w:w="0" w:type="dxa"/>
        <w:bottom w:w="0" w:type="dxa"/>
        <w:right w:w="0" w:type="dxa"/>
      </w:tblCellMar>
    </w:tblPr>
  </w:style>
  <w:style w:type="paragraph" w:customStyle="1" w:styleId="53">
    <w:name w:val="环评正文"/>
    <w:qFormat/>
    <w:uiPriority w:val="0"/>
    <w:rPr>
      <w:rFonts w:ascii="Times New Roman" w:hAnsi="Times New Roman" w:eastAsia="宋体" w:cs="Times New Roman"/>
      <w:sz w:val="24"/>
    </w:rPr>
  </w:style>
  <w:style w:type="paragraph" w:customStyle="1" w:styleId="54">
    <w:name w:val="A表内容"/>
    <w:basedOn w:val="1"/>
    <w:qFormat/>
    <w:uiPriority w:val="0"/>
    <w:pPr>
      <w:widowControl/>
      <w:spacing w:line="340" w:lineRule="exact"/>
      <w:jc w:val="center"/>
    </w:pPr>
    <w:rPr>
      <w:szCs w:val="21"/>
    </w:rPr>
  </w:style>
  <w:style w:type="paragraph" w:customStyle="1" w:styleId="55">
    <w:name w:val="p0"/>
    <w:basedOn w:val="1"/>
    <w:qFormat/>
    <w:uiPriority w:val="0"/>
    <w:pPr>
      <w:widowControl/>
    </w:pPr>
    <w:rPr>
      <w:kern w:val="0"/>
      <w:szCs w:val="21"/>
    </w:rPr>
  </w:style>
  <w:style w:type="paragraph" w:customStyle="1" w:styleId="56">
    <w:name w:val="表头"/>
    <w:basedOn w:val="57"/>
    <w:next w:val="10"/>
    <w:qFormat/>
    <w:uiPriority w:val="0"/>
    <w:pPr>
      <w:overflowPunct w:val="0"/>
      <w:snapToGrid w:val="0"/>
      <w:ind w:firstLine="200"/>
    </w:pPr>
  </w:style>
  <w:style w:type="paragraph" w:customStyle="1" w:styleId="57">
    <w:name w:val="表外"/>
    <w:basedOn w:val="1"/>
    <w:qFormat/>
    <w:uiPriority w:val="0"/>
    <w:pPr>
      <w:ind w:firstLine="0" w:firstLineChars="0"/>
    </w:pPr>
    <w:rPr>
      <w:rFonts w:ascii="Times New Roman"/>
      <w:b/>
      <w:sz w:val="32"/>
    </w:rPr>
  </w:style>
  <w:style w:type="paragraph" w:customStyle="1" w:styleId="58">
    <w:name w:val="表格题目新"/>
    <w:basedOn w:val="1"/>
    <w:qFormat/>
    <w:uiPriority w:val="0"/>
    <w:pPr>
      <w:autoSpaceDE w:val="0"/>
      <w:autoSpaceDN w:val="0"/>
      <w:spacing w:line="360" w:lineRule="exact"/>
      <w:ind w:firstLine="200" w:firstLineChars="200"/>
      <w:jc w:val="left"/>
    </w:pPr>
    <w:rPr>
      <w:rFonts w:ascii="Times New Roman" w:hAnsi="Times New Roman" w:eastAsia="黑体"/>
      <w:sz w:val="24"/>
      <w:szCs w:val="20"/>
    </w:rPr>
  </w:style>
  <w:style w:type="paragraph" w:customStyle="1" w:styleId="59">
    <w:name w:val="表格新"/>
    <w:basedOn w:val="1"/>
    <w:qFormat/>
    <w:uiPriority w:val="0"/>
    <w:pPr>
      <w:jc w:val="center"/>
    </w:pPr>
    <w:rPr>
      <w:rFonts w:ascii="Times New Roman" w:hAnsi="Times New Roman"/>
      <w:bCs/>
      <w:szCs w:val="21"/>
    </w:rPr>
  </w:style>
  <w:style w:type="paragraph" w:customStyle="1" w:styleId="60">
    <w:name w:val="表格2"/>
    <w:basedOn w:val="6"/>
    <w:qFormat/>
    <w:uiPriority w:val="0"/>
    <w:pPr>
      <w:spacing w:line="240" w:lineRule="auto"/>
      <w:ind w:firstLine="0" w:firstLineChars="0"/>
      <w:jc w:val="center"/>
    </w:pPr>
    <w:rPr>
      <w:sz w:val="21"/>
      <w:szCs w:val="24"/>
      <w:lang w:bidi="ar-SA"/>
    </w:rPr>
  </w:style>
  <w:style w:type="paragraph" w:customStyle="1" w:styleId="61">
    <w:name w:val="正文内容"/>
    <w:basedOn w:val="1"/>
    <w:qFormat/>
    <w:uiPriority w:val="0"/>
    <w:pPr>
      <w:adjustRightInd w:val="0"/>
      <w:snapToGrid w:val="0"/>
      <w:spacing w:line="360" w:lineRule="auto"/>
      <w:ind w:firstLine="560" w:firstLineChars="200"/>
    </w:pPr>
    <w:rPr>
      <w:rFonts w:ascii="Times New Roman" w:hAnsi="Times New Roman" w:eastAsia="仿宋_GB2312"/>
      <w:color w:val="000000"/>
      <w:sz w:val="28"/>
      <w:szCs w:val="30"/>
    </w:rPr>
  </w:style>
  <w:style w:type="paragraph" w:customStyle="1" w:styleId="62">
    <w:name w:val="Table Paragraph"/>
    <w:basedOn w:val="1"/>
    <w:qFormat/>
    <w:uiPriority w:val="1"/>
    <w:rPr>
      <w:rFonts w:ascii="仿宋_GB2312" w:hAnsi="仿宋_GB2312" w:eastAsia="仿宋_GB2312" w:cs="仿宋_GB2312"/>
    </w:rPr>
  </w:style>
  <w:style w:type="paragraph" w:customStyle="1" w:styleId="63">
    <w:name w:val="4正文"/>
    <w:basedOn w:val="1"/>
    <w:qFormat/>
    <w:uiPriority w:val="99"/>
    <w:rPr>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5.bin"/><Relationship Id="rId17" Type="http://schemas.openxmlformats.org/officeDocument/2006/relationships/image" Target="media/image6.wmf"/><Relationship Id="rId16" Type="http://schemas.openxmlformats.org/officeDocument/2006/relationships/oleObject" Target="embeddings/oleObject4.bin"/><Relationship Id="rId15" Type="http://schemas.openxmlformats.org/officeDocument/2006/relationships/image" Target="media/image5.wmf"/><Relationship Id="rId14" Type="http://schemas.openxmlformats.org/officeDocument/2006/relationships/oleObject" Target="embeddings/oleObject3.bin"/><Relationship Id="rId13" Type="http://schemas.openxmlformats.org/officeDocument/2006/relationships/image" Target="media/image4.wmf"/><Relationship Id="rId12" Type="http://schemas.openxmlformats.org/officeDocument/2006/relationships/oleObject" Target="embeddings/oleObject2.bin"/><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9220</Words>
  <Characters>10719</Characters>
  <Lines>0</Lines>
  <Paragraphs>0</Paragraphs>
  <TotalTime>5</TotalTime>
  <ScaleCrop>false</ScaleCrop>
  <LinksUpToDate>false</LinksUpToDate>
  <CharactersWithSpaces>10837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2021-03-24T03:35:00Z</dcterms:created>
  <dc:creator>Administrator</dc:creator>
  <cp:lastModifiedBy>小麦啾</cp:lastModifiedBy>
  <cp:lastPrinted>2021-11-12T02:51:00Z</cp:lastPrinted>
  <dcterms:modified xsi:type="dcterms:W3CDTF">2025-05-19T11:07:32Z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EE41AA853BA34D6BAAE3D8287A132761</vt:lpwstr>
  </property>
  <property fmtid="{D5CDD505-2E9C-101B-9397-08002B2CF9AE}" pid="4" name="KSOTemplateDocerSaveRecord">
    <vt:lpwstr>eyJoZGlkIjoiMzcxN2Q5OGY0MzIxMzQ2YTVkNjkyNjY4OTc0MzQwMDIiLCJ1c2VySWQiOiIzMjQ5NjUzODcifQ==</vt:lpwstr>
  </property>
</Properties>
</file>