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olor w:val="auto"/>
        </w:rPr>
        <w:id w:val="147475033"/>
        <w15:color w:val="DBDBDB"/>
        <w:docPartObj>
          <w:docPartGallery w:val="Table of Contents"/>
          <w:docPartUnique/>
        </w:docPartObj>
      </w:sdtPr>
      <w:sdtEndPr>
        <w:rPr>
          <w:rFonts w:ascii="黑体" w:hAnsi="Courier New" w:eastAsia="黑体" w:cs="黑体"/>
          <w:color w:val="auto"/>
          <w:sz w:val="24"/>
          <w:szCs w:val="24"/>
        </w:rPr>
      </w:sdtEndPr>
      <w:sdtContent>
        <w:p w14:paraId="030F07E1">
          <w:pPr>
            <w:shd w:val="clear"/>
            <w:jc w:val="center"/>
            <w:rPr>
              <w:rFonts w:ascii="Times New Roman" w:hAnsi="Times New Roman" w:eastAsia="宋体"/>
              <w:b/>
              <w:color w:val="auto"/>
              <w:sz w:val="36"/>
            </w:rPr>
          </w:pPr>
          <w:bookmarkStart w:id="1068" w:name="_GoBack"/>
          <w:bookmarkEnd w:id="1068"/>
          <w:r>
            <w:rPr>
              <w:rFonts w:ascii="Times New Roman" w:hAnsi="Times New Roman" w:eastAsia="宋体"/>
              <w:b/>
              <w:color w:val="auto"/>
              <w:sz w:val="36"/>
            </w:rPr>
            <w:t>目录</w:t>
          </w:r>
        </w:p>
        <w:p w14:paraId="72ADE919">
          <w:pPr>
            <w:pStyle w:val="19"/>
            <w:shd w:val="clear"/>
            <w:tabs>
              <w:tab w:val="right" w:leader="dot" w:pos="8483"/>
            </w:tabs>
            <w:adjustRightInd/>
            <w:snapToGrid/>
            <w:spacing w:line="360" w:lineRule="auto"/>
            <w:jc w:val="both"/>
            <w:rPr>
              <w:rFonts w:ascii="Times New Roman" w:hAnsi="Times New Roman" w:eastAsia="宋体"/>
              <w:color w:val="auto"/>
              <w:sz w:val="24"/>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"_Toc18215" </w:instrText>
          </w:r>
          <w:r>
            <w:rPr>
              <w:color w:val="auto"/>
            </w:rPr>
            <w:fldChar w:fldCharType="separate"/>
          </w:r>
          <w:r>
            <w:rPr>
              <w:rFonts w:hint="eastAsia" w:ascii="Times New Roman" w:hAnsi="Times New Roman" w:eastAsia="宋体" w:cs="Times New Roman"/>
              <w:snapToGrid/>
              <w:color w:val="auto"/>
              <w:sz w:val="24"/>
              <w:lang w:eastAsia="zh-CN"/>
            </w:rPr>
            <w:t>1、概述</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_Toc18215 \h </w:instrText>
          </w:r>
          <w:r>
            <w:rPr>
              <w:rFonts w:ascii="Times New Roman" w:hAnsi="Times New Roman" w:eastAsia="宋体"/>
              <w:color w:val="auto"/>
              <w:sz w:val="24"/>
            </w:rPr>
            <w:fldChar w:fldCharType="separate"/>
          </w:r>
          <w:r>
            <w:rPr>
              <w:rFonts w:ascii="Times New Roman" w:hAnsi="Times New Roman" w:eastAsia="宋体"/>
              <w:color w:val="auto"/>
              <w:sz w:val="24"/>
            </w:rPr>
            <w:t>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4D4644A">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"_Toc4153" </w:instrText>
          </w:r>
          <w:r>
            <w:rPr>
              <w:color w:val="auto"/>
            </w:rPr>
            <w:fldChar w:fldCharType="separate"/>
          </w:r>
          <w:r>
            <w:rPr>
              <w:rFonts w:hint="eastAsia" w:ascii="Times New Roman" w:hAnsi="Times New Roman" w:eastAsia="宋体"/>
              <w:snapToGrid/>
              <w:color w:val="auto"/>
              <w:sz w:val="24"/>
              <w:lang w:eastAsia="zh-CN"/>
            </w:rPr>
            <w:t>1.1项目实施背景</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_Toc4153 \h </w:instrText>
          </w:r>
          <w:r>
            <w:rPr>
              <w:rFonts w:ascii="Times New Roman" w:hAnsi="Times New Roman" w:eastAsia="宋体"/>
              <w:color w:val="auto"/>
              <w:sz w:val="24"/>
            </w:rPr>
            <w:fldChar w:fldCharType="separate"/>
          </w:r>
          <w:r>
            <w:rPr>
              <w:rFonts w:ascii="Times New Roman" w:hAnsi="Times New Roman" w:eastAsia="宋体"/>
              <w:color w:val="auto"/>
              <w:sz w:val="24"/>
            </w:rPr>
            <w:t>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33182D32">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"_Toc31242" </w:instrText>
          </w:r>
          <w:r>
            <w:rPr>
              <w:color w:val="auto"/>
            </w:rPr>
            <w:fldChar w:fldCharType="separate"/>
          </w:r>
          <w:r>
            <w:rPr>
              <w:rFonts w:hint="eastAsia" w:ascii="Times New Roman" w:hAnsi="Times New Roman" w:eastAsia="宋体"/>
              <w:snapToGrid/>
              <w:color w:val="auto"/>
              <w:sz w:val="24"/>
              <w:lang w:eastAsia="zh-CN"/>
            </w:rPr>
            <w:t>1.2环境影响评价过程</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_Toc31242 \h </w:instrText>
          </w:r>
          <w:r>
            <w:rPr>
              <w:rFonts w:ascii="Times New Roman" w:hAnsi="Times New Roman" w:eastAsia="宋体"/>
              <w:color w:val="auto"/>
              <w:sz w:val="24"/>
            </w:rPr>
            <w:fldChar w:fldCharType="separate"/>
          </w:r>
          <w:r>
            <w:rPr>
              <w:rFonts w:ascii="Times New Roman" w:hAnsi="Times New Roman" w:eastAsia="宋体"/>
              <w:color w:val="auto"/>
              <w:sz w:val="24"/>
            </w:rPr>
            <w:t>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18AA77D">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"_Toc9457" </w:instrText>
          </w:r>
          <w:r>
            <w:rPr>
              <w:color w:val="auto"/>
            </w:rPr>
            <w:fldChar w:fldCharType="separate"/>
          </w:r>
          <w:r>
            <w:rPr>
              <w:rFonts w:hint="eastAsia" w:ascii="Times New Roman" w:hAnsi="Times New Roman" w:eastAsia="宋体"/>
              <w:snapToGrid/>
              <w:color w:val="auto"/>
              <w:sz w:val="24"/>
              <w:lang w:eastAsia="zh-CN"/>
            </w:rPr>
            <w:t>1.3关注的主要环境问题</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_Toc9457 \h </w:instrText>
          </w:r>
          <w:r>
            <w:rPr>
              <w:rFonts w:ascii="Times New Roman" w:hAnsi="Times New Roman" w:eastAsia="宋体"/>
              <w:color w:val="auto"/>
              <w:sz w:val="24"/>
            </w:rPr>
            <w:fldChar w:fldCharType="separate"/>
          </w:r>
          <w:r>
            <w:rPr>
              <w:rFonts w:ascii="Times New Roman" w:hAnsi="Times New Roman" w:eastAsia="宋体"/>
              <w:color w:val="auto"/>
              <w:sz w:val="24"/>
            </w:rPr>
            <w:t>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7F483575">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"_Toc1243" </w:instrText>
          </w:r>
          <w:r>
            <w:rPr>
              <w:color w:val="auto"/>
            </w:rPr>
            <w:fldChar w:fldCharType="separate"/>
          </w:r>
          <w:r>
            <w:rPr>
              <w:rFonts w:hint="eastAsia" w:ascii="Times New Roman" w:hAnsi="Times New Roman" w:eastAsia="宋体"/>
              <w:snapToGrid/>
              <w:color w:val="auto"/>
              <w:sz w:val="24"/>
              <w:lang w:eastAsia="zh-CN"/>
            </w:rPr>
            <w:t>1.4分析判断相关情况</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_Toc1243 \h </w:instrText>
          </w:r>
          <w:r>
            <w:rPr>
              <w:rFonts w:ascii="Times New Roman" w:hAnsi="Times New Roman" w:eastAsia="宋体"/>
              <w:color w:val="auto"/>
              <w:sz w:val="24"/>
            </w:rPr>
            <w:fldChar w:fldCharType="separate"/>
          </w:r>
          <w:r>
            <w:rPr>
              <w:rFonts w:ascii="Times New Roman" w:hAnsi="Times New Roman" w:eastAsia="宋体"/>
              <w:color w:val="auto"/>
              <w:sz w:val="24"/>
            </w:rPr>
            <w:t>4</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037BB8C">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"_Toc28043" </w:instrText>
          </w:r>
          <w:r>
            <w:rPr>
              <w:color w:val="auto"/>
            </w:rPr>
            <w:fldChar w:fldCharType="separate"/>
          </w:r>
          <w:r>
            <w:rPr>
              <w:rFonts w:hint="eastAsia" w:ascii="Times New Roman" w:hAnsi="Times New Roman" w:eastAsia="宋体"/>
              <w:snapToGrid/>
              <w:color w:val="auto"/>
              <w:sz w:val="24"/>
              <w:lang w:eastAsia="zh-CN"/>
            </w:rPr>
            <w:t>1.5环评报告书的主要结论</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_Toc28043 \h </w:instrText>
          </w:r>
          <w:r>
            <w:rPr>
              <w:rFonts w:ascii="Times New Roman" w:hAnsi="Times New Roman" w:eastAsia="宋体"/>
              <w:color w:val="auto"/>
              <w:sz w:val="24"/>
            </w:rPr>
            <w:fldChar w:fldCharType="separate"/>
          </w:r>
          <w:r>
            <w:rPr>
              <w:rFonts w:ascii="Times New Roman" w:hAnsi="Times New Roman" w:eastAsia="宋体"/>
              <w:color w:val="auto"/>
              <w:sz w:val="24"/>
            </w:rPr>
            <w:t>5</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522AF05">
          <w:pPr>
            <w:pStyle w:val="19"/>
            <w:shd w:val="clear"/>
            <w:tabs>
              <w:tab w:val="right" w:leader="dot" w:pos="8483"/>
            </w:tabs>
            <w:adjustRightInd/>
            <w:snapToGrid/>
            <w:spacing w:line="360" w:lineRule="auto"/>
            <w:jc w:val="both"/>
            <w:rPr>
              <w:rFonts w:ascii="Times New Roman" w:hAnsi="Times New Roman" w:eastAsia="宋体"/>
              <w:color w:val="auto"/>
              <w:sz w:val="24"/>
            </w:rPr>
          </w:pPr>
          <w:r>
            <w:rPr>
              <w:color w:val="auto"/>
            </w:rPr>
            <w:fldChar w:fldCharType="begin"/>
          </w:r>
          <w:r>
            <w:rPr>
              <w:color w:val="auto"/>
            </w:rPr>
            <w:instrText xml:space="preserve"> HYPERLINK \l "_Toc7796" </w:instrText>
          </w:r>
          <w:r>
            <w:rPr>
              <w:color w:val="auto"/>
            </w:rPr>
            <w:fldChar w:fldCharType="separate"/>
          </w:r>
          <w:r>
            <w:rPr>
              <w:rFonts w:hint="eastAsia" w:ascii="Times New Roman" w:hAnsi="Times New Roman" w:eastAsia="宋体" w:cs="Times New Roman"/>
              <w:snapToGrid/>
              <w:color w:val="auto"/>
              <w:sz w:val="24"/>
              <w:lang w:eastAsia="zh-CN"/>
            </w:rPr>
            <w:t>2、总论</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_Toc7796 \h </w:instrText>
          </w:r>
          <w:r>
            <w:rPr>
              <w:rFonts w:ascii="Times New Roman" w:hAnsi="Times New Roman" w:eastAsia="宋体"/>
              <w:color w:val="auto"/>
              <w:sz w:val="24"/>
            </w:rPr>
            <w:fldChar w:fldCharType="separate"/>
          </w:r>
          <w:r>
            <w:rPr>
              <w:rFonts w:ascii="Times New Roman" w:hAnsi="Times New Roman" w:eastAsia="宋体"/>
              <w:color w:val="auto"/>
              <w:sz w:val="24"/>
            </w:rPr>
            <w:t>7</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EA11F64">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"_Toc29450" </w:instrText>
          </w:r>
          <w:r>
            <w:rPr>
              <w:color w:val="auto"/>
            </w:rPr>
            <w:fldChar w:fldCharType="separate"/>
          </w:r>
          <w:r>
            <w:rPr>
              <w:rFonts w:hint="eastAsia" w:ascii="Times New Roman" w:hAnsi="Times New Roman" w:eastAsia="宋体"/>
              <w:snapToGrid/>
              <w:color w:val="auto"/>
              <w:sz w:val="24"/>
              <w:lang w:eastAsia="zh-CN"/>
            </w:rPr>
            <w:t>2.1编制依据</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_Toc29450 \h </w:instrText>
          </w:r>
          <w:r>
            <w:rPr>
              <w:rFonts w:ascii="Times New Roman" w:hAnsi="Times New Roman" w:eastAsia="宋体"/>
              <w:color w:val="auto"/>
              <w:sz w:val="24"/>
            </w:rPr>
            <w:fldChar w:fldCharType="separate"/>
          </w:r>
          <w:r>
            <w:rPr>
              <w:rFonts w:ascii="Times New Roman" w:hAnsi="Times New Roman" w:eastAsia="宋体"/>
              <w:color w:val="auto"/>
              <w:sz w:val="24"/>
            </w:rPr>
            <w:t>7</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63E3197">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"_Toc21183" </w:instrText>
          </w:r>
          <w:r>
            <w:rPr>
              <w:color w:val="auto"/>
            </w:rPr>
            <w:fldChar w:fldCharType="separate"/>
          </w:r>
          <w:r>
            <w:rPr>
              <w:rFonts w:hint="eastAsia" w:ascii="Times New Roman" w:hAnsi="Times New Roman" w:eastAsia="宋体"/>
              <w:snapToGrid/>
              <w:color w:val="auto"/>
              <w:sz w:val="24"/>
              <w:lang w:eastAsia="zh-CN"/>
            </w:rPr>
            <w:t>2.2评价目的和工作原则</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_Toc21183 \h </w:instrText>
          </w:r>
          <w:r>
            <w:rPr>
              <w:rFonts w:ascii="Times New Roman" w:hAnsi="Times New Roman" w:eastAsia="宋体"/>
              <w:color w:val="auto"/>
              <w:sz w:val="24"/>
            </w:rPr>
            <w:fldChar w:fldCharType="separate"/>
          </w:r>
          <w:r>
            <w:rPr>
              <w:rFonts w:ascii="Times New Roman" w:hAnsi="Times New Roman" w:eastAsia="宋体"/>
              <w:color w:val="auto"/>
              <w:sz w:val="24"/>
            </w:rPr>
            <w:t>11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7B016E21">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"_Toc30783" </w:instrText>
          </w:r>
          <w:r>
            <w:rPr>
              <w:color w:val="auto"/>
            </w:rPr>
            <w:fldChar w:fldCharType="separate"/>
          </w:r>
          <w:r>
            <w:rPr>
              <w:rFonts w:hint="eastAsia" w:ascii="Times New Roman" w:hAnsi="Times New Roman" w:eastAsia="宋体"/>
              <w:snapToGrid/>
              <w:color w:val="auto"/>
              <w:sz w:val="24"/>
              <w:lang w:eastAsia="zh-CN"/>
            </w:rPr>
            <w:t>2.3环境影响因素识别及评价因子筛选</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_Toc30783 \h </w:instrText>
          </w:r>
          <w:r>
            <w:rPr>
              <w:rFonts w:ascii="Times New Roman" w:hAnsi="Times New Roman" w:eastAsia="宋体"/>
              <w:color w:val="auto"/>
              <w:sz w:val="24"/>
            </w:rPr>
            <w:fldChar w:fldCharType="separate"/>
          </w:r>
          <w:r>
            <w:rPr>
              <w:rFonts w:ascii="Times New Roman" w:hAnsi="Times New Roman" w:eastAsia="宋体"/>
              <w:color w:val="auto"/>
              <w:sz w:val="24"/>
            </w:rPr>
            <w:t>12</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0EAE6FF">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"_Toc31668" </w:instrText>
          </w:r>
          <w:r>
            <w:rPr>
              <w:color w:val="auto"/>
            </w:rPr>
            <w:fldChar w:fldCharType="separate"/>
          </w:r>
          <w:r>
            <w:rPr>
              <w:rFonts w:hint="eastAsia" w:ascii="Times New Roman" w:hAnsi="Times New Roman" w:eastAsia="宋体"/>
              <w:snapToGrid/>
              <w:color w:val="auto"/>
              <w:sz w:val="24"/>
              <w:lang w:eastAsia="zh-CN"/>
            </w:rPr>
            <w:t>2.4环境功能区划及评价标准</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_Toc31668 \h </w:instrText>
          </w:r>
          <w:r>
            <w:rPr>
              <w:rFonts w:ascii="Times New Roman" w:hAnsi="Times New Roman" w:eastAsia="宋体"/>
              <w:color w:val="auto"/>
              <w:sz w:val="24"/>
            </w:rPr>
            <w:fldChar w:fldCharType="separate"/>
          </w:r>
          <w:r>
            <w:rPr>
              <w:rFonts w:ascii="Times New Roman" w:hAnsi="Times New Roman" w:eastAsia="宋体"/>
              <w:color w:val="auto"/>
              <w:sz w:val="24"/>
            </w:rPr>
            <w:t>14</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EAC739E">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"_Toc32540" </w:instrText>
          </w:r>
          <w:r>
            <w:rPr>
              <w:color w:val="auto"/>
            </w:rPr>
            <w:fldChar w:fldCharType="separate"/>
          </w:r>
          <w:r>
            <w:rPr>
              <w:rFonts w:hint="eastAsia" w:ascii="Times New Roman" w:hAnsi="Times New Roman" w:eastAsia="宋体"/>
              <w:snapToGrid/>
              <w:color w:val="auto"/>
              <w:sz w:val="24"/>
              <w:lang w:eastAsia="zh-CN"/>
            </w:rPr>
            <w:t>2.5评价工作等级及评价范围</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_Toc32540 \h </w:instrText>
          </w:r>
          <w:r>
            <w:rPr>
              <w:rFonts w:ascii="Times New Roman" w:hAnsi="Times New Roman" w:eastAsia="宋体"/>
              <w:color w:val="auto"/>
              <w:sz w:val="24"/>
            </w:rPr>
            <w:fldChar w:fldCharType="separate"/>
          </w:r>
          <w:r>
            <w:rPr>
              <w:rFonts w:ascii="Times New Roman" w:hAnsi="Times New Roman" w:eastAsia="宋体"/>
              <w:color w:val="auto"/>
              <w:sz w:val="24"/>
            </w:rPr>
            <w:t>20</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8DC49F8">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"_Toc24419" </w:instrText>
          </w:r>
          <w:r>
            <w:rPr>
              <w:color w:val="auto"/>
            </w:rPr>
            <w:fldChar w:fldCharType="separate"/>
          </w:r>
          <w:r>
            <w:rPr>
              <w:rFonts w:hint="eastAsia" w:ascii="Times New Roman" w:hAnsi="Times New Roman" w:eastAsia="宋体"/>
              <w:snapToGrid/>
              <w:color w:val="auto"/>
              <w:sz w:val="24"/>
              <w:lang w:eastAsia="zh-CN"/>
            </w:rPr>
            <w:t>2.6环境保护目标及污染控制目标</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_Toc24419 \h </w:instrText>
          </w:r>
          <w:r>
            <w:rPr>
              <w:rFonts w:ascii="Times New Roman" w:hAnsi="Times New Roman" w:eastAsia="宋体"/>
              <w:color w:val="auto"/>
              <w:sz w:val="24"/>
            </w:rPr>
            <w:fldChar w:fldCharType="separate"/>
          </w:r>
          <w:r>
            <w:rPr>
              <w:rFonts w:ascii="Times New Roman" w:hAnsi="Times New Roman" w:eastAsia="宋体"/>
              <w:color w:val="auto"/>
              <w:sz w:val="24"/>
            </w:rPr>
            <w:t>28</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60E7EAB">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"_Toc7502" </w:instrText>
          </w:r>
          <w:r>
            <w:rPr>
              <w:color w:val="auto"/>
            </w:rPr>
            <w:fldChar w:fldCharType="separate"/>
          </w:r>
          <w:r>
            <w:rPr>
              <w:rFonts w:hint="eastAsia" w:ascii="Times New Roman" w:hAnsi="Times New Roman" w:eastAsia="宋体"/>
              <w:snapToGrid/>
              <w:color w:val="auto"/>
              <w:sz w:val="24"/>
              <w:lang w:eastAsia="zh-CN"/>
            </w:rPr>
            <w:t>2.7产业政策和规划相符性分析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_Toc7502 \h </w:instrText>
          </w:r>
          <w:r>
            <w:rPr>
              <w:rFonts w:ascii="Times New Roman" w:hAnsi="Times New Roman" w:eastAsia="宋体"/>
              <w:color w:val="auto"/>
              <w:sz w:val="24"/>
            </w:rPr>
            <w:fldChar w:fldCharType="separate"/>
          </w:r>
          <w:r>
            <w:rPr>
              <w:rFonts w:ascii="Times New Roman" w:hAnsi="Times New Roman" w:eastAsia="宋体"/>
              <w:color w:val="auto"/>
              <w:sz w:val="24"/>
            </w:rPr>
            <w:t>29</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351E3C37">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"_Toc23938" </w:instrText>
          </w:r>
          <w:r>
            <w:rPr>
              <w:color w:val="auto"/>
            </w:rPr>
            <w:fldChar w:fldCharType="separate"/>
          </w:r>
          <w:r>
            <w:rPr>
              <w:rFonts w:hint="eastAsia" w:ascii="Times New Roman" w:hAnsi="Times New Roman" w:eastAsia="宋体"/>
              <w:snapToGrid/>
              <w:color w:val="auto"/>
              <w:sz w:val="24"/>
              <w:lang w:eastAsia="zh-CN"/>
            </w:rPr>
            <w:t>2.8选址合理性分析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_Toc23938 \h </w:instrText>
          </w:r>
          <w:r>
            <w:rPr>
              <w:rFonts w:ascii="Times New Roman" w:hAnsi="Times New Roman" w:eastAsia="宋体"/>
              <w:color w:val="auto"/>
              <w:sz w:val="24"/>
            </w:rPr>
            <w:fldChar w:fldCharType="separate"/>
          </w:r>
          <w:r>
            <w:rPr>
              <w:rFonts w:ascii="Times New Roman" w:hAnsi="Times New Roman" w:eastAsia="宋体"/>
              <w:color w:val="auto"/>
              <w:sz w:val="24"/>
            </w:rPr>
            <w:t>51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3F8D881">
          <w:pPr>
            <w:pStyle w:val="19"/>
            <w:shd w:val="clear"/>
            <w:tabs>
              <w:tab w:val="right" w:leader="dot" w:pos="8483"/>
            </w:tabs>
            <w:adjustRightInd/>
            <w:snapToGrid/>
            <w:spacing w:line="360" w:lineRule="auto"/>
            <w:jc w:val="both"/>
            <w:rPr>
              <w:rFonts w:ascii="Times New Roman" w:hAnsi="Times New Roman" w:eastAsia="宋体"/>
              <w:color w:val="auto"/>
              <w:sz w:val="24"/>
            </w:rPr>
          </w:pPr>
          <w:r>
            <w:rPr>
              <w:color w:val="auto"/>
            </w:rPr>
            <w:fldChar w:fldCharType="begin"/>
          </w:r>
          <w:r>
            <w:rPr>
              <w:color w:val="auto"/>
            </w:rPr>
            <w:instrText xml:space="preserve"> HYPERLINK \l "_Toc31989" </w:instrText>
          </w:r>
          <w:r>
            <w:rPr>
              <w:color w:val="auto"/>
            </w:rPr>
            <w:fldChar w:fldCharType="separate"/>
          </w:r>
          <w:r>
            <w:rPr>
              <w:rFonts w:hint="eastAsia" w:ascii="Times New Roman" w:hAnsi="Times New Roman" w:eastAsia="宋体" w:cs="Times New Roman"/>
              <w:snapToGrid/>
              <w:color w:val="auto"/>
              <w:sz w:val="24"/>
              <w:lang w:eastAsia="zh-CN"/>
            </w:rPr>
            <w:t>3、工程分析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_Toc31989 \h </w:instrText>
          </w:r>
          <w:r>
            <w:rPr>
              <w:rFonts w:ascii="Times New Roman" w:hAnsi="Times New Roman" w:eastAsia="宋体"/>
              <w:color w:val="auto"/>
              <w:sz w:val="24"/>
            </w:rPr>
            <w:fldChar w:fldCharType="separate"/>
          </w:r>
          <w:r>
            <w:rPr>
              <w:rFonts w:ascii="Times New Roman" w:hAnsi="Times New Roman" w:eastAsia="宋体"/>
              <w:color w:val="auto"/>
              <w:sz w:val="24"/>
            </w:rPr>
            <w:t>53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C96B47D">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"_Toc15532" </w:instrText>
          </w:r>
          <w:r>
            <w:rPr>
              <w:color w:val="auto"/>
            </w:rPr>
            <w:fldChar w:fldCharType="separate"/>
          </w:r>
          <w:r>
            <w:rPr>
              <w:rFonts w:hint="eastAsia" w:ascii="Times New Roman" w:hAnsi="Times New Roman" w:eastAsia="宋体"/>
              <w:snapToGrid/>
              <w:color w:val="auto"/>
              <w:sz w:val="24"/>
              <w:lang w:eastAsia="zh-CN"/>
            </w:rPr>
            <w:t>3.1本项目建设概况</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_Toc15532 \h </w:instrText>
          </w:r>
          <w:r>
            <w:rPr>
              <w:rFonts w:ascii="Times New Roman" w:hAnsi="Times New Roman" w:eastAsia="宋体"/>
              <w:color w:val="auto"/>
              <w:sz w:val="24"/>
            </w:rPr>
            <w:fldChar w:fldCharType="separate"/>
          </w:r>
          <w:r>
            <w:rPr>
              <w:rFonts w:ascii="Times New Roman" w:hAnsi="Times New Roman" w:eastAsia="宋体"/>
              <w:color w:val="auto"/>
              <w:sz w:val="24"/>
            </w:rPr>
            <w:t>53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C970145">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"_Toc13435" </w:instrText>
          </w:r>
          <w:r>
            <w:rPr>
              <w:color w:val="auto"/>
            </w:rPr>
            <w:fldChar w:fldCharType="separate"/>
          </w:r>
          <w:r>
            <w:rPr>
              <w:rFonts w:hint="eastAsia" w:ascii="Times New Roman" w:hAnsi="Times New Roman" w:eastAsia="宋体"/>
              <w:snapToGrid/>
              <w:color w:val="auto"/>
              <w:sz w:val="24"/>
              <w:lang w:eastAsia="zh-CN"/>
            </w:rPr>
            <w:t>3.2公用工程</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_Toc13435 \h </w:instrText>
          </w:r>
          <w:r>
            <w:rPr>
              <w:rFonts w:ascii="Times New Roman" w:hAnsi="Times New Roman" w:eastAsia="宋体"/>
              <w:color w:val="auto"/>
              <w:sz w:val="24"/>
            </w:rPr>
            <w:fldChar w:fldCharType="separate"/>
          </w:r>
          <w:r>
            <w:rPr>
              <w:rFonts w:ascii="Times New Roman" w:hAnsi="Times New Roman" w:eastAsia="宋体"/>
              <w:color w:val="auto"/>
              <w:sz w:val="24"/>
            </w:rPr>
            <w:t>60</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8187015">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"_Toc9042" </w:instrText>
          </w:r>
          <w:r>
            <w:rPr>
              <w:color w:val="auto"/>
            </w:rPr>
            <w:fldChar w:fldCharType="separate"/>
          </w:r>
          <w:r>
            <w:rPr>
              <w:rFonts w:hint="eastAsia" w:ascii="Times New Roman" w:hAnsi="Times New Roman" w:eastAsia="宋体"/>
              <w:snapToGrid/>
              <w:color w:val="auto"/>
              <w:sz w:val="24"/>
              <w:lang w:eastAsia="zh-CN"/>
            </w:rPr>
            <w:t>3.3工程分析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_Toc9042 \h </w:instrText>
          </w:r>
          <w:r>
            <w:rPr>
              <w:rFonts w:ascii="Times New Roman" w:hAnsi="Times New Roman" w:eastAsia="宋体"/>
              <w:color w:val="auto"/>
              <w:sz w:val="24"/>
            </w:rPr>
            <w:fldChar w:fldCharType="separate"/>
          </w:r>
          <w:r>
            <w:rPr>
              <w:rFonts w:ascii="Times New Roman" w:hAnsi="Times New Roman" w:eastAsia="宋体"/>
              <w:color w:val="auto"/>
              <w:sz w:val="24"/>
            </w:rPr>
            <w:t>61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C90C26E">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"_Toc4155" </w:instrText>
          </w:r>
          <w:r>
            <w:rPr>
              <w:color w:val="auto"/>
            </w:rPr>
            <w:fldChar w:fldCharType="separate"/>
          </w:r>
          <w:r>
            <w:rPr>
              <w:rFonts w:hint="eastAsia" w:ascii="Times New Roman" w:hAnsi="Times New Roman" w:eastAsia="宋体"/>
              <w:snapToGrid/>
              <w:color w:val="auto"/>
              <w:sz w:val="24"/>
              <w:lang w:eastAsia="zh-CN"/>
            </w:rPr>
            <w:t>3.4工程污染源分析及产排情况</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_Toc4155 \h </w:instrText>
          </w:r>
          <w:r>
            <w:rPr>
              <w:rFonts w:ascii="Times New Roman" w:hAnsi="Times New Roman" w:eastAsia="宋体"/>
              <w:color w:val="auto"/>
              <w:sz w:val="24"/>
            </w:rPr>
            <w:fldChar w:fldCharType="separate"/>
          </w:r>
          <w:r>
            <w:rPr>
              <w:rFonts w:ascii="Times New Roman" w:hAnsi="Times New Roman" w:eastAsia="宋体"/>
              <w:color w:val="auto"/>
              <w:sz w:val="24"/>
            </w:rPr>
            <w:t>68</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287F9F8C">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"_Toc22356" </w:instrText>
          </w:r>
          <w:r>
            <w:rPr>
              <w:color w:val="auto"/>
            </w:rPr>
            <w:fldChar w:fldCharType="separate"/>
          </w:r>
          <w:r>
            <w:rPr>
              <w:rFonts w:hint="eastAsia" w:ascii="Times New Roman" w:hAnsi="Times New Roman" w:eastAsia="宋体"/>
              <w:snapToGrid/>
              <w:color w:val="auto"/>
              <w:sz w:val="24"/>
              <w:lang w:eastAsia="zh-CN"/>
            </w:rPr>
            <w:t>3.5运营期污染物“三废”排放情况统计</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_Toc22356 \h </w:instrText>
          </w:r>
          <w:r>
            <w:rPr>
              <w:rFonts w:ascii="Times New Roman" w:hAnsi="Times New Roman" w:eastAsia="宋体"/>
              <w:color w:val="auto"/>
              <w:sz w:val="24"/>
            </w:rPr>
            <w:fldChar w:fldCharType="separate"/>
          </w:r>
          <w:r>
            <w:rPr>
              <w:rFonts w:ascii="Times New Roman" w:hAnsi="Times New Roman" w:eastAsia="宋体"/>
              <w:color w:val="auto"/>
              <w:sz w:val="24"/>
            </w:rPr>
            <w:t>79</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318906E">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"_Toc2362" </w:instrText>
          </w:r>
          <w:r>
            <w:rPr>
              <w:color w:val="auto"/>
            </w:rPr>
            <w:fldChar w:fldCharType="separate"/>
          </w:r>
          <w:r>
            <w:rPr>
              <w:rFonts w:hint="eastAsia" w:ascii="Times New Roman" w:hAnsi="Times New Roman" w:eastAsia="宋体"/>
              <w:snapToGrid/>
              <w:color w:val="auto"/>
              <w:sz w:val="24"/>
              <w:lang w:eastAsia="zh-CN"/>
            </w:rPr>
            <w:t>3.6非正常工况污染物排放情况</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_Toc2362 \h </w:instrText>
          </w:r>
          <w:r>
            <w:rPr>
              <w:rFonts w:ascii="Times New Roman" w:hAnsi="Times New Roman" w:eastAsia="宋体"/>
              <w:color w:val="auto"/>
              <w:sz w:val="24"/>
            </w:rPr>
            <w:fldChar w:fldCharType="separate"/>
          </w:r>
          <w:r>
            <w:rPr>
              <w:rFonts w:ascii="Times New Roman" w:hAnsi="Times New Roman" w:eastAsia="宋体"/>
              <w:color w:val="auto"/>
              <w:sz w:val="24"/>
            </w:rPr>
            <w:t>80</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2069AC3F">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"_Toc20954" </w:instrText>
          </w:r>
          <w:r>
            <w:rPr>
              <w:color w:val="auto"/>
            </w:rPr>
            <w:fldChar w:fldCharType="separate"/>
          </w:r>
          <w:r>
            <w:rPr>
              <w:rFonts w:hint="eastAsia" w:ascii="Times New Roman" w:hAnsi="Times New Roman" w:eastAsia="宋体"/>
              <w:snapToGrid/>
              <w:color w:val="auto"/>
              <w:sz w:val="24"/>
              <w:lang w:eastAsia="zh-CN"/>
            </w:rPr>
            <w:t>3.7总量控制</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_Toc20954 \h </w:instrText>
          </w:r>
          <w:r>
            <w:rPr>
              <w:rFonts w:ascii="Times New Roman" w:hAnsi="Times New Roman" w:eastAsia="宋体"/>
              <w:color w:val="auto"/>
              <w:sz w:val="24"/>
            </w:rPr>
            <w:fldChar w:fldCharType="separate"/>
          </w:r>
          <w:r>
            <w:rPr>
              <w:rFonts w:ascii="Times New Roman" w:hAnsi="Times New Roman" w:eastAsia="宋体"/>
              <w:color w:val="auto"/>
              <w:sz w:val="24"/>
            </w:rPr>
            <w:t>81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101B007">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"_Toc22194" </w:instrText>
          </w:r>
          <w:r>
            <w:rPr>
              <w:color w:val="auto"/>
            </w:rPr>
            <w:fldChar w:fldCharType="separate"/>
          </w:r>
          <w:r>
            <w:rPr>
              <w:rFonts w:hint="eastAsia" w:ascii="Times New Roman" w:hAnsi="Times New Roman" w:eastAsia="宋体"/>
              <w:snapToGrid/>
              <w:color w:val="auto"/>
              <w:sz w:val="24"/>
              <w:lang w:eastAsia="zh-CN"/>
            </w:rPr>
            <w:t>3.8清洁生产</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_Toc22194 \h </w:instrText>
          </w:r>
          <w:r>
            <w:rPr>
              <w:rFonts w:ascii="Times New Roman" w:hAnsi="Times New Roman" w:eastAsia="宋体"/>
              <w:color w:val="auto"/>
              <w:sz w:val="24"/>
            </w:rPr>
            <w:fldChar w:fldCharType="separate"/>
          </w:r>
          <w:r>
            <w:rPr>
              <w:rFonts w:ascii="Times New Roman" w:hAnsi="Times New Roman" w:eastAsia="宋体"/>
              <w:color w:val="auto"/>
              <w:sz w:val="24"/>
            </w:rPr>
            <w:t>81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8CAA66E">
          <w:pPr>
            <w:pStyle w:val="19"/>
            <w:shd w:val="clear"/>
            <w:tabs>
              <w:tab w:val="right" w:leader="dot" w:pos="8483"/>
            </w:tabs>
            <w:adjustRightInd/>
            <w:snapToGrid/>
            <w:spacing w:line="360" w:lineRule="auto"/>
            <w:jc w:val="both"/>
            <w:rPr>
              <w:rFonts w:ascii="Times New Roman" w:hAnsi="Times New Roman" w:eastAsia="宋体"/>
              <w:color w:val="auto"/>
              <w:sz w:val="24"/>
            </w:rPr>
          </w:pPr>
          <w:r>
            <w:rPr>
              <w:color w:val="auto"/>
            </w:rPr>
            <w:fldChar w:fldCharType="begin"/>
          </w:r>
          <w:r>
            <w:rPr>
              <w:color w:val="auto"/>
            </w:rPr>
            <w:instrText xml:space="preserve"> HYPERLINK \l "_Toc1097" </w:instrText>
          </w:r>
          <w:r>
            <w:rPr>
              <w:color w:val="auto"/>
            </w:rPr>
            <w:fldChar w:fldCharType="separate"/>
          </w:r>
          <w:r>
            <w:rPr>
              <w:rFonts w:hint="eastAsia" w:ascii="Times New Roman" w:hAnsi="Times New Roman" w:eastAsia="宋体" w:cs="Times New Roman"/>
              <w:snapToGrid/>
              <w:color w:val="auto"/>
              <w:sz w:val="24"/>
              <w:lang w:eastAsia="zh-CN"/>
            </w:rPr>
            <w:t>4、环境现状调查与评价</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_Toc1097 \h </w:instrText>
          </w:r>
          <w:r>
            <w:rPr>
              <w:rFonts w:ascii="Times New Roman" w:hAnsi="Times New Roman" w:eastAsia="宋体"/>
              <w:color w:val="auto"/>
              <w:sz w:val="24"/>
            </w:rPr>
            <w:fldChar w:fldCharType="separate"/>
          </w:r>
          <w:r>
            <w:rPr>
              <w:rFonts w:ascii="Times New Roman" w:hAnsi="Times New Roman" w:eastAsia="宋体"/>
              <w:color w:val="auto"/>
              <w:sz w:val="24"/>
            </w:rPr>
            <w:t>86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15F920A">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"_Toc28690" </w:instrText>
          </w:r>
          <w:r>
            <w:rPr>
              <w:color w:val="auto"/>
            </w:rPr>
            <w:fldChar w:fldCharType="separate"/>
          </w:r>
          <w:r>
            <w:rPr>
              <w:rFonts w:hint="eastAsia" w:ascii="Times New Roman" w:hAnsi="Times New Roman" w:eastAsia="宋体"/>
              <w:snapToGrid/>
              <w:color w:val="auto"/>
              <w:sz w:val="24"/>
              <w:lang w:eastAsia="zh-CN"/>
            </w:rPr>
            <w:t>4.1自然环境概况</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_Toc28690 \h </w:instrText>
          </w:r>
          <w:r>
            <w:rPr>
              <w:rFonts w:ascii="Times New Roman" w:hAnsi="Times New Roman" w:eastAsia="宋体"/>
              <w:color w:val="auto"/>
              <w:sz w:val="24"/>
            </w:rPr>
            <w:fldChar w:fldCharType="separate"/>
          </w:r>
          <w:r>
            <w:rPr>
              <w:rFonts w:ascii="Times New Roman" w:hAnsi="Times New Roman" w:eastAsia="宋体"/>
              <w:color w:val="auto"/>
              <w:sz w:val="24"/>
            </w:rPr>
            <w:t>86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2A727FCC">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"_Toc11971" </w:instrText>
          </w:r>
          <w:r>
            <w:rPr>
              <w:color w:val="auto"/>
            </w:rPr>
            <w:fldChar w:fldCharType="separate"/>
          </w:r>
          <w:r>
            <w:rPr>
              <w:rFonts w:hint="eastAsia" w:ascii="Times New Roman" w:hAnsi="Times New Roman" w:eastAsia="宋体"/>
              <w:snapToGrid/>
              <w:color w:val="auto"/>
              <w:sz w:val="24"/>
              <w:lang w:eastAsia="zh-CN"/>
            </w:rPr>
            <w:t>4.2环境现状调查与评价</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_Toc11971 \h </w:instrText>
          </w:r>
          <w:r>
            <w:rPr>
              <w:rFonts w:ascii="Times New Roman" w:hAnsi="Times New Roman" w:eastAsia="宋体"/>
              <w:color w:val="auto"/>
              <w:sz w:val="24"/>
            </w:rPr>
            <w:fldChar w:fldCharType="separate"/>
          </w:r>
          <w:r>
            <w:rPr>
              <w:rFonts w:ascii="Times New Roman" w:hAnsi="Times New Roman" w:eastAsia="宋体"/>
              <w:color w:val="auto"/>
              <w:sz w:val="24"/>
            </w:rPr>
            <w:t>91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59D79BF">
          <w:pPr>
            <w:pStyle w:val="19"/>
            <w:shd w:val="clear"/>
            <w:tabs>
              <w:tab w:val="right" w:leader="dot" w:pos="8483"/>
            </w:tabs>
            <w:adjustRightInd/>
            <w:snapToGrid/>
            <w:spacing w:line="360" w:lineRule="auto"/>
            <w:jc w:val="both"/>
            <w:rPr>
              <w:rFonts w:ascii="Times New Roman" w:hAnsi="Times New Roman" w:eastAsia="宋体"/>
              <w:color w:val="auto"/>
              <w:sz w:val="24"/>
            </w:rPr>
          </w:pPr>
          <w:r>
            <w:rPr>
              <w:color w:val="auto"/>
            </w:rPr>
            <w:fldChar w:fldCharType="begin"/>
          </w:r>
          <w:r>
            <w:rPr>
              <w:color w:val="auto"/>
            </w:rPr>
            <w:instrText xml:space="preserve"> HYPERLINK \l "_Toc8487" </w:instrText>
          </w:r>
          <w:r>
            <w:rPr>
              <w:color w:val="auto"/>
            </w:rPr>
            <w:fldChar w:fldCharType="separate"/>
          </w:r>
          <w:r>
            <w:rPr>
              <w:rFonts w:hint="eastAsia" w:ascii="Times New Roman" w:hAnsi="Times New Roman" w:eastAsia="宋体" w:cs="Times New Roman"/>
              <w:snapToGrid/>
              <w:color w:val="auto"/>
              <w:sz w:val="24"/>
              <w:lang w:eastAsia="zh-CN"/>
            </w:rPr>
            <w:t>5、环境影响预测与评价</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_Toc8487 \h </w:instrText>
          </w:r>
          <w:r>
            <w:rPr>
              <w:rFonts w:ascii="Times New Roman" w:hAnsi="Times New Roman" w:eastAsia="宋体"/>
              <w:color w:val="auto"/>
              <w:sz w:val="24"/>
            </w:rPr>
            <w:fldChar w:fldCharType="separate"/>
          </w:r>
          <w:r>
            <w:rPr>
              <w:rFonts w:ascii="Times New Roman" w:hAnsi="Times New Roman" w:eastAsia="宋体"/>
              <w:color w:val="auto"/>
              <w:sz w:val="24"/>
            </w:rPr>
            <w:t>103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554568D">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"_Toc5196" </w:instrText>
          </w:r>
          <w:r>
            <w:rPr>
              <w:color w:val="auto"/>
            </w:rPr>
            <w:fldChar w:fldCharType="separate"/>
          </w:r>
          <w:r>
            <w:rPr>
              <w:rFonts w:hint="eastAsia" w:ascii="Times New Roman" w:hAnsi="Times New Roman" w:eastAsia="宋体"/>
              <w:snapToGrid/>
              <w:color w:val="auto"/>
              <w:sz w:val="24"/>
              <w:lang w:eastAsia="zh-CN"/>
            </w:rPr>
            <w:t>5.1施工期环境影响分析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_Toc5196 \h </w:instrText>
          </w:r>
          <w:r>
            <w:rPr>
              <w:rFonts w:ascii="Times New Roman" w:hAnsi="Times New Roman" w:eastAsia="宋体"/>
              <w:color w:val="auto"/>
              <w:sz w:val="24"/>
            </w:rPr>
            <w:fldChar w:fldCharType="separate"/>
          </w:r>
          <w:r>
            <w:rPr>
              <w:rFonts w:ascii="Times New Roman" w:hAnsi="Times New Roman" w:eastAsia="宋体"/>
              <w:color w:val="auto"/>
              <w:sz w:val="24"/>
            </w:rPr>
            <w:t>103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F89219D">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"_Toc15121" </w:instrText>
          </w:r>
          <w:r>
            <w:rPr>
              <w:color w:val="auto"/>
            </w:rPr>
            <w:fldChar w:fldCharType="separate"/>
          </w:r>
          <w:r>
            <w:rPr>
              <w:rFonts w:hint="eastAsia" w:ascii="Times New Roman" w:hAnsi="Times New Roman" w:eastAsia="宋体"/>
              <w:snapToGrid/>
              <w:color w:val="auto"/>
              <w:sz w:val="24"/>
              <w:lang w:eastAsia="zh-CN"/>
            </w:rPr>
            <w:t>5.2营运期环境影响分析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_Toc15121 \h </w:instrText>
          </w:r>
          <w:r>
            <w:rPr>
              <w:rFonts w:ascii="Times New Roman" w:hAnsi="Times New Roman" w:eastAsia="宋体"/>
              <w:color w:val="auto"/>
              <w:sz w:val="24"/>
            </w:rPr>
            <w:fldChar w:fldCharType="separate"/>
          </w:r>
          <w:r>
            <w:rPr>
              <w:rFonts w:ascii="Times New Roman" w:hAnsi="Times New Roman" w:eastAsia="宋体"/>
              <w:color w:val="auto"/>
              <w:sz w:val="24"/>
            </w:rPr>
            <w:t>106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ADB34F7">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"_Toc26817" </w:instrText>
          </w:r>
          <w:r>
            <w:rPr>
              <w:color w:val="auto"/>
            </w:rPr>
            <w:fldChar w:fldCharType="separate"/>
          </w:r>
          <w:r>
            <w:rPr>
              <w:rFonts w:hint="eastAsia" w:ascii="Times New Roman" w:hAnsi="Times New Roman" w:eastAsia="宋体"/>
              <w:snapToGrid/>
              <w:color w:val="auto"/>
              <w:sz w:val="24"/>
              <w:lang w:eastAsia="zh-CN"/>
            </w:rPr>
            <w:t>5.3环境风险分析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_Toc26817 \h </w:instrText>
          </w:r>
          <w:r>
            <w:rPr>
              <w:rFonts w:ascii="Times New Roman" w:hAnsi="Times New Roman" w:eastAsia="宋体"/>
              <w:color w:val="auto"/>
              <w:sz w:val="24"/>
            </w:rPr>
            <w:fldChar w:fldCharType="separate"/>
          </w:r>
          <w:r>
            <w:rPr>
              <w:rFonts w:ascii="Times New Roman" w:hAnsi="Times New Roman" w:eastAsia="宋体"/>
              <w:color w:val="auto"/>
              <w:sz w:val="24"/>
            </w:rPr>
            <w:t>132</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68BB2A8">
          <w:pPr>
            <w:pStyle w:val="21"/>
            <w:shd w:val="clear"/>
            <w:tabs>
              <w:tab w:val="right" w:leader="dot" w:pos="8483"/>
            </w:tabs>
            <w:adjustRightInd/>
            <w:snapToGrid/>
            <w:spacing w:line="360" w:lineRule="auto"/>
            <w:ind w:left="0" w:leftChars="0"/>
            <w:jc w:val="both"/>
            <w:rPr>
              <w:rFonts w:ascii="Times New Roman" w:hAnsi="Times New Roman" w:eastAsia="宋体"/>
              <w:color w:val="auto"/>
              <w:sz w:val="24"/>
            </w:rPr>
          </w:pPr>
          <w:r>
            <w:rPr>
              <w:color w:val="auto"/>
            </w:rPr>
            <w:fldChar w:fldCharType="begin"/>
          </w:r>
          <w:r>
            <w:rPr>
              <w:color w:val="auto"/>
            </w:rPr>
            <w:instrText xml:space="preserve"> HYPERLINK \l "_Toc29424" </w:instrText>
          </w:r>
          <w:r>
            <w:rPr>
              <w:color w:val="auto"/>
            </w:rPr>
            <w:fldChar w:fldCharType="separate"/>
          </w:r>
          <w:r>
            <w:rPr>
              <w:rFonts w:hint="eastAsia" w:ascii="Times New Roman" w:hAnsi="Times New Roman" w:eastAsia="宋体" w:cs="Times New Roman"/>
              <w:snapToGrid/>
              <w:color w:val="auto"/>
              <w:sz w:val="24"/>
              <w:lang w:eastAsia="zh-CN"/>
            </w:rPr>
            <w:t>6、环境保护措施及可行性论证</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_Toc29424 \h </w:instrText>
          </w:r>
          <w:r>
            <w:rPr>
              <w:rFonts w:ascii="Times New Roman" w:hAnsi="Times New Roman" w:eastAsia="宋体"/>
              <w:color w:val="auto"/>
              <w:sz w:val="24"/>
            </w:rPr>
            <w:fldChar w:fldCharType="separate"/>
          </w:r>
          <w:r>
            <w:rPr>
              <w:rFonts w:ascii="Times New Roman" w:hAnsi="Times New Roman" w:eastAsia="宋体"/>
              <w:color w:val="auto"/>
              <w:sz w:val="24"/>
            </w:rPr>
            <w:t>146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851C973">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"_Toc27816" </w:instrText>
          </w:r>
          <w:r>
            <w:rPr>
              <w:color w:val="auto"/>
            </w:rPr>
            <w:fldChar w:fldCharType="separate"/>
          </w:r>
          <w:r>
            <w:rPr>
              <w:rFonts w:hint="eastAsia" w:ascii="Times New Roman" w:hAnsi="Times New Roman" w:eastAsia="宋体"/>
              <w:snapToGrid/>
              <w:color w:val="auto"/>
              <w:sz w:val="24"/>
              <w:lang w:eastAsia="zh-CN"/>
            </w:rPr>
            <w:t>6.1施工期污染防治措施分析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_Toc27816 \h </w:instrText>
          </w:r>
          <w:r>
            <w:rPr>
              <w:rFonts w:ascii="Times New Roman" w:hAnsi="Times New Roman" w:eastAsia="宋体"/>
              <w:color w:val="auto"/>
              <w:sz w:val="24"/>
            </w:rPr>
            <w:fldChar w:fldCharType="separate"/>
          </w:r>
          <w:r>
            <w:rPr>
              <w:rFonts w:ascii="Times New Roman" w:hAnsi="Times New Roman" w:eastAsia="宋体"/>
              <w:color w:val="auto"/>
              <w:sz w:val="24"/>
            </w:rPr>
            <w:t>146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4AA0245">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"_Toc844" </w:instrText>
          </w:r>
          <w:r>
            <w:rPr>
              <w:color w:val="auto"/>
            </w:rPr>
            <w:fldChar w:fldCharType="separate"/>
          </w:r>
          <w:r>
            <w:rPr>
              <w:rFonts w:hint="eastAsia" w:ascii="Times New Roman" w:hAnsi="Times New Roman" w:eastAsia="宋体"/>
              <w:snapToGrid/>
              <w:color w:val="auto"/>
              <w:sz w:val="24"/>
              <w:lang w:eastAsia="zh-CN"/>
            </w:rPr>
            <w:t>6.2运营期污染防治措施分析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_Toc844 \h </w:instrText>
          </w:r>
          <w:r>
            <w:rPr>
              <w:rFonts w:ascii="Times New Roman" w:hAnsi="Times New Roman" w:eastAsia="宋体"/>
              <w:color w:val="auto"/>
              <w:sz w:val="24"/>
            </w:rPr>
            <w:fldChar w:fldCharType="separate"/>
          </w:r>
          <w:r>
            <w:rPr>
              <w:rFonts w:ascii="Times New Roman" w:hAnsi="Times New Roman" w:eastAsia="宋体"/>
              <w:color w:val="auto"/>
              <w:sz w:val="24"/>
            </w:rPr>
            <w:t>148</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925BB1A">
          <w:pPr>
            <w:pStyle w:val="21"/>
            <w:shd w:val="clear"/>
            <w:tabs>
              <w:tab w:val="right" w:leader="dot" w:pos="8483"/>
            </w:tabs>
            <w:adjustRightInd/>
            <w:snapToGrid/>
            <w:spacing w:line="360" w:lineRule="auto"/>
            <w:ind w:left="0" w:leftChars="0"/>
            <w:jc w:val="both"/>
            <w:rPr>
              <w:rFonts w:ascii="Times New Roman" w:hAnsi="Times New Roman" w:eastAsia="宋体"/>
              <w:color w:val="auto"/>
              <w:sz w:val="24"/>
            </w:rPr>
          </w:pPr>
          <w:r>
            <w:rPr>
              <w:color w:val="auto"/>
            </w:rPr>
            <w:fldChar w:fldCharType="begin"/>
          </w:r>
          <w:r>
            <w:rPr>
              <w:color w:val="auto"/>
            </w:rPr>
            <w:instrText xml:space="preserve"> HYPERLINK \l "_Toc25006" </w:instrText>
          </w:r>
          <w:r>
            <w:rPr>
              <w:color w:val="auto"/>
            </w:rPr>
            <w:fldChar w:fldCharType="separate"/>
          </w:r>
          <w:r>
            <w:rPr>
              <w:rFonts w:hint="eastAsia" w:ascii="Times New Roman" w:hAnsi="Times New Roman" w:eastAsia="宋体" w:cs="Times New Roman"/>
              <w:snapToGrid/>
              <w:color w:val="auto"/>
              <w:sz w:val="24"/>
              <w:lang w:eastAsia="zh-CN"/>
            </w:rPr>
            <w:t>7、环境影响经济损益分析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_Toc25006 \h </w:instrText>
          </w:r>
          <w:r>
            <w:rPr>
              <w:rFonts w:ascii="Times New Roman" w:hAnsi="Times New Roman" w:eastAsia="宋体"/>
              <w:color w:val="auto"/>
              <w:sz w:val="24"/>
            </w:rPr>
            <w:fldChar w:fldCharType="separate"/>
          </w:r>
          <w:r>
            <w:rPr>
              <w:rFonts w:ascii="Times New Roman" w:hAnsi="Times New Roman" w:eastAsia="宋体"/>
              <w:color w:val="auto"/>
              <w:sz w:val="24"/>
            </w:rPr>
            <w:t>163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787AA77">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"_Toc25016" </w:instrText>
          </w:r>
          <w:r>
            <w:rPr>
              <w:color w:val="auto"/>
            </w:rPr>
            <w:fldChar w:fldCharType="separate"/>
          </w:r>
          <w:r>
            <w:rPr>
              <w:rFonts w:hint="eastAsia" w:ascii="Times New Roman" w:hAnsi="Times New Roman" w:eastAsia="宋体"/>
              <w:snapToGrid/>
              <w:color w:val="auto"/>
              <w:sz w:val="24"/>
              <w:lang w:eastAsia="zh-CN"/>
            </w:rPr>
            <w:t>7.1环境效益分析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_Toc25016 \h </w:instrText>
          </w:r>
          <w:r>
            <w:rPr>
              <w:rFonts w:ascii="Times New Roman" w:hAnsi="Times New Roman" w:eastAsia="宋体"/>
              <w:color w:val="auto"/>
              <w:sz w:val="24"/>
            </w:rPr>
            <w:fldChar w:fldCharType="separate"/>
          </w:r>
          <w:r>
            <w:rPr>
              <w:rFonts w:ascii="Times New Roman" w:hAnsi="Times New Roman" w:eastAsia="宋体"/>
              <w:color w:val="auto"/>
              <w:sz w:val="24"/>
            </w:rPr>
            <w:t>163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AA35EC9">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"_Toc7541" </w:instrText>
          </w:r>
          <w:r>
            <w:rPr>
              <w:color w:val="auto"/>
            </w:rPr>
            <w:fldChar w:fldCharType="separate"/>
          </w:r>
          <w:r>
            <w:rPr>
              <w:rFonts w:hint="eastAsia" w:ascii="Times New Roman" w:hAnsi="Times New Roman" w:eastAsia="宋体"/>
              <w:snapToGrid/>
              <w:color w:val="auto"/>
              <w:sz w:val="24"/>
              <w:lang w:eastAsia="zh-CN"/>
            </w:rPr>
            <w:t>7.2社会效益分析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_Toc7541 \h </w:instrText>
          </w:r>
          <w:r>
            <w:rPr>
              <w:rFonts w:ascii="Times New Roman" w:hAnsi="Times New Roman" w:eastAsia="宋体"/>
              <w:color w:val="auto"/>
              <w:sz w:val="24"/>
            </w:rPr>
            <w:fldChar w:fldCharType="separate"/>
          </w:r>
          <w:r>
            <w:rPr>
              <w:rFonts w:ascii="Times New Roman" w:hAnsi="Times New Roman" w:eastAsia="宋体"/>
              <w:color w:val="auto"/>
              <w:sz w:val="24"/>
            </w:rPr>
            <w:t>165</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787830C3">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"_Toc4584" </w:instrText>
          </w:r>
          <w:r>
            <w:rPr>
              <w:color w:val="auto"/>
            </w:rPr>
            <w:fldChar w:fldCharType="separate"/>
          </w:r>
          <w:r>
            <w:rPr>
              <w:rFonts w:hint="eastAsia" w:ascii="Times New Roman" w:hAnsi="Times New Roman" w:eastAsia="宋体"/>
              <w:snapToGrid/>
              <w:color w:val="auto"/>
              <w:sz w:val="24"/>
              <w:lang w:eastAsia="zh-CN"/>
            </w:rPr>
            <w:t>7.3小结</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_Toc4584 \h </w:instrText>
          </w:r>
          <w:r>
            <w:rPr>
              <w:rFonts w:ascii="Times New Roman" w:hAnsi="Times New Roman" w:eastAsia="宋体"/>
              <w:color w:val="auto"/>
              <w:sz w:val="24"/>
            </w:rPr>
            <w:fldChar w:fldCharType="separate"/>
          </w:r>
          <w:r>
            <w:rPr>
              <w:rFonts w:ascii="Times New Roman" w:hAnsi="Times New Roman" w:eastAsia="宋体"/>
              <w:color w:val="auto"/>
              <w:sz w:val="24"/>
            </w:rPr>
            <w:t>165</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35F3B0B0">
          <w:pPr>
            <w:pStyle w:val="21"/>
            <w:shd w:val="clear"/>
            <w:tabs>
              <w:tab w:val="right" w:leader="dot" w:pos="8483"/>
            </w:tabs>
            <w:adjustRightInd/>
            <w:snapToGrid/>
            <w:spacing w:line="360" w:lineRule="auto"/>
            <w:ind w:left="0" w:leftChars="0"/>
            <w:jc w:val="both"/>
            <w:rPr>
              <w:rFonts w:ascii="Times New Roman" w:hAnsi="Times New Roman" w:eastAsia="宋体"/>
              <w:color w:val="auto"/>
              <w:sz w:val="24"/>
            </w:rPr>
          </w:pPr>
          <w:r>
            <w:rPr>
              <w:color w:val="auto"/>
            </w:rPr>
            <w:fldChar w:fldCharType="begin"/>
          </w:r>
          <w:r>
            <w:rPr>
              <w:color w:val="auto"/>
            </w:rPr>
            <w:instrText xml:space="preserve"> HYPERLINK \l "_Toc4220" </w:instrText>
          </w:r>
          <w:r>
            <w:rPr>
              <w:color w:val="auto"/>
            </w:rPr>
            <w:fldChar w:fldCharType="separate"/>
          </w:r>
          <w:r>
            <w:rPr>
              <w:rFonts w:hint="eastAsia" w:ascii="Times New Roman" w:hAnsi="Times New Roman" w:eastAsia="宋体" w:cs="Times New Roman"/>
              <w:snapToGrid/>
              <w:color w:val="auto"/>
              <w:sz w:val="24"/>
              <w:lang w:eastAsia="zh-CN"/>
            </w:rPr>
            <w:t>8、环境管理与监测计划</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_Toc4220 \h </w:instrText>
          </w:r>
          <w:r>
            <w:rPr>
              <w:rFonts w:ascii="Times New Roman" w:hAnsi="Times New Roman" w:eastAsia="宋体"/>
              <w:color w:val="auto"/>
              <w:sz w:val="24"/>
            </w:rPr>
            <w:fldChar w:fldCharType="separate"/>
          </w:r>
          <w:r>
            <w:rPr>
              <w:rFonts w:ascii="Times New Roman" w:hAnsi="Times New Roman" w:eastAsia="宋体"/>
              <w:color w:val="auto"/>
              <w:sz w:val="24"/>
            </w:rPr>
            <w:t>166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60CE0F8D">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"_Toc21285" </w:instrText>
          </w:r>
          <w:r>
            <w:rPr>
              <w:color w:val="auto"/>
            </w:rPr>
            <w:fldChar w:fldCharType="separate"/>
          </w:r>
          <w:r>
            <w:rPr>
              <w:rFonts w:hint="eastAsia" w:ascii="Times New Roman" w:hAnsi="Times New Roman" w:eastAsia="宋体"/>
              <w:snapToGrid/>
              <w:color w:val="auto"/>
              <w:sz w:val="24"/>
              <w:lang w:eastAsia="zh-CN"/>
            </w:rPr>
            <w:t>8.1环境管理体制</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_Toc21285 \h </w:instrText>
          </w:r>
          <w:r>
            <w:rPr>
              <w:rFonts w:ascii="Times New Roman" w:hAnsi="Times New Roman" w:eastAsia="宋体"/>
              <w:color w:val="auto"/>
              <w:sz w:val="24"/>
            </w:rPr>
            <w:fldChar w:fldCharType="separate"/>
          </w:r>
          <w:r>
            <w:rPr>
              <w:rFonts w:ascii="Times New Roman" w:hAnsi="Times New Roman" w:eastAsia="宋体"/>
              <w:color w:val="auto"/>
              <w:sz w:val="24"/>
            </w:rPr>
            <w:t>166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C37763A">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"_Toc10053" </w:instrText>
          </w:r>
          <w:r>
            <w:rPr>
              <w:color w:val="auto"/>
            </w:rPr>
            <w:fldChar w:fldCharType="separate"/>
          </w:r>
          <w:r>
            <w:rPr>
              <w:rFonts w:hint="eastAsia" w:ascii="Times New Roman" w:hAnsi="Times New Roman" w:eastAsia="宋体"/>
              <w:snapToGrid/>
              <w:color w:val="auto"/>
              <w:sz w:val="24"/>
              <w:lang w:eastAsia="zh-CN"/>
            </w:rPr>
            <w:t>8.2环境管理制度制定</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_Toc10053 \h </w:instrText>
          </w:r>
          <w:r>
            <w:rPr>
              <w:rFonts w:ascii="Times New Roman" w:hAnsi="Times New Roman" w:eastAsia="宋体"/>
              <w:color w:val="auto"/>
              <w:sz w:val="24"/>
            </w:rPr>
            <w:fldChar w:fldCharType="separate"/>
          </w:r>
          <w:r>
            <w:rPr>
              <w:rFonts w:ascii="Times New Roman" w:hAnsi="Times New Roman" w:eastAsia="宋体"/>
              <w:color w:val="auto"/>
              <w:sz w:val="24"/>
            </w:rPr>
            <w:t>168</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6BF7F63">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"_Toc17544" </w:instrText>
          </w:r>
          <w:r>
            <w:rPr>
              <w:color w:val="auto"/>
            </w:rPr>
            <w:fldChar w:fldCharType="separate"/>
          </w:r>
          <w:r>
            <w:rPr>
              <w:rFonts w:hint="eastAsia" w:ascii="Times New Roman" w:hAnsi="Times New Roman" w:eastAsia="宋体"/>
              <w:snapToGrid/>
              <w:color w:val="auto"/>
              <w:sz w:val="24"/>
              <w:lang w:eastAsia="zh-CN"/>
            </w:rPr>
            <w:t>8.3环境监测</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_Toc17544 \h </w:instrText>
          </w:r>
          <w:r>
            <w:rPr>
              <w:rFonts w:ascii="Times New Roman" w:hAnsi="Times New Roman" w:eastAsia="宋体"/>
              <w:color w:val="auto"/>
              <w:sz w:val="24"/>
            </w:rPr>
            <w:fldChar w:fldCharType="separate"/>
          </w:r>
          <w:r>
            <w:rPr>
              <w:rFonts w:ascii="Times New Roman" w:hAnsi="Times New Roman" w:eastAsia="宋体"/>
              <w:color w:val="auto"/>
              <w:sz w:val="24"/>
            </w:rPr>
            <w:t>169</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B86DD86">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"_Toc10065" </w:instrText>
          </w:r>
          <w:r>
            <w:rPr>
              <w:color w:val="auto"/>
            </w:rPr>
            <w:fldChar w:fldCharType="separate"/>
          </w:r>
          <w:r>
            <w:rPr>
              <w:rFonts w:hint="eastAsia" w:ascii="Times New Roman" w:hAnsi="Times New Roman" w:eastAsia="宋体"/>
              <w:snapToGrid/>
              <w:color w:val="auto"/>
              <w:sz w:val="24"/>
              <w:lang w:eastAsia="zh-CN"/>
            </w:rPr>
            <w:t>8.4环境管理台账</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_Toc10065 \h </w:instrText>
          </w:r>
          <w:r>
            <w:rPr>
              <w:rFonts w:ascii="Times New Roman" w:hAnsi="Times New Roman" w:eastAsia="宋体"/>
              <w:color w:val="auto"/>
              <w:sz w:val="24"/>
            </w:rPr>
            <w:fldChar w:fldCharType="separate"/>
          </w:r>
          <w:r>
            <w:rPr>
              <w:rFonts w:ascii="Times New Roman" w:hAnsi="Times New Roman" w:eastAsia="宋体"/>
              <w:color w:val="auto"/>
              <w:sz w:val="24"/>
            </w:rPr>
            <w:t>171</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FED0803">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"_Toc14926" </w:instrText>
          </w:r>
          <w:r>
            <w:rPr>
              <w:color w:val="auto"/>
            </w:rPr>
            <w:fldChar w:fldCharType="separate"/>
          </w:r>
          <w:r>
            <w:rPr>
              <w:rFonts w:hint="eastAsia" w:ascii="Times New Roman" w:hAnsi="Times New Roman" w:eastAsia="宋体"/>
              <w:snapToGrid/>
              <w:color w:val="auto"/>
              <w:sz w:val="24"/>
              <w:lang w:eastAsia="zh-CN"/>
            </w:rPr>
            <w:t>8.5环境影响评价制度与排污许可制衔接分析</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_Toc14926 \h </w:instrText>
          </w:r>
          <w:r>
            <w:rPr>
              <w:rFonts w:ascii="Times New Roman" w:hAnsi="Times New Roman" w:eastAsia="宋体"/>
              <w:color w:val="auto"/>
              <w:sz w:val="24"/>
            </w:rPr>
            <w:fldChar w:fldCharType="separate"/>
          </w:r>
          <w:r>
            <w:rPr>
              <w:rFonts w:ascii="Times New Roman" w:hAnsi="Times New Roman" w:eastAsia="宋体"/>
              <w:color w:val="auto"/>
              <w:sz w:val="24"/>
            </w:rPr>
            <w:t>174</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53594CFB">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"_Toc6482" </w:instrText>
          </w:r>
          <w:r>
            <w:rPr>
              <w:color w:val="auto"/>
            </w:rPr>
            <w:fldChar w:fldCharType="separate"/>
          </w:r>
          <w:r>
            <w:rPr>
              <w:rFonts w:hint="eastAsia" w:ascii="Times New Roman" w:hAnsi="Times New Roman" w:eastAsia="宋体"/>
              <w:snapToGrid/>
              <w:color w:val="auto"/>
              <w:sz w:val="24"/>
              <w:lang w:eastAsia="zh-CN"/>
            </w:rPr>
            <w:t>8.6企业环境信息公开</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_Toc6482 \h </w:instrText>
          </w:r>
          <w:r>
            <w:rPr>
              <w:rFonts w:ascii="Times New Roman" w:hAnsi="Times New Roman" w:eastAsia="宋体"/>
              <w:color w:val="auto"/>
              <w:sz w:val="24"/>
            </w:rPr>
            <w:fldChar w:fldCharType="separate"/>
          </w:r>
          <w:r>
            <w:rPr>
              <w:rFonts w:ascii="Times New Roman" w:hAnsi="Times New Roman" w:eastAsia="宋体"/>
              <w:color w:val="auto"/>
              <w:sz w:val="24"/>
            </w:rPr>
            <w:t>175</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23EB169F">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"_Toc11058" </w:instrText>
          </w:r>
          <w:r>
            <w:rPr>
              <w:color w:val="auto"/>
            </w:rPr>
            <w:fldChar w:fldCharType="separate"/>
          </w:r>
          <w:r>
            <w:rPr>
              <w:rFonts w:hint="eastAsia" w:ascii="Times New Roman" w:hAnsi="Times New Roman" w:eastAsia="宋体"/>
              <w:snapToGrid/>
              <w:color w:val="auto"/>
              <w:sz w:val="24"/>
              <w:lang w:eastAsia="zh-CN"/>
            </w:rPr>
            <w:t>8.7竣工验收管理</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_Toc11058 \h </w:instrText>
          </w:r>
          <w:r>
            <w:rPr>
              <w:rFonts w:ascii="Times New Roman" w:hAnsi="Times New Roman" w:eastAsia="宋体"/>
              <w:color w:val="auto"/>
              <w:sz w:val="24"/>
            </w:rPr>
            <w:fldChar w:fldCharType="separate"/>
          </w:r>
          <w:r>
            <w:rPr>
              <w:rFonts w:ascii="Times New Roman" w:hAnsi="Times New Roman" w:eastAsia="宋体"/>
              <w:color w:val="auto"/>
              <w:sz w:val="24"/>
            </w:rPr>
            <w:t>176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0CCF98A6">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"_Toc23011" </w:instrText>
          </w:r>
          <w:r>
            <w:rPr>
              <w:color w:val="auto"/>
            </w:rPr>
            <w:fldChar w:fldCharType="separate"/>
          </w:r>
          <w:r>
            <w:rPr>
              <w:rFonts w:hint="eastAsia" w:ascii="Times New Roman" w:hAnsi="Times New Roman" w:eastAsia="宋体"/>
              <w:snapToGrid/>
              <w:color w:val="auto"/>
              <w:sz w:val="24"/>
              <w:lang w:eastAsia="zh-CN"/>
            </w:rPr>
            <w:t>8.8总量控制</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_Toc23011 \h </w:instrText>
          </w:r>
          <w:r>
            <w:rPr>
              <w:rFonts w:ascii="Times New Roman" w:hAnsi="Times New Roman" w:eastAsia="宋体"/>
              <w:color w:val="auto"/>
              <w:sz w:val="24"/>
            </w:rPr>
            <w:fldChar w:fldCharType="separate"/>
          </w:r>
          <w:r>
            <w:rPr>
              <w:rFonts w:ascii="Times New Roman" w:hAnsi="Times New Roman" w:eastAsia="宋体"/>
              <w:color w:val="auto"/>
              <w:sz w:val="24"/>
            </w:rPr>
            <w:t>182</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131FC557">
          <w:pPr>
            <w:pStyle w:val="21"/>
            <w:shd w:val="clear"/>
            <w:tabs>
              <w:tab w:val="right" w:leader="dot" w:pos="8483"/>
            </w:tabs>
            <w:adjustRightInd/>
            <w:snapToGrid/>
            <w:spacing w:line="360" w:lineRule="auto"/>
            <w:ind w:left="0" w:leftChars="0"/>
            <w:jc w:val="both"/>
            <w:rPr>
              <w:rFonts w:ascii="Times New Roman" w:hAnsi="Times New Roman" w:eastAsia="宋体"/>
              <w:color w:val="auto"/>
              <w:sz w:val="24"/>
            </w:rPr>
          </w:pPr>
          <w:r>
            <w:rPr>
              <w:color w:val="auto"/>
            </w:rPr>
            <w:fldChar w:fldCharType="begin"/>
          </w:r>
          <w:r>
            <w:rPr>
              <w:color w:val="auto"/>
            </w:rPr>
            <w:instrText xml:space="preserve"> HYPERLINK \l "_Toc21609" </w:instrText>
          </w:r>
          <w:r>
            <w:rPr>
              <w:color w:val="auto"/>
            </w:rPr>
            <w:fldChar w:fldCharType="separate"/>
          </w:r>
          <w:r>
            <w:rPr>
              <w:rFonts w:hint="eastAsia" w:ascii="Times New Roman" w:hAnsi="Times New Roman" w:eastAsia="宋体" w:cs="Times New Roman"/>
              <w:snapToGrid/>
              <w:color w:val="auto"/>
              <w:sz w:val="24"/>
              <w:lang w:eastAsia="zh-CN"/>
            </w:rPr>
            <w:t>9、结论与建议</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_Toc21609 \h </w:instrText>
          </w:r>
          <w:r>
            <w:rPr>
              <w:rFonts w:ascii="Times New Roman" w:hAnsi="Times New Roman" w:eastAsia="宋体"/>
              <w:color w:val="auto"/>
              <w:sz w:val="24"/>
            </w:rPr>
            <w:fldChar w:fldCharType="separate"/>
          </w:r>
          <w:r>
            <w:rPr>
              <w:rFonts w:ascii="Times New Roman" w:hAnsi="Times New Roman" w:eastAsia="宋体"/>
              <w:color w:val="auto"/>
              <w:sz w:val="24"/>
            </w:rPr>
            <w:t>183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4E25473">
          <w:pPr>
            <w:pStyle w:val="21"/>
            <w:shd w:val="clear"/>
            <w:tabs>
              <w:tab w:val="right" w:leader="dot" w:pos="8483"/>
            </w:tabs>
            <w:adjustRightInd/>
            <w:snapToGrid/>
            <w:spacing w:line="360" w:lineRule="auto"/>
            <w:ind w:left="0" w:leftChars="0" w:firstLine="420" w:firstLineChars="200"/>
            <w:jc w:val="both"/>
            <w:rPr>
              <w:rFonts w:ascii="Times New Roman" w:hAnsi="Times New Roman" w:eastAsia="宋体"/>
              <w:color w:val="auto"/>
              <w:sz w:val="24"/>
            </w:rPr>
          </w:pPr>
          <w:r>
            <w:rPr>
              <w:color w:val="auto"/>
            </w:rPr>
            <w:fldChar w:fldCharType="begin"/>
          </w:r>
          <w:r>
            <w:rPr>
              <w:color w:val="auto"/>
            </w:rPr>
            <w:instrText xml:space="preserve"> HYPERLINK \l "_Toc13204" </w:instrText>
          </w:r>
          <w:r>
            <w:rPr>
              <w:color w:val="auto"/>
            </w:rPr>
            <w:fldChar w:fldCharType="separate"/>
          </w:r>
          <w:r>
            <w:rPr>
              <w:rFonts w:hint="eastAsia" w:ascii="Times New Roman" w:hAnsi="Times New Roman" w:eastAsia="宋体"/>
              <w:snapToGrid/>
              <w:color w:val="auto"/>
              <w:sz w:val="24"/>
              <w:lang w:eastAsia="zh-CN"/>
            </w:rPr>
            <w:t>9.1结论</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_Toc13204 \h </w:instrText>
          </w:r>
          <w:r>
            <w:rPr>
              <w:rFonts w:ascii="Times New Roman" w:hAnsi="Times New Roman" w:eastAsia="宋体"/>
              <w:color w:val="auto"/>
              <w:sz w:val="24"/>
            </w:rPr>
            <w:fldChar w:fldCharType="separate"/>
          </w:r>
          <w:r>
            <w:rPr>
              <w:rFonts w:ascii="Times New Roman" w:hAnsi="Times New Roman" w:eastAsia="宋体"/>
              <w:color w:val="auto"/>
              <w:sz w:val="24"/>
            </w:rPr>
            <w:t>183</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39CEA24F">
          <w:pPr>
            <w:pStyle w:val="21"/>
            <w:shd w:val="clear"/>
            <w:tabs>
              <w:tab w:val="right" w:leader="dot" w:pos="8483"/>
            </w:tabs>
            <w:adjustRightInd/>
            <w:snapToGrid/>
            <w:spacing w:line="360" w:lineRule="auto"/>
            <w:ind w:left="0" w:leftChars="0" w:firstLine="420" w:firstLineChars="200"/>
            <w:jc w:val="both"/>
            <w:rPr>
              <w:color w:val="auto"/>
            </w:rPr>
          </w:pPr>
          <w:r>
            <w:rPr>
              <w:color w:val="auto"/>
            </w:rPr>
            <w:fldChar w:fldCharType="begin"/>
          </w:r>
          <w:r>
            <w:rPr>
              <w:color w:val="auto"/>
            </w:rPr>
            <w:instrText xml:space="preserve"> HYPERLINK \l "_Toc17076" </w:instrText>
          </w:r>
          <w:r>
            <w:rPr>
              <w:color w:val="auto"/>
            </w:rPr>
            <w:fldChar w:fldCharType="separate"/>
          </w:r>
          <w:r>
            <w:rPr>
              <w:rFonts w:hint="eastAsia" w:ascii="Times New Roman" w:hAnsi="Times New Roman" w:eastAsia="宋体"/>
              <w:snapToGrid/>
              <w:color w:val="auto"/>
              <w:sz w:val="24"/>
              <w:lang w:eastAsia="zh-CN"/>
            </w:rPr>
            <w:t>9.2建议</w:t>
          </w:r>
          <w:r>
            <w:rPr>
              <w:rFonts w:ascii="Times New Roman" w:hAnsi="Times New Roman" w:eastAsia="宋体"/>
              <w:color w:val="auto"/>
              <w:sz w:val="24"/>
            </w:rPr>
            <w:tab/>
          </w:r>
          <w:r>
            <w:rPr>
              <w:rFonts w:ascii="Times New Roman" w:hAnsi="Times New Roman" w:eastAsia="宋体"/>
              <w:color w:val="auto"/>
              <w:sz w:val="24"/>
            </w:rPr>
            <w:fldChar w:fldCharType="begin"/>
          </w:r>
          <w:r>
            <w:rPr>
              <w:rFonts w:ascii="Times New Roman" w:hAnsi="Times New Roman" w:eastAsia="宋体"/>
              <w:color w:val="auto"/>
              <w:sz w:val="24"/>
            </w:rPr>
            <w:instrText xml:space="preserve"> PAGEREF _Toc17076 \h </w:instrText>
          </w:r>
          <w:r>
            <w:rPr>
              <w:rFonts w:ascii="Times New Roman" w:hAnsi="Times New Roman" w:eastAsia="宋体"/>
              <w:color w:val="auto"/>
              <w:sz w:val="24"/>
            </w:rPr>
            <w:fldChar w:fldCharType="separate"/>
          </w:r>
          <w:r>
            <w:rPr>
              <w:rFonts w:ascii="Times New Roman" w:hAnsi="Times New Roman" w:eastAsia="宋体"/>
              <w:color w:val="auto"/>
              <w:sz w:val="24"/>
            </w:rPr>
            <w:t>186</w:t>
          </w:r>
          <w:r>
            <w:rPr>
              <w:rFonts w:ascii="Times New Roman" w:hAnsi="Times New Roman" w:eastAsia="宋体"/>
              <w:color w:val="auto"/>
              <w:sz w:val="24"/>
            </w:rPr>
            <w:fldChar w:fldCharType="end"/>
          </w:r>
          <w:r>
            <w:rPr>
              <w:rFonts w:ascii="Times New Roman" w:hAnsi="Times New Roman" w:eastAsia="宋体"/>
              <w:color w:val="auto"/>
              <w:sz w:val="24"/>
            </w:rPr>
            <w:fldChar w:fldCharType="end"/>
          </w:r>
        </w:p>
        <w:p w14:paraId="47358512">
          <w:pPr>
            <w:pStyle w:val="34"/>
            <w:shd w:val="clear"/>
            <w:rPr>
              <w:color w:val="auto"/>
            </w:rPr>
          </w:pPr>
          <w:r>
            <w:rPr>
              <w:color w:val="auto"/>
            </w:rPr>
            <w:fldChar w:fldCharType="end"/>
          </w:r>
        </w:p>
      </w:sdtContent>
    </w:sdt>
    <w:p w14:paraId="6B3ECB3E">
      <w:pPr>
        <w:shd w:val="clear"/>
        <w:rPr>
          <w:color w:val="auto"/>
        </w:rPr>
      </w:pPr>
    </w:p>
    <w:p w14:paraId="63080335">
      <w:pPr>
        <w:widowControl w:val="0"/>
        <w:shd w:val="clear"/>
        <w:kinsoku/>
        <w:autoSpaceDE/>
        <w:autoSpaceDN/>
        <w:adjustRightInd/>
        <w:snapToGrid/>
        <w:spacing w:line="248" w:lineRule="auto"/>
        <w:textAlignment w:val="auto"/>
        <w:rPr>
          <w:rFonts w:ascii="Times New Roman" w:hAnsi="Times New Roman" w:eastAsia="宋体"/>
          <w:snapToGrid/>
          <w:color w:val="auto"/>
        </w:rPr>
      </w:pPr>
    </w:p>
    <w:p w14:paraId="456FE17E">
      <w:pPr>
        <w:widowControl w:val="0"/>
        <w:shd w:val="clear"/>
        <w:kinsoku/>
        <w:autoSpaceDE/>
        <w:autoSpaceDN/>
        <w:adjustRightInd/>
        <w:snapToGrid/>
        <w:spacing w:line="248" w:lineRule="auto"/>
        <w:textAlignment w:val="auto"/>
        <w:rPr>
          <w:rFonts w:ascii="Times New Roman" w:hAnsi="Times New Roman" w:eastAsia="宋体"/>
          <w:snapToGrid/>
          <w:color w:val="auto"/>
        </w:rPr>
      </w:pPr>
    </w:p>
    <w:p w14:paraId="702A856C">
      <w:pPr>
        <w:pStyle w:val="2"/>
        <w:keepNext w:val="0"/>
        <w:keepLines w:val="0"/>
        <w:pageBreakBefore w:val="0"/>
        <w:widowControl w:val="0"/>
        <w:shd w:val="clear"/>
        <w:kinsoku/>
        <w:wordWrap/>
        <w:overflowPunct/>
        <w:topLinePunct w:val="0"/>
        <w:autoSpaceDE/>
        <w:autoSpaceDN/>
        <w:bidi w:val="0"/>
        <w:adjustRightInd/>
        <w:snapToGrid/>
        <w:spacing w:before="78" w:line="219" w:lineRule="auto"/>
        <w:ind w:left="56"/>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附件：</w:t>
      </w:r>
    </w:p>
    <w:p w14:paraId="2A4D7A98">
      <w:pPr>
        <w:pStyle w:val="2"/>
        <w:keepNext w:val="0"/>
        <w:keepLines w:val="0"/>
        <w:pageBreakBefore w:val="0"/>
        <w:widowControl w:val="0"/>
        <w:shd w:val="clear"/>
        <w:kinsoku/>
        <w:wordWrap/>
        <w:overflowPunct/>
        <w:topLinePunct w:val="0"/>
        <w:autoSpaceDE/>
        <w:autoSpaceDN/>
        <w:bidi w:val="0"/>
        <w:adjustRightInd/>
        <w:snapToGrid/>
        <w:spacing w:before="177" w:line="219" w:lineRule="auto"/>
        <w:ind w:left="618"/>
        <w:textAlignment w:val="auto"/>
        <w:outlineLvl w:val="9"/>
        <w:rPr>
          <w:rFonts w:ascii="Times New Roman" w:hAnsi="Times New Roman"/>
          <w:snapToGrid/>
          <w:color w:val="auto"/>
          <w:sz w:val="24"/>
          <w:szCs w:val="24"/>
          <w:lang w:eastAsia="zh-CN"/>
        </w:rPr>
      </w:pPr>
      <w:bookmarkStart w:id="0" w:name="_Toc11713"/>
      <w:bookmarkStart w:id="1" w:name="_Toc5700"/>
      <w:bookmarkStart w:id="2" w:name="_Toc18998"/>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、环评委托书；</w:t>
      </w:r>
      <w:bookmarkEnd w:id="0"/>
      <w:bookmarkEnd w:id="1"/>
      <w:bookmarkEnd w:id="2"/>
    </w:p>
    <w:p w14:paraId="7964E485">
      <w:pPr>
        <w:pStyle w:val="2"/>
        <w:keepNext w:val="0"/>
        <w:keepLines w:val="0"/>
        <w:pageBreakBefore w:val="0"/>
        <w:widowControl w:val="0"/>
        <w:shd w:val="clear"/>
        <w:kinsoku/>
        <w:wordWrap/>
        <w:overflowPunct/>
        <w:topLinePunct w:val="0"/>
        <w:autoSpaceDE/>
        <w:autoSpaceDN/>
        <w:bidi w:val="0"/>
        <w:adjustRightInd/>
        <w:snapToGrid/>
        <w:spacing w:before="173" w:line="220" w:lineRule="auto"/>
        <w:ind w:left="593"/>
        <w:textAlignment w:val="auto"/>
        <w:outlineLvl w:val="9"/>
        <w:rPr>
          <w:rFonts w:ascii="Times New Roman" w:hAnsi="Times New Roman"/>
          <w:snapToGrid/>
          <w:color w:val="auto"/>
          <w:sz w:val="24"/>
          <w:szCs w:val="24"/>
          <w:lang w:eastAsia="zh-CN"/>
        </w:rPr>
      </w:pP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、营业执照</w:t>
      </w:r>
    </w:p>
    <w:p w14:paraId="2E9FB136">
      <w:pPr>
        <w:pStyle w:val="2"/>
        <w:keepNext w:val="0"/>
        <w:keepLines w:val="0"/>
        <w:pageBreakBefore w:val="0"/>
        <w:widowControl w:val="0"/>
        <w:shd w:val="clear"/>
        <w:kinsoku/>
        <w:wordWrap/>
        <w:overflowPunct/>
        <w:topLinePunct w:val="0"/>
        <w:autoSpaceDE/>
        <w:autoSpaceDN/>
        <w:bidi w:val="0"/>
        <w:adjustRightInd/>
        <w:snapToGrid/>
        <w:spacing w:before="175" w:line="287" w:lineRule="auto"/>
        <w:ind w:left="41" w:right="30" w:firstLine="556"/>
        <w:textAlignment w:val="auto"/>
        <w:outlineLvl w:val="9"/>
        <w:rPr>
          <w:rFonts w:ascii="Times New Roman" w:hAnsi="Times New Roman"/>
          <w:snapToGrid/>
          <w:color w:val="auto"/>
          <w:sz w:val="24"/>
          <w:szCs w:val="24"/>
          <w:lang w:eastAsia="zh-CN"/>
        </w:rPr>
      </w:pP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、关于</w:t>
      </w:r>
      <w:r>
        <w:rPr>
          <w:rFonts w:hint="eastAsia" w:ascii="Times New Roman" w:hAnsi="Times New Roman"/>
          <w:snapToGrid/>
          <w:color w:val="auto"/>
          <w:sz w:val="24"/>
          <w:szCs w:val="24"/>
          <w:lang w:eastAsia="zh-CN"/>
        </w:rPr>
        <w:t>木垒哈萨克自治县雀仁乡河中村高效节水滴灌带厂建设项目</w:t>
      </w:r>
      <w:r>
        <w:rPr>
          <w:rFonts w:ascii="Times New Roman" w:hAnsi="Times New Roman"/>
          <w:snapToGrid/>
          <w:color w:val="auto"/>
          <w:sz w:val="24"/>
          <w:szCs w:val="24"/>
          <w:lang w:eastAsia="zh-CN"/>
        </w:rPr>
        <w:t>备案证明；</w:t>
      </w:r>
    </w:p>
    <w:p w14:paraId="3F5E37DD">
      <w:pPr>
        <w:pStyle w:val="2"/>
        <w:keepNext w:val="0"/>
        <w:keepLines w:val="0"/>
        <w:pageBreakBefore w:val="0"/>
        <w:widowControl w:val="0"/>
        <w:shd w:val="clear"/>
        <w:kinsoku/>
        <w:wordWrap/>
        <w:overflowPunct/>
        <w:topLinePunct w:val="0"/>
        <w:autoSpaceDE/>
        <w:autoSpaceDN/>
        <w:bidi w:val="0"/>
        <w:adjustRightInd/>
        <w:snapToGrid/>
        <w:spacing w:before="172" w:line="221" w:lineRule="auto"/>
        <w:ind w:left="591"/>
        <w:textAlignment w:val="auto"/>
        <w:outlineLvl w:val="9"/>
        <w:rPr>
          <w:rFonts w:ascii="Times New Roman" w:hAnsi="Times New Roman"/>
          <w:snapToGrid/>
          <w:color w:val="auto"/>
          <w:sz w:val="24"/>
          <w:szCs w:val="24"/>
          <w:lang w:eastAsia="zh-CN"/>
        </w:rPr>
      </w:pP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、项目土地手续；</w:t>
      </w:r>
    </w:p>
    <w:p w14:paraId="1C91EB8F">
      <w:pPr>
        <w:pStyle w:val="2"/>
        <w:keepNext w:val="0"/>
        <w:keepLines w:val="0"/>
        <w:pageBreakBefore w:val="0"/>
        <w:widowControl w:val="0"/>
        <w:shd w:val="clear"/>
        <w:kinsoku/>
        <w:wordWrap/>
        <w:overflowPunct/>
        <w:topLinePunct w:val="0"/>
        <w:autoSpaceDE/>
        <w:autoSpaceDN/>
        <w:bidi w:val="0"/>
        <w:adjustRightInd/>
        <w:snapToGrid/>
        <w:spacing w:before="174" w:line="219" w:lineRule="auto"/>
        <w:ind w:left="602"/>
        <w:textAlignment w:val="auto"/>
        <w:outlineLvl w:val="9"/>
        <w:rPr>
          <w:rFonts w:ascii="Times New Roman" w:hAnsi="Times New Roman"/>
          <w:snapToGrid/>
          <w:color w:val="auto"/>
          <w:sz w:val="24"/>
          <w:szCs w:val="24"/>
          <w:lang w:eastAsia="zh-CN"/>
        </w:rPr>
      </w:pPr>
      <w:r>
        <w:rPr>
          <w:rFonts w:hint="eastAsia"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、环境质量现状监测报告单；</w:t>
      </w:r>
    </w:p>
    <w:p w14:paraId="2506915C">
      <w:pPr>
        <w:pStyle w:val="2"/>
        <w:widowControl w:val="0"/>
        <w:shd w:val="clear"/>
        <w:kinsoku/>
        <w:autoSpaceDE/>
        <w:autoSpaceDN/>
        <w:adjustRightInd/>
        <w:snapToGrid/>
        <w:spacing w:before="175" w:line="220" w:lineRule="auto"/>
        <w:ind w:left="616"/>
        <w:textAlignment w:val="auto"/>
        <w:rPr>
          <w:rFonts w:ascii="Times New Roman" w:hAnsi="Times New Roman"/>
          <w:snapToGrid/>
          <w:color w:val="auto"/>
          <w:sz w:val="24"/>
          <w:szCs w:val="24"/>
          <w:lang w:eastAsia="zh-CN"/>
        </w:rPr>
      </w:pPr>
    </w:p>
    <w:p w14:paraId="03AB71EA">
      <w:pPr>
        <w:widowControl w:val="0"/>
        <w:shd w:val="clear"/>
        <w:kinsoku/>
        <w:autoSpaceDE/>
        <w:autoSpaceDN/>
        <w:adjustRightInd/>
        <w:snapToGrid/>
        <w:spacing w:line="220" w:lineRule="auto"/>
        <w:textAlignment w:val="auto"/>
        <w:rPr>
          <w:rFonts w:ascii="Times New Roman" w:hAnsi="Times New Roman" w:eastAsia="宋体"/>
          <w:snapToGrid/>
          <w:color w:val="auto"/>
          <w:sz w:val="24"/>
          <w:szCs w:val="24"/>
          <w:lang w:eastAsia="zh-CN"/>
        </w:rPr>
        <w:sectPr>
          <w:headerReference r:id="rId3" w:type="default"/>
          <w:footerReference r:id="rId4" w:type="default"/>
          <w:pgSz w:w="11906" w:h="16838"/>
          <w:pgMar w:top="1136" w:right="1712" w:bottom="0" w:left="1711" w:header="868" w:footer="0" w:gutter="0"/>
          <w:pgBorders>
            <w:top w:val="none" w:sz="0" w:space="0"/>
            <w:left w:val="none" w:sz="0" w:space="0"/>
            <w:bottom w:val="none" w:sz="0" w:space="0"/>
            <w:right w:val="none" w:sz="0" w:space="0"/>
          </w:pgBorders>
          <w:cols w:space="720" w:num="1"/>
        </w:sectPr>
      </w:pPr>
    </w:p>
    <w:p w14:paraId="013C56C0">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3" w:name="bookmark54"/>
      <w:bookmarkEnd w:id="3"/>
      <w:bookmarkStart w:id="4" w:name="bookmark2"/>
      <w:bookmarkEnd w:id="4"/>
      <w:bookmarkStart w:id="5" w:name="_Toc12268"/>
      <w:bookmarkStart w:id="6" w:name="_Toc18215"/>
      <w:bookmarkStart w:id="7" w:name="_Toc9545"/>
      <w:r>
        <w:rPr>
          <w:rFonts w:hint="eastAsia" w:ascii="Times New Roman" w:hAnsi="Times New Roman" w:eastAsia="宋体" w:cs="Times New Roman"/>
          <w:snapToGrid/>
          <w:color w:val="auto"/>
          <w:lang w:eastAsia="zh-CN"/>
        </w:rPr>
        <w:t>1、概述</w:t>
      </w:r>
      <w:bookmarkEnd w:id="5"/>
      <w:bookmarkEnd w:id="6"/>
      <w:bookmarkEnd w:id="7"/>
    </w:p>
    <w:p w14:paraId="02D8B38F">
      <w:pPr>
        <w:pStyle w:val="5"/>
        <w:bidi w:val="0"/>
        <w:rPr>
          <w:lang w:eastAsia="zh-CN"/>
        </w:rPr>
      </w:pPr>
      <w:bookmarkStart w:id="8" w:name="bookmark3"/>
      <w:bookmarkEnd w:id="8"/>
      <w:bookmarkStart w:id="9" w:name="_Toc16356"/>
      <w:bookmarkStart w:id="10" w:name="_Toc15943"/>
      <w:bookmarkStart w:id="11" w:name="_Toc4153"/>
      <w:r>
        <w:rPr>
          <w:rFonts w:hint="eastAsia"/>
          <w:lang w:eastAsia="zh-CN"/>
        </w:rPr>
        <w:t>1.1项目实施背景</w:t>
      </w:r>
      <w:bookmarkEnd w:id="9"/>
      <w:bookmarkEnd w:id="10"/>
      <w:bookmarkEnd w:id="11"/>
    </w:p>
    <w:p w14:paraId="4E6D241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近年来，随着农业滴灌技术的不断革新，滴灌技术运用的不断拓展，使用范围的不断扩大，滴灌技</w:t>
      </w:r>
      <w:r>
        <w:rPr>
          <w:rFonts w:hint="eastAsia" w:ascii="Times New Roman" w:hAnsi="Times New Roman"/>
          <w:snapToGrid/>
          <w:color w:val="auto"/>
          <w:sz w:val="24"/>
          <w:szCs w:val="24"/>
          <w:lang w:eastAsia="zh-CN"/>
        </w:rPr>
        <w:t>术的</w:t>
      </w:r>
      <w:r>
        <w:rPr>
          <w:rFonts w:ascii="Times New Roman" w:hAnsi="Times New Roman"/>
          <w:snapToGrid/>
          <w:color w:val="auto"/>
          <w:sz w:val="24"/>
          <w:szCs w:val="24"/>
          <w:lang w:eastAsia="zh-CN"/>
        </w:rPr>
        <w:t>使用价值就越能得到真正体现，使用滴灌技术带来</w:t>
      </w:r>
      <w:r>
        <w:rPr>
          <w:rFonts w:hint="eastAsia" w:ascii="Times New Roman" w:hAnsi="Times New Roman"/>
          <w:snapToGrid/>
          <w:color w:val="auto"/>
          <w:sz w:val="24"/>
          <w:szCs w:val="24"/>
          <w:lang w:eastAsia="zh-CN"/>
        </w:rPr>
        <w:t>的</w:t>
      </w:r>
      <w:r>
        <w:rPr>
          <w:rFonts w:ascii="Times New Roman" w:hAnsi="Times New Roman"/>
          <w:snapToGrid/>
          <w:color w:val="auto"/>
          <w:sz w:val="24"/>
          <w:szCs w:val="24"/>
          <w:lang w:eastAsia="zh-CN"/>
        </w:rPr>
        <w:t>增产效益也会随之进一步提高，从而有效地带动广大农民步入种田致富的良性循环发展道路。</w:t>
      </w:r>
    </w:p>
    <w:p w14:paraId="4C0E02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塑料的再生利用分为直接再生利用和改性再生利用。直接再生利用是将回收的废旧塑料制品经过分类、清洗、破碎、造粒后直接加工成型，其工艺比较简单。改性再生利用是指将再生塑料通过物理或化学方法改性（如复合、增强、接枝）后，再加工成型，工艺较复杂，需特定的机械设备。目前废旧塑料的再生利用技术已经广泛应用于农业、渔业、建筑业、工业和日用品等领域。再生塑料价格优势突出，效益明显，又可缓解污染问题。</w:t>
      </w:r>
    </w:p>
    <w:p w14:paraId="5079EAF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主要以回收的废旧滴灌带为原料，经清洗、熔融挤出、切粒后获得聚乙烯再生颗粒，聚乙烯再生颗粒进入挤塑车间与购进的聚乙烯颗粒新料、色母、抗老化剂混合加工制成成品滴灌带。成品滴灌带全部外售。</w:t>
      </w:r>
    </w:p>
    <w:p w14:paraId="703877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本项目旨在通过废旧滴灌带的回收再生利用，减轻废旧塑料造成的农业面源污染，改善区域生态环境和生产环境，促进农业生产的可持续发展，本项目的建设还可以发展地方经济，解决一部分农业富余劳动力</w:t>
      </w:r>
      <w:r>
        <w:rPr>
          <w:rFonts w:hint="eastAsia" w:ascii="Times New Roman" w:hAnsi="Times New Roman"/>
          <w:snapToGrid/>
          <w:color w:val="auto"/>
          <w:sz w:val="24"/>
          <w:szCs w:val="24"/>
          <w:lang w:eastAsia="zh-CN"/>
        </w:rPr>
        <w:t>的就业问题，</w:t>
      </w:r>
      <w:r>
        <w:rPr>
          <w:rFonts w:ascii="Times New Roman" w:hAnsi="Times New Roman"/>
          <w:snapToGrid/>
          <w:color w:val="auto"/>
          <w:sz w:val="24"/>
          <w:szCs w:val="24"/>
          <w:lang w:eastAsia="zh-CN"/>
        </w:rPr>
        <w:t>具有良好的经济效益、社会效益和环境效益。</w:t>
      </w:r>
    </w:p>
    <w:p w14:paraId="4159AEEC">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2" w:name="bookmark4"/>
      <w:bookmarkEnd w:id="12"/>
      <w:bookmarkStart w:id="13" w:name="_Toc29627"/>
      <w:bookmarkStart w:id="14" w:name="_Toc31242"/>
      <w:bookmarkStart w:id="15" w:name="_Toc1442"/>
      <w:r>
        <w:rPr>
          <w:rFonts w:hint="eastAsia" w:ascii="Times New Roman" w:hAnsi="Times New Roman" w:eastAsia="宋体"/>
          <w:snapToGrid/>
          <w:color w:val="auto"/>
          <w:lang w:eastAsia="zh-CN"/>
        </w:rPr>
        <w:t>1.2环境影响评价过程</w:t>
      </w:r>
      <w:bookmarkEnd w:id="13"/>
      <w:bookmarkEnd w:id="14"/>
      <w:bookmarkEnd w:id="15"/>
    </w:p>
    <w:p w14:paraId="2898627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根据《中华人民共和国环境保护法</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中华人民共和国环境影响评价法》、国务院令第</w:t>
      </w:r>
      <w:r>
        <w:rPr>
          <w:rFonts w:ascii="Times New Roman" w:hAnsi="Times New Roman" w:cs="Times New Roman"/>
          <w:snapToGrid/>
          <w:color w:val="auto"/>
          <w:sz w:val="24"/>
          <w:szCs w:val="24"/>
          <w:lang w:eastAsia="zh-CN"/>
        </w:rPr>
        <w:t>682</w:t>
      </w:r>
      <w:r>
        <w:rPr>
          <w:rFonts w:ascii="Times New Roman" w:hAnsi="Times New Roman"/>
          <w:snapToGrid/>
          <w:color w:val="auto"/>
          <w:sz w:val="24"/>
          <w:szCs w:val="24"/>
          <w:lang w:eastAsia="zh-CN"/>
        </w:rPr>
        <w:t>号《国务院关于修改〈建设项目环境保护管理条例〉的决定》和《建设项目环境影响评价分类管理名录》（</w:t>
      </w:r>
      <w:r>
        <w:rPr>
          <w:rFonts w:ascii="Times New Roman" w:hAnsi="Times New Roman" w:cs="Times New Roman"/>
          <w:snapToGrid/>
          <w:color w:val="auto"/>
          <w:sz w:val="24"/>
          <w:szCs w:val="24"/>
          <w:lang w:eastAsia="zh-CN"/>
        </w:rPr>
        <w:t>2021</w:t>
      </w:r>
      <w:r>
        <w:rPr>
          <w:rFonts w:ascii="Times New Roman" w:hAnsi="Times New Roman"/>
          <w:snapToGrid/>
          <w:color w:val="auto"/>
          <w:sz w:val="24"/>
          <w:szCs w:val="24"/>
          <w:lang w:eastAsia="zh-CN"/>
        </w:rPr>
        <w:t>年版）的有关规定，本项目属于“二十六橡胶和塑料制品业，</w:t>
      </w:r>
      <w:r>
        <w:rPr>
          <w:rFonts w:ascii="Times New Roman" w:hAnsi="Times New Roman" w:cs="Times New Roman"/>
          <w:snapToGrid/>
          <w:color w:val="auto"/>
          <w:sz w:val="24"/>
          <w:szCs w:val="24"/>
          <w:lang w:eastAsia="zh-CN"/>
        </w:rPr>
        <w:t>53</w:t>
      </w:r>
      <w:r>
        <w:rPr>
          <w:rFonts w:ascii="Times New Roman" w:hAnsi="Times New Roman"/>
          <w:snapToGrid/>
          <w:color w:val="auto"/>
          <w:sz w:val="24"/>
          <w:szCs w:val="24"/>
          <w:lang w:eastAsia="zh-CN"/>
        </w:rPr>
        <w:t>塑料制品业</w:t>
      </w:r>
      <w:r>
        <w:rPr>
          <w:rFonts w:ascii="Times New Roman" w:hAnsi="Times New Roman" w:cs="Times New Roman"/>
          <w:snapToGrid/>
          <w:color w:val="auto"/>
          <w:sz w:val="24"/>
          <w:szCs w:val="24"/>
          <w:lang w:eastAsia="zh-CN"/>
        </w:rPr>
        <w:t>292</w:t>
      </w:r>
      <w:r>
        <w:rPr>
          <w:rFonts w:ascii="Times New Roman" w:hAnsi="Times New Roman"/>
          <w:snapToGrid/>
          <w:color w:val="auto"/>
          <w:sz w:val="24"/>
          <w:szCs w:val="24"/>
          <w:lang w:eastAsia="zh-CN"/>
        </w:rPr>
        <w:t>以再生塑料为原料生产的”类别，因此，本项目应编制环境影响报告书。为此，</w:t>
      </w:r>
      <w:r>
        <w:rPr>
          <w:rFonts w:hint="eastAsia" w:ascii="Times New Roman" w:hAnsi="Times New Roman"/>
          <w:snapToGrid/>
          <w:color w:val="auto"/>
          <w:sz w:val="24"/>
          <w:szCs w:val="24"/>
          <w:lang w:eastAsia="zh-CN"/>
        </w:rPr>
        <w:t>雀仁乡人民政府</w:t>
      </w:r>
      <w:r>
        <w:rPr>
          <w:rFonts w:ascii="Times New Roman" w:hAnsi="Times New Roman"/>
          <w:snapToGrid/>
          <w:color w:val="auto"/>
          <w:sz w:val="24"/>
          <w:szCs w:val="24"/>
          <w:lang w:eastAsia="zh-CN"/>
        </w:rPr>
        <w:t>委托</w:t>
      </w:r>
      <w:r>
        <w:rPr>
          <w:rFonts w:hint="eastAsia" w:ascii="Times New Roman" w:hAnsi="Times New Roman"/>
          <w:snapToGrid/>
          <w:color w:val="auto"/>
          <w:sz w:val="24"/>
          <w:szCs w:val="24"/>
          <w:lang w:eastAsia="zh-CN"/>
        </w:rPr>
        <w:t>我公司</w:t>
      </w:r>
      <w:r>
        <w:rPr>
          <w:rFonts w:ascii="Times New Roman" w:hAnsi="Times New Roman"/>
          <w:snapToGrid/>
          <w:color w:val="auto"/>
          <w:sz w:val="24"/>
          <w:szCs w:val="24"/>
          <w:lang w:eastAsia="zh-CN"/>
        </w:rPr>
        <w:t>进行</w:t>
      </w:r>
      <w:r>
        <w:rPr>
          <w:rFonts w:hint="eastAsia" w:ascii="Times New Roman" w:hAnsi="Times New Roman"/>
          <w:snapToGrid/>
          <w:color w:val="auto"/>
          <w:sz w:val="24"/>
          <w:szCs w:val="24"/>
          <w:lang w:eastAsia="zh-CN"/>
        </w:rPr>
        <w:t>木垒哈萨克自治县雀仁乡河中村高效节水滴灌带厂建设项目</w:t>
      </w:r>
      <w:r>
        <w:rPr>
          <w:rFonts w:ascii="Times New Roman" w:hAnsi="Times New Roman"/>
          <w:snapToGrid/>
          <w:color w:val="auto"/>
          <w:sz w:val="24"/>
          <w:szCs w:val="24"/>
          <w:lang w:eastAsia="zh-CN"/>
        </w:rPr>
        <w:t>环境影响评价工作。</w:t>
      </w:r>
    </w:p>
    <w:p w14:paraId="7907053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我公司接受委托后，随即安排有关环评技术人员开展了全面的现场环境调查工作，收集研究与项目有关的技术资料，在此基础上依据环境影响评价相关技术导则、国家产业政策和地方相关规划要求，编制完成了本项目环境影响报告书。经环境保护行政主管部门审查批准后可作为该工程设计、施工和运行期的环境保护管理依据。具体环境影响评价工作分前期准备、调研和工作方案阶段，分析论证和预测评价阶段，环境影响评价文件编制阶段，环境影响评价工作程序详见图</w:t>
      </w:r>
      <w:r>
        <w:rPr>
          <w:rFonts w:ascii="Times New Roman" w:hAnsi="Times New Roman" w:cs="Times New Roman"/>
          <w:snapToGrid/>
          <w:color w:val="auto"/>
          <w:sz w:val="24"/>
          <w:szCs w:val="24"/>
          <w:lang w:eastAsia="zh-CN"/>
        </w:rPr>
        <w:t>1-1</w:t>
      </w:r>
      <w:r>
        <w:rPr>
          <w:rFonts w:ascii="Times New Roman" w:hAnsi="Times New Roman"/>
          <w:snapToGrid/>
          <w:color w:val="auto"/>
          <w:sz w:val="24"/>
          <w:szCs w:val="24"/>
          <w:lang w:eastAsia="zh-CN"/>
        </w:rPr>
        <w:t>。</w:t>
      </w:r>
    </w:p>
    <w:p w14:paraId="506892B5">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snapToGrid/>
          <w:color w:val="auto"/>
          <w:sz w:val="24"/>
          <w:szCs w:val="24"/>
          <w:lang w:eastAsia="zh-CN"/>
        </w:rPr>
        <w:sectPr>
          <w:headerReference r:id="rId5" w:type="default"/>
          <w:footerReference r:id="rId6" w:type="default"/>
          <w:pgSz w:w="11906" w:h="16838"/>
          <w:pgMar w:top="1136" w:right="1621" w:bottom="1157" w:left="1711" w:header="868" w:footer="994" w:gutter="0"/>
          <w:pgBorders>
            <w:top w:val="none" w:sz="0" w:space="0"/>
            <w:left w:val="none" w:sz="0" w:space="0"/>
            <w:bottom w:val="none" w:sz="0" w:space="0"/>
            <w:right w:val="none" w:sz="0" w:space="0"/>
          </w:pgBorders>
          <w:pgNumType w:start="1"/>
          <w:cols w:space="720" w:num="1"/>
        </w:sectPr>
      </w:pPr>
    </w:p>
    <w:p w14:paraId="02CCD98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5266690" cy="66948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4"/>
                    <a:stretch>
                      <a:fillRect/>
                    </a:stretch>
                  </pic:blipFill>
                  <pic:spPr>
                    <a:xfrm>
                      <a:off x="0" y="0"/>
                      <a:ext cx="5266944" cy="6694932"/>
                    </a:xfrm>
                    <a:prstGeom prst="rect">
                      <a:avLst/>
                    </a:prstGeom>
                  </pic:spPr>
                </pic:pic>
              </a:graphicData>
            </a:graphic>
          </wp:inline>
        </w:drawing>
      </w:r>
    </w:p>
    <w:p w14:paraId="07C245F9">
      <w:pPr>
        <w:pStyle w:val="2"/>
        <w:widowControl w:val="0"/>
        <w:shd w:val="clear"/>
        <w:kinsoku/>
        <w:autoSpaceDE/>
        <w:autoSpaceDN/>
        <w:adjustRightInd/>
        <w:snapToGrid/>
        <w:spacing w:line="360" w:lineRule="auto"/>
        <w:jc w:val="center"/>
        <w:textAlignment w:val="auto"/>
        <w:rPr>
          <w:rFonts w:ascii="Times New Roman" w:hAnsi="Times New Roman"/>
          <w:snapToGrid/>
          <w:color w:val="auto"/>
          <w:sz w:val="24"/>
          <w:szCs w:val="24"/>
          <w:lang w:eastAsia="zh-CN"/>
        </w:rPr>
      </w:pPr>
      <w:r>
        <w:rPr>
          <w:rFonts w:ascii="Times New Roman" w:hAnsi="Times New Roman"/>
          <w:b/>
          <w:bCs/>
          <w:snapToGrid/>
          <w:color w:val="auto"/>
          <w:sz w:val="24"/>
          <w:szCs w:val="24"/>
          <w:lang w:eastAsia="zh-CN"/>
        </w:rPr>
        <w:t>图</w:t>
      </w:r>
      <w:r>
        <w:rPr>
          <w:rFonts w:ascii="Times New Roman" w:hAnsi="Times New Roman" w:cs="Times New Roman"/>
          <w:b/>
          <w:bCs/>
          <w:snapToGrid/>
          <w:color w:val="auto"/>
          <w:sz w:val="24"/>
          <w:szCs w:val="24"/>
          <w:lang w:eastAsia="zh-CN"/>
        </w:rPr>
        <w:t>1-1</w:t>
      </w:r>
      <w:r>
        <w:rPr>
          <w:rFonts w:ascii="Times New Roman" w:hAnsi="Times New Roman"/>
          <w:b/>
          <w:bCs/>
          <w:snapToGrid/>
          <w:color w:val="auto"/>
          <w:sz w:val="24"/>
          <w:szCs w:val="24"/>
          <w:lang w:eastAsia="zh-CN"/>
        </w:rPr>
        <w:t>环境影响评价工作程序图</w:t>
      </w:r>
    </w:p>
    <w:p w14:paraId="430315D6">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6" w:name="bookmark56"/>
      <w:bookmarkEnd w:id="16"/>
      <w:bookmarkStart w:id="17" w:name="bookmark5"/>
      <w:bookmarkEnd w:id="17"/>
      <w:bookmarkStart w:id="18" w:name="_Toc5255"/>
      <w:bookmarkStart w:id="19" w:name="_Toc26796"/>
      <w:bookmarkStart w:id="20" w:name="_Toc9457"/>
      <w:r>
        <w:rPr>
          <w:rFonts w:hint="eastAsia" w:ascii="Times New Roman" w:hAnsi="Times New Roman" w:eastAsia="宋体"/>
          <w:snapToGrid/>
          <w:color w:val="auto"/>
          <w:lang w:eastAsia="zh-CN"/>
        </w:rPr>
        <w:t>1.3关注的主要环境问题</w:t>
      </w:r>
      <w:bookmarkEnd w:id="18"/>
      <w:bookmarkEnd w:id="19"/>
      <w:bookmarkEnd w:id="20"/>
    </w:p>
    <w:p w14:paraId="68697BF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本项目主要原料为再生塑料颗粒，其处置过程需符合国家相关技术政策。环评关注的主要环境问题为滴灌带成型过程挥发性的有机废气及收集、处置过程是否符合挥发性有机物（</w:t>
      </w:r>
      <w:r>
        <w:rPr>
          <w:rFonts w:ascii="Times New Roman" w:hAnsi="Times New Roman" w:cs="Times New Roman"/>
          <w:snapToGrid/>
          <w:color w:val="auto"/>
          <w:sz w:val="24"/>
          <w:szCs w:val="24"/>
          <w:lang w:eastAsia="zh-CN"/>
        </w:rPr>
        <w:t>VOCs</w:t>
      </w:r>
      <w:r>
        <w:rPr>
          <w:rFonts w:ascii="Times New Roman" w:hAnsi="Times New Roman"/>
          <w:snapToGrid/>
          <w:color w:val="auto"/>
          <w:sz w:val="24"/>
          <w:szCs w:val="24"/>
          <w:lang w:eastAsia="zh-CN"/>
        </w:rPr>
        <w:t>）污染防治技术政策要求，选址是否符合国家规范要求，生产废水处理排放措施的可行性，以及固废处置措施是否可行，是否会造成二次污染。这些是本项目关注的主要环境问题。本次评价着重针对项目生产场所及环境风险进行分析，项目在运营过程中应重点注意安全防护，严格落实安全防护措施，避免对周边环境造成影响。</w:t>
      </w:r>
    </w:p>
    <w:p w14:paraId="31C4828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环境影响预测与分析结果表明：挥发性有机物废气采用有效的处置措施，符合挥发性有机物（</w:t>
      </w:r>
      <w:r>
        <w:rPr>
          <w:rFonts w:ascii="Times New Roman" w:hAnsi="Times New Roman" w:cs="Times New Roman"/>
          <w:snapToGrid/>
          <w:color w:val="auto"/>
          <w:sz w:val="24"/>
          <w:szCs w:val="24"/>
          <w:lang w:eastAsia="zh-CN"/>
        </w:rPr>
        <w:t>VOCs</w:t>
      </w:r>
      <w:r>
        <w:rPr>
          <w:rFonts w:ascii="Times New Roman" w:hAnsi="Times New Roman"/>
          <w:snapToGrid/>
          <w:color w:val="auto"/>
          <w:sz w:val="24"/>
          <w:szCs w:val="24"/>
          <w:lang w:eastAsia="zh-CN"/>
        </w:rPr>
        <w:t>）污染防治技术政策要求，不会对周围环境空气质量产生明显影响。生产废水回用不外排，不会对区域地下水体构成污染影响。污泥处置去向可行。在做好地下水污染应急处置的前提下，可避免项目实施后对区域</w:t>
      </w:r>
      <w:r>
        <w:rPr>
          <w:rFonts w:hint="eastAsia" w:ascii="Times New Roman" w:hAnsi="Times New Roman"/>
          <w:snapToGrid/>
          <w:color w:val="auto"/>
          <w:sz w:val="24"/>
          <w:szCs w:val="24"/>
          <w:lang w:val="en-US" w:eastAsia="zh-CN"/>
        </w:rPr>
        <w:t>大气、</w:t>
      </w:r>
      <w:r>
        <w:rPr>
          <w:rFonts w:ascii="Times New Roman" w:hAnsi="Times New Roman"/>
          <w:snapToGrid/>
          <w:color w:val="auto"/>
          <w:sz w:val="24"/>
          <w:szCs w:val="24"/>
          <w:lang w:eastAsia="zh-CN"/>
        </w:rPr>
        <w:t>地下水、土壤、生态环境等质量产生污染影响</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项目产噪设备对装置区边界的噪声满足排放标准要求。</w:t>
      </w:r>
    </w:p>
    <w:p w14:paraId="5ACF39F2">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21" w:name="bookmark6"/>
      <w:bookmarkEnd w:id="21"/>
      <w:bookmarkStart w:id="22" w:name="_Toc1243"/>
      <w:bookmarkStart w:id="23" w:name="_Toc26463"/>
      <w:bookmarkStart w:id="24" w:name="_Toc9004"/>
      <w:r>
        <w:rPr>
          <w:rFonts w:hint="eastAsia" w:ascii="Times New Roman" w:hAnsi="Times New Roman" w:eastAsia="宋体"/>
          <w:snapToGrid/>
          <w:color w:val="auto"/>
          <w:lang w:eastAsia="zh-CN"/>
        </w:rPr>
        <w:t>1.4分析判断相关情况</w:t>
      </w:r>
      <w:bookmarkEnd w:id="22"/>
      <w:bookmarkEnd w:id="23"/>
      <w:bookmarkEnd w:id="24"/>
    </w:p>
    <w:p w14:paraId="5AEEE3C3">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25" w:name="_Toc1917"/>
      <w:bookmarkStart w:id="26" w:name="_Toc1916"/>
      <w:bookmarkStart w:id="27" w:name="_Toc13869"/>
      <w:r>
        <w:rPr>
          <w:rFonts w:hint="eastAsia" w:ascii="Times New Roman" w:hAnsi="Times New Roman" w:eastAsia="宋体" w:cs="Times New Roman"/>
          <w:snapToGrid/>
          <w:color w:val="auto"/>
          <w:lang w:eastAsia="zh-CN"/>
        </w:rPr>
        <w:t>1.4.1产业政策相符性</w:t>
      </w:r>
      <w:bookmarkEnd w:id="25"/>
      <w:bookmarkEnd w:id="26"/>
      <w:bookmarkEnd w:id="27"/>
    </w:p>
    <w:p w14:paraId="585F689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本项目属废旧塑料回收，加工再生塑料颗粒用于滴灌带的生产，为回收再生资源综合利用项目，属《产业结构调整指导目录（</w:t>
      </w:r>
      <w:r>
        <w:rPr>
          <w:rFonts w:hint="eastAsia" w:ascii="Times New Roman" w:hAnsi="Times New Roman" w:cs="Times New Roman"/>
          <w:snapToGrid/>
          <w:color w:val="auto"/>
          <w:sz w:val="24"/>
          <w:szCs w:val="24"/>
          <w:lang w:eastAsia="zh-CN"/>
        </w:rPr>
        <w:t>2024</w:t>
      </w:r>
      <w:r>
        <w:rPr>
          <w:rFonts w:ascii="Times New Roman" w:hAnsi="Times New Roman"/>
          <w:snapToGrid/>
          <w:color w:val="auto"/>
          <w:sz w:val="24"/>
          <w:szCs w:val="24"/>
          <w:lang w:eastAsia="zh-CN"/>
        </w:rPr>
        <w:t>年本）》中鼓励类</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第“四十</w:t>
      </w:r>
      <w:r>
        <w:rPr>
          <w:rFonts w:hint="eastAsia" w:ascii="Times New Roman" w:hAnsi="Times New Roman"/>
          <w:snapToGrid/>
          <w:color w:val="auto"/>
          <w:sz w:val="24"/>
          <w:szCs w:val="24"/>
          <w:lang w:eastAsia="zh-CN"/>
        </w:rPr>
        <w:t>二</w:t>
      </w:r>
      <w:r>
        <w:rPr>
          <w:rFonts w:ascii="Times New Roman" w:hAnsi="Times New Roman"/>
          <w:snapToGrid/>
          <w:color w:val="auto"/>
          <w:sz w:val="24"/>
          <w:szCs w:val="24"/>
          <w:lang w:eastAsia="zh-CN"/>
        </w:rPr>
        <w:t>、环境保护与资源节约综合利用</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中第</w:t>
      </w:r>
      <w:r>
        <w:rPr>
          <w:rFonts w:hint="eastAsia"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项</w:t>
      </w:r>
      <w:r>
        <w:rPr>
          <w:rFonts w:ascii="Times New Roman" w:hAnsi="Times New Roman" w:cs="Times New Roman"/>
          <w:snapToGrid/>
          <w:color w:val="auto"/>
          <w:sz w:val="24"/>
          <w:szCs w:val="24"/>
          <w:lang w:eastAsia="zh-CN"/>
        </w:rPr>
        <w:t>“废弃物循环利用：废橡胶等城市典型废弃物循环利用、技术设备开发及应用</w:t>
      </w:r>
      <w:r>
        <w:rPr>
          <w:rFonts w:ascii="Times New Roman" w:hAnsi="Times New Roman"/>
          <w:snapToGrid/>
          <w:color w:val="auto"/>
          <w:sz w:val="24"/>
          <w:szCs w:val="24"/>
          <w:lang w:eastAsia="zh-CN"/>
        </w:rPr>
        <w:t>”项目</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因此，项目建设符合国家产业政策，属于国家鼓励类产业，符合国家产业政策。</w:t>
      </w:r>
    </w:p>
    <w:p w14:paraId="5F3C3F6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同时项目的建设满足《废塑料综合利用行业规范条件》《废塑料污染控制技术规范》（</w:t>
      </w:r>
      <w:r>
        <w:rPr>
          <w:rFonts w:ascii="Times New Roman" w:hAnsi="Times New Roman" w:cs="Times New Roman"/>
          <w:snapToGrid/>
          <w:color w:val="auto"/>
          <w:sz w:val="24"/>
          <w:szCs w:val="24"/>
          <w:lang w:eastAsia="zh-CN"/>
        </w:rPr>
        <w:t>HJ364-2022</w:t>
      </w:r>
      <w:r>
        <w:rPr>
          <w:rFonts w:ascii="Times New Roman" w:hAnsi="Times New Roman"/>
          <w:snapToGrid/>
          <w:color w:val="auto"/>
          <w:sz w:val="24"/>
          <w:szCs w:val="24"/>
          <w:lang w:eastAsia="zh-CN"/>
        </w:rPr>
        <w:t>）《关于加快发展循环经济的若干意见》（国发</w:t>
      </w:r>
      <w:r>
        <w:rPr>
          <w:rFonts w:hint="eastAsia" w:ascii="Times New Roman" w:hAnsi="Times New Roman"/>
          <w:snapToGrid/>
          <w:color w:val="auto"/>
          <w:sz w:val="24"/>
          <w:szCs w:val="24"/>
          <w:lang w:eastAsia="zh-CN"/>
        </w:rPr>
        <w:t>〔2005〕22号</w:t>
      </w:r>
      <w:r>
        <w:rPr>
          <w:rFonts w:ascii="Times New Roman" w:hAnsi="Times New Roman"/>
          <w:snapToGrid/>
          <w:color w:val="auto"/>
          <w:sz w:val="24"/>
          <w:szCs w:val="24"/>
          <w:lang w:eastAsia="zh-CN"/>
        </w:rPr>
        <w:t>）《关于进一步加强塑料污染治理的意见》《关于促进全区废旧塑料再生利用行业有序发展的指导意见》中相关要求。</w:t>
      </w:r>
    </w:p>
    <w:p w14:paraId="2558FE0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因此，本项目建设符合国家相关法律法规及产业政策要求。</w:t>
      </w:r>
    </w:p>
    <w:p w14:paraId="62162171">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28" w:name="_Toc5687"/>
      <w:bookmarkStart w:id="29" w:name="_Toc4898"/>
      <w:bookmarkStart w:id="30" w:name="_Toc8970"/>
      <w:r>
        <w:rPr>
          <w:rFonts w:hint="eastAsia" w:ascii="Times New Roman" w:hAnsi="Times New Roman" w:eastAsia="宋体" w:cs="Times New Roman"/>
          <w:snapToGrid/>
          <w:color w:val="auto"/>
          <w:lang w:eastAsia="zh-CN"/>
        </w:rPr>
        <w:t>1.4.2规划符合分析</w:t>
      </w:r>
      <w:bookmarkEnd w:id="28"/>
      <w:bookmarkEnd w:id="29"/>
      <w:bookmarkEnd w:id="30"/>
    </w:p>
    <w:p w14:paraId="060DD02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2.7.2规划相符性分析”</w:t>
      </w:r>
      <w:r>
        <w:rPr>
          <w:rFonts w:ascii="Times New Roman" w:hAnsi="Times New Roman"/>
          <w:snapToGrid/>
          <w:color w:val="auto"/>
          <w:sz w:val="24"/>
          <w:szCs w:val="24"/>
          <w:lang w:eastAsia="zh-CN"/>
        </w:rPr>
        <w:t>，项目与《新疆生态环境保护“十四五”规划</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新疆维吾尔自治区国民经济和社会发展第十四个五年规划和</w:t>
      </w:r>
      <w:r>
        <w:rPr>
          <w:rFonts w:ascii="Times New Roman" w:hAnsi="Times New Roman" w:cs="Times New Roman"/>
          <w:snapToGrid/>
          <w:color w:val="auto"/>
          <w:sz w:val="24"/>
          <w:szCs w:val="24"/>
          <w:lang w:eastAsia="zh-CN"/>
        </w:rPr>
        <w:t>2035</w:t>
      </w:r>
      <w:r>
        <w:rPr>
          <w:rFonts w:ascii="Times New Roman" w:hAnsi="Times New Roman"/>
          <w:snapToGrid/>
          <w:color w:val="auto"/>
          <w:sz w:val="24"/>
          <w:szCs w:val="24"/>
          <w:lang w:eastAsia="zh-CN"/>
        </w:rPr>
        <w:t>年远景目标纲要</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昌吉回族自治州生态环境保护与建设“十四五”规划》等均相符。本项目位于新疆昌吉州</w:t>
      </w:r>
      <w:r>
        <w:rPr>
          <w:rFonts w:hint="eastAsia" w:ascii="Times New Roman" w:hAnsi="Times New Roman"/>
          <w:snapToGrid/>
          <w:color w:val="auto"/>
          <w:sz w:val="24"/>
          <w:szCs w:val="24"/>
          <w:lang w:eastAsia="zh-CN"/>
        </w:rPr>
        <w:t>木垒哈萨克自治县雀仁乡河中村</w:t>
      </w:r>
      <w:r>
        <w:rPr>
          <w:rFonts w:ascii="Times New Roman" w:hAnsi="Times New Roman"/>
          <w:snapToGrid/>
          <w:color w:val="auto"/>
          <w:sz w:val="24"/>
          <w:szCs w:val="24"/>
          <w:lang w:eastAsia="zh-CN"/>
        </w:rPr>
        <w:t>，利用回收的废旧滴灌带造粒再生产滴灌带产品。项目建设完成后可使废旧滴灌带等农业污染源大幅降低，得到综合利用，既达到了资源综合利用目的，实现循环经济发展</w:t>
      </w:r>
      <w:r>
        <w:rPr>
          <w:rFonts w:hint="eastAsia" w:ascii="Times New Roman" w:hAnsi="Times New Roman"/>
          <w:snapToGrid/>
          <w:color w:val="auto"/>
          <w:sz w:val="24"/>
          <w:szCs w:val="24"/>
          <w:lang w:eastAsia="zh-CN"/>
        </w:rPr>
        <w:t>目标，</w:t>
      </w:r>
      <w:r>
        <w:rPr>
          <w:rFonts w:ascii="Times New Roman" w:hAnsi="Times New Roman"/>
          <w:snapToGrid/>
          <w:color w:val="auto"/>
          <w:sz w:val="24"/>
          <w:szCs w:val="24"/>
          <w:lang w:eastAsia="zh-CN"/>
        </w:rPr>
        <w:t>同时又起到了保护环境的作用。</w:t>
      </w:r>
    </w:p>
    <w:p w14:paraId="5AF75BC8">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31" w:name="bookmark57"/>
      <w:bookmarkEnd w:id="31"/>
      <w:bookmarkStart w:id="32" w:name="_Toc9353"/>
      <w:bookmarkStart w:id="33" w:name="_Toc11028"/>
      <w:bookmarkStart w:id="34" w:name="_Toc1832"/>
      <w:r>
        <w:rPr>
          <w:rFonts w:hint="eastAsia" w:ascii="Times New Roman" w:hAnsi="Times New Roman" w:eastAsia="宋体" w:cs="Times New Roman"/>
          <w:snapToGrid/>
          <w:color w:val="auto"/>
          <w:lang w:eastAsia="zh-CN"/>
        </w:rPr>
        <w:t>1.4.3“三线一单”符合性</w:t>
      </w:r>
      <w:bookmarkEnd w:id="32"/>
      <w:bookmarkEnd w:id="33"/>
      <w:bookmarkEnd w:id="34"/>
    </w:p>
    <w:p w14:paraId="5E88EBE9">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ascii="Times New Roman" w:hAnsi="Times New Roman"/>
          <w:snapToGrid/>
          <w:color w:val="auto"/>
          <w:sz w:val="24"/>
          <w:szCs w:val="24"/>
          <w:lang w:eastAsia="zh-CN"/>
        </w:rPr>
        <w:t>根据</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2.7.3三线一单分析”</w:t>
      </w:r>
      <w:r>
        <w:rPr>
          <w:rFonts w:ascii="Times New Roman" w:hAnsi="Times New Roman"/>
          <w:snapToGrid/>
          <w:color w:val="auto"/>
          <w:sz w:val="24"/>
          <w:szCs w:val="24"/>
          <w:lang w:eastAsia="zh-CN"/>
        </w:rPr>
        <w:t>，本项目的建设符合《关于印发＜新疆维吾尔自治区“三线一单”生态环境分区管控方案＞的通知》（</w:t>
      </w:r>
      <w:r>
        <w:rPr>
          <w:rFonts w:hint="eastAsia" w:ascii="Times New Roman" w:hAnsi="Times New Roman"/>
          <w:snapToGrid/>
          <w:color w:val="auto"/>
          <w:sz w:val="24"/>
          <w:szCs w:val="24"/>
          <w:lang w:eastAsia="zh-CN"/>
        </w:rPr>
        <w:t>新环环评发〔2024〕157号</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《昌吉回族自治州‘三线一单’生态环境分区管控方案及生态环境准入清单》（昌州政办发〔2021〕41号）</w:t>
      </w:r>
      <w:r>
        <w:rPr>
          <w:rFonts w:hint="eastAsia" w:ascii="Times New Roman" w:hAnsi="Times New Roman"/>
          <w:snapToGrid/>
          <w:color w:val="auto"/>
          <w:sz w:val="24"/>
          <w:szCs w:val="24"/>
          <w:lang w:val="en-US" w:eastAsia="zh-CN"/>
        </w:rPr>
        <w:t>及动态更新成果</w:t>
      </w:r>
      <w:r>
        <w:rPr>
          <w:rFonts w:ascii="Times New Roman" w:hAnsi="Times New Roman"/>
          <w:snapToGrid/>
          <w:color w:val="auto"/>
          <w:sz w:val="24"/>
          <w:szCs w:val="24"/>
          <w:lang w:eastAsia="zh-CN"/>
        </w:rPr>
        <w:t>相关要求。</w:t>
      </w:r>
    </w:p>
    <w:p w14:paraId="45CF24D5">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35" w:name="_Toc5921"/>
      <w:bookmarkStart w:id="36" w:name="_Toc9808"/>
      <w:bookmarkStart w:id="37" w:name="_Toc3826"/>
      <w:r>
        <w:rPr>
          <w:rFonts w:hint="eastAsia" w:ascii="Times New Roman" w:hAnsi="Times New Roman" w:eastAsia="宋体" w:cs="Times New Roman"/>
          <w:snapToGrid/>
          <w:color w:val="auto"/>
          <w:lang w:eastAsia="zh-CN"/>
        </w:rPr>
        <w:t>1.4.4选址合理性</w:t>
      </w:r>
      <w:bookmarkEnd w:id="35"/>
      <w:bookmarkEnd w:id="36"/>
      <w:bookmarkEnd w:id="37"/>
    </w:p>
    <w:p w14:paraId="36C4DB6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，用地类型属于</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，项目所在地南侧紧邻内部道路，</w:t>
      </w:r>
      <w:r>
        <w:rPr>
          <w:rFonts w:hint="eastAsia" w:ascii="Times New Roman" w:hAnsi="Times New Roman"/>
          <w:snapToGrid/>
          <w:color w:val="auto"/>
          <w:sz w:val="24"/>
          <w:szCs w:val="24"/>
          <w:lang w:eastAsia="zh-CN"/>
        </w:rPr>
        <w:t>东侧为河东村，南侧为农田（</w:t>
      </w:r>
      <w:r>
        <w:rPr>
          <w:rFonts w:hint="eastAsia" w:ascii="Times New Roman" w:hAnsi="Times New Roman"/>
          <w:snapToGrid/>
          <w:color w:val="auto"/>
          <w:sz w:val="24"/>
          <w:szCs w:val="24"/>
          <w:lang w:val="en-US" w:eastAsia="zh-CN"/>
        </w:rPr>
        <w:t>一般农田）</w:t>
      </w:r>
      <w:r>
        <w:rPr>
          <w:rFonts w:hint="eastAsia" w:ascii="Times New Roman" w:hAnsi="Times New Roman"/>
          <w:snapToGrid/>
          <w:color w:val="auto"/>
          <w:sz w:val="24"/>
          <w:szCs w:val="24"/>
          <w:lang w:eastAsia="zh-CN"/>
        </w:rPr>
        <w:t>，北侧为一冷冻库，西侧为道路</w:t>
      </w:r>
      <w:r>
        <w:rPr>
          <w:rFonts w:ascii="Times New Roman" w:hAnsi="Times New Roman"/>
          <w:snapToGrid/>
          <w:color w:val="auto"/>
          <w:sz w:val="24"/>
          <w:szCs w:val="24"/>
          <w:lang w:eastAsia="zh-CN"/>
        </w:rPr>
        <w:t>。项目所在地主导风向为西南风，项目废气采取治理措施后不会对周边环境产生不利影响；项目污水和固体废物在正常工况下不会对项目区周边土壤和地下水造成不利影响。综上所述，项目建设对周围环境影响不大。本项目用地性质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，项目的建设不扰动周边农田，项目不在生态保护红线范围内，周边</w:t>
      </w:r>
      <w:r>
        <w:rPr>
          <w:rFonts w:ascii="Times New Roman" w:hAnsi="Times New Roman" w:cs="Times New Roman"/>
          <w:snapToGrid/>
          <w:color w:val="auto"/>
          <w:sz w:val="24"/>
          <w:szCs w:val="24"/>
          <w:lang w:eastAsia="zh-CN"/>
        </w:rPr>
        <w:t>1000m</w:t>
      </w:r>
      <w:r>
        <w:rPr>
          <w:rFonts w:ascii="Times New Roman" w:hAnsi="Times New Roman"/>
          <w:snapToGrid/>
          <w:color w:val="auto"/>
          <w:sz w:val="24"/>
          <w:szCs w:val="24"/>
          <w:lang w:eastAsia="zh-CN"/>
        </w:rPr>
        <w:t>范围内无区控重点河流、高速公路、铁路干线及重要地下管网以及其他需严防污染的食品、药品等企业，满足新疆维吾尔自治区生态环境厅《关于促进废旧塑料再生利用行业有序发展的指导意见》选址要求。本项目为废旧塑料回收及塑料制品生产项目，</w:t>
      </w:r>
      <w:r>
        <w:rPr>
          <w:rFonts w:hint="eastAsia" w:ascii="Times New Roman" w:hAnsi="Times New Roman"/>
          <w:snapToGrid/>
          <w:color w:val="auto"/>
          <w:sz w:val="24"/>
          <w:szCs w:val="24"/>
          <w:lang w:val="en-US" w:eastAsia="zh-CN"/>
        </w:rPr>
        <w:t>项目占地为建设用地。项目选址符合木垒哈萨克自治县国土空间总体规划（2021—2035年）。</w:t>
      </w:r>
      <w:r>
        <w:rPr>
          <w:rFonts w:ascii="Times New Roman" w:hAnsi="Times New Roman"/>
          <w:snapToGrid/>
          <w:color w:val="auto"/>
          <w:sz w:val="24"/>
          <w:szCs w:val="24"/>
          <w:lang w:eastAsia="zh-CN"/>
        </w:rPr>
        <w:t>项目不属于</w:t>
      </w:r>
      <w:r>
        <w:rPr>
          <w:rFonts w:hint="eastAsia" w:ascii="Times New Roman" w:hAnsi="Times New Roman"/>
          <w:snapToGrid/>
          <w:color w:val="auto"/>
          <w:sz w:val="24"/>
          <w:szCs w:val="24"/>
          <w:lang w:eastAsia="zh-CN"/>
        </w:rPr>
        <w:t>自然资源部</w:t>
      </w:r>
      <w:r>
        <w:rPr>
          <w:rFonts w:ascii="Times New Roman" w:hAnsi="Times New Roman"/>
          <w:snapToGrid/>
          <w:color w:val="auto"/>
          <w:sz w:val="24"/>
          <w:szCs w:val="24"/>
          <w:lang w:eastAsia="zh-CN"/>
        </w:rPr>
        <w:t>与国家发展和改革委员会联合发布的《关于发布实施《限制用地项目目录（</w:t>
      </w:r>
      <w:r>
        <w:rPr>
          <w:rFonts w:ascii="Times New Roman" w:hAnsi="Times New Roman" w:cs="Times New Roman"/>
          <w:snapToGrid/>
          <w:color w:val="auto"/>
          <w:sz w:val="24"/>
          <w:szCs w:val="24"/>
          <w:lang w:eastAsia="zh-CN"/>
        </w:rPr>
        <w:t>2012</w:t>
      </w:r>
      <w:r>
        <w:rPr>
          <w:rFonts w:ascii="Times New Roman" w:hAnsi="Times New Roman"/>
          <w:snapToGrid/>
          <w:color w:val="auto"/>
          <w:sz w:val="24"/>
          <w:szCs w:val="24"/>
          <w:lang w:eastAsia="zh-CN"/>
        </w:rPr>
        <w:t>年本）》和《禁止用地项目目录（</w:t>
      </w:r>
      <w:r>
        <w:rPr>
          <w:rFonts w:ascii="Times New Roman" w:hAnsi="Times New Roman" w:cs="Times New Roman"/>
          <w:snapToGrid/>
          <w:color w:val="auto"/>
          <w:sz w:val="24"/>
          <w:szCs w:val="24"/>
          <w:lang w:eastAsia="zh-CN"/>
        </w:rPr>
        <w:t>2012</w:t>
      </w:r>
      <w:r>
        <w:rPr>
          <w:rFonts w:ascii="Times New Roman" w:hAnsi="Times New Roman"/>
          <w:snapToGrid/>
          <w:color w:val="auto"/>
          <w:sz w:val="24"/>
          <w:szCs w:val="24"/>
          <w:lang w:eastAsia="zh-CN"/>
        </w:rPr>
        <w:t>年本）》的通知》（国土资发</w:t>
      </w:r>
      <w:r>
        <w:rPr>
          <w:rFonts w:hint="eastAsia" w:ascii="Times New Roman" w:hAnsi="Times New Roman"/>
          <w:snapToGrid/>
          <w:color w:val="auto"/>
          <w:sz w:val="24"/>
          <w:szCs w:val="24"/>
          <w:lang w:eastAsia="zh-CN"/>
        </w:rPr>
        <w:t>〔2012〕</w:t>
      </w:r>
      <w:r>
        <w:rPr>
          <w:rFonts w:ascii="Times New Roman" w:hAnsi="Times New Roman" w:cs="Times New Roman"/>
          <w:snapToGrid/>
          <w:color w:val="auto"/>
          <w:sz w:val="24"/>
          <w:szCs w:val="24"/>
          <w:lang w:eastAsia="zh-CN"/>
        </w:rPr>
        <w:t>98</w:t>
      </w:r>
      <w:r>
        <w:rPr>
          <w:rFonts w:ascii="Times New Roman" w:hAnsi="Times New Roman"/>
          <w:snapToGrid/>
          <w:color w:val="auto"/>
          <w:sz w:val="24"/>
          <w:szCs w:val="24"/>
          <w:lang w:eastAsia="zh-CN"/>
        </w:rPr>
        <w:t>号）中规定的限制和禁止用地类型项目。项目周边无自然保护区、风景名胜区和集中饮用水水源地等环境敏感点。项目选址综合考虑了所在区域滴灌带的使用情况及废旧滴灌带</w:t>
      </w:r>
      <w:r>
        <w:rPr>
          <w:rFonts w:hint="eastAsia" w:ascii="Times New Roman" w:hAnsi="Times New Roman"/>
          <w:snapToGrid/>
          <w:color w:val="auto"/>
          <w:sz w:val="24"/>
          <w:szCs w:val="24"/>
          <w:lang w:eastAsia="zh-CN"/>
        </w:rPr>
        <w:t>生产</w:t>
      </w:r>
      <w:r>
        <w:rPr>
          <w:rFonts w:ascii="Times New Roman" w:hAnsi="Times New Roman"/>
          <w:snapToGrid/>
          <w:color w:val="auto"/>
          <w:sz w:val="24"/>
          <w:szCs w:val="24"/>
          <w:lang w:eastAsia="zh-CN"/>
        </w:rPr>
        <w:t>情况，收购周边的废旧滴灌带，生产后滴灌带外售给周边的农户，减少废旧滴灌带及产品的运输距离。</w:t>
      </w:r>
      <w:r>
        <w:rPr>
          <w:rFonts w:hint="eastAsia" w:ascii="Times New Roman" w:hAnsi="Times New Roman"/>
          <w:snapToGrid/>
          <w:color w:val="auto"/>
          <w:sz w:val="24"/>
          <w:szCs w:val="24"/>
          <w:lang w:eastAsia="zh-CN"/>
        </w:rPr>
        <w:t>项目位于《木垒哈萨克自治县国土空间总体规划（</w:t>
      </w:r>
      <w:r>
        <w:rPr>
          <w:rFonts w:ascii="Times New Roman" w:hAnsi="Times New Roman"/>
          <w:snapToGrid/>
          <w:color w:val="auto"/>
          <w:sz w:val="24"/>
          <w:szCs w:val="24"/>
          <w:lang w:eastAsia="zh-CN"/>
        </w:rPr>
        <w:t>2021</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2035</w:t>
      </w:r>
      <w:r>
        <w:rPr>
          <w:rFonts w:hint="eastAsia" w:ascii="Times New Roman" w:hAnsi="Times New Roman"/>
          <w:snapToGrid/>
          <w:color w:val="auto"/>
          <w:sz w:val="24"/>
          <w:szCs w:val="24"/>
          <w:lang w:eastAsia="zh-CN"/>
        </w:rPr>
        <w:t>年）》城乡规划区5km范围以外。</w:t>
      </w:r>
      <w:r>
        <w:rPr>
          <w:rFonts w:ascii="Times New Roman" w:hAnsi="Times New Roman"/>
          <w:snapToGrid/>
          <w:color w:val="auto"/>
          <w:sz w:val="24"/>
          <w:szCs w:val="24"/>
          <w:lang w:eastAsia="zh-CN"/>
        </w:rPr>
        <w:t>因此，本项目选址合理可行。</w:t>
      </w:r>
    </w:p>
    <w:p w14:paraId="39216744">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38" w:name="bookmark7"/>
      <w:bookmarkEnd w:id="38"/>
      <w:bookmarkStart w:id="39" w:name="_Toc20543"/>
      <w:bookmarkStart w:id="40" w:name="_Toc20553"/>
      <w:bookmarkStart w:id="41" w:name="_Toc28043"/>
      <w:r>
        <w:rPr>
          <w:rFonts w:hint="eastAsia" w:ascii="Times New Roman" w:hAnsi="Times New Roman" w:eastAsia="宋体"/>
          <w:snapToGrid/>
          <w:color w:val="auto"/>
          <w:lang w:eastAsia="zh-CN"/>
        </w:rPr>
        <w:t>1.5环评报告书的主要结论</w:t>
      </w:r>
      <w:bookmarkEnd w:id="39"/>
      <w:bookmarkEnd w:id="40"/>
      <w:bookmarkEnd w:id="41"/>
    </w:p>
    <w:p w14:paraId="518370A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本项目的建设符合国家产业政策、选址合理、符合</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三线一单</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要求、污染物的防治措施在技术上和经济上可行。本项目回收当地农业生产产生的废旧滴灌带进行再生造粒，利用再生聚乙烯颗粒料生产滴灌带，项目的建设可有效解决当地农业生产的废塑料污染，同时可达到资源循环利用目的。环境影响评价的结果表明，项目在严格落实施工期以及运营期各项环保措施的情况下，项目的污染物排放对环境的影响较小，基本不改变当地环境质量现状和功能要求。</w:t>
      </w:r>
    </w:p>
    <w:p w14:paraId="3A864F9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本评价认为，项目在设计和运行时应严格执行安全生产的各项规章制度，根据生产安全要求，制定事故应急预案，配套相应安全防范措施，杜绝事故发生风险。项目建设过程中应严格认真执行环境保护</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三同时</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制度，切实落实本报告书各项污染防治措施和环境管理措施，确保各类污染物稳定达标排放和污染物排放总量控制。从环境保护的角度分析，本项目的建设是可行的。</w:t>
      </w:r>
    </w:p>
    <w:p w14:paraId="009F2495">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snapToGrid/>
          <w:color w:val="auto"/>
          <w:sz w:val="24"/>
          <w:szCs w:val="24"/>
          <w:lang w:eastAsia="zh-CN"/>
        </w:rPr>
        <w:sectPr>
          <w:headerReference r:id="rId7" w:type="default"/>
          <w:footerReference r:id="rId8" w:type="default"/>
          <w:pgSz w:w="11906" w:h="16838"/>
          <w:pgMar w:top="1136" w:right="1712" w:bottom="1157" w:left="1711" w:header="868" w:footer="994" w:gutter="0"/>
          <w:pgBorders>
            <w:top w:val="none" w:sz="0" w:space="0"/>
            <w:left w:val="none" w:sz="0" w:space="0"/>
            <w:bottom w:val="none" w:sz="0" w:space="0"/>
            <w:right w:val="none" w:sz="0" w:space="0"/>
          </w:pgBorders>
          <w:cols w:space="720" w:num="1"/>
        </w:sectPr>
      </w:pPr>
    </w:p>
    <w:p w14:paraId="30C3C223">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42" w:name="bookmark8"/>
      <w:bookmarkEnd w:id="42"/>
      <w:bookmarkStart w:id="43" w:name="_Toc15995"/>
      <w:bookmarkStart w:id="44" w:name="_Toc7796"/>
      <w:bookmarkStart w:id="45" w:name="_Toc8711"/>
      <w:r>
        <w:rPr>
          <w:rFonts w:hint="eastAsia" w:ascii="Times New Roman" w:hAnsi="Times New Roman" w:eastAsia="宋体" w:cs="Times New Roman"/>
          <w:snapToGrid/>
          <w:color w:val="auto"/>
          <w:lang w:eastAsia="zh-CN"/>
        </w:rPr>
        <w:t>2、总论</w:t>
      </w:r>
      <w:bookmarkEnd w:id="43"/>
      <w:bookmarkEnd w:id="44"/>
      <w:bookmarkEnd w:id="45"/>
    </w:p>
    <w:p w14:paraId="60FB8331">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6" w:name="bookmark9"/>
      <w:bookmarkEnd w:id="46"/>
      <w:bookmarkStart w:id="47" w:name="_Toc13026"/>
      <w:bookmarkStart w:id="48" w:name="_Toc29450"/>
      <w:bookmarkStart w:id="49" w:name="_Toc19420"/>
      <w:r>
        <w:rPr>
          <w:rFonts w:hint="eastAsia" w:ascii="Times New Roman" w:hAnsi="Times New Roman" w:eastAsia="宋体"/>
          <w:snapToGrid/>
          <w:color w:val="auto"/>
          <w:lang w:eastAsia="zh-CN"/>
        </w:rPr>
        <w:t>2.1编制依据</w:t>
      </w:r>
      <w:bookmarkEnd w:id="47"/>
      <w:bookmarkEnd w:id="48"/>
      <w:bookmarkEnd w:id="49"/>
    </w:p>
    <w:p w14:paraId="2BE4DDC5">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50" w:name="_Toc5890"/>
      <w:bookmarkStart w:id="51" w:name="_Toc20172"/>
      <w:bookmarkStart w:id="52" w:name="_Toc27937"/>
      <w:r>
        <w:rPr>
          <w:rFonts w:hint="eastAsia" w:ascii="Times New Roman" w:hAnsi="Times New Roman" w:eastAsia="宋体" w:cs="Times New Roman"/>
          <w:snapToGrid/>
          <w:color w:val="auto"/>
          <w:lang w:eastAsia="zh-CN"/>
        </w:rPr>
        <w:t>2.1.1国家</w:t>
      </w:r>
      <w:r>
        <w:rPr>
          <w:rFonts w:hint="eastAsia" w:cs="Times New Roman"/>
          <w:snapToGrid/>
          <w:color w:val="auto"/>
          <w:lang w:eastAsia="zh-CN"/>
        </w:rPr>
        <w:t>法律法规</w:t>
      </w:r>
      <w:bookmarkEnd w:id="50"/>
      <w:bookmarkEnd w:id="51"/>
      <w:bookmarkEnd w:id="52"/>
    </w:p>
    <w:p w14:paraId="061CA8C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）《中华人民共和国环境保护法》，</w:t>
      </w:r>
      <w:r>
        <w:rPr>
          <w:rFonts w:ascii="Times New Roman" w:hAnsi="Times New Roman" w:cs="Times New Roman"/>
          <w:snapToGrid/>
          <w:color w:val="auto"/>
          <w:sz w:val="24"/>
          <w:szCs w:val="24"/>
          <w:lang w:eastAsia="zh-CN"/>
        </w:rPr>
        <w:t>2015.01.01</w:t>
      </w:r>
      <w:r>
        <w:rPr>
          <w:rFonts w:ascii="Times New Roman" w:hAnsi="Times New Roman"/>
          <w:snapToGrid/>
          <w:color w:val="auto"/>
          <w:sz w:val="24"/>
          <w:szCs w:val="24"/>
          <w:lang w:eastAsia="zh-CN"/>
        </w:rPr>
        <w:t>；</w:t>
      </w:r>
    </w:p>
    <w:p w14:paraId="1483CEC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）《中华人民共和国环境影响评价法》，</w:t>
      </w:r>
      <w:r>
        <w:rPr>
          <w:rFonts w:ascii="Times New Roman" w:hAnsi="Times New Roman" w:cs="Times New Roman"/>
          <w:snapToGrid/>
          <w:color w:val="auto"/>
          <w:sz w:val="24"/>
          <w:szCs w:val="24"/>
          <w:lang w:eastAsia="zh-CN"/>
        </w:rPr>
        <w:t>2018.12.29</w:t>
      </w:r>
      <w:r>
        <w:rPr>
          <w:rFonts w:ascii="Times New Roman" w:hAnsi="Times New Roman"/>
          <w:snapToGrid/>
          <w:color w:val="auto"/>
          <w:sz w:val="24"/>
          <w:szCs w:val="24"/>
          <w:lang w:eastAsia="zh-CN"/>
        </w:rPr>
        <w:t>；</w:t>
      </w:r>
    </w:p>
    <w:p w14:paraId="1FA19FF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）《中华人民共和国大气污染防治法》，</w:t>
      </w:r>
      <w:r>
        <w:rPr>
          <w:rFonts w:ascii="Times New Roman" w:hAnsi="Times New Roman" w:cs="Times New Roman"/>
          <w:snapToGrid/>
          <w:color w:val="auto"/>
          <w:sz w:val="24"/>
          <w:szCs w:val="24"/>
          <w:lang w:eastAsia="zh-CN"/>
        </w:rPr>
        <w:t>2018.12.29</w:t>
      </w:r>
      <w:r>
        <w:rPr>
          <w:rFonts w:ascii="Times New Roman" w:hAnsi="Times New Roman"/>
          <w:snapToGrid/>
          <w:color w:val="auto"/>
          <w:sz w:val="24"/>
          <w:szCs w:val="24"/>
          <w:lang w:eastAsia="zh-CN"/>
        </w:rPr>
        <w:t>修正；</w:t>
      </w:r>
    </w:p>
    <w:p w14:paraId="168356A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）《中华人民共和国水污染防治法》，</w:t>
      </w:r>
      <w:r>
        <w:rPr>
          <w:rFonts w:ascii="Times New Roman" w:hAnsi="Times New Roman" w:cs="Times New Roman"/>
          <w:snapToGrid/>
          <w:color w:val="auto"/>
          <w:sz w:val="24"/>
          <w:szCs w:val="24"/>
          <w:lang w:eastAsia="zh-CN"/>
        </w:rPr>
        <w:t>2018.01.01</w:t>
      </w:r>
      <w:r>
        <w:rPr>
          <w:rFonts w:ascii="Times New Roman" w:hAnsi="Times New Roman"/>
          <w:snapToGrid/>
          <w:color w:val="auto"/>
          <w:sz w:val="24"/>
          <w:szCs w:val="24"/>
          <w:lang w:eastAsia="zh-CN"/>
        </w:rPr>
        <w:t>；</w:t>
      </w:r>
    </w:p>
    <w:p w14:paraId="479FD87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中华人民共和国噪声污染防治法</w:t>
      </w: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2022</w:t>
      </w:r>
      <w:r>
        <w:rPr>
          <w:rFonts w:ascii="Times New Roman" w:hAnsi="Times New Roman" w:cs="Times New Roman"/>
          <w:snapToGrid/>
          <w:color w:val="auto"/>
          <w:sz w:val="24"/>
          <w:szCs w:val="24"/>
          <w:lang w:eastAsia="zh-CN"/>
        </w:rPr>
        <w:t>.</w:t>
      </w:r>
      <w:r>
        <w:rPr>
          <w:rFonts w:hint="eastAsia" w:ascii="Times New Roman" w:hAnsi="Times New Roman" w:cs="Times New Roman"/>
          <w:snapToGrid/>
          <w:color w:val="auto"/>
          <w:sz w:val="24"/>
          <w:szCs w:val="24"/>
          <w:lang w:eastAsia="zh-CN"/>
        </w:rPr>
        <w:t>6</w:t>
      </w:r>
      <w:r>
        <w:rPr>
          <w:rFonts w:ascii="Times New Roman" w:hAnsi="Times New Roman" w:cs="Times New Roman"/>
          <w:snapToGrid/>
          <w:color w:val="auto"/>
          <w:sz w:val="24"/>
          <w:szCs w:val="24"/>
          <w:lang w:eastAsia="zh-CN"/>
        </w:rPr>
        <w:t>.</w:t>
      </w:r>
      <w:r>
        <w:rPr>
          <w:rFonts w:hint="eastAsia"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w:t>
      </w:r>
    </w:p>
    <w:p w14:paraId="5A3F8BD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6</w:t>
      </w:r>
      <w:r>
        <w:rPr>
          <w:rFonts w:ascii="Times New Roman" w:hAnsi="Times New Roman"/>
          <w:snapToGrid/>
          <w:color w:val="auto"/>
          <w:sz w:val="24"/>
          <w:szCs w:val="24"/>
          <w:lang w:eastAsia="zh-CN"/>
        </w:rPr>
        <w:t>）《中华人民共和国固体废物污染环境防治法》，</w:t>
      </w:r>
      <w:r>
        <w:rPr>
          <w:rFonts w:ascii="Times New Roman" w:hAnsi="Times New Roman" w:cs="Times New Roman"/>
          <w:snapToGrid/>
          <w:color w:val="auto"/>
          <w:sz w:val="24"/>
          <w:szCs w:val="24"/>
          <w:lang w:eastAsia="zh-CN"/>
        </w:rPr>
        <w:t>2020.4.29</w:t>
      </w:r>
      <w:r>
        <w:rPr>
          <w:rFonts w:ascii="Times New Roman" w:hAnsi="Times New Roman"/>
          <w:snapToGrid/>
          <w:color w:val="auto"/>
          <w:sz w:val="24"/>
          <w:szCs w:val="24"/>
          <w:lang w:eastAsia="zh-CN"/>
        </w:rPr>
        <w:t>；</w:t>
      </w:r>
    </w:p>
    <w:p w14:paraId="52E3BB2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7</w:t>
      </w:r>
      <w:r>
        <w:rPr>
          <w:rFonts w:ascii="Times New Roman" w:hAnsi="Times New Roman"/>
          <w:snapToGrid/>
          <w:color w:val="auto"/>
          <w:sz w:val="24"/>
          <w:szCs w:val="24"/>
          <w:lang w:eastAsia="zh-CN"/>
        </w:rPr>
        <w:t>）《中华人民共和国土壤污染防治法》，</w:t>
      </w:r>
      <w:r>
        <w:rPr>
          <w:rFonts w:ascii="Times New Roman" w:hAnsi="Times New Roman" w:cs="Times New Roman"/>
          <w:snapToGrid/>
          <w:color w:val="auto"/>
          <w:sz w:val="24"/>
          <w:szCs w:val="24"/>
          <w:lang w:eastAsia="zh-CN"/>
        </w:rPr>
        <w:t>2019.01.01</w:t>
      </w:r>
      <w:r>
        <w:rPr>
          <w:rFonts w:ascii="Times New Roman" w:hAnsi="Times New Roman"/>
          <w:snapToGrid/>
          <w:color w:val="auto"/>
          <w:sz w:val="24"/>
          <w:szCs w:val="24"/>
          <w:lang w:eastAsia="zh-CN"/>
        </w:rPr>
        <w:t>；</w:t>
      </w:r>
    </w:p>
    <w:p w14:paraId="059076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）《中华人民共和国水法》</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2016</w:t>
      </w:r>
      <w:r>
        <w:rPr>
          <w:rFonts w:ascii="Times New Roman" w:hAnsi="Times New Roman"/>
          <w:snapToGrid/>
          <w:color w:val="auto"/>
          <w:sz w:val="24"/>
          <w:szCs w:val="24"/>
          <w:lang w:eastAsia="zh-CN"/>
        </w:rPr>
        <w:t>年修订</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2016.09.01</w:t>
      </w:r>
      <w:r>
        <w:rPr>
          <w:rFonts w:ascii="Times New Roman" w:hAnsi="Times New Roman"/>
          <w:snapToGrid/>
          <w:color w:val="auto"/>
          <w:sz w:val="24"/>
          <w:szCs w:val="24"/>
          <w:lang w:eastAsia="zh-CN"/>
        </w:rPr>
        <w:t>；</w:t>
      </w:r>
    </w:p>
    <w:p w14:paraId="1220EAD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）《中华人民共和国水土保持法》</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2010</w:t>
      </w:r>
      <w:r>
        <w:rPr>
          <w:rFonts w:ascii="Times New Roman" w:hAnsi="Times New Roman"/>
          <w:snapToGrid/>
          <w:color w:val="auto"/>
          <w:sz w:val="24"/>
          <w:szCs w:val="24"/>
          <w:lang w:eastAsia="zh-CN"/>
        </w:rPr>
        <w:t>年修订</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2011.03.01</w:t>
      </w:r>
      <w:r>
        <w:rPr>
          <w:rFonts w:ascii="Times New Roman" w:hAnsi="Times New Roman"/>
          <w:snapToGrid/>
          <w:color w:val="auto"/>
          <w:sz w:val="24"/>
          <w:szCs w:val="24"/>
          <w:lang w:eastAsia="zh-CN"/>
        </w:rPr>
        <w:t>；</w:t>
      </w:r>
    </w:p>
    <w:p w14:paraId="13DD4DD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）《中华人民共和国清洁生产促进法》，</w:t>
      </w:r>
      <w:r>
        <w:rPr>
          <w:rFonts w:ascii="Times New Roman" w:hAnsi="Times New Roman" w:cs="Times New Roman"/>
          <w:snapToGrid/>
          <w:color w:val="auto"/>
          <w:sz w:val="24"/>
          <w:szCs w:val="24"/>
          <w:lang w:eastAsia="zh-CN"/>
        </w:rPr>
        <w:t>2012.07.01</w:t>
      </w:r>
      <w:r>
        <w:rPr>
          <w:rFonts w:ascii="Times New Roman" w:hAnsi="Times New Roman"/>
          <w:snapToGrid/>
          <w:color w:val="auto"/>
          <w:sz w:val="24"/>
          <w:szCs w:val="24"/>
          <w:lang w:eastAsia="zh-CN"/>
        </w:rPr>
        <w:t>；</w:t>
      </w:r>
    </w:p>
    <w:p w14:paraId="2BFFD28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11</w:t>
      </w:r>
      <w:r>
        <w:rPr>
          <w:rFonts w:ascii="Times New Roman" w:hAnsi="Times New Roman"/>
          <w:snapToGrid/>
          <w:color w:val="auto"/>
          <w:sz w:val="24"/>
          <w:szCs w:val="24"/>
          <w:lang w:eastAsia="zh-CN"/>
        </w:rPr>
        <w:t>）《中华人民共和国节约能源法》</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2018</w:t>
      </w:r>
      <w:r>
        <w:rPr>
          <w:rFonts w:ascii="Times New Roman" w:hAnsi="Times New Roman"/>
          <w:snapToGrid/>
          <w:color w:val="auto"/>
          <w:sz w:val="24"/>
          <w:szCs w:val="24"/>
          <w:lang w:eastAsia="zh-CN"/>
        </w:rPr>
        <w:t>年</w:t>
      </w:r>
      <w:r>
        <w:rPr>
          <w:rFonts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月修订</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p>
    <w:p w14:paraId="103C38F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12</w:t>
      </w:r>
      <w:r>
        <w:rPr>
          <w:rFonts w:ascii="Times New Roman" w:hAnsi="Times New Roman"/>
          <w:snapToGrid/>
          <w:color w:val="auto"/>
          <w:sz w:val="24"/>
          <w:szCs w:val="24"/>
          <w:lang w:eastAsia="zh-CN"/>
        </w:rPr>
        <w:t>）《中华人民共和国循环经济促进法》</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2018</w:t>
      </w:r>
      <w:r>
        <w:rPr>
          <w:rFonts w:ascii="Times New Roman" w:hAnsi="Times New Roman"/>
          <w:snapToGrid/>
          <w:color w:val="auto"/>
          <w:sz w:val="24"/>
          <w:szCs w:val="24"/>
          <w:lang w:eastAsia="zh-CN"/>
        </w:rPr>
        <w:t>年</w:t>
      </w:r>
      <w:r>
        <w:rPr>
          <w:rFonts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月修订</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p>
    <w:p w14:paraId="71625736">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53" w:name="_Toc31027"/>
      <w:bookmarkStart w:id="54" w:name="_Toc32477"/>
      <w:bookmarkStart w:id="55" w:name="_Toc11359"/>
      <w:r>
        <w:rPr>
          <w:rFonts w:hint="eastAsia" w:ascii="Times New Roman" w:hAnsi="Times New Roman" w:eastAsia="宋体" w:cs="Times New Roman"/>
          <w:snapToGrid/>
          <w:color w:val="auto"/>
          <w:lang w:eastAsia="zh-CN"/>
        </w:rPr>
        <w:t>2.1.2行政规范与国务院发布的规范性文件</w:t>
      </w:r>
      <w:bookmarkEnd w:id="53"/>
      <w:bookmarkEnd w:id="54"/>
      <w:bookmarkEnd w:id="55"/>
    </w:p>
    <w:p w14:paraId="64B899A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）《建设项目环境保护管理条例》，国务院令第</w:t>
      </w:r>
      <w:r>
        <w:rPr>
          <w:rFonts w:ascii="Times New Roman" w:hAnsi="Times New Roman" w:cs="Times New Roman"/>
          <w:snapToGrid/>
          <w:color w:val="auto"/>
          <w:sz w:val="24"/>
          <w:szCs w:val="24"/>
          <w:lang w:eastAsia="zh-CN"/>
        </w:rPr>
        <w:t>682</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2017.08.01</w:t>
      </w:r>
      <w:r>
        <w:rPr>
          <w:rFonts w:ascii="Times New Roman" w:hAnsi="Times New Roman"/>
          <w:snapToGrid/>
          <w:color w:val="auto"/>
          <w:sz w:val="24"/>
          <w:szCs w:val="24"/>
          <w:lang w:eastAsia="zh-CN"/>
        </w:rPr>
        <w:t>；</w:t>
      </w:r>
    </w:p>
    <w:p w14:paraId="18EB1F7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）《关于全面加强生态环境保护坚决打好污染防治攻坚战的意见》，中发</w:t>
      </w:r>
      <w:r>
        <w:rPr>
          <w:rFonts w:hint="eastAsia" w:ascii="Times New Roman" w:hAnsi="Times New Roman"/>
          <w:snapToGrid/>
          <w:color w:val="auto"/>
          <w:sz w:val="24"/>
          <w:szCs w:val="24"/>
          <w:lang w:eastAsia="zh-CN"/>
        </w:rPr>
        <w:t>〔2018〕</w:t>
      </w:r>
      <w:r>
        <w:rPr>
          <w:rFonts w:ascii="Times New Roman" w:hAnsi="Times New Roman" w:cs="Times New Roman"/>
          <w:snapToGrid/>
          <w:color w:val="auto"/>
          <w:sz w:val="24"/>
          <w:szCs w:val="24"/>
          <w:lang w:eastAsia="zh-CN"/>
        </w:rPr>
        <w:t>17</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2018.06.16</w:t>
      </w:r>
      <w:r>
        <w:rPr>
          <w:rFonts w:ascii="Times New Roman" w:hAnsi="Times New Roman"/>
          <w:snapToGrid/>
          <w:color w:val="auto"/>
          <w:sz w:val="24"/>
          <w:szCs w:val="24"/>
          <w:lang w:eastAsia="zh-CN"/>
        </w:rPr>
        <w:t>；</w:t>
      </w:r>
    </w:p>
    <w:p w14:paraId="0F23E25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）《国务院关于加强环境保护重点工作的意见》，国发</w:t>
      </w:r>
      <w:r>
        <w:rPr>
          <w:rFonts w:hint="eastAsia" w:ascii="Times New Roman" w:hAnsi="Times New Roman"/>
          <w:snapToGrid/>
          <w:color w:val="auto"/>
          <w:sz w:val="24"/>
          <w:szCs w:val="24"/>
          <w:lang w:eastAsia="zh-CN"/>
        </w:rPr>
        <w:t>〔2011〕</w:t>
      </w:r>
      <w:r>
        <w:rPr>
          <w:rFonts w:ascii="Times New Roman" w:hAnsi="Times New Roman" w:cs="Times New Roman"/>
          <w:snapToGrid/>
          <w:color w:val="auto"/>
          <w:sz w:val="24"/>
          <w:szCs w:val="24"/>
          <w:lang w:eastAsia="zh-CN"/>
        </w:rPr>
        <w:t>35</w:t>
      </w:r>
      <w:r>
        <w:rPr>
          <w:rFonts w:ascii="Times New Roman" w:hAnsi="Times New Roman"/>
          <w:snapToGrid/>
          <w:color w:val="auto"/>
          <w:sz w:val="24"/>
          <w:szCs w:val="24"/>
          <w:lang w:eastAsia="zh-CN"/>
        </w:rPr>
        <w:t>号</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2011.11.17</w:t>
      </w:r>
      <w:r>
        <w:rPr>
          <w:rFonts w:ascii="Times New Roman" w:hAnsi="Times New Roman"/>
          <w:snapToGrid/>
          <w:color w:val="auto"/>
          <w:sz w:val="24"/>
          <w:szCs w:val="24"/>
          <w:lang w:eastAsia="zh-CN"/>
        </w:rPr>
        <w:t>；</w:t>
      </w:r>
    </w:p>
    <w:p w14:paraId="6EAFEF7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中共中央、国务院</w:t>
      </w:r>
      <w:r>
        <w:rPr>
          <w:rFonts w:ascii="Times New Roman" w:hAnsi="Times New Roman"/>
          <w:snapToGrid/>
          <w:color w:val="auto"/>
          <w:sz w:val="24"/>
          <w:szCs w:val="24"/>
          <w:lang w:eastAsia="zh-CN"/>
        </w:rPr>
        <w:t>关于深入打好污染防治攻坚战的意见》</w:t>
      </w:r>
      <w:r>
        <w:rPr>
          <w:rFonts w:hint="eastAsia"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2021.11.2</w:t>
      </w:r>
      <w:r>
        <w:rPr>
          <w:rFonts w:ascii="Times New Roman" w:hAnsi="Times New Roman"/>
          <w:snapToGrid/>
          <w:color w:val="auto"/>
          <w:sz w:val="24"/>
          <w:szCs w:val="24"/>
          <w:lang w:eastAsia="zh-CN"/>
        </w:rPr>
        <w:t>。</w:t>
      </w:r>
    </w:p>
    <w:p w14:paraId="6E826E5C">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56" w:name="_Toc24881"/>
      <w:bookmarkStart w:id="57" w:name="_Toc24782"/>
      <w:bookmarkStart w:id="58" w:name="_Toc27041"/>
      <w:r>
        <w:rPr>
          <w:rFonts w:hint="eastAsia" w:ascii="Times New Roman" w:hAnsi="Times New Roman" w:eastAsia="宋体" w:cs="Times New Roman"/>
          <w:snapToGrid/>
          <w:color w:val="auto"/>
          <w:lang w:eastAsia="zh-CN"/>
        </w:rPr>
        <w:t>2.1.3部门规章与部门发布的规范性文件</w:t>
      </w:r>
      <w:bookmarkEnd w:id="56"/>
      <w:bookmarkEnd w:id="57"/>
      <w:bookmarkEnd w:id="58"/>
    </w:p>
    <w:p w14:paraId="1CD0C03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）《建设项目环境影响评价分类管理名录（</w:t>
      </w:r>
      <w:r>
        <w:rPr>
          <w:rFonts w:ascii="Times New Roman" w:hAnsi="Times New Roman" w:cs="Times New Roman"/>
          <w:snapToGrid/>
          <w:color w:val="auto"/>
          <w:sz w:val="24"/>
          <w:szCs w:val="24"/>
          <w:lang w:eastAsia="zh-CN"/>
        </w:rPr>
        <w:t>2021</w:t>
      </w:r>
      <w:r>
        <w:rPr>
          <w:rFonts w:ascii="Times New Roman" w:hAnsi="Times New Roman"/>
          <w:snapToGrid/>
          <w:color w:val="auto"/>
          <w:sz w:val="24"/>
          <w:szCs w:val="24"/>
          <w:lang w:eastAsia="zh-CN"/>
        </w:rPr>
        <w:t>年版）》，生态环境部令第</w:t>
      </w:r>
      <w:r>
        <w:rPr>
          <w:rFonts w:ascii="Times New Roman" w:hAnsi="Times New Roman" w:cs="Times New Roman"/>
          <w:snapToGrid/>
          <w:color w:val="auto"/>
          <w:sz w:val="24"/>
          <w:szCs w:val="24"/>
          <w:lang w:eastAsia="zh-CN"/>
        </w:rPr>
        <w:t>16</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2020.11.30</w:t>
      </w:r>
      <w:r>
        <w:rPr>
          <w:rFonts w:ascii="Times New Roman" w:hAnsi="Times New Roman"/>
          <w:snapToGrid/>
          <w:color w:val="auto"/>
          <w:sz w:val="24"/>
          <w:szCs w:val="24"/>
          <w:lang w:eastAsia="zh-CN"/>
        </w:rPr>
        <w:t>；</w:t>
      </w:r>
    </w:p>
    <w:p w14:paraId="0F6B2DD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）《建设项目竣工环境保护验收暂行办法》，国环规环评</w:t>
      </w:r>
      <w:r>
        <w:rPr>
          <w:rFonts w:hint="eastAsia" w:ascii="Times New Roman" w:hAnsi="Times New Roman"/>
          <w:snapToGrid/>
          <w:color w:val="auto"/>
          <w:sz w:val="24"/>
          <w:szCs w:val="24"/>
          <w:lang w:eastAsia="zh-CN"/>
        </w:rPr>
        <w:t>〔2017〕</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2017.11.22</w:t>
      </w:r>
      <w:r>
        <w:rPr>
          <w:rFonts w:ascii="Times New Roman" w:hAnsi="Times New Roman"/>
          <w:snapToGrid/>
          <w:color w:val="auto"/>
          <w:sz w:val="24"/>
          <w:szCs w:val="24"/>
          <w:lang w:eastAsia="zh-CN"/>
        </w:rPr>
        <w:t>；</w:t>
      </w:r>
    </w:p>
    <w:p w14:paraId="1DCA507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）《关于切实加强环境影响评价管理防范环境风险的通知》，环发</w:t>
      </w:r>
      <w:r>
        <w:rPr>
          <w:rFonts w:hint="eastAsia" w:ascii="Times New Roman" w:hAnsi="Times New Roman"/>
          <w:snapToGrid/>
          <w:color w:val="auto"/>
          <w:sz w:val="24"/>
          <w:szCs w:val="24"/>
          <w:lang w:eastAsia="zh-CN"/>
        </w:rPr>
        <w:t>〔2012〕</w:t>
      </w:r>
      <w:bookmarkStart w:id="59" w:name="_Toc13373"/>
      <w:bookmarkStart w:id="60" w:name="_Toc19163"/>
      <w:bookmarkStart w:id="61" w:name="_Toc12826"/>
      <w:r>
        <w:rPr>
          <w:rFonts w:ascii="Times New Roman" w:hAnsi="Times New Roman" w:cs="Times New Roman"/>
          <w:snapToGrid/>
          <w:color w:val="auto"/>
          <w:sz w:val="24"/>
          <w:szCs w:val="24"/>
          <w:lang w:eastAsia="zh-CN"/>
        </w:rPr>
        <w:t>77</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2012.7.3</w:t>
      </w:r>
      <w:r>
        <w:rPr>
          <w:rFonts w:ascii="Times New Roman" w:hAnsi="Times New Roman"/>
          <w:snapToGrid/>
          <w:color w:val="auto"/>
          <w:sz w:val="24"/>
          <w:szCs w:val="24"/>
          <w:lang w:eastAsia="zh-CN"/>
        </w:rPr>
        <w:t>；</w:t>
      </w:r>
      <w:bookmarkEnd w:id="59"/>
      <w:bookmarkEnd w:id="60"/>
      <w:bookmarkEnd w:id="61"/>
    </w:p>
    <w:p w14:paraId="757EE53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）关于印发《企业事业单位突发环境事件应急预案备案管理办法（试行）》，环发</w:t>
      </w:r>
      <w:r>
        <w:rPr>
          <w:rFonts w:hint="eastAsia" w:ascii="Times New Roman" w:hAnsi="Times New Roman"/>
          <w:snapToGrid/>
          <w:color w:val="auto"/>
          <w:sz w:val="24"/>
          <w:szCs w:val="24"/>
          <w:lang w:eastAsia="zh-CN"/>
        </w:rPr>
        <w:t>〔2015〕</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2015.1.9</w:t>
      </w:r>
      <w:r>
        <w:rPr>
          <w:rFonts w:ascii="Times New Roman" w:hAnsi="Times New Roman"/>
          <w:snapToGrid/>
          <w:color w:val="auto"/>
          <w:sz w:val="24"/>
          <w:szCs w:val="24"/>
          <w:lang w:eastAsia="zh-CN"/>
        </w:rPr>
        <w:t>；</w:t>
      </w:r>
    </w:p>
    <w:p w14:paraId="202D2B7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）《关于进一步加强建设项目环境保护管理工作的通知》，环发</w:t>
      </w:r>
      <w:r>
        <w:rPr>
          <w:rFonts w:hint="eastAsia" w:ascii="Times New Roman" w:hAnsi="Times New Roman"/>
          <w:snapToGrid/>
          <w:color w:val="auto"/>
          <w:sz w:val="24"/>
          <w:szCs w:val="24"/>
          <w:lang w:eastAsia="zh-CN"/>
        </w:rPr>
        <w:t>〔2001〕</w:t>
      </w:r>
      <w:bookmarkStart w:id="62" w:name="_Toc27893"/>
      <w:bookmarkStart w:id="63" w:name="_Toc4450"/>
      <w:bookmarkStart w:id="64" w:name="_Toc5507"/>
      <w:bookmarkStart w:id="65" w:name="_Toc21021"/>
      <w:r>
        <w:rPr>
          <w:rFonts w:ascii="Times New Roman" w:hAnsi="Times New Roman" w:cs="Times New Roman"/>
          <w:snapToGrid/>
          <w:color w:val="auto"/>
          <w:sz w:val="24"/>
          <w:szCs w:val="24"/>
          <w:lang w:eastAsia="zh-CN"/>
        </w:rPr>
        <w:t>19</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2001.2.21</w:t>
      </w:r>
      <w:r>
        <w:rPr>
          <w:rFonts w:ascii="Times New Roman" w:hAnsi="Times New Roman"/>
          <w:snapToGrid/>
          <w:color w:val="auto"/>
          <w:sz w:val="24"/>
          <w:szCs w:val="24"/>
          <w:lang w:eastAsia="zh-CN"/>
        </w:rPr>
        <w:t>；</w:t>
      </w:r>
      <w:bookmarkEnd w:id="62"/>
      <w:bookmarkEnd w:id="63"/>
      <w:bookmarkEnd w:id="64"/>
      <w:bookmarkEnd w:id="65"/>
    </w:p>
    <w:p w14:paraId="47140303">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6</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《环境影响评价公众参与办法》（生态环境部 部令 第4号，2019年1月1日）</w:t>
      </w:r>
      <w:r>
        <w:rPr>
          <w:rFonts w:hint="eastAsia"/>
          <w:color w:val="auto"/>
          <w:lang w:eastAsia="zh-CN"/>
        </w:rPr>
        <w:t>；</w:t>
      </w:r>
    </w:p>
    <w:p w14:paraId="65C46D3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7</w:t>
      </w:r>
      <w:r>
        <w:rPr>
          <w:rFonts w:ascii="Times New Roman" w:hAnsi="Times New Roman"/>
          <w:snapToGrid/>
          <w:color w:val="auto"/>
          <w:sz w:val="24"/>
          <w:szCs w:val="24"/>
          <w:lang w:eastAsia="zh-CN"/>
        </w:rPr>
        <w:t>）《关于切实加强风险防范严格环境影响评价管理的通知》，环发</w:t>
      </w:r>
      <w:r>
        <w:rPr>
          <w:rFonts w:hint="eastAsia" w:ascii="Times New Roman" w:hAnsi="Times New Roman"/>
          <w:snapToGrid/>
          <w:color w:val="auto"/>
          <w:sz w:val="24"/>
          <w:szCs w:val="24"/>
          <w:lang w:eastAsia="zh-CN"/>
        </w:rPr>
        <w:t>〔2012〕</w:t>
      </w:r>
      <w:bookmarkStart w:id="66" w:name="_Toc5393"/>
      <w:bookmarkStart w:id="67" w:name="_Toc23845"/>
      <w:bookmarkStart w:id="68" w:name="_Toc28698"/>
      <w:bookmarkStart w:id="69" w:name="_Toc19239"/>
      <w:r>
        <w:rPr>
          <w:rFonts w:ascii="Times New Roman" w:hAnsi="Times New Roman" w:cs="Times New Roman"/>
          <w:snapToGrid/>
          <w:color w:val="auto"/>
          <w:sz w:val="24"/>
          <w:szCs w:val="24"/>
          <w:lang w:eastAsia="zh-CN"/>
        </w:rPr>
        <w:t>98</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2012.08.07</w:t>
      </w:r>
      <w:r>
        <w:rPr>
          <w:rFonts w:ascii="Times New Roman" w:hAnsi="Times New Roman"/>
          <w:snapToGrid/>
          <w:color w:val="auto"/>
          <w:sz w:val="24"/>
          <w:szCs w:val="24"/>
          <w:lang w:eastAsia="zh-CN"/>
        </w:rPr>
        <w:t>；</w:t>
      </w:r>
      <w:bookmarkEnd w:id="66"/>
      <w:bookmarkEnd w:id="67"/>
      <w:bookmarkEnd w:id="68"/>
      <w:bookmarkEnd w:id="69"/>
    </w:p>
    <w:p w14:paraId="3B9EE31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）《关于以改善环境质量为核心加强环境影响评价管理工作》，环评</w:t>
      </w:r>
      <w:r>
        <w:rPr>
          <w:rFonts w:hint="eastAsia" w:ascii="Times New Roman" w:hAnsi="Times New Roman"/>
          <w:snapToGrid/>
          <w:color w:val="auto"/>
          <w:sz w:val="24"/>
          <w:szCs w:val="24"/>
          <w:lang w:eastAsia="zh-CN"/>
        </w:rPr>
        <w:t>〔2016〕</w:t>
      </w:r>
      <w:r>
        <w:rPr>
          <w:rFonts w:ascii="Times New Roman" w:hAnsi="Times New Roman" w:cs="Times New Roman"/>
          <w:snapToGrid/>
          <w:color w:val="auto"/>
          <w:sz w:val="24"/>
          <w:szCs w:val="24"/>
          <w:lang w:eastAsia="zh-CN"/>
        </w:rPr>
        <w:t>150</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2016.10.27</w:t>
      </w:r>
      <w:r>
        <w:rPr>
          <w:rFonts w:ascii="Times New Roman" w:hAnsi="Times New Roman"/>
          <w:snapToGrid/>
          <w:color w:val="auto"/>
          <w:sz w:val="24"/>
          <w:szCs w:val="24"/>
          <w:lang w:eastAsia="zh-CN"/>
        </w:rPr>
        <w:t>；</w:t>
      </w:r>
    </w:p>
    <w:p w14:paraId="597B032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）《关于加强资源环境生态红线管控的指导意见》，发改委等</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部委发改环资</w:t>
      </w:r>
      <w:r>
        <w:rPr>
          <w:rFonts w:hint="eastAsia" w:ascii="Times New Roman" w:hAnsi="Times New Roman"/>
          <w:snapToGrid/>
          <w:color w:val="auto"/>
          <w:sz w:val="24"/>
          <w:szCs w:val="24"/>
          <w:lang w:eastAsia="zh-CN"/>
        </w:rPr>
        <w:t>〔2016〕</w:t>
      </w:r>
      <w:r>
        <w:rPr>
          <w:rFonts w:ascii="Times New Roman" w:hAnsi="Times New Roman" w:cs="Times New Roman"/>
          <w:snapToGrid/>
          <w:color w:val="auto"/>
          <w:sz w:val="24"/>
          <w:szCs w:val="24"/>
          <w:lang w:eastAsia="zh-CN"/>
        </w:rPr>
        <w:t>1162</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2016.05.30</w:t>
      </w:r>
      <w:r>
        <w:rPr>
          <w:rFonts w:ascii="Times New Roman" w:hAnsi="Times New Roman"/>
          <w:snapToGrid/>
          <w:color w:val="auto"/>
          <w:sz w:val="24"/>
          <w:szCs w:val="24"/>
          <w:lang w:eastAsia="zh-CN"/>
        </w:rPr>
        <w:t>；</w:t>
      </w:r>
    </w:p>
    <w:p w14:paraId="5F35F86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（10）《环境影响评价公众参与办法》，生态环境部令第</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2019.01.01</w:t>
      </w:r>
      <w:r>
        <w:rPr>
          <w:rFonts w:ascii="Times New Roman" w:hAnsi="Times New Roman"/>
          <w:snapToGrid/>
          <w:color w:val="auto"/>
          <w:sz w:val="24"/>
          <w:szCs w:val="24"/>
          <w:lang w:eastAsia="zh-CN"/>
        </w:rPr>
        <w:t>；</w:t>
      </w:r>
    </w:p>
    <w:p w14:paraId="3486F7C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11</w:t>
      </w:r>
      <w:r>
        <w:rPr>
          <w:rFonts w:ascii="Times New Roman" w:hAnsi="Times New Roman"/>
          <w:snapToGrid/>
          <w:color w:val="auto"/>
          <w:sz w:val="24"/>
          <w:szCs w:val="24"/>
          <w:lang w:eastAsia="zh-CN"/>
        </w:rPr>
        <w:t>）《一般固体废物分类与代码》（</w:t>
      </w:r>
      <w:r>
        <w:rPr>
          <w:rFonts w:ascii="Times New Roman" w:hAnsi="Times New Roman" w:cs="Times New Roman"/>
          <w:snapToGrid/>
          <w:color w:val="auto"/>
          <w:sz w:val="24"/>
          <w:szCs w:val="24"/>
          <w:lang w:eastAsia="zh-CN"/>
        </w:rPr>
        <w:t>GBT39198-2020</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2021.05.01</w:t>
      </w:r>
      <w:r>
        <w:rPr>
          <w:rFonts w:ascii="Times New Roman" w:hAnsi="Times New Roman"/>
          <w:snapToGrid/>
          <w:color w:val="auto"/>
          <w:sz w:val="24"/>
          <w:szCs w:val="24"/>
          <w:lang w:eastAsia="zh-CN"/>
        </w:rPr>
        <w:t>；</w:t>
      </w:r>
    </w:p>
    <w:p w14:paraId="38DBA8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《国家危险废物名（2025年版）》</w:t>
      </w:r>
      <w:r>
        <w:rPr>
          <w:rFonts w:ascii="Times New Roman" w:hAnsi="Times New Roman"/>
          <w:snapToGrid/>
          <w:color w:val="auto"/>
          <w:sz w:val="24"/>
          <w:szCs w:val="24"/>
          <w:lang w:eastAsia="zh-CN"/>
        </w:rPr>
        <w:t>，部令第</w:t>
      </w:r>
      <w:r>
        <w:rPr>
          <w:rFonts w:ascii="Times New Roman" w:hAnsi="Times New Roman" w:cs="Times New Roman"/>
          <w:snapToGrid/>
          <w:color w:val="auto"/>
          <w:sz w:val="24"/>
          <w:szCs w:val="24"/>
          <w:lang w:eastAsia="zh-CN"/>
        </w:rPr>
        <w:t>15</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202</w:t>
      </w:r>
      <w:r>
        <w:rPr>
          <w:rFonts w:hint="eastAsia" w:ascii="Times New Roman" w:hAnsi="Times New Roman" w:cs="Times New Roman"/>
          <w:snapToGrid/>
          <w:color w:val="auto"/>
          <w:sz w:val="24"/>
          <w:szCs w:val="24"/>
          <w:lang w:val="en-US" w:eastAsia="zh-CN"/>
        </w:rPr>
        <w:t>5</w:t>
      </w:r>
      <w:r>
        <w:rPr>
          <w:rFonts w:ascii="Times New Roman" w:hAnsi="Times New Roman" w:cs="Times New Roman"/>
          <w:snapToGrid/>
          <w:color w:val="auto"/>
          <w:sz w:val="24"/>
          <w:szCs w:val="24"/>
          <w:lang w:eastAsia="zh-CN"/>
        </w:rPr>
        <w:t>.01.01</w:t>
      </w:r>
      <w:r>
        <w:rPr>
          <w:rFonts w:ascii="Times New Roman" w:hAnsi="Times New Roman"/>
          <w:snapToGrid/>
          <w:color w:val="auto"/>
          <w:sz w:val="24"/>
          <w:szCs w:val="24"/>
          <w:lang w:eastAsia="zh-CN"/>
        </w:rPr>
        <w:t>；</w:t>
      </w:r>
    </w:p>
    <w:p w14:paraId="5DE53DA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70" w:name="_Toc22141"/>
      <w:bookmarkStart w:id="71" w:name="_Toc16886"/>
      <w:bookmarkStart w:id="72" w:name="_Toc30540"/>
      <w:bookmarkStart w:id="73" w:name="_Toc16073"/>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13</w:t>
      </w:r>
      <w:r>
        <w:rPr>
          <w:rFonts w:ascii="Times New Roman" w:hAnsi="Times New Roman"/>
          <w:snapToGrid/>
          <w:color w:val="auto"/>
          <w:sz w:val="24"/>
          <w:szCs w:val="24"/>
          <w:lang w:eastAsia="zh-CN"/>
        </w:rPr>
        <w:t>）《再生资源回收管理办法》，</w:t>
      </w:r>
      <w:r>
        <w:rPr>
          <w:rFonts w:ascii="Times New Roman" w:hAnsi="Times New Roman" w:cs="Times New Roman"/>
          <w:snapToGrid/>
          <w:color w:val="auto"/>
          <w:sz w:val="24"/>
          <w:szCs w:val="24"/>
          <w:lang w:eastAsia="zh-CN"/>
        </w:rPr>
        <w:t>2007.05.01</w:t>
      </w:r>
      <w:r>
        <w:rPr>
          <w:rFonts w:ascii="Times New Roman" w:hAnsi="Times New Roman"/>
          <w:snapToGrid/>
          <w:color w:val="auto"/>
          <w:sz w:val="24"/>
          <w:szCs w:val="24"/>
          <w:lang w:eastAsia="zh-CN"/>
        </w:rPr>
        <w:t>；</w:t>
      </w:r>
      <w:bookmarkEnd w:id="70"/>
      <w:bookmarkEnd w:id="71"/>
      <w:bookmarkEnd w:id="72"/>
      <w:bookmarkEnd w:id="73"/>
    </w:p>
    <w:p w14:paraId="3E7A946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14</w:t>
      </w:r>
      <w:r>
        <w:rPr>
          <w:rFonts w:ascii="Times New Roman" w:hAnsi="Times New Roman"/>
          <w:snapToGrid/>
          <w:color w:val="auto"/>
          <w:sz w:val="24"/>
          <w:szCs w:val="24"/>
          <w:lang w:eastAsia="zh-CN"/>
        </w:rPr>
        <w:t>）《废塑料加工利用污染防治管理规定》，</w:t>
      </w:r>
      <w:r>
        <w:rPr>
          <w:rFonts w:ascii="Times New Roman" w:hAnsi="Times New Roman" w:cs="Times New Roman"/>
          <w:snapToGrid/>
          <w:color w:val="auto"/>
          <w:sz w:val="24"/>
          <w:szCs w:val="24"/>
          <w:lang w:eastAsia="zh-CN"/>
        </w:rPr>
        <w:t>2012.10.1</w:t>
      </w:r>
      <w:r>
        <w:rPr>
          <w:rFonts w:ascii="Times New Roman" w:hAnsi="Times New Roman"/>
          <w:snapToGrid/>
          <w:color w:val="auto"/>
          <w:sz w:val="24"/>
          <w:szCs w:val="24"/>
          <w:lang w:eastAsia="zh-CN"/>
        </w:rPr>
        <w:t>。</w:t>
      </w:r>
    </w:p>
    <w:p w14:paraId="7F9BBC08">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74" w:name="_Toc17866"/>
      <w:bookmarkStart w:id="75" w:name="_Toc25606"/>
      <w:bookmarkStart w:id="76" w:name="_Toc27748"/>
      <w:r>
        <w:rPr>
          <w:rFonts w:hint="eastAsia" w:ascii="Times New Roman" w:hAnsi="Times New Roman" w:eastAsia="宋体" w:cs="Times New Roman"/>
          <w:snapToGrid/>
          <w:color w:val="auto"/>
          <w:lang w:eastAsia="zh-CN"/>
        </w:rPr>
        <w:t>2.1.4产业及行业政策</w:t>
      </w:r>
      <w:bookmarkEnd w:id="74"/>
      <w:bookmarkEnd w:id="75"/>
      <w:bookmarkEnd w:id="76"/>
    </w:p>
    <w:p w14:paraId="14897AD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77" w:name="_Toc14931"/>
      <w:r>
        <w:rPr>
          <w:rFonts w:ascii="Times New Roman" w:hAnsi="Times New Roman"/>
          <w:snapToGrid/>
          <w:color w:val="auto"/>
          <w:sz w:val="24"/>
          <w:szCs w:val="24"/>
          <w:lang w:eastAsia="zh-CN"/>
        </w:rPr>
        <w:t>（1）《产业结构调整指导目录（</w:t>
      </w:r>
      <w:r>
        <w:rPr>
          <w:rFonts w:hint="eastAsia" w:ascii="Times New Roman" w:hAnsi="Times New Roman"/>
          <w:snapToGrid/>
          <w:color w:val="auto"/>
          <w:sz w:val="24"/>
          <w:szCs w:val="24"/>
          <w:lang w:eastAsia="zh-CN"/>
        </w:rPr>
        <w:t>2024</w:t>
      </w:r>
      <w:r>
        <w:rPr>
          <w:rFonts w:ascii="Times New Roman" w:hAnsi="Times New Roman"/>
          <w:snapToGrid/>
          <w:color w:val="auto"/>
          <w:sz w:val="24"/>
          <w:szCs w:val="24"/>
          <w:lang w:eastAsia="zh-CN"/>
        </w:rPr>
        <w:t>年版）》；</w:t>
      </w:r>
      <w:bookmarkEnd w:id="77"/>
    </w:p>
    <w:p w14:paraId="793A4E5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w:t>
      </w:r>
      <w:r>
        <w:rPr>
          <w:rFonts w:hint="eastAsia" w:ascii="Times New Roman" w:hAnsi="Times New Roman"/>
          <w:snapToGrid/>
          <w:color w:val="auto"/>
          <w:sz w:val="24"/>
          <w:szCs w:val="24"/>
          <w:lang w:eastAsia="zh-CN"/>
        </w:rPr>
        <w:t>国务院关于印发“十四五”节能减排综合工作方案的通知</w:t>
      </w:r>
      <w:r>
        <w:rPr>
          <w:rFonts w:ascii="Times New Roman" w:hAnsi="Times New Roman"/>
          <w:snapToGrid/>
          <w:color w:val="auto"/>
          <w:sz w:val="24"/>
          <w:szCs w:val="24"/>
          <w:lang w:eastAsia="zh-CN"/>
        </w:rPr>
        <w:t>》，</w:t>
      </w:r>
      <w:bookmarkStart w:id="78" w:name="_Toc3816"/>
      <w:bookmarkStart w:id="79" w:name="_Toc9700"/>
      <w:r>
        <w:rPr>
          <w:rFonts w:ascii="Times New Roman" w:hAnsi="Times New Roman"/>
          <w:snapToGrid/>
          <w:color w:val="auto"/>
          <w:sz w:val="24"/>
          <w:szCs w:val="24"/>
          <w:lang w:eastAsia="zh-CN"/>
        </w:rPr>
        <w:t>国发〔2021〕33号；</w:t>
      </w:r>
      <w:bookmarkEnd w:id="78"/>
      <w:bookmarkEnd w:id="79"/>
    </w:p>
    <w:p w14:paraId="4CDD31D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（3）《挥发性有机物（VOCs）污染防治技术政策》，</w:t>
      </w:r>
      <w:r>
        <w:rPr>
          <w:rFonts w:hint="eastAsia" w:ascii="Times New Roman" w:hAnsi="Times New Roman"/>
          <w:snapToGrid/>
          <w:color w:val="auto"/>
          <w:sz w:val="24"/>
          <w:szCs w:val="24"/>
          <w:lang w:val="en-US" w:eastAsia="zh-CN"/>
        </w:rPr>
        <w:t>生态环境部</w:t>
      </w:r>
      <w:r>
        <w:rPr>
          <w:rFonts w:ascii="Times New Roman" w:hAnsi="Times New Roman"/>
          <w:snapToGrid/>
          <w:color w:val="auto"/>
          <w:sz w:val="24"/>
          <w:szCs w:val="24"/>
          <w:lang w:eastAsia="zh-CN"/>
        </w:rPr>
        <w:t>2013年第31号，2007.12.01；</w:t>
      </w:r>
    </w:p>
    <w:p w14:paraId="5CCD8F8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（4）《挥发性有机物无组织排放控制标准》（GB37822-2019），2019.07.01；</w:t>
      </w:r>
    </w:p>
    <w:p w14:paraId="5507C4A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0" w:name="bookmark58"/>
      <w:bookmarkEnd w:id="80"/>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）《废塑料综合利用行业规范条件》，中华人民共和国</w:t>
      </w:r>
      <w:r>
        <w:rPr>
          <w:rFonts w:hint="eastAsia" w:ascii="Times New Roman" w:hAnsi="Times New Roman"/>
          <w:snapToGrid/>
          <w:color w:val="auto"/>
          <w:sz w:val="24"/>
          <w:szCs w:val="24"/>
          <w:lang w:eastAsia="zh-CN"/>
        </w:rPr>
        <w:t>工业和信息化部</w:t>
      </w:r>
      <w:r>
        <w:rPr>
          <w:rFonts w:ascii="Times New Roman" w:hAnsi="Times New Roman"/>
          <w:snapToGrid/>
          <w:color w:val="auto"/>
          <w:sz w:val="24"/>
          <w:szCs w:val="24"/>
          <w:lang w:eastAsia="zh-CN"/>
        </w:rPr>
        <w:t>公告</w:t>
      </w:r>
      <w:r>
        <w:rPr>
          <w:rFonts w:ascii="Times New Roman" w:hAnsi="Times New Roman" w:cs="Times New Roman"/>
          <w:snapToGrid/>
          <w:color w:val="auto"/>
          <w:sz w:val="24"/>
          <w:szCs w:val="24"/>
          <w:lang w:eastAsia="zh-CN"/>
        </w:rPr>
        <w:t>2015</w:t>
      </w:r>
      <w:r>
        <w:rPr>
          <w:rFonts w:ascii="Times New Roman" w:hAnsi="Times New Roman"/>
          <w:snapToGrid/>
          <w:color w:val="auto"/>
          <w:sz w:val="24"/>
          <w:szCs w:val="24"/>
          <w:lang w:eastAsia="zh-CN"/>
        </w:rPr>
        <w:t>年第</w:t>
      </w:r>
      <w:r>
        <w:rPr>
          <w:rFonts w:ascii="Times New Roman" w:hAnsi="Times New Roman" w:cs="Times New Roman"/>
          <w:snapToGrid/>
          <w:color w:val="auto"/>
          <w:sz w:val="24"/>
          <w:szCs w:val="24"/>
          <w:lang w:eastAsia="zh-CN"/>
        </w:rPr>
        <w:t>81</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2013.11.18</w:t>
      </w:r>
      <w:r>
        <w:rPr>
          <w:rFonts w:ascii="Times New Roman" w:hAnsi="Times New Roman"/>
          <w:snapToGrid/>
          <w:color w:val="auto"/>
          <w:sz w:val="24"/>
          <w:szCs w:val="24"/>
          <w:lang w:eastAsia="zh-CN"/>
        </w:rPr>
        <w:t>；</w:t>
      </w:r>
    </w:p>
    <w:p w14:paraId="2610CEC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6</w:t>
      </w:r>
      <w:r>
        <w:rPr>
          <w:rFonts w:ascii="Times New Roman" w:hAnsi="Times New Roman"/>
          <w:snapToGrid/>
          <w:color w:val="auto"/>
          <w:sz w:val="24"/>
          <w:szCs w:val="24"/>
          <w:lang w:eastAsia="zh-CN"/>
        </w:rPr>
        <w:t>）《废塑料污染控制技术规范》（</w:t>
      </w:r>
      <w:r>
        <w:rPr>
          <w:rFonts w:ascii="Times New Roman" w:hAnsi="Times New Roman" w:cs="Times New Roman"/>
          <w:snapToGrid/>
          <w:color w:val="auto"/>
          <w:sz w:val="24"/>
          <w:szCs w:val="24"/>
          <w:lang w:eastAsia="zh-CN"/>
        </w:rPr>
        <w:t>HJ364-2022</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2022.05.31</w:t>
      </w:r>
      <w:r>
        <w:rPr>
          <w:rFonts w:ascii="Times New Roman" w:hAnsi="Times New Roman"/>
          <w:snapToGrid/>
          <w:color w:val="auto"/>
          <w:sz w:val="24"/>
          <w:szCs w:val="24"/>
          <w:lang w:eastAsia="zh-CN"/>
        </w:rPr>
        <w:t>；</w:t>
      </w:r>
    </w:p>
    <w:p w14:paraId="6DD98F64">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7</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《关于印发〈重点行业挥发性有机物综合治理方案〉的通知》（环大气〔2019〕53号）</w:t>
      </w:r>
      <w:r>
        <w:rPr>
          <w:rFonts w:hint="eastAsia"/>
          <w:color w:val="auto"/>
          <w:lang w:eastAsia="zh-CN"/>
        </w:rPr>
        <w:t>；</w:t>
      </w:r>
    </w:p>
    <w:p w14:paraId="4E5EED2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）《关于进一步加强塑料污染治理的意见》，发改环资</w:t>
      </w:r>
      <w:r>
        <w:rPr>
          <w:rFonts w:hint="eastAsia" w:ascii="Times New Roman" w:hAnsi="Times New Roman"/>
          <w:snapToGrid/>
          <w:color w:val="auto"/>
          <w:sz w:val="24"/>
          <w:szCs w:val="24"/>
          <w:lang w:eastAsia="zh-CN"/>
        </w:rPr>
        <w:t>〔2020〕</w:t>
      </w:r>
      <w:r>
        <w:rPr>
          <w:rFonts w:ascii="Times New Roman" w:hAnsi="Times New Roman" w:cs="Times New Roman"/>
          <w:snapToGrid/>
          <w:color w:val="auto"/>
          <w:sz w:val="24"/>
          <w:szCs w:val="24"/>
          <w:lang w:eastAsia="zh-CN"/>
        </w:rPr>
        <w:t>80</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2020.01.16</w:t>
      </w:r>
      <w:r>
        <w:rPr>
          <w:rFonts w:ascii="Times New Roman" w:hAnsi="Times New Roman"/>
          <w:snapToGrid/>
          <w:color w:val="auto"/>
          <w:sz w:val="24"/>
          <w:szCs w:val="24"/>
          <w:lang w:eastAsia="zh-CN"/>
        </w:rPr>
        <w:t>；</w:t>
      </w:r>
    </w:p>
    <w:p w14:paraId="2ABC0A4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）《废塑料加工利用污染防治管理规定》，</w:t>
      </w:r>
      <w:r>
        <w:rPr>
          <w:rFonts w:hint="eastAsia" w:ascii="Times New Roman" w:hAnsi="Times New Roman"/>
          <w:snapToGrid/>
          <w:color w:val="auto"/>
          <w:sz w:val="24"/>
          <w:szCs w:val="24"/>
          <w:lang w:val="en-US" w:eastAsia="zh-CN"/>
        </w:rPr>
        <w:t>生态环境部</w:t>
      </w:r>
      <w:r>
        <w:rPr>
          <w:rFonts w:ascii="Times New Roman" w:hAnsi="Times New Roman"/>
          <w:snapToGrid/>
          <w:color w:val="auto"/>
          <w:sz w:val="24"/>
          <w:szCs w:val="24"/>
          <w:lang w:eastAsia="zh-CN"/>
        </w:rPr>
        <w:t>发展改革委商务部，</w:t>
      </w:r>
      <w:r>
        <w:rPr>
          <w:rFonts w:ascii="Times New Roman" w:hAnsi="Times New Roman" w:cs="Times New Roman"/>
          <w:snapToGrid/>
          <w:color w:val="auto"/>
          <w:sz w:val="24"/>
          <w:szCs w:val="24"/>
          <w:lang w:eastAsia="zh-CN"/>
        </w:rPr>
        <w:t>2012.10.01</w:t>
      </w:r>
      <w:r>
        <w:rPr>
          <w:rFonts w:ascii="Times New Roman" w:hAnsi="Times New Roman"/>
          <w:snapToGrid/>
          <w:color w:val="auto"/>
          <w:sz w:val="24"/>
          <w:szCs w:val="24"/>
          <w:lang w:eastAsia="zh-CN"/>
        </w:rPr>
        <w:t>；</w:t>
      </w:r>
    </w:p>
    <w:p w14:paraId="0AE3AA0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1" w:name="_Toc31904"/>
      <w:bookmarkStart w:id="82" w:name="_Toc14255"/>
      <w:bookmarkStart w:id="83" w:name="_Toc5573"/>
      <w:bookmarkStart w:id="84" w:name="_Toc13229"/>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）《挥发性有机物治理实用手册》，生态环境部大气环境司；</w:t>
      </w:r>
      <w:bookmarkEnd w:id="81"/>
      <w:bookmarkEnd w:id="82"/>
      <w:bookmarkEnd w:id="83"/>
      <w:bookmarkEnd w:id="84"/>
    </w:p>
    <w:p w14:paraId="5AFE8CA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11</w:t>
      </w:r>
      <w:r>
        <w:rPr>
          <w:rFonts w:ascii="Times New Roman" w:hAnsi="Times New Roman"/>
          <w:snapToGrid/>
          <w:color w:val="auto"/>
          <w:sz w:val="24"/>
          <w:szCs w:val="24"/>
          <w:lang w:eastAsia="zh-CN"/>
        </w:rPr>
        <w:t>）《关于加快解决当前挥发性有机物治理突出问题的通知》，环大气</w:t>
      </w:r>
      <w:r>
        <w:rPr>
          <w:rFonts w:hint="eastAsia" w:ascii="Times New Roman" w:hAnsi="Times New Roman"/>
          <w:snapToGrid/>
          <w:color w:val="auto"/>
          <w:sz w:val="24"/>
          <w:szCs w:val="24"/>
          <w:lang w:eastAsia="zh-CN"/>
        </w:rPr>
        <w:t>〔2021〕</w:t>
      </w:r>
      <w:bookmarkStart w:id="85" w:name="_Toc17310"/>
      <w:bookmarkStart w:id="86" w:name="_Toc1801"/>
      <w:r>
        <w:rPr>
          <w:rFonts w:ascii="Times New Roman" w:hAnsi="Times New Roman" w:cs="Times New Roman"/>
          <w:snapToGrid/>
          <w:color w:val="auto"/>
          <w:sz w:val="24"/>
          <w:szCs w:val="24"/>
          <w:lang w:eastAsia="zh-CN"/>
        </w:rPr>
        <w:t>65</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2019.12.01</w:t>
      </w:r>
      <w:r>
        <w:rPr>
          <w:rFonts w:ascii="Times New Roman" w:hAnsi="Times New Roman"/>
          <w:snapToGrid/>
          <w:color w:val="auto"/>
          <w:sz w:val="24"/>
          <w:szCs w:val="24"/>
          <w:lang w:eastAsia="zh-CN"/>
        </w:rPr>
        <w:t>；</w:t>
      </w:r>
      <w:bookmarkEnd w:id="85"/>
      <w:bookmarkEnd w:id="86"/>
    </w:p>
    <w:p w14:paraId="7266F91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12</w:t>
      </w:r>
      <w:r>
        <w:rPr>
          <w:rFonts w:ascii="Times New Roman" w:hAnsi="Times New Roman"/>
          <w:snapToGrid/>
          <w:color w:val="auto"/>
          <w:sz w:val="24"/>
          <w:szCs w:val="24"/>
          <w:lang w:eastAsia="zh-CN"/>
        </w:rPr>
        <w:t>）《废塑料再生利用技术规范》（</w:t>
      </w:r>
      <w:r>
        <w:rPr>
          <w:rFonts w:ascii="Times New Roman" w:hAnsi="Times New Roman" w:cs="Times New Roman"/>
          <w:snapToGrid/>
          <w:color w:val="auto"/>
          <w:sz w:val="24"/>
          <w:szCs w:val="24"/>
          <w:lang w:eastAsia="zh-CN"/>
        </w:rPr>
        <w:t>GB/T37821-2019</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2019.12.01</w:t>
      </w:r>
      <w:r>
        <w:rPr>
          <w:rFonts w:hint="eastAsia" w:ascii="Times New Roman" w:hAnsi="Times New Roman" w:cs="Times New Roman"/>
          <w:snapToGrid/>
          <w:color w:val="auto"/>
          <w:sz w:val="24"/>
          <w:szCs w:val="24"/>
          <w:lang w:eastAsia="zh-CN"/>
        </w:rPr>
        <w:t>。</w:t>
      </w:r>
    </w:p>
    <w:p w14:paraId="73701045">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87" w:name="_Toc23606"/>
      <w:bookmarkStart w:id="88" w:name="_Toc32073"/>
      <w:bookmarkStart w:id="89" w:name="_Toc20067"/>
      <w:bookmarkStart w:id="90" w:name="_Toc32193"/>
      <w:r>
        <w:rPr>
          <w:rFonts w:hint="eastAsia" w:ascii="Times New Roman" w:hAnsi="Times New Roman" w:eastAsia="宋体" w:cs="Times New Roman"/>
          <w:snapToGrid/>
          <w:color w:val="auto"/>
          <w:lang w:eastAsia="zh-CN"/>
        </w:rPr>
        <w:t>2.1.5地</w:t>
      </w:r>
      <w:r>
        <w:rPr>
          <w:rFonts w:hint="eastAsia" w:cs="Times New Roman"/>
          <w:snapToGrid/>
          <w:color w:val="auto"/>
          <w:lang w:eastAsia="zh-CN"/>
        </w:rPr>
        <w:t>方性</w:t>
      </w:r>
      <w:r>
        <w:rPr>
          <w:rFonts w:hint="eastAsia" w:ascii="Times New Roman" w:hAnsi="Times New Roman" w:eastAsia="宋体" w:cs="Times New Roman"/>
          <w:snapToGrid/>
          <w:color w:val="auto"/>
          <w:lang w:eastAsia="zh-CN"/>
        </w:rPr>
        <w:t>法规及政府规</w:t>
      </w:r>
      <w:r>
        <w:rPr>
          <w:rFonts w:hint="eastAsia" w:cs="Times New Roman"/>
          <w:snapToGrid/>
          <w:color w:val="auto"/>
          <w:lang w:eastAsia="zh-CN"/>
        </w:rPr>
        <w:t>范性</w:t>
      </w:r>
      <w:r>
        <w:rPr>
          <w:rFonts w:hint="eastAsia" w:ascii="Times New Roman" w:hAnsi="Times New Roman" w:eastAsia="宋体" w:cs="Times New Roman"/>
          <w:snapToGrid/>
          <w:color w:val="auto"/>
          <w:lang w:eastAsia="zh-CN"/>
        </w:rPr>
        <w:t>文件</w:t>
      </w:r>
      <w:bookmarkEnd w:id="87"/>
      <w:bookmarkEnd w:id="88"/>
      <w:bookmarkEnd w:id="89"/>
      <w:bookmarkEnd w:id="90"/>
    </w:p>
    <w:p w14:paraId="2D2D2A9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1" w:name="_Toc27723"/>
      <w:bookmarkStart w:id="92" w:name="_Toc7755"/>
      <w:bookmarkStart w:id="93" w:name="_Toc29766"/>
      <w:bookmarkStart w:id="94" w:name="_Toc24241"/>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）《新疆维吾尔自治区环境保护条例》，</w:t>
      </w:r>
      <w:r>
        <w:rPr>
          <w:rFonts w:ascii="Times New Roman" w:hAnsi="Times New Roman" w:cs="Times New Roman"/>
          <w:snapToGrid/>
          <w:color w:val="auto"/>
          <w:sz w:val="24"/>
          <w:szCs w:val="24"/>
          <w:lang w:eastAsia="zh-CN"/>
        </w:rPr>
        <w:t>2018.9.21</w:t>
      </w:r>
      <w:r>
        <w:rPr>
          <w:rFonts w:ascii="Times New Roman" w:hAnsi="Times New Roman"/>
          <w:snapToGrid/>
          <w:color w:val="auto"/>
          <w:sz w:val="24"/>
          <w:szCs w:val="24"/>
          <w:lang w:eastAsia="zh-CN"/>
        </w:rPr>
        <w:t>；</w:t>
      </w:r>
      <w:bookmarkEnd w:id="91"/>
      <w:bookmarkEnd w:id="92"/>
      <w:bookmarkEnd w:id="93"/>
      <w:bookmarkEnd w:id="94"/>
    </w:p>
    <w:p w14:paraId="38C6CE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）《新疆维吾尔自治区大气污染防治条例》，新疆维吾尔</w:t>
      </w:r>
      <w:r>
        <w:rPr>
          <w:rFonts w:hint="eastAsia" w:ascii="Times New Roman" w:hAnsi="Times New Roman"/>
          <w:snapToGrid/>
          <w:color w:val="auto"/>
          <w:sz w:val="24"/>
          <w:szCs w:val="24"/>
          <w:lang w:eastAsia="zh-CN"/>
        </w:rPr>
        <w:t>自治区十三届人大常委会第七次会议</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2019.1.1</w:t>
      </w:r>
      <w:r>
        <w:rPr>
          <w:rFonts w:ascii="Times New Roman" w:hAnsi="Times New Roman"/>
          <w:snapToGrid/>
          <w:color w:val="auto"/>
          <w:sz w:val="24"/>
          <w:szCs w:val="24"/>
          <w:lang w:eastAsia="zh-CN"/>
        </w:rPr>
        <w:t>；</w:t>
      </w:r>
    </w:p>
    <w:p w14:paraId="570F757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3</w:t>
      </w:r>
      <w:r>
        <w:rPr>
          <w:rFonts w:ascii="Times New Roman" w:hAnsi="Times New Roman"/>
          <w:snapToGrid/>
          <w:color w:val="auto"/>
          <w:sz w:val="24"/>
          <w:szCs w:val="24"/>
          <w:lang w:eastAsia="zh-CN"/>
        </w:rPr>
        <w:t>）《关于全面加强生态环境保护坚决打好污染防治攻坚战实施方案》，</w:t>
      </w:r>
      <w:r>
        <w:rPr>
          <w:rFonts w:ascii="Times New Roman" w:hAnsi="Times New Roman" w:cs="Times New Roman"/>
          <w:snapToGrid/>
          <w:color w:val="auto"/>
          <w:sz w:val="24"/>
          <w:szCs w:val="24"/>
          <w:lang w:eastAsia="zh-CN"/>
        </w:rPr>
        <w:t>2018.10.28</w:t>
      </w:r>
      <w:r>
        <w:rPr>
          <w:rFonts w:ascii="Times New Roman" w:hAnsi="Times New Roman"/>
          <w:snapToGrid/>
          <w:color w:val="auto"/>
          <w:sz w:val="24"/>
          <w:szCs w:val="24"/>
          <w:lang w:eastAsia="zh-CN"/>
        </w:rPr>
        <w:t>；</w:t>
      </w:r>
    </w:p>
    <w:p w14:paraId="071A532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4</w:t>
      </w:r>
      <w:r>
        <w:rPr>
          <w:rFonts w:ascii="Times New Roman" w:hAnsi="Times New Roman"/>
          <w:snapToGrid/>
          <w:color w:val="auto"/>
          <w:sz w:val="24"/>
          <w:szCs w:val="24"/>
          <w:lang w:eastAsia="zh-CN"/>
        </w:rPr>
        <w:t>）关于印发《新疆维吾尔自治区“三线一单”生态环境分区管控方案》</w:t>
      </w:r>
      <w:r>
        <w:rPr>
          <w:rFonts w:hint="eastAsia" w:ascii="Times New Roman" w:hAnsi="Times New Roman"/>
          <w:snapToGrid/>
          <w:color w:val="auto"/>
          <w:sz w:val="24"/>
          <w:szCs w:val="24"/>
          <w:lang w:val="en-US" w:eastAsia="zh-CN"/>
        </w:rPr>
        <w:t>动态更新成果</w:t>
      </w:r>
      <w:r>
        <w:rPr>
          <w:rFonts w:ascii="Times New Roman" w:hAnsi="Times New Roman"/>
          <w:snapToGrid/>
          <w:color w:val="auto"/>
          <w:sz w:val="24"/>
          <w:szCs w:val="24"/>
          <w:lang w:eastAsia="zh-CN"/>
        </w:rPr>
        <w:t>的通知，</w:t>
      </w:r>
      <w:r>
        <w:rPr>
          <w:rFonts w:hint="eastAsia" w:ascii="Times New Roman" w:hAnsi="Times New Roman"/>
          <w:snapToGrid/>
          <w:color w:val="auto"/>
          <w:sz w:val="24"/>
          <w:szCs w:val="24"/>
          <w:lang w:eastAsia="zh-CN"/>
        </w:rPr>
        <w:t>新环环评发〔2024〕157号</w:t>
      </w:r>
      <w:r>
        <w:rPr>
          <w:rFonts w:ascii="Times New Roman" w:hAnsi="Times New Roman"/>
          <w:snapToGrid/>
          <w:color w:val="auto"/>
          <w:sz w:val="24"/>
          <w:szCs w:val="24"/>
          <w:lang w:eastAsia="zh-CN"/>
        </w:rPr>
        <w:t>；</w:t>
      </w:r>
    </w:p>
    <w:p w14:paraId="0F0929D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5</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《昌吉回族自治州‘三线一单’生态环境分区管控方案及生态环境准入清单》（昌州政办发〔2021〕41号）</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2021.06.30</w:t>
      </w:r>
      <w:r>
        <w:rPr>
          <w:rFonts w:ascii="Times New Roman" w:hAnsi="Times New Roman"/>
          <w:snapToGrid/>
          <w:color w:val="auto"/>
          <w:sz w:val="24"/>
          <w:szCs w:val="24"/>
          <w:lang w:eastAsia="zh-CN"/>
        </w:rPr>
        <w:t>；</w:t>
      </w:r>
    </w:p>
    <w:p w14:paraId="6D96DA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6</w:t>
      </w:r>
      <w:r>
        <w:rPr>
          <w:rFonts w:ascii="Times New Roman" w:hAnsi="Times New Roman"/>
          <w:snapToGrid/>
          <w:color w:val="auto"/>
          <w:sz w:val="24"/>
          <w:szCs w:val="24"/>
          <w:lang w:eastAsia="zh-CN"/>
        </w:rPr>
        <w:t>）《关于促进全区废旧塑料再生利用行业有序发展的指导意见》新环环评发</w:t>
      </w:r>
      <w:r>
        <w:rPr>
          <w:rFonts w:hint="eastAsia" w:ascii="Times New Roman" w:hAnsi="Times New Roman"/>
          <w:snapToGrid/>
          <w:color w:val="auto"/>
          <w:sz w:val="24"/>
          <w:szCs w:val="24"/>
          <w:lang w:eastAsia="zh-CN"/>
        </w:rPr>
        <w:t>〔2020〕</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2020.01.13</w:t>
      </w:r>
      <w:r>
        <w:rPr>
          <w:rFonts w:ascii="Times New Roman" w:hAnsi="Times New Roman"/>
          <w:snapToGrid/>
          <w:color w:val="auto"/>
          <w:sz w:val="24"/>
          <w:szCs w:val="24"/>
          <w:lang w:eastAsia="zh-CN"/>
        </w:rPr>
        <w:t>。</w:t>
      </w:r>
    </w:p>
    <w:p w14:paraId="4F56841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7</w:t>
      </w:r>
      <w:r>
        <w:rPr>
          <w:rFonts w:ascii="Times New Roman" w:hAnsi="Times New Roman"/>
          <w:snapToGrid/>
          <w:color w:val="auto"/>
          <w:sz w:val="24"/>
          <w:szCs w:val="24"/>
          <w:lang w:eastAsia="zh-CN"/>
        </w:rPr>
        <w:t>）《关于自治区加快解决当前挥发性有机物治理突出问题的通知》，</w:t>
      </w:r>
      <w:r>
        <w:rPr>
          <w:rFonts w:ascii="Times New Roman" w:hAnsi="Times New Roman" w:cs="Times New Roman"/>
          <w:snapToGrid/>
          <w:color w:val="auto"/>
          <w:sz w:val="24"/>
          <w:szCs w:val="24"/>
          <w:lang w:eastAsia="zh-CN"/>
        </w:rPr>
        <w:t>2021.09.17</w:t>
      </w:r>
      <w:r>
        <w:rPr>
          <w:rFonts w:ascii="Times New Roman" w:hAnsi="Times New Roman"/>
          <w:snapToGrid/>
          <w:color w:val="auto"/>
          <w:sz w:val="24"/>
          <w:szCs w:val="24"/>
          <w:lang w:eastAsia="zh-CN"/>
        </w:rPr>
        <w:t>。</w:t>
      </w:r>
    </w:p>
    <w:p w14:paraId="4515FDF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8</w:t>
      </w:r>
      <w:r>
        <w:rPr>
          <w:rFonts w:ascii="Times New Roman" w:hAnsi="Times New Roman"/>
          <w:snapToGrid/>
          <w:color w:val="auto"/>
          <w:sz w:val="24"/>
          <w:szCs w:val="24"/>
          <w:lang w:eastAsia="zh-CN"/>
        </w:rPr>
        <w:t>）《关于印发新疆自治区级水土流失重点预防区和重点治理区复核划分成果的通知》（新水水保〔2019〕4号）；</w:t>
      </w:r>
    </w:p>
    <w:p w14:paraId="77BC822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9</w:t>
      </w:r>
      <w:r>
        <w:rPr>
          <w:rFonts w:ascii="Times New Roman" w:hAnsi="Times New Roman"/>
          <w:snapToGrid/>
          <w:color w:val="auto"/>
          <w:sz w:val="24"/>
          <w:szCs w:val="24"/>
          <w:lang w:eastAsia="zh-CN"/>
        </w:rPr>
        <w:t>）《新疆维吾尔自治区重点行业生态环境准入条件</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2024年</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2024.6.9</w:t>
      </w:r>
      <w:r>
        <w:rPr>
          <w:rFonts w:ascii="Times New Roman" w:hAnsi="Times New Roman"/>
          <w:snapToGrid/>
          <w:color w:val="auto"/>
          <w:sz w:val="24"/>
          <w:szCs w:val="24"/>
          <w:lang w:eastAsia="zh-CN"/>
        </w:rPr>
        <w:t>；</w:t>
      </w:r>
    </w:p>
    <w:p w14:paraId="15DA36C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10</w:t>
      </w:r>
      <w:r>
        <w:rPr>
          <w:rFonts w:ascii="Times New Roman" w:hAnsi="Times New Roman"/>
          <w:snapToGrid/>
          <w:color w:val="auto"/>
          <w:sz w:val="24"/>
          <w:szCs w:val="24"/>
          <w:lang w:eastAsia="zh-CN"/>
        </w:rPr>
        <w:t>）《新疆维吾尔自治区突发环境事件应急预案编制导则（试行）》，新环发﹝</w:t>
      </w:r>
      <w:r>
        <w:rPr>
          <w:rFonts w:ascii="Times New Roman" w:hAnsi="Times New Roman" w:cs="Times New Roman"/>
          <w:snapToGrid/>
          <w:color w:val="auto"/>
          <w:sz w:val="24"/>
          <w:szCs w:val="24"/>
          <w:lang w:eastAsia="zh-CN"/>
        </w:rPr>
        <w:t>2014</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234</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2014.6.12</w:t>
      </w:r>
      <w:r>
        <w:rPr>
          <w:rFonts w:hint="eastAsia" w:ascii="Times New Roman" w:hAnsi="Times New Roman" w:cs="Times New Roman"/>
          <w:snapToGrid/>
          <w:color w:val="auto"/>
          <w:sz w:val="24"/>
          <w:szCs w:val="24"/>
          <w:lang w:eastAsia="zh-CN"/>
        </w:rPr>
        <w:t>。</w:t>
      </w:r>
    </w:p>
    <w:p w14:paraId="6F749967">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95" w:name="_Toc27894"/>
      <w:bookmarkStart w:id="96" w:name="_Toc11704"/>
      <w:bookmarkStart w:id="97" w:name="_Toc538"/>
      <w:bookmarkStart w:id="98" w:name="_Toc17294"/>
      <w:r>
        <w:rPr>
          <w:rFonts w:hint="eastAsia" w:ascii="Times New Roman" w:hAnsi="Times New Roman" w:eastAsia="宋体" w:cs="Times New Roman"/>
          <w:snapToGrid/>
          <w:color w:val="auto"/>
          <w:lang w:eastAsia="zh-CN"/>
        </w:rPr>
        <w:t>2.1.6与项目有关的规划文件</w:t>
      </w:r>
      <w:bookmarkEnd w:id="95"/>
      <w:bookmarkEnd w:id="96"/>
      <w:bookmarkEnd w:id="97"/>
      <w:bookmarkEnd w:id="98"/>
    </w:p>
    <w:p w14:paraId="672E033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）《全国地下水污染防治规划（</w:t>
      </w:r>
      <w:r>
        <w:rPr>
          <w:rFonts w:ascii="Times New Roman" w:hAnsi="Times New Roman" w:cs="Times New Roman"/>
          <w:snapToGrid/>
          <w:color w:val="auto"/>
          <w:sz w:val="24"/>
          <w:szCs w:val="24"/>
          <w:lang w:eastAsia="zh-CN"/>
        </w:rPr>
        <w:t>2011-2020</w:t>
      </w:r>
      <w:r>
        <w:rPr>
          <w:rFonts w:ascii="Times New Roman" w:hAnsi="Times New Roman"/>
          <w:snapToGrid/>
          <w:color w:val="auto"/>
          <w:sz w:val="24"/>
          <w:szCs w:val="24"/>
          <w:lang w:eastAsia="zh-CN"/>
        </w:rPr>
        <w:t>）》；</w:t>
      </w:r>
    </w:p>
    <w:p w14:paraId="6B3D7BE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）《新疆生态功能区划》，新政函</w:t>
      </w:r>
      <w:r>
        <w:rPr>
          <w:rFonts w:hint="eastAsia" w:ascii="Times New Roman" w:hAnsi="Times New Roman"/>
          <w:snapToGrid/>
          <w:color w:val="auto"/>
          <w:sz w:val="24"/>
          <w:szCs w:val="24"/>
          <w:lang w:eastAsia="zh-CN"/>
        </w:rPr>
        <w:t>〔2005〕；</w:t>
      </w:r>
      <w:r>
        <w:rPr>
          <w:rFonts w:ascii="Times New Roman" w:hAnsi="Times New Roman" w:cs="Times New Roman"/>
          <w:snapToGrid/>
          <w:color w:val="auto"/>
          <w:sz w:val="24"/>
          <w:szCs w:val="24"/>
          <w:lang w:eastAsia="zh-CN"/>
        </w:rPr>
        <w:t>96</w:t>
      </w:r>
      <w:r>
        <w:rPr>
          <w:rFonts w:ascii="Times New Roman" w:hAnsi="Times New Roman"/>
          <w:snapToGrid/>
          <w:color w:val="auto"/>
          <w:sz w:val="24"/>
          <w:szCs w:val="24"/>
          <w:lang w:eastAsia="zh-CN"/>
        </w:rPr>
        <w:t>号；</w:t>
      </w:r>
    </w:p>
    <w:p w14:paraId="30C6B4C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）《新疆维吾尔自治区水环境功能区划》</w:t>
      </w:r>
    </w:p>
    <w:p w14:paraId="5212970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）《新疆维吾尔自治区主体功能区规划》，自治区发展和改革委员会，</w:t>
      </w:r>
      <w:r>
        <w:rPr>
          <w:rFonts w:ascii="Times New Roman" w:hAnsi="Times New Roman" w:cs="Times New Roman"/>
          <w:snapToGrid/>
          <w:color w:val="auto"/>
          <w:sz w:val="24"/>
          <w:szCs w:val="24"/>
          <w:lang w:eastAsia="zh-CN"/>
        </w:rPr>
        <w:t>2012.12.27</w:t>
      </w:r>
      <w:r>
        <w:rPr>
          <w:rFonts w:ascii="Times New Roman" w:hAnsi="Times New Roman"/>
          <w:snapToGrid/>
          <w:color w:val="auto"/>
          <w:sz w:val="24"/>
          <w:szCs w:val="24"/>
          <w:lang w:eastAsia="zh-CN"/>
        </w:rPr>
        <w:t>；</w:t>
      </w:r>
    </w:p>
    <w:p w14:paraId="2E37D13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9" w:name="_Toc10307"/>
      <w:bookmarkStart w:id="100" w:name="_Toc2777"/>
      <w:bookmarkStart w:id="101" w:name="_Toc3907"/>
      <w:bookmarkStart w:id="102" w:name="_Toc3352"/>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）《新疆维吾尔自治区环境保护“十四五”规划》</w:t>
      </w:r>
      <w:bookmarkEnd w:id="99"/>
      <w:bookmarkEnd w:id="100"/>
      <w:bookmarkEnd w:id="101"/>
      <w:bookmarkEnd w:id="102"/>
      <w:r>
        <w:rPr>
          <w:rFonts w:hint="eastAsia" w:ascii="Times New Roman" w:hAnsi="Times New Roman"/>
          <w:snapToGrid/>
          <w:color w:val="auto"/>
          <w:sz w:val="24"/>
          <w:szCs w:val="24"/>
          <w:lang w:eastAsia="zh-CN"/>
        </w:rPr>
        <w:t>；</w:t>
      </w:r>
    </w:p>
    <w:p w14:paraId="21BC093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6</w:t>
      </w:r>
      <w:r>
        <w:rPr>
          <w:rFonts w:ascii="Times New Roman" w:hAnsi="Times New Roman"/>
          <w:snapToGrid/>
          <w:color w:val="auto"/>
          <w:sz w:val="24"/>
          <w:szCs w:val="24"/>
          <w:lang w:eastAsia="zh-CN"/>
        </w:rPr>
        <w:t>）《新疆维吾尔自治区国民经济和社会发展第十四个五年规划纲要》；</w:t>
      </w:r>
    </w:p>
    <w:p w14:paraId="45BB78A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03" w:name="_Toc32158"/>
      <w:bookmarkStart w:id="104" w:name="_Toc11679"/>
      <w:bookmarkStart w:id="105" w:name="_Toc13253"/>
      <w:bookmarkStart w:id="106" w:name="_Toc842"/>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7</w:t>
      </w:r>
      <w:r>
        <w:rPr>
          <w:rFonts w:ascii="Times New Roman" w:hAnsi="Times New Roman"/>
          <w:snapToGrid/>
          <w:color w:val="auto"/>
          <w:sz w:val="24"/>
          <w:szCs w:val="24"/>
          <w:lang w:eastAsia="zh-CN"/>
        </w:rPr>
        <w:t>）《昌吉回族自治州生态环境保护与建设“十四五”规划》；</w:t>
      </w:r>
      <w:bookmarkEnd w:id="103"/>
      <w:bookmarkEnd w:id="104"/>
      <w:bookmarkEnd w:id="105"/>
      <w:bookmarkEnd w:id="106"/>
    </w:p>
    <w:p w14:paraId="44104C1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olor w:val="auto"/>
          <w:sz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8</w:t>
      </w:r>
      <w:r>
        <w:rPr>
          <w:rFonts w:ascii="Times New Roman" w:hAnsi="Times New Roman"/>
          <w:snapToGrid/>
          <w:color w:val="auto"/>
          <w:sz w:val="24"/>
          <w:szCs w:val="24"/>
          <w:lang w:eastAsia="zh-CN"/>
        </w:rPr>
        <w:t>）《昌吉回族自治州国民经济和社会发展第十四个五年规划和</w:t>
      </w:r>
      <w:r>
        <w:rPr>
          <w:rFonts w:ascii="Times New Roman" w:hAnsi="Times New Roman" w:cs="Times New Roman"/>
          <w:snapToGrid/>
          <w:color w:val="auto"/>
          <w:sz w:val="24"/>
          <w:szCs w:val="24"/>
          <w:lang w:eastAsia="zh-CN"/>
        </w:rPr>
        <w:t>2035</w:t>
      </w:r>
      <w:r>
        <w:rPr>
          <w:rFonts w:ascii="Times New Roman" w:hAnsi="Times New Roman"/>
          <w:snapToGrid/>
          <w:color w:val="auto"/>
          <w:sz w:val="24"/>
          <w:szCs w:val="24"/>
          <w:lang w:eastAsia="zh-CN"/>
        </w:rPr>
        <w:t>年远景目标纲要》</w:t>
      </w:r>
      <w:r>
        <w:rPr>
          <w:rFonts w:hint="eastAsia" w:ascii="Times New Roman" w:hAnsi="Times New Roman"/>
          <w:color w:val="auto"/>
          <w:sz w:val="24"/>
          <w:lang w:eastAsia="zh-CN"/>
        </w:rPr>
        <w:t>；</w:t>
      </w:r>
    </w:p>
    <w:p w14:paraId="13ECEA9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bCs w:val="0"/>
          <w:color w:val="auto"/>
          <w:sz w:val="24"/>
          <w:lang w:val="en-US"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9）《木垒哈萨克自治县“十四五”生态环境保护规划》</w:t>
      </w:r>
      <w:r>
        <w:rPr>
          <w:rFonts w:hint="eastAsia"/>
          <w:lang w:eastAsia="zh-CN"/>
        </w:rPr>
        <w:t>；</w:t>
      </w:r>
    </w:p>
    <w:p w14:paraId="26CA72A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olor w:val="auto"/>
          <w:sz w:val="24"/>
          <w:lang w:val="en-US"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10）《木垒哈萨克自治县国土空间总体规划（2021—2035年）》</w:t>
      </w:r>
      <w:r>
        <w:rPr>
          <w:rFonts w:hint="eastAsia"/>
          <w:lang w:eastAsia="zh-CN"/>
        </w:rPr>
        <w:t>。</w:t>
      </w:r>
    </w:p>
    <w:p w14:paraId="40435197">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07" w:name="_Toc20239"/>
      <w:bookmarkStart w:id="108" w:name="_Toc21748"/>
      <w:bookmarkStart w:id="109" w:name="_Toc9687"/>
      <w:r>
        <w:rPr>
          <w:rFonts w:hint="eastAsia" w:ascii="Times New Roman" w:hAnsi="Times New Roman" w:eastAsia="宋体" w:cs="Times New Roman"/>
          <w:snapToGrid/>
          <w:color w:val="auto"/>
          <w:lang w:eastAsia="zh-CN"/>
        </w:rPr>
        <w:t>2.1.7技术导则</w:t>
      </w:r>
      <w:bookmarkEnd w:id="107"/>
      <w:bookmarkEnd w:id="108"/>
      <w:bookmarkEnd w:id="109"/>
    </w:p>
    <w:p w14:paraId="719DDBC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）《建设项目环境影响评价技术导则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总纲》（</w:t>
      </w:r>
      <w:r>
        <w:rPr>
          <w:rFonts w:ascii="Times New Roman" w:hAnsi="Times New Roman" w:cs="Times New Roman"/>
          <w:snapToGrid/>
          <w:color w:val="auto"/>
          <w:sz w:val="24"/>
          <w:szCs w:val="24"/>
          <w:lang w:eastAsia="zh-CN"/>
        </w:rPr>
        <w:t>HJ2.1-2016</w:t>
      </w:r>
      <w:r>
        <w:rPr>
          <w:rFonts w:ascii="Times New Roman" w:hAnsi="Times New Roman"/>
          <w:snapToGrid/>
          <w:color w:val="auto"/>
          <w:sz w:val="24"/>
          <w:szCs w:val="24"/>
          <w:lang w:eastAsia="zh-CN"/>
        </w:rPr>
        <w:t>）；</w:t>
      </w:r>
    </w:p>
    <w:p w14:paraId="50055DE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大气环境》（</w:t>
      </w:r>
      <w:r>
        <w:rPr>
          <w:rFonts w:ascii="Times New Roman" w:hAnsi="Times New Roman" w:cs="Times New Roman"/>
          <w:snapToGrid/>
          <w:color w:val="auto"/>
          <w:sz w:val="24"/>
          <w:szCs w:val="24"/>
          <w:lang w:eastAsia="zh-CN"/>
        </w:rPr>
        <w:t>HJ2.2-2018</w:t>
      </w:r>
      <w:r>
        <w:rPr>
          <w:rFonts w:ascii="Times New Roman" w:hAnsi="Times New Roman"/>
          <w:snapToGrid/>
          <w:color w:val="auto"/>
          <w:sz w:val="24"/>
          <w:szCs w:val="24"/>
          <w:lang w:eastAsia="zh-CN"/>
        </w:rPr>
        <w:t>）；</w:t>
      </w:r>
    </w:p>
    <w:p w14:paraId="78F01D1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地表水环境》（</w:t>
      </w:r>
      <w:r>
        <w:rPr>
          <w:rFonts w:ascii="Times New Roman" w:hAnsi="Times New Roman" w:cs="Times New Roman"/>
          <w:snapToGrid/>
          <w:color w:val="auto"/>
          <w:sz w:val="24"/>
          <w:szCs w:val="24"/>
          <w:lang w:eastAsia="zh-CN"/>
        </w:rPr>
        <w:t>HJ2.3-2018</w:t>
      </w:r>
      <w:r>
        <w:rPr>
          <w:rFonts w:ascii="Times New Roman" w:hAnsi="Times New Roman"/>
          <w:snapToGrid/>
          <w:color w:val="auto"/>
          <w:sz w:val="24"/>
          <w:szCs w:val="24"/>
          <w:lang w:eastAsia="zh-CN"/>
        </w:rPr>
        <w:t>）；</w:t>
      </w:r>
    </w:p>
    <w:p w14:paraId="2E98E1B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声环境》（</w:t>
      </w:r>
      <w:r>
        <w:rPr>
          <w:rFonts w:ascii="Times New Roman" w:hAnsi="Times New Roman" w:cs="Times New Roman"/>
          <w:snapToGrid/>
          <w:color w:val="auto"/>
          <w:sz w:val="24"/>
          <w:szCs w:val="24"/>
          <w:lang w:eastAsia="zh-CN"/>
        </w:rPr>
        <w:t>HJ2.4-2021</w:t>
      </w:r>
      <w:r>
        <w:rPr>
          <w:rFonts w:ascii="Times New Roman" w:hAnsi="Times New Roman"/>
          <w:snapToGrid/>
          <w:color w:val="auto"/>
          <w:sz w:val="24"/>
          <w:szCs w:val="24"/>
          <w:lang w:eastAsia="zh-CN"/>
        </w:rPr>
        <w:t>）；</w:t>
      </w:r>
    </w:p>
    <w:p w14:paraId="3A17BB6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地下水环境》（</w:t>
      </w:r>
      <w:r>
        <w:rPr>
          <w:rFonts w:ascii="Times New Roman" w:hAnsi="Times New Roman" w:cs="Times New Roman"/>
          <w:snapToGrid/>
          <w:color w:val="auto"/>
          <w:sz w:val="24"/>
          <w:szCs w:val="24"/>
          <w:lang w:eastAsia="zh-CN"/>
        </w:rPr>
        <w:t>HJ610-2016</w:t>
      </w:r>
      <w:r>
        <w:rPr>
          <w:rFonts w:ascii="Times New Roman" w:hAnsi="Times New Roman"/>
          <w:snapToGrid/>
          <w:color w:val="auto"/>
          <w:sz w:val="24"/>
          <w:szCs w:val="24"/>
          <w:lang w:eastAsia="zh-CN"/>
        </w:rPr>
        <w:t>）；</w:t>
      </w:r>
    </w:p>
    <w:p w14:paraId="3B7CAE9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6</w:t>
      </w:r>
      <w:r>
        <w:rPr>
          <w:rFonts w:ascii="Times New Roman" w:hAnsi="Times New Roman"/>
          <w:snapToGrid/>
          <w:color w:val="auto"/>
          <w:sz w:val="24"/>
          <w:szCs w:val="24"/>
          <w:lang w:eastAsia="zh-CN"/>
        </w:rPr>
        <w:t>）《环境影响评价技术导则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生态影响》（</w:t>
      </w:r>
      <w:r>
        <w:rPr>
          <w:rFonts w:ascii="Times New Roman" w:hAnsi="Times New Roman" w:cs="Times New Roman"/>
          <w:snapToGrid/>
          <w:color w:val="auto"/>
          <w:sz w:val="24"/>
          <w:szCs w:val="24"/>
          <w:lang w:eastAsia="zh-CN"/>
        </w:rPr>
        <w:t>HJ19-2022</w:t>
      </w:r>
      <w:r>
        <w:rPr>
          <w:rFonts w:ascii="Times New Roman" w:hAnsi="Times New Roman"/>
          <w:snapToGrid/>
          <w:color w:val="auto"/>
          <w:sz w:val="24"/>
          <w:szCs w:val="24"/>
          <w:lang w:eastAsia="zh-CN"/>
        </w:rPr>
        <w:t>）；</w:t>
      </w:r>
    </w:p>
    <w:p w14:paraId="39439B3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7</w:t>
      </w:r>
      <w:r>
        <w:rPr>
          <w:rFonts w:ascii="Times New Roman" w:hAnsi="Times New Roman"/>
          <w:snapToGrid/>
          <w:color w:val="auto"/>
          <w:sz w:val="24"/>
          <w:szCs w:val="24"/>
          <w:lang w:eastAsia="zh-CN"/>
        </w:rPr>
        <w:t>）《建设项目环境风险评价技术导则》（</w:t>
      </w:r>
      <w:r>
        <w:rPr>
          <w:rFonts w:ascii="Times New Roman" w:hAnsi="Times New Roman" w:cs="Times New Roman"/>
          <w:snapToGrid/>
          <w:color w:val="auto"/>
          <w:sz w:val="24"/>
          <w:szCs w:val="24"/>
          <w:lang w:eastAsia="zh-CN"/>
        </w:rPr>
        <w:t>HJ169-2018</w:t>
      </w:r>
      <w:r>
        <w:rPr>
          <w:rFonts w:ascii="Times New Roman" w:hAnsi="Times New Roman"/>
          <w:snapToGrid/>
          <w:color w:val="auto"/>
          <w:sz w:val="24"/>
          <w:szCs w:val="24"/>
          <w:lang w:eastAsia="zh-CN"/>
        </w:rPr>
        <w:t>）；</w:t>
      </w:r>
    </w:p>
    <w:p w14:paraId="71A6998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）《环境影响评价技术导则</w:t>
      </w:r>
      <w:r>
        <w:rPr>
          <w:rFonts w:hint="eastAsia"/>
          <w:color w:val="auto"/>
          <w:lang w:val="en-US" w:eastAsia="zh-CN"/>
        </w:rPr>
        <w:t xml:space="preserve"> </w:t>
      </w:r>
      <w:r>
        <w:rPr>
          <w:rFonts w:ascii="Times New Roman" w:hAnsi="Times New Roman"/>
          <w:snapToGrid/>
          <w:color w:val="auto"/>
          <w:sz w:val="24"/>
          <w:szCs w:val="24"/>
          <w:lang w:eastAsia="zh-CN"/>
        </w:rPr>
        <w:t>土壤环境》（</w:t>
      </w:r>
      <w:r>
        <w:rPr>
          <w:rFonts w:ascii="Times New Roman" w:hAnsi="Times New Roman" w:cs="Times New Roman"/>
          <w:snapToGrid/>
          <w:color w:val="auto"/>
          <w:sz w:val="24"/>
          <w:szCs w:val="24"/>
          <w:lang w:eastAsia="zh-CN"/>
        </w:rPr>
        <w:t>HJ964-2018</w:t>
      </w:r>
      <w:r>
        <w:rPr>
          <w:rFonts w:ascii="Times New Roman" w:hAnsi="Times New Roman"/>
          <w:snapToGrid/>
          <w:color w:val="auto"/>
          <w:sz w:val="24"/>
          <w:szCs w:val="24"/>
          <w:lang w:eastAsia="zh-CN"/>
        </w:rPr>
        <w:t>）；</w:t>
      </w:r>
    </w:p>
    <w:p w14:paraId="1F5D606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10" w:name="_Toc27212"/>
      <w:bookmarkStart w:id="111" w:name="_Toc21505"/>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）《建设项目环境风险评价导则》（</w:t>
      </w:r>
      <w:r>
        <w:rPr>
          <w:rFonts w:ascii="Times New Roman" w:hAnsi="Times New Roman" w:cs="Times New Roman"/>
          <w:snapToGrid/>
          <w:color w:val="auto"/>
          <w:sz w:val="24"/>
          <w:szCs w:val="24"/>
          <w:lang w:eastAsia="zh-CN"/>
        </w:rPr>
        <w:t>HJ169-2018</w:t>
      </w:r>
      <w:r>
        <w:rPr>
          <w:rFonts w:ascii="Times New Roman" w:hAnsi="Times New Roman"/>
          <w:snapToGrid/>
          <w:color w:val="auto"/>
          <w:sz w:val="24"/>
          <w:szCs w:val="24"/>
          <w:lang w:eastAsia="zh-CN"/>
        </w:rPr>
        <w:t>）；</w:t>
      </w:r>
      <w:bookmarkEnd w:id="110"/>
      <w:bookmarkEnd w:id="111"/>
    </w:p>
    <w:p w14:paraId="5C4859C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）《建设项目危险废物环境影响评价指南》，</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公告</w:t>
      </w:r>
      <w:r>
        <w:rPr>
          <w:rFonts w:ascii="Times New Roman" w:hAnsi="Times New Roman" w:cs="Times New Roman"/>
          <w:snapToGrid/>
          <w:color w:val="auto"/>
          <w:sz w:val="24"/>
          <w:szCs w:val="24"/>
          <w:lang w:eastAsia="zh-CN"/>
        </w:rPr>
        <w:t>2017</w:t>
      </w:r>
      <w:r>
        <w:rPr>
          <w:rFonts w:ascii="Times New Roman" w:hAnsi="Times New Roman"/>
          <w:snapToGrid/>
          <w:color w:val="auto"/>
          <w:sz w:val="24"/>
          <w:szCs w:val="24"/>
          <w:lang w:eastAsia="zh-CN"/>
        </w:rPr>
        <w:t>年第</w:t>
      </w:r>
      <w:bookmarkStart w:id="112" w:name="_Toc4241"/>
      <w:bookmarkStart w:id="113" w:name="_Toc27881"/>
      <w:r>
        <w:rPr>
          <w:rFonts w:ascii="Times New Roman" w:hAnsi="Times New Roman" w:cs="Times New Roman"/>
          <w:snapToGrid/>
          <w:color w:val="auto"/>
          <w:sz w:val="24"/>
          <w:szCs w:val="24"/>
          <w:lang w:eastAsia="zh-CN"/>
        </w:rPr>
        <w:t>43</w:t>
      </w:r>
      <w:r>
        <w:rPr>
          <w:rFonts w:ascii="Times New Roman" w:hAnsi="Times New Roman"/>
          <w:snapToGrid/>
          <w:color w:val="auto"/>
          <w:sz w:val="24"/>
          <w:szCs w:val="24"/>
          <w:lang w:eastAsia="zh-CN"/>
        </w:rPr>
        <w:t>号；</w:t>
      </w:r>
      <w:bookmarkEnd w:id="112"/>
      <w:bookmarkEnd w:id="113"/>
    </w:p>
    <w:p w14:paraId="5EAA46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11</w:t>
      </w:r>
      <w:r>
        <w:rPr>
          <w:rFonts w:ascii="Times New Roman" w:hAnsi="Times New Roman"/>
          <w:snapToGrid/>
          <w:color w:val="auto"/>
          <w:sz w:val="24"/>
          <w:szCs w:val="24"/>
          <w:lang w:eastAsia="zh-CN"/>
        </w:rPr>
        <w:t>）《建设项目竣工环境保护验收技术指南</w:t>
      </w:r>
      <w:r>
        <w:rPr>
          <w:rFonts w:hint="eastAsia"/>
          <w:color w:val="auto"/>
          <w:lang w:val="en-US" w:eastAsia="zh-CN"/>
        </w:rPr>
        <w:t xml:space="preserve"> </w:t>
      </w:r>
      <w:r>
        <w:rPr>
          <w:rFonts w:ascii="Times New Roman" w:hAnsi="Times New Roman"/>
          <w:snapToGrid/>
          <w:color w:val="auto"/>
          <w:sz w:val="24"/>
          <w:szCs w:val="24"/>
          <w:lang w:eastAsia="zh-CN"/>
        </w:rPr>
        <w:t>污染影响类》，环境保护公告</w:t>
      </w:r>
      <w:r>
        <w:rPr>
          <w:rFonts w:ascii="Times New Roman" w:hAnsi="Times New Roman" w:cs="Times New Roman"/>
          <w:snapToGrid/>
          <w:color w:val="auto"/>
          <w:sz w:val="24"/>
          <w:szCs w:val="24"/>
          <w:lang w:eastAsia="zh-CN"/>
        </w:rPr>
        <w:t>2018</w:t>
      </w:r>
      <w:r>
        <w:rPr>
          <w:rFonts w:ascii="Times New Roman" w:hAnsi="Times New Roman"/>
          <w:snapToGrid/>
          <w:color w:val="auto"/>
          <w:sz w:val="24"/>
          <w:szCs w:val="24"/>
          <w:lang w:eastAsia="zh-CN"/>
        </w:rPr>
        <w:t>年第</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号；</w:t>
      </w:r>
    </w:p>
    <w:p w14:paraId="456CB4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s="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12</w:t>
      </w:r>
      <w:r>
        <w:rPr>
          <w:rFonts w:ascii="Times New Roman" w:hAnsi="Times New Roman"/>
          <w:snapToGrid/>
          <w:color w:val="auto"/>
          <w:sz w:val="24"/>
          <w:szCs w:val="24"/>
          <w:lang w:eastAsia="zh-CN"/>
        </w:rPr>
        <w:t>）《排污许可证申请与核发技术规范</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总则》（</w:t>
      </w:r>
      <w:r>
        <w:rPr>
          <w:rFonts w:ascii="Times New Roman" w:hAnsi="Times New Roman" w:cs="Times New Roman"/>
          <w:snapToGrid/>
          <w:color w:val="auto"/>
          <w:sz w:val="24"/>
          <w:szCs w:val="24"/>
          <w:lang w:eastAsia="zh-CN"/>
        </w:rPr>
        <w:t>HJ942-2018</w:t>
      </w: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w:t>
      </w:r>
    </w:p>
    <w:p w14:paraId="76629D4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114" w:name="_Toc638"/>
      <w:bookmarkStart w:id="115" w:name="_Toc9642"/>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13</w:t>
      </w:r>
      <w:r>
        <w:rPr>
          <w:rFonts w:ascii="Times New Roman" w:hAnsi="Times New Roman"/>
          <w:snapToGrid/>
          <w:color w:val="auto"/>
          <w:sz w:val="24"/>
          <w:szCs w:val="24"/>
          <w:lang w:eastAsia="zh-CN"/>
        </w:rPr>
        <w:t>）《排污许可证申请与核发技术规范废弃资源加工工业》</w:t>
      </w:r>
      <w:bookmarkEnd w:id="114"/>
      <w:bookmarkEnd w:id="115"/>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HJ1034-2019</w:t>
      </w:r>
      <w:r>
        <w:rPr>
          <w:rFonts w:ascii="Times New Roman" w:hAnsi="Times New Roman"/>
          <w:snapToGrid/>
          <w:color w:val="auto"/>
          <w:sz w:val="24"/>
          <w:szCs w:val="24"/>
          <w:lang w:eastAsia="zh-CN"/>
        </w:rPr>
        <w:t>）；</w:t>
      </w:r>
    </w:p>
    <w:p w14:paraId="4038B2B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116" w:name="_Toc24126"/>
      <w:bookmarkStart w:id="117" w:name="_Toc23106"/>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14</w:t>
      </w:r>
      <w:r>
        <w:rPr>
          <w:rFonts w:ascii="Times New Roman" w:hAnsi="Times New Roman"/>
          <w:snapToGrid/>
          <w:color w:val="auto"/>
          <w:sz w:val="24"/>
          <w:szCs w:val="24"/>
          <w:lang w:eastAsia="zh-CN"/>
        </w:rPr>
        <w:t>）《排污许可证申请与核发技术规范</w:t>
      </w:r>
      <w:r>
        <w:rPr>
          <w:rFonts w:hint="eastAsia"/>
          <w:color w:val="auto"/>
          <w:lang w:val="en-US" w:eastAsia="zh-CN"/>
        </w:rPr>
        <w:t xml:space="preserve"> </w:t>
      </w:r>
      <w:r>
        <w:rPr>
          <w:rFonts w:ascii="Times New Roman" w:hAnsi="Times New Roman"/>
          <w:snapToGrid/>
          <w:color w:val="auto"/>
          <w:sz w:val="24"/>
          <w:szCs w:val="24"/>
          <w:lang w:eastAsia="zh-CN"/>
        </w:rPr>
        <w:t>橡胶和塑料制品工业》</w:t>
      </w:r>
      <w:bookmarkEnd w:id="116"/>
      <w:bookmarkEnd w:id="117"/>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HJ1122-2020</w:t>
      </w:r>
      <w:r>
        <w:rPr>
          <w:rFonts w:ascii="Times New Roman" w:hAnsi="Times New Roman"/>
          <w:snapToGrid/>
          <w:color w:val="auto"/>
          <w:sz w:val="24"/>
          <w:szCs w:val="24"/>
          <w:lang w:eastAsia="zh-CN"/>
        </w:rPr>
        <w:t>）；</w:t>
      </w:r>
    </w:p>
    <w:p w14:paraId="5A2BFA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s="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15</w:t>
      </w:r>
      <w:r>
        <w:rPr>
          <w:rFonts w:ascii="Times New Roman" w:hAnsi="Times New Roman"/>
          <w:snapToGrid/>
          <w:color w:val="auto"/>
          <w:sz w:val="24"/>
          <w:szCs w:val="24"/>
          <w:lang w:eastAsia="zh-CN"/>
        </w:rPr>
        <w:t>）《排污单位自行监测技术指南</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总则》（</w:t>
      </w:r>
      <w:r>
        <w:rPr>
          <w:rFonts w:ascii="Times New Roman" w:hAnsi="Times New Roman" w:cs="Times New Roman"/>
          <w:snapToGrid/>
          <w:color w:val="auto"/>
          <w:sz w:val="24"/>
          <w:szCs w:val="24"/>
          <w:lang w:eastAsia="zh-CN"/>
        </w:rPr>
        <w:t>HJ819-2017</w:t>
      </w: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w:t>
      </w:r>
    </w:p>
    <w:p w14:paraId="6437F3A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16</w:t>
      </w:r>
      <w:r>
        <w:rPr>
          <w:rFonts w:ascii="Times New Roman" w:hAnsi="Times New Roman"/>
          <w:snapToGrid/>
          <w:color w:val="auto"/>
          <w:sz w:val="24"/>
          <w:szCs w:val="24"/>
          <w:lang w:eastAsia="zh-CN"/>
        </w:rPr>
        <w:t>）《污染源源强核算技术指南</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准则》（</w:t>
      </w:r>
      <w:r>
        <w:rPr>
          <w:rFonts w:ascii="Times New Roman" w:hAnsi="Times New Roman" w:cs="Times New Roman"/>
          <w:snapToGrid/>
          <w:color w:val="auto"/>
          <w:sz w:val="24"/>
          <w:szCs w:val="24"/>
          <w:lang w:eastAsia="zh-CN"/>
        </w:rPr>
        <w:t>HJ884-2018</w:t>
      </w:r>
      <w:r>
        <w:rPr>
          <w:rFonts w:ascii="Times New Roman" w:hAnsi="Times New Roman"/>
          <w:snapToGrid/>
          <w:color w:val="auto"/>
          <w:sz w:val="24"/>
          <w:szCs w:val="24"/>
          <w:lang w:eastAsia="zh-CN"/>
        </w:rPr>
        <w:t>）；</w:t>
      </w:r>
    </w:p>
    <w:p w14:paraId="518B0DE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17</w:t>
      </w:r>
      <w:r>
        <w:rPr>
          <w:rFonts w:ascii="Times New Roman" w:hAnsi="Times New Roman"/>
          <w:snapToGrid/>
          <w:color w:val="auto"/>
          <w:sz w:val="24"/>
          <w:szCs w:val="24"/>
          <w:lang w:eastAsia="zh-CN"/>
        </w:rPr>
        <w:t>）《危险化学品重大危险源辨识》（</w:t>
      </w:r>
      <w:r>
        <w:rPr>
          <w:rFonts w:ascii="Times New Roman" w:hAnsi="Times New Roman" w:cs="Times New Roman"/>
          <w:snapToGrid/>
          <w:color w:val="auto"/>
          <w:sz w:val="24"/>
          <w:szCs w:val="24"/>
          <w:lang w:eastAsia="zh-CN"/>
        </w:rPr>
        <w:t>GB18218-2018</w:t>
      </w:r>
      <w:r>
        <w:rPr>
          <w:rFonts w:ascii="Times New Roman" w:hAnsi="Times New Roman"/>
          <w:snapToGrid/>
          <w:color w:val="auto"/>
          <w:sz w:val="24"/>
          <w:szCs w:val="24"/>
          <w:lang w:eastAsia="zh-CN"/>
        </w:rPr>
        <w:t>）；</w:t>
      </w:r>
    </w:p>
    <w:p w14:paraId="5EA064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cs="Times New Roman"/>
          <w:snapToGrid/>
          <w:color w:val="auto"/>
          <w:sz w:val="24"/>
          <w:szCs w:val="24"/>
          <w:lang w:eastAsia="zh-CN"/>
        </w:rPr>
        <w:t>18</w:t>
      </w:r>
      <w:r>
        <w:rPr>
          <w:rFonts w:ascii="Times New Roman" w:hAnsi="Times New Roman"/>
          <w:snapToGrid/>
          <w:color w:val="auto"/>
          <w:sz w:val="24"/>
          <w:szCs w:val="24"/>
          <w:lang w:eastAsia="zh-CN"/>
        </w:rPr>
        <w:t>）关于发布《排放源统计调查产排污核算方法和系数手册》的公告，生态环境部公告</w:t>
      </w:r>
      <w:r>
        <w:rPr>
          <w:rFonts w:ascii="Times New Roman" w:hAnsi="Times New Roman" w:cs="Times New Roman"/>
          <w:snapToGrid/>
          <w:color w:val="auto"/>
          <w:sz w:val="24"/>
          <w:szCs w:val="24"/>
          <w:lang w:eastAsia="zh-CN"/>
        </w:rPr>
        <w:t>2021</w:t>
      </w:r>
      <w:r>
        <w:rPr>
          <w:rFonts w:ascii="Times New Roman" w:hAnsi="Times New Roman"/>
          <w:snapToGrid/>
          <w:color w:val="auto"/>
          <w:sz w:val="24"/>
          <w:szCs w:val="24"/>
          <w:lang w:eastAsia="zh-CN"/>
        </w:rPr>
        <w:t>年第</w:t>
      </w:r>
      <w:r>
        <w:rPr>
          <w:rFonts w:ascii="Times New Roman" w:hAnsi="Times New Roman" w:cs="Times New Roman"/>
          <w:snapToGrid/>
          <w:color w:val="auto"/>
          <w:sz w:val="24"/>
          <w:szCs w:val="24"/>
          <w:lang w:eastAsia="zh-CN"/>
        </w:rPr>
        <w:t>24</w:t>
      </w:r>
      <w:r>
        <w:rPr>
          <w:rFonts w:ascii="Times New Roman" w:hAnsi="Times New Roman"/>
          <w:snapToGrid/>
          <w:color w:val="auto"/>
          <w:sz w:val="24"/>
          <w:szCs w:val="24"/>
          <w:lang w:eastAsia="zh-CN"/>
        </w:rPr>
        <w:t>号，</w:t>
      </w:r>
      <w:r>
        <w:rPr>
          <w:rFonts w:ascii="Times New Roman" w:hAnsi="Times New Roman" w:cs="Times New Roman"/>
          <w:snapToGrid/>
          <w:color w:val="auto"/>
          <w:sz w:val="24"/>
          <w:szCs w:val="24"/>
          <w:lang w:eastAsia="zh-CN"/>
        </w:rPr>
        <w:t>2021.6.11</w:t>
      </w:r>
      <w:r>
        <w:rPr>
          <w:rFonts w:ascii="Times New Roman" w:hAnsi="Times New Roman"/>
          <w:snapToGrid/>
          <w:color w:val="auto"/>
          <w:sz w:val="24"/>
          <w:szCs w:val="24"/>
          <w:lang w:eastAsia="zh-CN"/>
        </w:rPr>
        <w:t>。</w:t>
      </w:r>
    </w:p>
    <w:p w14:paraId="4A2E1556">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18" w:name="_Toc31258"/>
      <w:bookmarkStart w:id="119" w:name="_Toc7104"/>
      <w:bookmarkStart w:id="120" w:name="_Toc7635"/>
      <w:r>
        <w:rPr>
          <w:rFonts w:hint="eastAsia" w:ascii="Times New Roman" w:hAnsi="Times New Roman" w:eastAsia="宋体" w:cs="Times New Roman"/>
          <w:snapToGrid/>
          <w:color w:val="auto"/>
          <w:lang w:eastAsia="zh-CN"/>
        </w:rPr>
        <w:t>2.1.8相关资料</w:t>
      </w:r>
      <w:bookmarkEnd w:id="118"/>
      <w:bookmarkEnd w:id="119"/>
      <w:bookmarkEnd w:id="120"/>
    </w:p>
    <w:p w14:paraId="64F56BC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）项目环境影响评价委托书；</w:t>
      </w:r>
    </w:p>
    <w:p w14:paraId="363525A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）建设单位提供的与本项目有关的其他技术资料。</w:t>
      </w:r>
    </w:p>
    <w:p w14:paraId="2FF19E5B">
      <w:pPr>
        <w:pStyle w:val="5"/>
        <w:widowControl w:val="0"/>
        <w:shd w:val="clear"/>
        <w:kinsoku/>
        <w:autoSpaceDE/>
        <w:autoSpaceDN/>
        <w:adjustRightInd/>
        <w:spacing w:before="0" w:after="0" w:line="360" w:lineRule="auto"/>
        <w:textAlignment w:val="auto"/>
        <w:rPr>
          <w:rFonts w:ascii="Times New Roman" w:hAnsi="Times New Roman" w:eastAsia="宋体"/>
          <w:snapToGrid/>
          <w:color w:val="auto"/>
          <w:lang w:eastAsia="zh-CN"/>
        </w:rPr>
      </w:pPr>
      <w:bookmarkStart w:id="121" w:name="bookmark10"/>
      <w:bookmarkEnd w:id="121"/>
      <w:bookmarkStart w:id="122" w:name="_Toc4890"/>
      <w:bookmarkStart w:id="123" w:name="_Toc21183"/>
      <w:bookmarkStart w:id="124" w:name="_Toc28752"/>
      <w:r>
        <w:rPr>
          <w:rFonts w:hint="eastAsia" w:ascii="Times New Roman" w:hAnsi="Times New Roman" w:eastAsia="宋体"/>
          <w:snapToGrid/>
          <w:color w:val="auto"/>
          <w:lang w:eastAsia="zh-CN"/>
        </w:rPr>
        <w:t>2.2评价目的和工作原则</w:t>
      </w:r>
      <w:bookmarkEnd w:id="122"/>
      <w:bookmarkEnd w:id="123"/>
      <w:bookmarkEnd w:id="124"/>
    </w:p>
    <w:p w14:paraId="6354CF1D">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25" w:name="_Toc21683"/>
      <w:bookmarkStart w:id="126" w:name="_Toc13377"/>
      <w:bookmarkStart w:id="127" w:name="_Toc7577"/>
      <w:r>
        <w:rPr>
          <w:rFonts w:hint="eastAsia" w:ascii="Times New Roman" w:hAnsi="Times New Roman" w:eastAsia="宋体" w:cs="Times New Roman"/>
          <w:snapToGrid/>
          <w:color w:val="auto"/>
          <w:lang w:eastAsia="zh-CN"/>
        </w:rPr>
        <w:t>2.2.1评价目的</w:t>
      </w:r>
      <w:bookmarkEnd w:id="125"/>
      <w:bookmarkEnd w:id="126"/>
      <w:bookmarkEnd w:id="127"/>
    </w:p>
    <w:p w14:paraId="479A855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）通过调查、收集资料与实测，了解本项目评价范围内的社会环境、自然环境和环境质量现状；</w:t>
      </w:r>
    </w:p>
    <w:p w14:paraId="0DFB4E5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）通过工程分析，明确本项目的主要污染源、污染物种类、排放强度，并对污染物达标排放进行分析；</w:t>
      </w:r>
    </w:p>
    <w:p w14:paraId="7CF8A48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128" w:name="bookmark60"/>
      <w:bookmarkEnd w:id="128"/>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）论证本项目采取的环境保护措施的可行性及合理性，并针对存在的问题，提出预防或者减轻不良环境影响的对策和措施；</w:t>
      </w:r>
    </w:p>
    <w:p w14:paraId="69CDFD0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）论证项目与产业政策的符合性、与当地建设规划的相容性、资源利用可行性以及环境可行性；</w:t>
      </w:r>
    </w:p>
    <w:p w14:paraId="1E71ECB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）分析本项目可能存在的事故隐患，预测可能产生的环境风险程度，提出具体的环境风险防范措施。</w:t>
      </w:r>
    </w:p>
    <w:p w14:paraId="1392C7C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通过上述评价，论证项目在环境方面的可行性，给出环境影响评价结论，为环境保护主管部门提供决策依据。</w:t>
      </w:r>
    </w:p>
    <w:p w14:paraId="0107DA78">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29" w:name="_Toc24116"/>
      <w:bookmarkStart w:id="130" w:name="_Toc18317"/>
      <w:bookmarkStart w:id="131" w:name="_Toc10411"/>
      <w:r>
        <w:rPr>
          <w:rFonts w:hint="eastAsia" w:ascii="Times New Roman" w:hAnsi="Times New Roman" w:eastAsia="宋体" w:cs="Times New Roman"/>
          <w:snapToGrid/>
          <w:color w:val="auto"/>
          <w:lang w:eastAsia="zh-CN"/>
        </w:rPr>
        <w:t>2.2.2评价原则</w:t>
      </w:r>
      <w:bookmarkEnd w:id="129"/>
      <w:bookmarkEnd w:id="130"/>
      <w:bookmarkEnd w:id="131"/>
    </w:p>
    <w:p w14:paraId="2554DC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突出环境影响评价的源头预防作用，坚持保护和改善环境质量。</w:t>
      </w:r>
    </w:p>
    <w:p w14:paraId="43A1A8D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32" w:name="_Toc2566"/>
      <w:bookmarkStart w:id="133" w:name="_Toc15184"/>
      <w:bookmarkStart w:id="134" w:name="_Toc24302"/>
      <w:bookmarkStart w:id="135" w:name="_Toc28605"/>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）依法评价</w:t>
      </w:r>
      <w:bookmarkEnd w:id="132"/>
      <w:bookmarkEnd w:id="133"/>
      <w:bookmarkEnd w:id="134"/>
      <w:bookmarkEnd w:id="135"/>
    </w:p>
    <w:p w14:paraId="2BD731F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贯彻执行我国环境保护相关法律法规、标准、政策和规划等，优化项目建设，服务环境管理。</w:t>
      </w:r>
    </w:p>
    <w:p w14:paraId="79A4711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36" w:name="_Toc17317"/>
      <w:bookmarkStart w:id="137" w:name="_Toc26903"/>
      <w:bookmarkStart w:id="138" w:name="_Toc329"/>
      <w:bookmarkStart w:id="139" w:name="_Toc15844"/>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）科学评价</w:t>
      </w:r>
      <w:bookmarkEnd w:id="136"/>
      <w:bookmarkEnd w:id="137"/>
      <w:bookmarkEnd w:id="138"/>
      <w:bookmarkEnd w:id="139"/>
    </w:p>
    <w:p w14:paraId="3493B7E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规范环境影响评价方法，科学分析项目建设对环境质量的影响。</w:t>
      </w:r>
    </w:p>
    <w:p w14:paraId="2203017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40" w:name="_Toc25721"/>
      <w:bookmarkStart w:id="141" w:name="_Toc31236"/>
      <w:bookmarkStart w:id="142" w:name="_Toc2757"/>
      <w:bookmarkStart w:id="143" w:name="_Toc10257"/>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）突出重点</w:t>
      </w:r>
      <w:bookmarkEnd w:id="140"/>
      <w:bookmarkEnd w:id="141"/>
      <w:bookmarkEnd w:id="142"/>
      <w:bookmarkEnd w:id="143"/>
    </w:p>
    <w:p w14:paraId="685B34C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根据建设项目的工程内容及其特点，明确与环境要素间的作用效应关系，根据规划环境影响评价结论和审查意见，充分利用符合时效的数据资料及成果，对建设项目主要环境影响予以重点分析和评价。</w:t>
      </w:r>
    </w:p>
    <w:p w14:paraId="0E0573C4">
      <w:pPr>
        <w:pStyle w:val="5"/>
        <w:widowControl w:val="0"/>
        <w:shd w:val="clear"/>
        <w:kinsoku/>
        <w:autoSpaceDE/>
        <w:autoSpaceDN/>
        <w:adjustRightInd/>
        <w:spacing w:before="0" w:after="0" w:line="360" w:lineRule="auto"/>
        <w:textAlignment w:val="auto"/>
        <w:rPr>
          <w:rFonts w:ascii="Times New Roman" w:hAnsi="Times New Roman" w:eastAsia="宋体"/>
          <w:snapToGrid/>
          <w:color w:val="auto"/>
          <w:lang w:eastAsia="zh-CN"/>
        </w:rPr>
      </w:pPr>
      <w:bookmarkStart w:id="144" w:name="bookmark11"/>
      <w:bookmarkEnd w:id="144"/>
      <w:bookmarkStart w:id="145" w:name="_Toc19981"/>
      <w:bookmarkStart w:id="146" w:name="_Toc22496"/>
      <w:bookmarkStart w:id="147" w:name="_Toc30783"/>
      <w:r>
        <w:rPr>
          <w:rFonts w:hint="eastAsia" w:ascii="Times New Roman" w:hAnsi="Times New Roman" w:eastAsia="宋体"/>
          <w:snapToGrid/>
          <w:color w:val="auto"/>
          <w:lang w:eastAsia="zh-CN"/>
        </w:rPr>
        <w:t>2.3环境影响因素识别及评价因子筛选</w:t>
      </w:r>
      <w:bookmarkEnd w:id="145"/>
      <w:bookmarkEnd w:id="146"/>
      <w:bookmarkEnd w:id="147"/>
    </w:p>
    <w:p w14:paraId="0236F123">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48" w:name="_Toc11061"/>
      <w:r>
        <w:rPr>
          <w:rFonts w:hint="eastAsia" w:ascii="Times New Roman" w:hAnsi="Times New Roman" w:eastAsia="宋体" w:cs="Times New Roman"/>
          <w:snapToGrid/>
          <w:color w:val="auto"/>
          <w:lang w:eastAsia="zh-CN"/>
        </w:rPr>
        <w:t>2.3.1环境影响因素识别</w:t>
      </w:r>
      <w:bookmarkEnd w:id="148"/>
    </w:p>
    <w:p w14:paraId="10CD71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根据项目的特点、所处地区的环境特征，在描述项目对自然环境、社会环境产生影响的方式和途径的基础上，进行影响因素识别。</w:t>
      </w:r>
      <w:r>
        <w:rPr>
          <w:rFonts w:ascii="Times New Roman" w:hAnsi="Times New Roman"/>
          <w:snapToGrid/>
          <w:color w:val="auto"/>
          <w:sz w:val="24"/>
          <w:szCs w:val="24"/>
          <w:lang w:eastAsia="zh-CN"/>
        </w:rPr>
        <w:t>环境影响因子的识别见表</w:t>
      </w:r>
      <w:r>
        <w:rPr>
          <w:rFonts w:ascii="Times New Roman" w:hAnsi="Times New Roman" w:cs="Times New Roman"/>
          <w:snapToGrid/>
          <w:color w:val="auto"/>
          <w:sz w:val="24"/>
          <w:szCs w:val="24"/>
          <w:lang w:eastAsia="zh-CN"/>
        </w:rPr>
        <w:t>2.3-1</w:t>
      </w:r>
      <w:r>
        <w:rPr>
          <w:rFonts w:ascii="Times New Roman" w:hAnsi="Times New Roman"/>
          <w:snapToGrid/>
          <w:color w:val="auto"/>
          <w:sz w:val="24"/>
          <w:szCs w:val="24"/>
          <w:lang w:eastAsia="zh-CN"/>
        </w:rPr>
        <w:t>。</w:t>
      </w:r>
    </w:p>
    <w:p w14:paraId="34846446">
      <w:pPr>
        <w:pStyle w:val="2"/>
        <w:widowControl w:val="0"/>
        <w:shd w:val="clear"/>
        <w:kinsoku/>
        <w:autoSpaceDE/>
        <w:autoSpaceDN/>
        <w:adjustRightInd/>
        <w:snapToGrid/>
        <w:spacing w:line="360" w:lineRule="auto"/>
        <w:jc w:val="center"/>
        <w:textAlignment w:val="auto"/>
        <w:rPr>
          <w:rFonts w:ascii="Times New Roman" w:hAnsi="Times New Roman"/>
          <w:b/>
          <w:snapToGrid/>
          <w:color w:val="auto"/>
          <w:sz w:val="24"/>
        </w:rPr>
      </w:pPr>
      <w:r>
        <w:rPr>
          <w:rFonts w:ascii="Times New Roman" w:hAnsi="Times New Roman"/>
          <w:b/>
          <w:bCs/>
          <w:snapToGrid/>
          <w:color w:val="auto"/>
          <w:sz w:val="24"/>
        </w:rPr>
        <w:t>表</w:t>
      </w:r>
      <w:r>
        <w:rPr>
          <w:rFonts w:ascii="Times New Roman" w:hAnsi="Times New Roman" w:cs="Times New Roman"/>
          <w:b/>
          <w:bCs/>
          <w:snapToGrid/>
          <w:color w:val="auto"/>
          <w:sz w:val="24"/>
        </w:rPr>
        <w:t>2.3-1</w:t>
      </w:r>
      <w:r>
        <w:rPr>
          <w:rFonts w:ascii="Times New Roman" w:hAnsi="Times New Roman"/>
          <w:b/>
          <w:bCs/>
          <w:snapToGrid/>
          <w:color w:val="auto"/>
          <w:sz w:val="24"/>
        </w:rPr>
        <w:t>环境影响因子识别表</w:t>
      </w:r>
    </w:p>
    <w:p w14:paraId="56079277">
      <w:pPr>
        <w:widowControl w:val="0"/>
        <w:shd w:val="clear"/>
        <w:kinsoku/>
        <w:autoSpaceDE/>
        <w:autoSpaceDN/>
        <w:adjustRightInd/>
        <w:snapToGrid/>
        <w:spacing w:line="20" w:lineRule="exact"/>
        <w:textAlignment w:val="auto"/>
        <w:rPr>
          <w:rFonts w:ascii="Times New Roman" w:hAnsi="Times New Roman" w:eastAsia="宋体"/>
          <w:snapToGrid/>
          <w:color w:val="auto"/>
        </w:rPr>
      </w:pPr>
    </w:p>
    <w:tbl>
      <w:tblPr>
        <w:tblStyle w:val="36"/>
        <w:tblW w:w="8328" w:type="dxa"/>
        <w:tblInd w:w="6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135"/>
        <w:gridCol w:w="1248"/>
        <w:gridCol w:w="1274"/>
        <w:gridCol w:w="1205"/>
        <w:gridCol w:w="1217"/>
        <w:gridCol w:w="1241"/>
      </w:tblGrid>
      <w:tr w14:paraId="63AF2D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008" w:type="dxa"/>
            <w:vMerge w:val="restart"/>
            <w:tcBorders>
              <w:tl2br w:val="nil"/>
              <w:tr2bl w:val="nil"/>
            </w:tcBorders>
          </w:tcPr>
          <w:p w14:paraId="7B8AD28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影响因素</w:t>
            </w:r>
          </w:p>
        </w:tc>
        <w:tc>
          <w:tcPr>
            <w:tcW w:w="1135" w:type="dxa"/>
            <w:vMerge w:val="restart"/>
            <w:tcBorders>
              <w:tl2br w:val="nil"/>
              <w:tr2bl w:val="nil"/>
            </w:tcBorders>
          </w:tcPr>
          <w:p w14:paraId="17BC0D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施工期</w:t>
            </w:r>
          </w:p>
        </w:tc>
        <w:tc>
          <w:tcPr>
            <w:tcW w:w="6185" w:type="dxa"/>
            <w:gridSpan w:val="5"/>
            <w:tcBorders>
              <w:tl2br w:val="nil"/>
              <w:tr2bl w:val="nil"/>
            </w:tcBorders>
          </w:tcPr>
          <w:p w14:paraId="2454C8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营运期</w:t>
            </w:r>
          </w:p>
        </w:tc>
      </w:tr>
      <w:tr w14:paraId="681283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008" w:type="dxa"/>
            <w:vMerge w:val="continue"/>
            <w:tcBorders>
              <w:tl2br w:val="nil"/>
              <w:tr2bl w:val="nil"/>
            </w:tcBorders>
          </w:tcPr>
          <w:p w14:paraId="527681A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35" w:type="dxa"/>
            <w:vMerge w:val="continue"/>
            <w:tcBorders>
              <w:tl2br w:val="nil"/>
              <w:tr2bl w:val="nil"/>
            </w:tcBorders>
          </w:tcPr>
          <w:p w14:paraId="2757FF4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8" w:type="dxa"/>
            <w:tcBorders>
              <w:tl2br w:val="nil"/>
              <w:tr2bl w:val="nil"/>
            </w:tcBorders>
          </w:tcPr>
          <w:p w14:paraId="75E89E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废气排放</w:t>
            </w:r>
          </w:p>
        </w:tc>
        <w:tc>
          <w:tcPr>
            <w:tcW w:w="1274" w:type="dxa"/>
            <w:tcBorders>
              <w:tl2br w:val="nil"/>
              <w:tr2bl w:val="nil"/>
            </w:tcBorders>
          </w:tcPr>
          <w:p w14:paraId="780C19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废水排放</w:t>
            </w:r>
          </w:p>
        </w:tc>
        <w:tc>
          <w:tcPr>
            <w:tcW w:w="1205" w:type="dxa"/>
            <w:tcBorders>
              <w:tl2br w:val="nil"/>
              <w:tr2bl w:val="nil"/>
            </w:tcBorders>
          </w:tcPr>
          <w:p w14:paraId="033D0C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噪声排放</w:t>
            </w:r>
          </w:p>
        </w:tc>
        <w:tc>
          <w:tcPr>
            <w:tcW w:w="1217" w:type="dxa"/>
            <w:tcBorders>
              <w:tl2br w:val="nil"/>
              <w:tr2bl w:val="nil"/>
            </w:tcBorders>
          </w:tcPr>
          <w:p w14:paraId="58140D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固体废物</w:t>
            </w:r>
          </w:p>
        </w:tc>
        <w:tc>
          <w:tcPr>
            <w:tcW w:w="1241" w:type="dxa"/>
            <w:tcBorders>
              <w:tl2br w:val="nil"/>
              <w:tr2bl w:val="nil"/>
            </w:tcBorders>
          </w:tcPr>
          <w:p w14:paraId="1460FE8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事故风险</w:t>
            </w:r>
          </w:p>
        </w:tc>
      </w:tr>
      <w:tr w14:paraId="2EAE03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08" w:type="dxa"/>
            <w:tcBorders>
              <w:tl2br w:val="nil"/>
              <w:tr2bl w:val="nil"/>
            </w:tcBorders>
          </w:tcPr>
          <w:p w14:paraId="293B428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环境空气</w:t>
            </w:r>
          </w:p>
        </w:tc>
        <w:tc>
          <w:tcPr>
            <w:tcW w:w="1135" w:type="dxa"/>
            <w:tcBorders>
              <w:tl2br w:val="nil"/>
              <w:tr2bl w:val="nil"/>
            </w:tcBorders>
          </w:tcPr>
          <w:p w14:paraId="6174DC1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5B2D038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-2LP</w:t>
            </w:r>
          </w:p>
        </w:tc>
        <w:tc>
          <w:tcPr>
            <w:tcW w:w="1274" w:type="dxa"/>
            <w:tcBorders>
              <w:tl2br w:val="nil"/>
              <w:tr2bl w:val="nil"/>
            </w:tcBorders>
          </w:tcPr>
          <w:p w14:paraId="68EE08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05" w:type="dxa"/>
            <w:tcBorders>
              <w:tl2br w:val="nil"/>
              <w:tr2bl w:val="nil"/>
            </w:tcBorders>
          </w:tcPr>
          <w:p w14:paraId="0ED6316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7" w:type="dxa"/>
            <w:tcBorders>
              <w:tl2br w:val="nil"/>
              <w:tr2bl w:val="nil"/>
            </w:tcBorders>
          </w:tcPr>
          <w:p w14:paraId="4A31AAE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6E758CF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eastAsia="宋体"/>
                <w:snapToGrid/>
                <w:color w:val="auto"/>
              </w:rPr>
              <w:t>-</w:t>
            </w:r>
            <w:r>
              <w:rPr>
                <w:rFonts w:hint="eastAsia" w:eastAsia="宋体"/>
                <w:snapToGrid/>
                <w:color w:val="auto"/>
                <w:lang w:val="en-US" w:eastAsia="zh-CN"/>
              </w:rPr>
              <w:t>1L</w:t>
            </w:r>
          </w:p>
        </w:tc>
      </w:tr>
      <w:tr w14:paraId="4D179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08" w:type="dxa"/>
            <w:tcBorders>
              <w:tl2br w:val="nil"/>
              <w:tr2bl w:val="nil"/>
            </w:tcBorders>
          </w:tcPr>
          <w:p w14:paraId="64C448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地表水</w:t>
            </w:r>
          </w:p>
        </w:tc>
        <w:tc>
          <w:tcPr>
            <w:tcW w:w="1135" w:type="dxa"/>
            <w:tcBorders>
              <w:tl2br w:val="nil"/>
              <w:tr2bl w:val="nil"/>
            </w:tcBorders>
          </w:tcPr>
          <w:p w14:paraId="591778C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7482832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74" w:type="dxa"/>
            <w:tcBorders>
              <w:tl2br w:val="nil"/>
              <w:tr2bl w:val="nil"/>
            </w:tcBorders>
          </w:tcPr>
          <w:p w14:paraId="4DEF375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05" w:type="dxa"/>
            <w:tcBorders>
              <w:tl2br w:val="nil"/>
              <w:tr2bl w:val="nil"/>
            </w:tcBorders>
          </w:tcPr>
          <w:p w14:paraId="6D2B68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7" w:type="dxa"/>
            <w:tcBorders>
              <w:tl2br w:val="nil"/>
              <w:tr2bl w:val="nil"/>
            </w:tcBorders>
          </w:tcPr>
          <w:p w14:paraId="35421FA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44C4CDC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r w14:paraId="2B521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08" w:type="dxa"/>
            <w:tcBorders>
              <w:tl2br w:val="nil"/>
              <w:tr2bl w:val="nil"/>
            </w:tcBorders>
          </w:tcPr>
          <w:p w14:paraId="1D29350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地下水</w:t>
            </w:r>
          </w:p>
        </w:tc>
        <w:tc>
          <w:tcPr>
            <w:tcW w:w="1135" w:type="dxa"/>
            <w:tcBorders>
              <w:tl2br w:val="nil"/>
              <w:tr2bl w:val="nil"/>
            </w:tcBorders>
          </w:tcPr>
          <w:p w14:paraId="50E4152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590D2BB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74" w:type="dxa"/>
            <w:tcBorders>
              <w:tl2br w:val="nil"/>
              <w:tr2bl w:val="nil"/>
            </w:tcBorders>
          </w:tcPr>
          <w:p w14:paraId="69524F6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05" w:type="dxa"/>
            <w:tcBorders>
              <w:tl2br w:val="nil"/>
              <w:tr2bl w:val="nil"/>
            </w:tcBorders>
          </w:tcPr>
          <w:p w14:paraId="15BC6F3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7" w:type="dxa"/>
            <w:tcBorders>
              <w:tl2br w:val="nil"/>
              <w:tr2bl w:val="nil"/>
            </w:tcBorders>
          </w:tcPr>
          <w:p w14:paraId="7904750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3B0AE07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r w14:paraId="70258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008" w:type="dxa"/>
            <w:tcBorders>
              <w:tl2br w:val="nil"/>
              <w:tr2bl w:val="nil"/>
            </w:tcBorders>
          </w:tcPr>
          <w:p w14:paraId="07F0620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声环境</w:t>
            </w:r>
          </w:p>
        </w:tc>
        <w:tc>
          <w:tcPr>
            <w:tcW w:w="1135" w:type="dxa"/>
            <w:tcBorders>
              <w:tl2br w:val="nil"/>
              <w:tr2bl w:val="nil"/>
            </w:tcBorders>
          </w:tcPr>
          <w:p w14:paraId="2BEC821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2B46F83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74" w:type="dxa"/>
            <w:tcBorders>
              <w:tl2br w:val="nil"/>
              <w:tr2bl w:val="nil"/>
            </w:tcBorders>
          </w:tcPr>
          <w:p w14:paraId="5CACD2E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05" w:type="dxa"/>
            <w:tcBorders>
              <w:tl2br w:val="nil"/>
              <w:tr2bl w:val="nil"/>
            </w:tcBorders>
          </w:tcPr>
          <w:p w14:paraId="6D23FD5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-2LP</w:t>
            </w:r>
          </w:p>
        </w:tc>
        <w:tc>
          <w:tcPr>
            <w:tcW w:w="1217" w:type="dxa"/>
            <w:tcBorders>
              <w:tl2br w:val="nil"/>
              <w:tr2bl w:val="nil"/>
            </w:tcBorders>
          </w:tcPr>
          <w:p w14:paraId="18BA3A5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3B5CBF5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r w14:paraId="46139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9" w:hRule="atLeast"/>
        </w:trPr>
        <w:tc>
          <w:tcPr>
            <w:tcW w:w="1008" w:type="dxa"/>
            <w:tcBorders>
              <w:tl2br w:val="nil"/>
              <w:tr2bl w:val="nil"/>
            </w:tcBorders>
          </w:tcPr>
          <w:p w14:paraId="6A7DC8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土壤环境</w:t>
            </w:r>
          </w:p>
        </w:tc>
        <w:tc>
          <w:tcPr>
            <w:tcW w:w="1135" w:type="dxa"/>
            <w:tcBorders>
              <w:tl2br w:val="nil"/>
              <w:tr2bl w:val="nil"/>
            </w:tcBorders>
          </w:tcPr>
          <w:p w14:paraId="767AE48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639D063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74" w:type="dxa"/>
            <w:tcBorders>
              <w:tl2br w:val="nil"/>
              <w:tr2bl w:val="nil"/>
            </w:tcBorders>
          </w:tcPr>
          <w:p w14:paraId="1A049F2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05" w:type="dxa"/>
            <w:tcBorders>
              <w:tl2br w:val="nil"/>
              <w:tr2bl w:val="nil"/>
            </w:tcBorders>
          </w:tcPr>
          <w:p w14:paraId="3E59C0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7" w:type="dxa"/>
            <w:tcBorders>
              <w:tl2br w:val="nil"/>
              <w:tr2bl w:val="nil"/>
            </w:tcBorders>
          </w:tcPr>
          <w:p w14:paraId="1446766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41" w:type="dxa"/>
            <w:tcBorders>
              <w:tl2br w:val="nil"/>
              <w:tr2bl w:val="nil"/>
            </w:tcBorders>
          </w:tcPr>
          <w:p w14:paraId="6E3A1A6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r w14:paraId="27A6C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08" w:type="dxa"/>
            <w:tcBorders>
              <w:tl2br w:val="nil"/>
              <w:tr2bl w:val="nil"/>
            </w:tcBorders>
          </w:tcPr>
          <w:p w14:paraId="797A58F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生态环境</w:t>
            </w:r>
          </w:p>
        </w:tc>
        <w:tc>
          <w:tcPr>
            <w:tcW w:w="1135" w:type="dxa"/>
            <w:tcBorders>
              <w:tl2br w:val="nil"/>
              <w:tr2bl w:val="nil"/>
            </w:tcBorders>
          </w:tcPr>
          <w:p w14:paraId="65B411B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-1SP</w:t>
            </w:r>
          </w:p>
        </w:tc>
        <w:tc>
          <w:tcPr>
            <w:tcW w:w="1248" w:type="dxa"/>
            <w:tcBorders>
              <w:tl2br w:val="nil"/>
              <w:tr2bl w:val="nil"/>
            </w:tcBorders>
          </w:tcPr>
          <w:p w14:paraId="48194C0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74" w:type="dxa"/>
            <w:tcBorders>
              <w:tl2br w:val="nil"/>
              <w:tr2bl w:val="nil"/>
            </w:tcBorders>
          </w:tcPr>
          <w:p w14:paraId="0D85EC7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05" w:type="dxa"/>
            <w:tcBorders>
              <w:tl2br w:val="nil"/>
              <w:tr2bl w:val="nil"/>
            </w:tcBorders>
          </w:tcPr>
          <w:p w14:paraId="65CCDE0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-0LP</w:t>
            </w:r>
          </w:p>
        </w:tc>
        <w:tc>
          <w:tcPr>
            <w:tcW w:w="1217" w:type="dxa"/>
            <w:tcBorders>
              <w:tl2br w:val="nil"/>
              <w:tr2bl w:val="nil"/>
            </w:tcBorders>
          </w:tcPr>
          <w:p w14:paraId="7F6F969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76F171C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r w14:paraId="721F9D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08" w:type="dxa"/>
            <w:tcBorders>
              <w:tl2br w:val="nil"/>
              <w:tr2bl w:val="nil"/>
            </w:tcBorders>
          </w:tcPr>
          <w:p w14:paraId="43F089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土地利用</w:t>
            </w:r>
          </w:p>
        </w:tc>
        <w:tc>
          <w:tcPr>
            <w:tcW w:w="1135" w:type="dxa"/>
            <w:tcBorders>
              <w:tl2br w:val="nil"/>
              <w:tr2bl w:val="nil"/>
            </w:tcBorders>
          </w:tcPr>
          <w:p w14:paraId="7DE6B8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8" w:type="dxa"/>
            <w:tcBorders>
              <w:tl2br w:val="nil"/>
              <w:tr2bl w:val="nil"/>
            </w:tcBorders>
          </w:tcPr>
          <w:p w14:paraId="1741346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74" w:type="dxa"/>
            <w:tcBorders>
              <w:tl2br w:val="nil"/>
              <w:tr2bl w:val="nil"/>
            </w:tcBorders>
          </w:tcPr>
          <w:p w14:paraId="3B846A4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-1LP</w:t>
            </w:r>
          </w:p>
        </w:tc>
        <w:tc>
          <w:tcPr>
            <w:tcW w:w="1205" w:type="dxa"/>
            <w:tcBorders>
              <w:tl2br w:val="nil"/>
              <w:tr2bl w:val="nil"/>
            </w:tcBorders>
          </w:tcPr>
          <w:p w14:paraId="61ECE56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7" w:type="dxa"/>
            <w:tcBorders>
              <w:tl2br w:val="nil"/>
              <w:tr2bl w:val="nil"/>
            </w:tcBorders>
          </w:tcPr>
          <w:p w14:paraId="582882B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1" w:type="dxa"/>
            <w:tcBorders>
              <w:tl2br w:val="nil"/>
              <w:tr2bl w:val="nil"/>
            </w:tcBorders>
          </w:tcPr>
          <w:p w14:paraId="252AB2F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r>
              <w:rPr>
                <w:rFonts w:hint="eastAsia" w:eastAsia="宋体"/>
                <w:snapToGrid/>
                <w:color w:val="auto"/>
                <w:lang w:val="en-US" w:eastAsia="zh-CN"/>
              </w:rPr>
              <w:t>1L</w:t>
            </w:r>
          </w:p>
        </w:tc>
      </w:tr>
    </w:tbl>
    <w:p w14:paraId="41FB10F3">
      <w:pPr>
        <w:pStyle w:val="2"/>
        <w:widowControl w:val="0"/>
        <w:shd w:val="clear"/>
        <w:kinsoku/>
        <w:autoSpaceDE/>
        <w:autoSpaceDN/>
        <w:adjustRightInd/>
        <w:snapToGrid/>
        <w:spacing w:before="68" w:line="215" w:lineRule="auto"/>
        <w:ind w:left="51" w:right="81" w:firstLine="480"/>
        <w:jc w:val="both"/>
        <w:textAlignment w:val="auto"/>
        <w:rPr>
          <w:rFonts w:ascii="Times New Roman" w:hAnsi="Times New Roman"/>
          <w:snapToGrid/>
          <w:color w:val="auto"/>
          <w:lang w:eastAsia="zh-CN"/>
        </w:rPr>
      </w:pPr>
      <w:r>
        <w:rPr>
          <w:rFonts w:ascii="Times New Roman" w:hAnsi="Times New Roman"/>
          <w:snapToGrid/>
          <w:color w:val="auto"/>
          <w:lang w:eastAsia="zh-CN"/>
        </w:rPr>
        <w:t>注：“</w:t>
      </w:r>
      <w:r>
        <w:rPr>
          <w:rFonts w:ascii="Times New Roman" w:hAnsi="Times New Roman" w:cs="Times New Roman"/>
          <w:snapToGrid/>
          <w:color w:val="auto"/>
          <w:lang w:eastAsia="zh-CN"/>
        </w:rPr>
        <w:t>+</w:t>
      </w:r>
      <w:r>
        <w:rPr>
          <w:rFonts w:ascii="Times New Roman" w:hAnsi="Times New Roman"/>
          <w:snapToGrid/>
          <w:color w:val="auto"/>
          <w:lang w:eastAsia="zh-CN"/>
        </w:rPr>
        <w:t>和</w:t>
      </w:r>
      <w:r>
        <w:rPr>
          <w:rFonts w:hint="eastAsia" w:ascii="Times New Roman" w:hAnsi="Times New Roman"/>
          <w:snapToGrid/>
          <w:color w:val="auto"/>
          <w:lang w:eastAsia="zh-CN"/>
        </w:rPr>
        <w:t>－</w:t>
      </w:r>
      <w:r>
        <w:rPr>
          <w:rFonts w:ascii="Times New Roman" w:hAnsi="Times New Roman"/>
          <w:snapToGrid/>
          <w:color w:val="auto"/>
          <w:lang w:eastAsia="zh-CN"/>
        </w:rPr>
        <w:t>”分别表示有利、不利影响；“</w:t>
      </w:r>
      <w:r>
        <w:rPr>
          <w:rFonts w:ascii="Times New Roman" w:hAnsi="Times New Roman" w:cs="Times New Roman"/>
          <w:snapToGrid/>
          <w:color w:val="auto"/>
          <w:lang w:eastAsia="zh-CN"/>
        </w:rPr>
        <w:t>0</w:t>
      </w:r>
      <w:r>
        <w:rPr>
          <w:rFonts w:ascii="Times New Roman" w:hAnsi="Times New Roman"/>
          <w:snapToGrid/>
          <w:color w:val="auto"/>
          <w:lang w:eastAsia="zh-CN"/>
        </w:rPr>
        <w:t>至</w:t>
      </w:r>
      <w:r>
        <w:rPr>
          <w:rFonts w:ascii="Times New Roman" w:hAnsi="Times New Roman" w:cs="Times New Roman"/>
          <w:snapToGrid/>
          <w:color w:val="auto"/>
          <w:lang w:eastAsia="zh-CN"/>
        </w:rPr>
        <w:t>3</w:t>
      </w:r>
      <w:r>
        <w:rPr>
          <w:rFonts w:ascii="Times New Roman" w:hAnsi="Times New Roman"/>
          <w:snapToGrid/>
          <w:color w:val="auto"/>
          <w:lang w:eastAsia="zh-CN"/>
        </w:rPr>
        <w:t>”分别表示无影响、轻微影响、中等影响、重大影响；“</w:t>
      </w:r>
      <w:r>
        <w:rPr>
          <w:rFonts w:ascii="Times New Roman" w:hAnsi="Times New Roman" w:cs="Times New Roman"/>
          <w:snapToGrid/>
          <w:color w:val="auto"/>
          <w:lang w:eastAsia="zh-CN"/>
        </w:rPr>
        <w:t>L</w:t>
      </w:r>
      <w:r>
        <w:rPr>
          <w:rFonts w:ascii="Times New Roman" w:hAnsi="Times New Roman"/>
          <w:snapToGrid/>
          <w:color w:val="auto"/>
          <w:lang w:eastAsia="zh-CN"/>
        </w:rPr>
        <w:t>和</w:t>
      </w:r>
      <w:r>
        <w:rPr>
          <w:rFonts w:ascii="Times New Roman" w:hAnsi="Times New Roman" w:cs="Times New Roman"/>
          <w:snapToGrid/>
          <w:color w:val="auto"/>
          <w:lang w:eastAsia="zh-CN"/>
        </w:rPr>
        <w:t>S</w:t>
      </w:r>
      <w:r>
        <w:rPr>
          <w:rFonts w:ascii="Times New Roman" w:hAnsi="Times New Roman"/>
          <w:snapToGrid/>
          <w:color w:val="auto"/>
          <w:lang w:eastAsia="zh-CN"/>
        </w:rPr>
        <w:t>”分别表示长期、短期影响；“</w:t>
      </w:r>
      <w:r>
        <w:rPr>
          <w:rFonts w:ascii="Times New Roman" w:hAnsi="Times New Roman" w:cs="Times New Roman"/>
          <w:snapToGrid/>
          <w:color w:val="auto"/>
          <w:lang w:eastAsia="zh-CN"/>
        </w:rPr>
        <w:t>W</w:t>
      </w:r>
      <w:r>
        <w:rPr>
          <w:rFonts w:ascii="Times New Roman" w:hAnsi="Times New Roman"/>
          <w:snapToGrid/>
          <w:color w:val="auto"/>
          <w:lang w:eastAsia="zh-CN"/>
        </w:rPr>
        <w:t>和</w:t>
      </w:r>
      <w:r>
        <w:rPr>
          <w:rFonts w:ascii="Times New Roman" w:hAnsi="Times New Roman" w:cs="Times New Roman"/>
          <w:snapToGrid/>
          <w:color w:val="auto"/>
          <w:lang w:eastAsia="zh-CN"/>
        </w:rPr>
        <w:t>P</w:t>
      </w:r>
      <w:r>
        <w:rPr>
          <w:rFonts w:ascii="Times New Roman" w:hAnsi="Times New Roman"/>
          <w:snapToGrid/>
          <w:color w:val="auto"/>
          <w:lang w:eastAsia="zh-CN"/>
        </w:rPr>
        <w:t>”分别表示大范围、局部影响。</w:t>
      </w:r>
    </w:p>
    <w:p w14:paraId="57C6116B">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49" w:name="_Toc5202"/>
      <w:r>
        <w:rPr>
          <w:rFonts w:hint="eastAsia" w:ascii="Times New Roman" w:hAnsi="Times New Roman" w:eastAsia="宋体" w:cs="Times New Roman"/>
          <w:snapToGrid/>
          <w:color w:val="auto"/>
          <w:lang w:eastAsia="zh-CN"/>
        </w:rPr>
        <w:t>2.3.2评价因子筛选</w:t>
      </w:r>
      <w:bookmarkEnd w:id="149"/>
    </w:p>
    <w:p w14:paraId="6497193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项目可能对环境产生的污染因素包括废气、废水、噪声、工业固体废弃物，这些因素可能导致的环境影响涉及环境空气、地表水、地下水环境、声环境等。</w:t>
      </w:r>
      <w:r>
        <w:rPr>
          <w:rFonts w:hint="eastAsia" w:ascii="Times New Roman" w:hAnsi="Times New Roman"/>
          <w:snapToGrid/>
          <w:color w:val="auto"/>
          <w:sz w:val="24"/>
          <w:szCs w:val="24"/>
          <w:lang w:eastAsia="zh-CN"/>
        </w:rPr>
        <w:t>根据建设项目的特点、环境影响的主要特征，结合区域环境功能要求、环境保护目标、评价标准和环境制约因素，筛选确定评价因子。具体详见表</w:t>
      </w:r>
      <w:r>
        <w:rPr>
          <w:rFonts w:hint="eastAsia" w:ascii="Times New Roman" w:hAnsi="Times New Roman"/>
          <w:snapToGrid/>
          <w:color w:val="auto"/>
          <w:sz w:val="24"/>
          <w:szCs w:val="24"/>
          <w:lang w:val="en-US" w:eastAsia="zh-CN"/>
        </w:rPr>
        <w:t>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3</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w:t>
      </w:r>
      <w:r>
        <w:rPr>
          <w:rFonts w:ascii="Times New Roman" w:hAnsi="Times New Roman"/>
          <w:snapToGrid/>
          <w:color w:val="auto"/>
          <w:sz w:val="24"/>
          <w:szCs w:val="24"/>
          <w:lang w:eastAsia="zh-CN"/>
        </w:rPr>
        <w:t>。</w:t>
      </w:r>
    </w:p>
    <w:p w14:paraId="52C1C8E3">
      <w:pPr>
        <w:pStyle w:val="2"/>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2.3-2</w:t>
      </w:r>
      <w:r>
        <w:rPr>
          <w:rFonts w:ascii="Times New Roman" w:hAnsi="Times New Roman"/>
          <w:b/>
          <w:bCs/>
          <w:snapToGrid/>
          <w:color w:val="auto"/>
          <w:sz w:val="24"/>
          <w:lang w:eastAsia="zh-CN"/>
        </w:rPr>
        <w:t>本项目常规污染物和特征污染物确定情况一览表</w:t>
      </w:r>
    </w:p>
    <w:tbl>
      <w:tblPr>
        <w:tblStyle w:val="36"/>
        <w:tblW w:w="501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3"/>
        <w:gridCol w:w="497"/>
        <w:gridCol w:w="5086"/>
        <w:gridCol w:w="1844"/>
        <w:gridCol w:w="871"/>
      </w:tblGrid>
      <w:tr w14:paraId="4341D6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187" w:type="pct"/>
            <w:tcBorders>
              <w:tl2br w:val="nil"/>
              <w:tr2bl w:val="nil"/>
            </w:tcBorders>
            <w:vAlign w:val="center"/>
          </w:tcPr>
          <w:p w14:paraId="6F4483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288" w:type="pct"/>
            <w:tcBorders>
              <w:tl2br w:val="nil"/>
              <w:tr2bl w:val="nil"/>
            </w:tcBorders>
            <w:vAlign w:val="center"/>
          </w:tcPr>
          <w:p w14:paraId="328534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评价项目</w:t>
            </w:r>
          </w:p>
        </w:tc>
        <w:tc>
          <w:tcPr>
            <w:tcW w:w="2949" w:type="pct"/>
            <w:tcBorders>
              <w:tl2br w:val="nil"/>
              <w:tr2bl w:val="nil"/>
            </w:tcBorders>
            <w:vAlign w:val="center"/>
          </w:tcPr>
          <w:p w14:paraId="3B2E59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现状评价因子</w:t>
            </w:r>
          </w:p>
        </w:tc>
        <w:tc>
          <w:tcPr>
            <w:tcW w:w="1069" w:type="pct"/>
            <w:tcBorders>
              <w:tl2br w:val="nil"/>
              <w:tr2bl w:val="nil"/>
            </w:tcBorders>
            <w:vAlign w:val="center"/>
          </w:tcPr>
          <w:p w14:paraId="7C36846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影响评价因子</w:t>
            </w:r>
          </w:p>
        </w:tc>
        <w:tc>
          <w:tcPr>
            <w:tcW w:w="505" w:type="pct"/>
            <w:tcBorders>
              <w:tl2br w:val="nil"/>
              <w:tr2bl w:val="nil"/>
            </w:tcBorders>
            <w:vAlign w:val="center"/>
          </w:tcPr>
          <w:p w14:paraId="52813E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总量控制因子</w:t>
            </w:r>
          </w:p>
        </w:tc>
      </w:tr>
      <w:tr w14:paraId="7F4B5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87" w:type="pct"/>
            <w:tcBorders>
              <w:tl2br w:val="nil"/>
              <w:tr2bl w:val="nil"/>
            </w:tcBorders>
            <w:vAlign w:val="center"/>
          </w:tcPr>
          <w:p w14:paraId="4FD60F8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288" w:type="pct"/>
            <w:tcBorders>
              <w:tl2br w:val="nil"/>
              <w:tr2bl w:val="nil"/>
            </w:tcBorders>
            <w:vAlign w:val="center"/>
          </w:tcPr>
          <w:p w14:paraId="621E95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环境空气</w:t>
            </w:r>
          </w:p>
        </w:tc>
        <w:tc>
          <w:tcPr>
            <w:tcW w:w="2949" w:type="pct"/>
            <w:tcBorders>
              <w:tl2br w:val="nil"/>
              <w:tr2bl w:val="nil"/>
            </w:tcBorders>
            <w:vAlign w:val="center"/>
          </w:tcPr>
          <w:p w14:paraId="4A6C2276">
            <w:pPr>
              <w:pStyle w:val="37"/>
              <w:widowControl w:val="0"/>
              <w:shd w:val="clear"/>
              <w:kinsoku/>
              <w:autoSpaceDE/>
              <w:autoSpaceDN/>
              <w:adjustRightInd/>
              <w:snapToGrid/>
              <w:spacing w:line="360" w:lineRule="auto"/>
              <w:jc w:val="center"/>
              <w:textAlignment w:val="auto"/>
              <w:rPr>
                <w:rFonts w:hint="default" w:eastAsia="宋体" w:cs="宋体"/>
                <w:snapToGrid/>
                <w:color w:val="auto"/>
                <w:lang w:val="en-US" w:eastAsia="zh-CN"/>
              </w:rPr>
            </w:pPr>
            <w:r>
              <w:rPr>
                <w:rFonts w:eastAsia="宋体"/>
                <w:snapToGrid/>
                <w:color w:val="auto"/>
              </w:rPr>
              <w:t>SO</w:t>
            </w:r>
            <w:r>
              <w:rPr>
                <w:rFonts w:eastAsia="宋体"/>
                <w:snapToGrid/>
                <w:color w:val="auto"/>
                <w:szCs w:val="13"/>
                <w:vertAlign w:val="subscript"/>
              </w:rPr>
              <w:t>2</w:t>
            </w:r>
            <w:r>
              <w:rPr>
                <w:rFonts w:eastAsia="宋体" w:cs="宋体"/>
                <w:snapToGrid/>
                <w:color w:val="auto"/>
              </w:rPr>
              <w:t>、</w:t>
            </w:r>
            <w:r>
              <w:rPr>
                <w:rFonts w:eastAsia="宋体"/>
                <w:snapToGrid/>
                <w:color w:val="auto"/>
              </w:rPr>
              <w:t>NO</w:t>
            </w:r>
            <w:r>
              <w:rPr>
                <w:rFonts w:eastAsia="宋体"/>
                <w:snapToGrid/>
                <w:color w:val="auto"/>
                <w:szCs w:val="13"/>
                <w:vertAlign w:val="subscript"/>
              </w:rPr>
              <w:t>2</w:t>
            </w:r>
            <w:r>
              <w:rPr>
                <w:rFonts w:eastAsia="宋体" w:cs="宋体"/>
                <w:snapToGrid/>
                <w:color w:val="auto"/>
              </w:rPr>
              <w:t>、</w:t>
            </w:r>
            <w:r>
              <w:rPr>
                <w:rFonts w:eastAsia="宋体"/>
                <w:snapToGrid/>
                <w:color w:val="auto"/>
              </w:rPr>
              <w:t>PM</w:t>
            </w:r>
            <w:r>
              <w:rPr>
                <w:rFonts w:eastAsia="宋体"/>
                <w:snapToGrid/>
                <w:color w:val="auto"/>
                <w:szCs w:val="13"/>
                <w:vertAlign w:val="subscript"/>
              </w:rPr>
              <w:t>10</w:t>
            </w:r>
            <w:r>
              <w:rPr>
                <w:rFonts w:eastAsia="宋体" w:cs="宋体"/>
                <w:snapToGrid/>
                <w:color w:val="auto"/>
              </w:rPr>
              <w:t>、</w:t>
            </w:r>
            <w:r>
              <w:rPr>
                <w:rFonts w:eastAsia="宋体"/>
                <w:snapToGrid/>
                <w:color w:val="auto"/>
              </w:rPr>
              <w:t>PM</w:t>
            </w:r>
            <w:r>
              <w:rPr>
                <w:rFonts w:eastAsia="宋体"/>
                <w:snapToGrid/>
                <w:color w:val="auto"/>
                <w:szCs w:val="13"/>
                <w:vertAlign w:val="subscript"/>
              </w:rPr>
              <w:t>2.5</w:t>
            </w:r>
            <w:r>
              <w:rPr>
                <w:rFonts w:eastAsia="宋体" w:cs="宋体"/>
                <w:snapToGrid/>
                <w:color w:val="auto"/>
              </w:rPr>
              <w:t>、</w:t>
            </w:r>
            <w:r>
              <w:rPr>
                <w:rFonts w:eastAsia="宋体"/>
                <w:snapToGrid/>
                <w:color w:val="auto"/>
              </w:rPr>
              <w:t>CO</w:t>
            </w:r>
            <w:r>
              <w:rPr>
                <w:rFonts w:eastAsia="宋体" w:cs="宋体"/>
                <w:snapToGrid/>
                <w:color w:val="auto"/>
              </w:rPr>
              <w:t>、</w:t>
            </w:r>
            <w:r>
              <w:rPr>
                <w:rFonts w:eastAsia="宋体"/>
                <w:snapToGrid/>
                <w:color w:val="auto"/>
              </w:rPr>
              <w:t>O</w:t>
            </w:r>
            <w:r>
              <w:rPr>
                <w:rFonts w:eastAsia="宋体"/>
                <w:snapToGrid/>
                <w:color w:val="auto"/>
                <w:szCs w:val="13"/>
                <w:vertAlign w:val="subscript"/>
              </w:rPr>
              <w:t>3</w:t>
            </w:r>
            <w:r>
              <w:rPr>
                <w:rFonts w:eastAsia="宋体" w:cs="宋体"/>
                <w:snapToGrid/>
                <w:color w:val="auto"/>
              </w:rPr>
              <w:t>、非甲烷总烃</w:t>
            </w:r>
            <w:r>
              <w:rPr>
                <w:rFonts w:hint="eastAsia" w:eastAsia="宋体"/>
                <w:color w:val="auto"/>
                <w:lang w:eastAsia="zh-CN"/>
              </w:rPr>
              <w:t>、</w:t>
            </w:r>
            <w:r>
              <w:rPr>
                <w:rFonts w:hint="eastAsia" w:eastAsia="宋体"/>
                <w:color w:val="auto"/>
                <w:lang w:val="en-US" w:eastAsia="zh-CN"/>
              </w:rPr>
              <w:t>TSP</w:t>
            </w:r>
          </w:p>
        </w:tc>
        <w:tc>
          <w:tcPr>
            <w:tcW w:w="1069" w:type="pct"/>
            <w:tcBorders>
              <w:tl2br w:val="nil"/>
              <w:tr2bl w:val="nil"/>
            </w:tcBorders>
            <w:vAlign w:val="center"/>
          </w:tcPr>
          <w:p w14:paraId="3172DA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非甲烷总烃、颗粒物</w:t>
            </w:r>
          </w:p>
        </w:tc>
        <w:tc>
          <w:tcPr>
            <w:tcW w:w="505" w:type="pct"/>
            <w:tcBorders>
              <w:tl2br w:val="nil"/>
              <w:tr2bl w:val="nil"/>
            </w:tcBorders>
            <w:vAlign w:val="center"/>
          </w:tcPr>
          <w:p w14:paraId="1E3F592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VOCs</w:t>
            </w:r>
          </w:p>
        </w:tc>
      </w:tr>
      <w:tr w14:paraId="1C2B5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187" w:type="pct"/>
            <w:tcBorders>
              <w:tl2br w:val="nil"/>
              <w:tr2bl w:val="nil"/>
            </w:tcBorders>
            <w:vAlign w:val="center"/>
          </w:tcPr>
          <w:p w14:paraId="54235A7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2</w:t>
            </w:r>
          </w:p>
        </w:tc>
        <w:tc>
          <w:tcPr>
            <w:tcW w:w="288" w:type="pct"/>
            <w:tcBorders>
              <w:tl2br w:val="nil"/>
              <w:tr2bl w:val="nil"/>
            </w:tcBorders>
            <w:vAlign w:val="center"/>
          </w:tcPr>
          <w:p w14:paraId="6B52BB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地下水</w:t>
            </w:r>
          </w:p>
        </w:tc>
        <w:tc>
          <w:tcPr>
            <w:tcW w:w="2949" w:type="pct"/>
            <w:tcBorders>
              <w:tl2br w:val="nil"/>
              <w:tr2bl w:val="nil"/>
            </w:tcBorders>
            <w:vAlign w:val="center"/>
          </w:tcPr>
          <w:p w14:paraId="5FF8E4B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ascii="Times New Roman" w:hAnsi="Times New Roman"/>
                <w:color w:val="auto"/>
                <w:sz w:val="21"/>
                <w:lang w:eastAsia="zh-CN"/>
              </w:rPr>
              <w:t>pH、氨氮、硝酸盐、亚硝酸盐、挥发性酚类、氰化物、砷、汞、铬（六价）、总硬度、铅、氟、镉、铁、锰、溶解性总固体、</w:t>
            </w:r>
            <w:r>
              <w:rPr>
                <w:rFonts w:hint="eastAsia" w:ascii="Times New Roman" w:hAnsi="Times New Roman"/>
                <w:color w:val="auto"/>
                <w:sz w:val="21"/>
                <w:lang w:val="en-US" w:eastAsia="zh-CN"/>
              </w:rPr>
              <w:t>耗氧量</w:t>
            </w:r>
            <w:r>
              <w:rPr>
                <w:rFonts w:hint="eastAsia" w:ascii="Times New Roman" w:hAnsi="Times New Roman"/>
                <w:color w:val="auto"/>
                <w:sz w:val="21"/>
                <w:lang w:eastAsia="zh-CN"/>
              </w:rPr>
              <w:t>、硫酸盐、氯化物、总大肠菌群、</w:t>
            </w:r>
            <w:r>
              <w:rPr>
                <w:rFonts w:hint="eastAsia" w:ascii="Times New Roman" w:hAnsi="Times New Roman"/>
                <w:color w:val="auto"/>
                <w:sz w:val="21"/>
                <w:lang w:val="en-US" w:eastAsia="zh-CN"/>
              </w:rPr>
              <w:t>菌落总数</w:t>
            </w:r>
            <w:r>
              <w:rPr>
                <w:rFonts w:hint="eastAsia" w:ascii="Times New Roman" w:hAnsi="Times New Roman"/>
                <w:color w:val="auto"/>
                <w:sz w:val="21"/>
                <w:lang w:eastAsia="zh-CN"/>
              </w:rPr>
              <w:t>、K</w:t>
            </w:r>
            <w:r>
              <w:rPr>
                <w:rFonts w:hint="eastAsia" w:ascii="Times New Roman" w:hAnsi="Times New Roman"/>
                <w:color w:val="auto"/>
                <w:sz w:val="21"/>
                <w:vertAlign w:val="superscript"/>
                <w:lang w:eastAsia="zh-CN"/>
              </w:rPr>
              <w:t>+</w:t>
            </w:r>
            <w:r>
              <w:rPr>
                <w:rFonts w:hint="eastAsia" w:ascii="Times New Roman" w:hAnsi="Times New Roman"/>
                <w:color w:val="auto"/>
                <w:sz w:val="21"/>
                <w:lang w:eastAsia="zh-CN"/>
              </w:rPr>
              <w:t>、Na</w:t>
            </w:r>
            <w:r>
              <w:rPr>
                <w:rFonts w:hint="eastAsia" w:ascii="Times New Roman" w:hAnsi="Times New Roman"/>
                <w:color w:val="auto"/>
                <w:sz w:val="21"/>
                <w:vertAlign w:val="superscript"/>
                <w:lang w:eastAsia="zh-CN"/>
              </w:rPr>
              <w:t>+</w:t>
            </w:r>
            <w:r>
              <w:rPr>
                <w:rFonts w:hint="eastAsia" w:ascii="Times New Roman" w:hAnsi="Times New Roman"/>
                <w:color w:val="auto"/>
                <w:sz w:val="21"/>
                <w:lang w:eastAsia="zh-CN"/>
              </w:rPr>
              <w:t>、Ca</w:t>
            </w:r>
            <w:r>
              <w:rPr>
                <w:rFonts w:hint="eastAsia" w:ascii="Times New Roman" w:hAnsi="Times New Roman"/>
                <w:color w:val="auto"/>
                <w:sz w:val="21"/>
                <w:vertAlign w:val="superscript"/>
                <w:lang w:eastAsia="zh-CN"/>
              </w:rPr>
              <w:t>2+</w:t>
            </w:r>
            <w:r>
              <w:rPr>
                <w:rFonts w:hint="eastAsia" w:ascii="Times New Roman" w:hAnsi="Times New Roman"/>
                <w:color w:val="auto"/>
                <w:sz w:val="21"/>
                <w:lang w:eastAsia="zh-CN"/>
              </w:rPr>
              <w:t>、Mg</w:t>
            </w:r>
            <w:r>
              <w:rPr>
                <w:rFonts w:hint="eastAsia" w:ascii="Times New Roman" w:hAnsi="Times New Roman"/>
                <w:color w:val="auto"/>
                <w:sz w:val="21"/>
                <w:vertAlign w:val="superscript"/>
                <w:lang w:eastAsia="zh-CN"/>
              </w:rPr>
              <w:t>2+</w:t>
            </w:r>
            <w:r>
              <w:rPr>
                <w:rFonts w:hint="eastAsia" w:ascii="Times New Roman" w:hAnsi="Times New Roman"/>
                <w:color w:val="auto"/>
                <w:sz w:val="21"/>
                <w:lang w:eastAsia="zh-CN"/>
              </w:rPr>
              <w:t>、CO</w:t>
            </w:r>
            <w:r>
              <w:rPr>
                <w:rFonts w:hint="eastAsia" w:ascii="Times New Roman" w:hAnsi="Times New Roman"/>
                <w:color w:val="auto"/>
                <w:sz w:val="21"/>
                <w:vertAlign w:val="subscript"/>
                <w:lang w:eastAsia="zh-CN"/>
              </w:rPr>
              <w:t>3</w:t>
            </w:r>
            <w:r>
              <w:rPr>
                <w:rFonts w:hint="eastAsia" w:ascii="Times New Roman" w:hAnsi="Times New Roman"/>
                <w:color w:val="auto"/>
                <w:sz w:val="21"/>
                <w:vertAlign w:val="superscript"/>
                <w:lang w:eastAsia="zh-CN"/>
              </w:rPr>
              <w:t>2-</w:t>
            </w:r>
            <w:r>
              <w:rPr>
                <w:rFonts w:hint="eastAsia" w:ascii="Times New Roman" w:hAnsi="Times New Roman"/>
                <w:color w:val="auto"/>
                <w:sz w:val="21"/>
                <w:lang w:eastAsia="zh-CN"/>
              </w:rPr>
              <w:t>、HCO</w:t>
            </w:r>
            <w:r>
              <w:rPr>
                <w:rFonts w:hint="eastAsia" w:ascii="Times New Roman" w:hAnsi="Times New Roman"/>
                <w:color w:val="auto"/>
                <w:sz w:val="21"/>
                <w:vertAlign w:val="subscript"/>
                <w:lang w:eastAsia="zh-CN"/>
              </w:rPr>
              <w:t>3</w:t>
            </w:r>
            <w:r>
              <w:rPr>
                <w:rFonts w:hint="eastAsia" w:ascii="Times New Roman" w:hAnsi="Times New Roman"/>
                <w:color w:val="auto"/>
                <w:sz w:val="21"/>
                <w:lang w:eastAsia="zh-CN"/>
              </w:rPr>
              <w:t>-、Cl-、SO</w:t>
            </w:r>
            <w:r>
              <w:rPr>
                <w:rFonts w:hint="eastAsia" w:ascii="Times New Roman" w:hAnsi="Times New Roman"/>
                <w:color w:val="auto"/>
                <w:sz w:val="21"/>
                <w:vertAlign w:val="subscript"/>
                <w:lang w:eastAsia="zh-CN"/>
              </w:rPr>
              <w:t>4</w:t>
            </w:r>
            <w:r>
              <w:rPr>
                <w:rFonts w:hint="eastAsia" w:ascii="Times New Roman" w:hAnsi="Times New Roman"/>
                <w:color w:val="auto"/>
                <w:sz w:val="21"/>
                <w:vertAlign w:val="superscript"/>
                <w:lang w:eastAsia="zh-CN"/>
              </w:rPr>
              <w:t>2-</w:t>
            </w:r>
          </w:p>
        </w:tc>
        <w:tc>
          <w:tcPr>
            <w:tcW w:w="1069" w:type="pct"/>
            <w:tcBorders>
              <w:tl2br w:val="nil"/>
              <w:tr2bl w:val="nil"/>
            </w:tcBorders>
            <w:vAlign w:val="center"/>
          </w:tcPr>
          <w:p w14:paraId="6A6B8DB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COD</w:t>
            </w:r>
            <w:r>
              <w:rPr>
                <w:rFonts w:eastAsia="宋体" w:cs="宋体"/>
                <w:snapToGrid/>
                <w:color w:val="auto"/>
              </w:rPr>
              <w:t>、</w:t>
            </w:r>
            <w:r>
              <w:rPr>
                <w:rFonts w:eastAsia="宋体"/>
                <w:snapToGrid/>
                <w:color w:val="auto"/>
              </w:rPr>
              <w:t>NH</w:t>
            </w:r>
            <w:r>
              <w:rPr>
                <w:rFonts w:eastAsia="宋体"/>
                <w:snapToGrid/>
                <w:color w:val="auto"/>
                <w:szCs w:val="13"/>
                <w:vertAlign w:val="subscript"/>
              </w:rPr>
              <w:t>3</w:t>
            </w:r>
            <w:r>
              <w:rPr>
                <w:rFonts w:eastAsia="宋体"/>
                <w:snapToGrid/>
                <w:color w:val="auto"/>
              </w:rPr>
              <w:t>-N</w:t>
            </w:r>
          </w:p>
        </w:tc>
        <w:tc>
          <w:tcPr>
            <w:tcW w:w="505" w:type="pct"/>
            <w:tcBorders>
              <w:tl2br w:val="nil"/>
              <w:tr2bl w:val="nil"/>
            </w:tcBorders>
            <w:vAlign w:val="center"/>
          </w:tcPr>
          <w:p w14:paraId="3B28464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131DC0E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777D477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07F915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87" w:type="pct"/>
            <w:tcBorders>
              <w:tl2br w:val="nil"/>
              <w:tr2bl w:val="nil"/>
            </w:tcBorders>
            <w:vAlign w:val="center"/>
          </w:tcPr>
          <w:p w14:paraId="46BE06EA">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3</w:t>
            </w:r>
          </w:p>
        </w:tc>
        <w:tc>
          <w:tcPr>
            <w:tcW w:w="288" w:type="pct"/>
            <w:tcBorders>
              <w:tl2br w:val="nil"/>
              <w:tr2bl w:val="nil"/>
            </w:tcBorders>
            <w:vAlign w:val="center"/>
          </w:tcPr>
          <w:p w14:paraId="031C07F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声环境</w:t>
            </w:r>
          </w:p>
        </w:tc>
        <w:tc>
          <w:tcPr>
            <w:tcW w:w="2949" w:type="pct"/>
            <w:tcBorders>
              <w:tl2br w:val="nil"/>
              <w:tr2bl w:val="nil"/>
            </w:tcBorders>
            <w:vAlign w:val="center"/>
          </w:tcPr>
          <w:p w14:paraId="656B4B9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昼夜等效声级（</w:t>
            </w:r>
            <w:r>
              <w:rPr>
                <w:rFonts w:eastAsia="宋体"/>
                <w:snapToGrid/>
                <w:color w:val="auto"/>
                <w:lang w:eastAsia="zh-CN"/>
              </w:rPr>
              <w:t>Ld</w:t>
            </w:r>
            <w:r>
              <w:rPr>
                <w:rFonts w:eastAsia="宋体" w:cs="宋体"/>
                <w:snapToGrid/>
                <w:color w:val="auto"/>
                <w:lang w:eastAsia="zh-CN"/>
              </w:rPr>
              <w:t>、</w:t>
            </w:r>
            <w:r>
              <w:rPr>
                <w:rFonts w:eastAsia="宋体"/>
                <w:snapToGrid/>
                <w:color w:val="auto"/>
                <w:lang w:eastAsia="zh-CN"/>
              </w:rPr>
              <w:t>Ln</w:t>
            </w:r>
            <w:r>
              <w:rPr>
                <w:rFonts w:eastAsia="宋体" w:cs="宋体"/>
                <w:snapToGrid/>
                <w:color w:val="auto"/>
                <w:lang w:eastAsia="zh-CN"/>
              </w:rPr>
              <w:t>）</w:t>
            </w:r>
          </w:p>
        </w:tc>
        <w:tc>
          <w:tcPr>
            <w:tcW w:w="1069" w:type="pct"/>
            <w:tcBorders>
              <w:tl2br w:val="nil"/>
              <w:tr2bl w:val="nil"/>
            </w:tcBorders>
            <w:vAlign w:val="center"/>
          </w:tcPr>
          <w:p w14:paraId="604032D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厂界昼夜等效声级（</w:t>
            </w:r>
            <w:r>
              <w:rPr>
                <w:rFonts w:eastAsia="宋体"/>
                <w:snapToGrid/>
                <w:color w:val="auto"/>
                <w:lang w:eastAsia="zh-CN"/>
              </w:rPr>
              <w:t>Ld</w:t>
            </w:r>
            <w:r>
              <w:rPr>
                <w:rFonts w:eastAsia="宋体" w:cs="宋体"/>
                <w:snapToGrid/>
                <w:color w:val="auto"/>
                <w:lang w:eastAsia="zh-CN"/>
              </w:rPr>
              <w:t>、</w:t>
            </w:r>
            <w:r>
              <w:rPr>
                <w:rFonts w:eastAsia="宋体"/>
                <w:snapToGrid/>
                <w:color w:val="auto"/>
                <w:lang w:eastAsia="zh-CN"/>
              </w:rPr>
              <w:t>Ln</w:t>
            </w:r>
            <w:r>
              <w:rPr>
                <w:rFonts w:eastAsia="宋体" w:cs="宋体"/>
                <w:snapToGrid/>
                <w:color w:val="auto"/>
                <w:lang w:eastAsia="zh-CN"/>
              </w:rPr>
              <w:t>）</w:t>
            </w:r>
          </w:p>
        </w:tc>
        <w:tc>
          <w:tcPr>
            <w:tcW w:w="505" w:type="pct"/>
            <w:tcBorders>
              <w:tl2br w:val="nil"/>
              <w:tr2bl w:val="nil"/>
            </w:tcBorders>
            <w:vAlign w:val="center"/>
          </w:tcPr>
          <w:p w14:paraId="19EBD93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7F925C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87" w:type="pct"/>
            <w:tcBorders>
              <w:tl2br w:val="nil"/>
              <w:tr2bl w:val="nil"/>
            </w:tcBorders>
            <w:vAlign w:val="center"/>
          </w:tcPr>
          <w:p w14:paraId="79AC806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val="en-US" w:eastAsia="zh-CN"/>
              </w:rPr>
              <w:t>4</w:t>
            </w:r>
          </w:p>
        </w:tc>
        <w:tc>
          <w:tcPr>
            <w:tcW w:w="288" w:type="pct"/>
            <w:tcBorders>
              <w:tl2br w:val="nil"/>
              <w:tr2bl w:val="nil"/>
            </w:tcBorders>
            <w:vAlign w:val="center"/>
          </w:tcPr>
          <w:p w14:paraId="69C610E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土壤环境</w:t>
            </w:r>
          </w:p>
        </w:tc>
        <w:tc>
          <w:tcPr>
            <w:tcW w:w="2949" w:type="pct"/>
            <w:tcBorders>
              <w:tl2br w:val="nil"/>
              <w:tr2bl w:val="nil"/>
            </w:tcBorders>
            <w:vAlign w:val="center"/>
          </w:tcPr>
          <w:p w14:paraId="6E8478D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lang w:eastAsia="zh-CN"/>
              </w:rPr>
              <w:t>pH</w:t>
            </w:r>
            <w:r>
              <w:rPr>
                <w:rFonts w:eastAsia="宋体" w:cs="宋体"/>
                <w:snapToGrid/>
                <w:color w:val="auto"/>
                <w:lang w:eastAsia="zh-CN"/>
              </w:rPr>
              <w:t>、镉、铜、六价铬、铅、镍、砷、汞、锌</w:t>
            </w:r>
            <w:r>
              <w:rPr>
                <w:rFonts w:hint="eastAsia" w:eastAsia="宋体" w:cs="宋体"/>
                <w:snapToGrid/>
                <w:color w:val="auto"/>
                <w:lang w:eastAsia="zh-CN"/>
              </w:rPr>
              <w:t>、</w:t>
            </w:r>
            <w:r>
              <w:rPr>
                <w:rFonts w:eastAsia="宋体" w:cs="宋体"/>
                <w:snapToGrid/>
                <w:color w:val="auto"/>
                <w:lang w:eastAsia="zh-CN"/>
              </w:rPr>
              <w:t>氯甲烷、氯乙烯、四氯化碳、氯仿、</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二氯乙烷、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二氯乙烯、反</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二氯乙烯、顺</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二氯乙烯、二氯甲烷、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四氯乙烷、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四氯乙烷、四氯乙烯、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三氯乙烷、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三氯乙烷、三氯乙烯、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3-</w:t>
            </w:r>
            <w:r>
              <w:rPr>
                <w:rFonts w:eastAsia="宋体" w:cs="宋体"/>
                <w:snapToGrid/>
                <w:color w:val="auto"/>
                <w:lang w:eastAsia="zh-CN"/>
              </w:rPr>
              <w:t>三氯丙烷、苯、氯苯、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4-</w:t>
            </w:r>
            <w:r>
              <w:rPr>
                <w:rFonts w:eastAsia="宋体" w:cs="宋体"/>
                <w:snapToGrid/>
                <w:color w:val="auto"/>
                <w:lang w:eastAsia="zh-CN"/>
              </w:rPr>
              <w:t>二氯苯、乙苯、苯乙烯、甲苯、间二甲苯</w:t>
            </w:r>
            <w:r>
              <w:rPr>
                <w:rFonts w:eastAsia="宋体"/>
                <w:snapToGrid/>
                <w:color w:val="auto"/>
                <w:lang w:eastAsia="zh-CN"/>
              </w:rPr>
              <w:t>+</w:t>
            </w:r>
            <w:r>
              <w:rPr>
                <w:rFonts w:eastAsia="宋体" w:cs="宋体"/>
                <w:snapToGrid/>
                <w:color w:val="auto"/>
                <w:lang w:eastAsia="zh-CN"/>
              </w:rPr>
              <w:t>对二甲苯、邻二甲苯、硝基苯、苯胺、</w:t>
            </w:r>
            <w:r>
              <w:rPr>
                <w:rFonts w:eastAsia="宋体"/>
                <w:snapToGrid/>
                <w:color w:val="auto"/>
                <w:lang w:eastAsia="zh-CN"/>
              </w:rPr>
              <w:t>2-</w:t>
            </w:r>
            <w:r>
              <w:rPr>
                <w:rFonts w:eastAsia="宋体" w:cs="宋体"/>
                <w:snapToGrid/>
                <w:color w:val="auto"/>
                <w:lang w:eastAsia="zh-CN"/>
              </w:rPr>
              <w:t>氯酚、苯丙</w:t>
            </w:r>
            <w:r>
              <w:rPr>
                <w:rFonts w:eastAsia="宋体"/>
                <w:snapToGrid/>
                <w:color w:val="auto"/>
                <w:lang w:eastAsia="zh-CN"/>
              </w:rPr>
              <w:t>[a]</w:t>
            </w:r>
            <w:r>
              <w:rPr>
                <w:rFonts w:eastAsia="宋体" w:cs="宋体"/>
                <w:snapToGrid/>
                <w:color w:val="auto"/>
                <w:lang w:eastAsia="zh-CN"/>
              </w:rPr>
              <w:t>蒽、苯并</w:t>
            </w:r>
            <w:r>
              <w:rPr>
                <w:rFonts w:eastAsia="宋体"/>
                <w:snapToGrid/>
                <w:color w:val="auto"/>
                <w:lang w:eastAsia="zh-CN"/>
              </w:rPr>
              <w:t>[a]</w:t>
            </w:r>
            <w:r>
              <w:rPr>
                <w:rFonts w:eastAsia="宋体" w:cs="宋体"/>
                <w:snapToGrid/>
                <w:color w:val="auto"/>
                <w:lang w:eastAsia="zh-CN"/>
              </w:rPr>
              <w:t>芘、苯并</w:t>
            </w:r>
            <w:r>
              <w:rPr>
                <w:rFonts w:eastAsia="宋体"/>
                <w:snapToGrid/>
                <w:color w:val="auto"/>
                <w:lang w:eastAsia="zh-CN"/>
              </w:rPr>
              <w:t>[b]</w:t>
            </w:r>
            <w:r>
              <w:rPr>
                <w:rFonts w:eastAsia="宋体" w:cs="宋体"/>
                <w:snapToGrid/>
                <w:color w:val="auto"/>
                <w:lang w:eastAsia="zh-CN"/>
              </w:rPr>
              <w:t>荧蒽、苯并</w:t>
            </w:r>
            <w:r>
              <w:rPr>
                <w:rFonts w:eastAsia="宋体"/>
                <w:snapToGrid/>
                <w:color w:val="auto"/>
                <w:lang w:eastAsia="zh-CN"/>
              </w:rPr>
              <w:t>[k]</w:t>
            </w:r>
            <w:r>
              <w:rPr>
                <w:rFonts w:eastAsia="宋体" w:cs="宋体"/>
                <w:snapToGrid/>
                <w:color w:val="auto"/>
                <w:lang w:eastAsia="zh-CN"/>
              </w:rPr>
              <w:t>荧蒽、䓛、二苯并</w:t>
            </w:r>
            <w:r>
              <w:rPr>
                <w:rFonts w:eastAsia="宋体"/>
                <w:snapToGrid/>
                <w:color w:val="auto"/>
                <w:lang w:eastAsia="zh-CN"/>
              </w:rPr>
              <w:t>[a</w:t>
            </w:r>
            <w:r>
              <w:rPr>
                <w:rFonts w:eastAsia="宋体" w:cs="宋体"/>
                <w:snapToGrid/>
                <w:color w:val="auto"/>
                <w:lang w:eastAsia="zh-CN"/>
              </w:rPr>
              <w:t>，</w:t>
            </w:r>
            <w:r>
              <w:rPr>
                <w:rFonts w:eastAsia="宋体"/>
                <w:snapToGrid/>
                <w:color w:val="auto"/>
                <w:lang w:eastAsia="zh-CN"/>
              </w:rPr>
              <w:t>h]</w:t>
            </w:r>
          </w:p>
          <w:p w14:paraId="6B1DA08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蒽、茚并</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3-cd]</w:t>
            </w:r>
            <w:r>
              <w:rPr>
                <w:rFonts w:eastAsia="宋体" w:cs="宋体"/>
                <w:snapToGrid/>
                <w:color w:val="auto"/>
                <w:lang w:eastAsia="zh-CN"/>
              </w:rPr>
              <w:t>芘、萘，共计</w:t>
            </w:r>
            <w:r>
              <w:rPr>
                <w:rFonts w:eastAsia="宋体"/>
                <w:snapToGrid/>
                <w:color w:val="auto"/>
                <w:lang w:eastAsia="zh-CN"/>
              </w:rPr>
              <w:t>45</w:t>
            </w:r>
            <w:r>
              <w:rPr>
                <w:rFonts w:eastAsia="宋体" w:cs="宋体"/>
                <w:snapToGrid/>
                <w:color w:val="auto"/>
                <w:lang w:eastAsia="zh-CN"/>
              </w:rPr>
              <w:t>项</w:t>
            </w:r>
          </w:p>
        </w:tc>
        <w:tc>
          <w:tcPr>
            <w:tcW w:w="1069" w:type="pct"/>
            <w:tcBorders>
              <w:tl2br w:val="nil"/>
              <w:tr2bl w:val="nil"/>
            </w:tcBorders>
            <w:vAlign w:val="center"/>
          </w:tcPr>
          <w:p w14:paraId="6AA4711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pH、COD、石油类</w:t>
            </w:r>
          </w:p>
        </w:tc>
        <w:tc>
          <w:tcPr>
            <w:tcW w:w="505" w:type="pct"/>
            <w:tcBorders>
              <w:tl2br w:val="nil"/>
              <w:tr2bl w:val="nil"/>
            </w:tcBorders>
            <w:vAlign w:val="center"/>
          </w:tcPr>
          <w:p w14:paraId="4194ABD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21F2F0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87" w:type="pct"/>
            <w:tcBorders>
              <w:tl2br w:val="nil"/>
              <w:tr2bl w:val="nil"/>
            </w:tcBorders>
            <w:vAlign w:val="center"/>
          </w:tcPr>
          <w:p w14:paraId="2CEB20E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val="en-US" w:eastAsia="zh-CN"/>
              </w:rPr>
              <w:t>5</w:t>
            </w:r>
          </w:p>
        </w:tc>
        <w:tc>
          <w:tcPr>
            <w:tcW w:w="288" w:type="pct"/>
            <w:tcBorders>
              <w:tl2br w:val="nil"/>
              <w:tr2bl w:val="nil"/>
            </w:tcBorders>
            <w:vAlign w:val="center"/>
          </w:tcPr>
          <w:p w14:paraId="535B1E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固体废物</w:t>
            </w:r>
          </w:p>
        </w:tc>
        <w:tc>
          <w:tcPr>
            <w:tcW w:w="2949" w:type="pct"/>
            <w:tcBorders>
              <w:tl2br w:val="nil"/>
              <w:tr2bl w:val="nil"/>
            </w:tcBorders>
            <w:vAlign w:val="center"/>
          </w:tcPr>
          <w:p w14:paraId="69A0BA3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069" w:type="pct"/>
            <w:tcBorders>
              <w:tl2br w:val="nil"/>
              <w:tr2bl w:val="nil"/>
            </w:tcBorders>
            <w:vAlign w:val="center"/>
          </w:tcPr>
          <w:p w14:paraId="5615FB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清洗废渣及泥沙、残次品、废滤网、废活性炭、废润滑油</w:t>
            </w:r>
            <w:r>
              <w:rPr>
                <w:rFonts w:hint="eastAsia" w:ascii="Times New Roman" w:hAnsi="Times New Roman" w:eastAsia="宋体" w:cs="宋体"/>
                <w:snapToGrid/>
                <w:color w:val="auto"/>
                <w:lang w:eastAsia="zh-CN"/>
              </w:rPr>
              <w:t>、</w:t>
            </w:r>
            <w:r>
              <w:rPr>
                <w:rFonts w:hint="eastAsia" w:ascii="Times New Roman" w:hAnsi="Times New Roman" w:eastAsia="宋体" w:cs="宋体"/>
                <w:snapToGrid/>
                <w:color w:val="auto"/>
                <w:lang w:val="en-US" w:eastAsia="zh-CN"/>
              </w:rPr>
              <w:t>废油桶</w:t>
            </w:r>
            <w:r>
              <w:rPr>
                <w:rFonts w:ascii="Times New Roman" w:hAnsi="Times New Roman" w:eastAsia="宋体" w:cs="宋体"/>
                <w:snapToGrid/>
                <w:color w:val="auto"/>
                <w:lang w:eastAsia="zh-CN"/>
              </w:rPr>
              <w:t>和工作人员产生的生活垃圾</w:t>
            </w:r>
          </w:p>
        </w:tc>
        <w:tc>
          <w:tcPr>
            <w:tcW w:w="505" w:type="pct"/>
            <w:tcBorders>
              <w:tl2br w:val="nil"/>
              <w:tr2bl w:val="nil"/>
            </w:tcBorders>
            <w:vAlign w:val="center"/>
          </w:tcPr>
          <w:p w14:paraId="2456687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1E0C1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187" w:type="pct"/>
            <w:tcBorders>
              <w:tl2br w:val="nil"/>
              <w:tr2bl w:val="nil"/>
            </w:tcBorders>
            <w:vAlign w:val="center"/>
          </w:tcPr>
          <w:p w14:paraId="7FF9ADF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val="en-US" w:eastAsia="zh-CN"/>
              </w:rPr>
              <w:t>6</w:t>
            </w:r>
          </w:p>
        </w:tc>
        <w:tc>
          <w:tcPr>
            <w:tcW w:w="288" w:type="pct"/>
            <w:tcBorders>
              <w:tl2br w:val="nil"/>
              <w:tr2bl w:val="nil"/>
            </w:tcBorders>
            <w:vAlign w:val="center"/>
          </w:tcPr>
          <w:p w14:paraId="289397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生态环境</w:t>
            </w:r>
          </w:p>
        </w:tc>
        <w:tc>
          <w:tcPr>
            <w:tcW w:w="2949" w:type="pct"/>
            <w:tcBorders>
              <w:tl2br w:val="nil"/>
              <w:tr2bl w:val="nil"/>
            </w:tcBorders>
            <w:vAlign w:val="center"/>
          </w:tcPr>
          <w:p w14:paraId="411887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土地利用、土壤、植被、野生动物</w:t>
            </w:r>
          </w:p>
        </w:tc>
        <w:tc>
          <w:tcPr>
            <w:tcW w:w="1069" w:type="pct"/>
            <w:tcBorders>
              <w:tl2br w:val="nil"/>
              <w:tr2bl w:val="nil"/>
            </w:tcBorders>
            <w:vAlign w:val="center"/>
          </w:tcPr>
          <w:p w14:paraId="6503D5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土地利用、土壤、植被、水土流失</w:t>
            </w:r>
          </w:p>
        </w:tc>
        <w:tc>
          <w:tcPr>
            <w:tcW w:w="505" w:type="pct"/>
            <w:tcBorders>
              <w:tl2br w:val="nil"/>
              <w:tr2bl w:val="nil"/>
            </w:tcBorders>
            <w:vAlign w:val="center"/>
          </w:tcPr>
          <w:p w14:paraId="5F1AB12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4FD38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87" w:type="pct"/>
            <w:tcBorders>
              <w:tl2br w:val="nil"/>
              <w:tr2bl w:val="nil"/>
            </w:tcBorders>
            <w:vAlign w:val="center"/>
          </w:tcPr>
          <w:p w14:paraId="504644D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w:t>
            </w:r>
          </w:p>
        </w:tc>
        <w:tc>
          <w:tcPr>
            <w:tcW w:w="288" w:type="pct"/>
            <w:tcBorders>
              <w:tl2br w:val="nil"/>
              <w:tr2bl w:val="nil"/>
            </w:tcBorders>
            <w:vAlign w:val="center"/>
          </w:tcPr>
          <w:p w14:paraId="32CB7E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w:t>
            </w:r>
          </w:p>
        </w:tc>
        <w:tc>
          <w:tcPr>
            <w:tcW w:w="2949" w:type="pct"/>
            <w:tcBorders>
              <w:tl2br w:val="nil"/>
              <w:tr2bl w:val="nil"/>
            </w:tcBorders>
            <w:vAlign w:val="center"/>
          </w:tcPr>
          <w:p w14:paraId="43C241D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069" w:type="pct"/>
            <w:tcBorders>
              <w:tl2br w:val="nil"/>
              <w:tr2bl w:val="nil"/>
            </w:tcBorders>
            <w:vAlign w:val="center"/>
          </w:tcPr>
          <w:p w14:paraId="6CB5E9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火灾</w:t>
            </w:r>
            <w:r>
              <w:rPr>
                <w:rFonts w:hint="eastAsia"/>
                <w:color w:val="auto"/>
                <w:lang w:eastAsia="zh-CN"/>
              </w:rPr>
              <w:t>、爆炸、废水泄漏、</w:t>
            </w:r>
            <w:r>
              <w:rPr>
                <w:rFonts w:hint="eastAsia"/>
                <w:color w:val="auto"/>
                <w:lang w:val="en-US" w:eastAsia="zh-CN"/>
              </w:rPr>
              <w:t>废润滑油泄漏</w:t>
            </w:r>
            <w:r>
              <w:rPr>
                <w:rFonts w:hint="eastAsia"/>
                <w:color w:val="auto"/>
                <w:lang w:eastAsia="zh-CN"/>
              </w:rPr>
              <w:t>对</w:t>
            </w:r>
            <w:r>
              <w:rPr>
                <w:rFonts w:hint="eastAsia"/>
                <w:color w:val="auto"/>
                <w:lang w:val="en-US" w:eastAsia="zh-CN"/>
              </w:rPr>
              <w:t>大气、</w:t>
            </w:r>
            <w:r>
              <w:rPr>
                <w:rFonts w:hint="eastAsia"/>
                <w:color w:val="auto"/>
                <w:lang w:eastAsia="zh-CN"/>
              </w:rPr>
              <w:t>地下水、</w:t>
            </w:r>
            <w:r>
              <w:rPr>
                <w:rFonts w:hint="eastAsia"/>
                <w:color w:val="auto"/>
                <w:lang w:val="en-US" w:eastAsia="zh-CN"/>
              </w:rPr>
              <w:t>土壤</w:t>
            </w:r>
            <w:r>
              <w:rPr>
                <w:rFonts w:hint="eastAsia"/>
                <w:color w:val="auto"/>
                <w:lang w:eastAsia="zh-CN"/>
              </w:rPr>
              <w:t>造成的污染影响</w:t>
            </w:r>
          </w:p>
        </w:tc>
        <w:tc>
          <w:tcPr>
            <w:tcW w:w="505" w:type="pct"/>
            <w:tcBorders>
              <w:tl2br w:val="nil"/>
              <w:tr2bl w:val="nil"/>
            </w:tcBorders>
            <w:vAlign w:val="center"/>
          </w:tcPr>
          <w:p w14:paraId="3E2C981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012CDC36">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50" w:name="_Toc29231"/>
      <w:r>
        <w:rPr>
          <w:rFonts w:hint="eastAsia" w:ascii="Times New Roman" w:hAnsi="Times New Roman" w:eastAsia="宋体" w:cs="Times New Roman"/>
          <w:snapToGrid/>
          <w:color w:val="auto"/>
          <w:lang w:eastAsia="zh-CN"/>
        </w:rPr>
        <w:t>2.3.3评价重点</w:t>
      </w:r>
      <w:bookmarkEnd w:id="150"/>
    </w:p>
    <w:p w14:paraId="3108A9A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151" w:name="_Toc2055"/>
      <w:bookmarkStart w:id="152" w:name="_Toc24906"/>
      <w:bookmarkStart w:id="153" w:name="_Toc13032"/>
      <w:bookmarkStart w:id="154" w:name="_Toc28519"/>
      <w:r>
        <w:rPr>
          <w:rFonts w:ascii="Times New Roman" w:hAnsi="Times New Roman"/>
          <w:snapToGrid/>
          <w:color w:val="auto"/>
          <w:sz w:val="24"/>
          <w:szCs w:val="24"/>
        </w:rPr>
        <w:t>（</w:t>
      </w:r>
      <w:r>
        <w:rPr>
          <w:rFonts w:ascii="Times New Roman" w:hAnsi="Times New Roman" w:cs="Times New Roman"/>
          <w:snapToGrid/>
          <w:color w:val="auto"/>
          <w:sz w:val="24"/>
          <w:szCs w:val="24"/>
        </w:rPr>
        <w:t>1</w:t>
      </w:r>
      <w:r>
        <w:rPr>
          <w:rFonts w:ascii="Times New Roman" w:hAnsi="Times New Roman"/>
          <w:snapToGrid/>
          <w:color w:val="auto"/>
          <w:sz w:val="24"/>
          <w:szCs w:val="24"/>
        </w:rPr>
        <w:t>）工程分析</w:t>
      </w:r>
      <w:bookmarkEnd w:id="151"/>
      <w:bookmarkEnd w:id="152"/>
      <w:bookmarkEnd w:id="153"/>
      <w:bookmarkEnd w:id="154"/>
    </w:p>
    <w:p w14:paraId="34625C8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结合工艺过程，对物料、水等进行平衡计算，并类比相似生产企业实际运行情况，分析生产过程中“三废”及噪声排放情况。</w:t>
      </w:r>
    </w:p>
    <w:p w14:paraId="3C8507C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155" w:name="_Toc7586"/>
      <w:bookmarkStart w:id="156" w:name="_Toc2539"/>
      <w:bookmarkStart w:id="157" w:name="_Toc637"/>
      <w:bookmarkStart w:id="158" w:name="_Toc19459"/>
      <w:r>
        <w:rPr>
          <w:rFonts w:ascii="Times New Roman" w:hAnsi="Times New Roman"/>
          <w:snapToGrid/>
          <w:color w:val="auto"/>
          <w:sz w:val="24"/>
          <w:szCs w:val="24"/>
        </w:rPr>
        <w:t>（</w:t>
      </w:r>
      <w:r>
        <w:rPr>
          <w:rFonts w:ascii="Times New Roman" w:hAnsi="Times New Roman" w:cs="Times New Roman"/>
          <w:snapToGrid/>
          <w:color w:val="auto"/>
          <w:sz w:val="24"/>
          <w:szCs w:val="24"/>
        </w:rPr>
        <w:t>2</w:t>
      </w:r>
      <w:r>
        <w:rPr>
          <w:rFonts w:ascii="Times New Roman" w:hAnsi="Times New Roman"/>
          <w:snapToGrid/>
          <w:color w:val="auto"/>
          <w:sz w:val="24"/>
          <w:szCs w:val="24"/>
        </w:rPr>
        <w:t>）污染防治措施分析推荐</w:t>
      </w:r>
      <w:bookmarkEnd w:id="155"/>
      <w:bookmarkEnd w:id="156"/>
      <w:bookmarkEnd w:id="157"/>
      <w:bookmarkEnd w:id="158"/>
    </w:p>
    <w:p w14:paraId="5688B6E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根据工程“三废”及噪声排放特点，结合相似企业实际治理经验，对可研设计的治理措施可行性进行分析，并提出推荐方案，确保本项目各污染物达标排放。</w:t>
      </w:r>
    </w:p>
    <w:p w14:paraId="55DE587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59" w:name="_Toc12114"/>
      <w:bookmarkStart w:id="160" w:name="_Toc30834"/>
      <w:bookmarkStart w:id="161" w:name="_Toc27211"/>
      <w:bookmarkStart w:id="162" w:name="_Toc30965"/>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）环境影响预测及评价</w:t>
      </w:r>
      <w:bookmarkEnd w:id="159"/>
      <w:bookmarkEnd w:id="160"/>
      <w:bookmarkEnd w:id="161"/>
      <w:bookmarkEnd w:id="162"/>
    </w:p>
    <w:p w14:paraId="4DF5D50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结合生产过程“三废”及噪声排放特点以及评价范围内环境概况，分析预测本项目大气污染物对大气环境的程度和范围；项目用水的保证性以及排放的生产生活污水对区域水环境的影响；固体废物处理处置对区域环境的影响；预测和评价厂界噪声贡献值是否满足《工业企业厂界环境噪声排放标准》，评价项目噪声排放对声环境敏感区的影响。</w:t>
      </w:r>
    </w:p>
    <w:p w14:paraId="6AFA660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63" w:name="_Toc25498"/>
      <w:bookmarkStart w:id="164" w:name="_Toc30766"/>
      <w:bookmarkStart w:id="165" w:name="_Toc293"/>
      <w:bookmarkStart w:id="166" w:name="_Toc11194"/>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）环境风险评价</w:t>
      </w:r>
      <w:bookmarkEnd w:id="163"/>
      <w:bookmarkEnd w:id="164"/>
      <w:bookmarkEnd w:id="165"/>
      <w:bookmarkEnd w:id="166"/>
    </w:p>
    <w:p w14:paraId="2328F76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结合生产工艺特点，分析确定本项目风险因素，预测风险发生时对环境造成的危害，提出环境风险防范措施，并编制应急预案。</w:t>
      </w:r>
    </w:p>
    <w:p w14:paraId="75A7202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67" w:name="_Toc27830"/>
      <w:bookmarkStart w:id="168" w:name="_Toc27307"/>
      <w:bookmarkStart w:id="169" w:name="_Toc3675"/>
      <w:bookmarkStart w:id="170" w:name="_Toc18601"/>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）清洁生产分析</w:t>
      </w:r>
      <w:bookmarkEnd w:id="167"/>
      <w:bookmarkEnd w:id="168"/>
      <w:bookmarkEnd w:id="169"/>
      <w:bookmarkEnd w:id="170"/>
    </w:p>
    <w:p w14:paraId="278A335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从工艺装备先进性、资源能源利用、污染物产生、废物综合利用、产品指标、环境管理等方面分析，并与国内其他企业进行对比，评述项目清洁生产水平。</w:t>
      </w:r>
    </w:p>
    <w:p w14:paraId="7BDF83A9">
      <w:pPr>
        <w:pStyle w:val="5"/>
        <w:widowControl w:val="0"/>
        <w:shd w:val="clear"/>
        <w:kinsoku/>
        <w:autoSpaceDE/>
        <w:autoSpaceDN/>
        <w:adjustRightInd/>
        <w:spacing w:before="0" w:after="0" w:line="360" w:lineRule="auto"/>
        <w:textAlignment w:val="auto"/>
        <w:rPr>
          <w:rFonts w:ascii="Times New Roman" w:hAnsi="Times New Roman" w:eastAsia="宋体"/>
          <w:snapToGrid/>
          <w:color w:val="auto"/>
          <w:lang w:eastAsia="zh-CN"/>
        </w:rPr>
      </w:pPr>
      <w:bookmarkStart w:id="171" w:name="bookmark12"/>
      <w:bookmarkEnd w:id="171"/>
      <w:bookmarkStart w:id="172" w:name="_Toc17493"/>
      <w:bookmarkStart w:id="173" w:name="_Toc31668"/>
      <w:bookmarkStart w:id="174" w:name="_Toc1970"/>
      <w:r>
        <w:rPr>
          <w:rFonts w:hint="eastAsia" w:ascii="Times New Roman" w:hAnsi="Times New Roman" w:eastAsia="宋体"/>
          <w:snapToGrid/>
          <w:color w:val="auto"/>
          <w:lang w:eastAsia="zh-CN"/>
        </w:rPr>
        <w:t>2.4环境功能区划及评价标准</w:t>
      </w:r>
      <w:bookmarkEnd w:id="172"/>
      <w:bookmarkEnd w:id="173"/>
      <w:bookmarkEnd w:id="174"/>
    </w:p>
    <w:p w14:paraId="48CAF769">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75" w:name="_Toc24586"/>
      <w:r>
        <w:rPr>
          <w:rFonts w:hint="eastAsia" w:ascii="Times New Roman" w:hAnsi="Times New Roman" w:eastAsia="宋体" w:cs="Times New Roman"/>
          <w:snapToGrid/>
          <w:color w:val="auto"/>
          <w:lang w:eastAsia="zh-CN"/>
        </w:rPr>
        <w:t>2.4.1环境功能区划</w:t>
      </w:r>
      <w:bookmarkEnd w:id="175"/>
    </w:p>
    <w:p w14:paraId="2D824B4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本项目建设地点位于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，用地类型为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，所在区域环境功能区划见表</w:t>
      </w:r>
      <w:r>
        <w:rPr>
          <w:rFonts w:ascii="Times New Roman" w:hAnsi="Times New Roman" w:cs="Times New Roman"/>
          <w:snapToGrid/>
          <w:color w:val="auto"/>
          <w:sz w:val="24"/>
          <w:szCs w:val="24"/>
          <w:lang w:eastAsia="zh-CN"/>
        </w:rPr>
        <w:t>2.4-1</w:t>
      </w:r>
      <w:r>
        <w:rPr>
          <w:rFonts w:ascii="Times New Roman" w:hAnsi="Times New Roman"/>
          <w:snapToGrid/>
          <w:color w:val="auto"/>
          <w:sz w:val="24"/>
          <w:szCs w:val="24"/>
          <w:lang w:eastAsia="zh-CN"/>
        </w:rPr>
        <w:t>。</w:t>
      </w:r>
    </w:p>
    <w:p w14:paraId="7A8F2F0B">
      <w:pPr>
        <w:pStyle w:val="2"/>
        <w:widowControl w:val="0"/>
        <w:shd w:val="clear"/>
        <w:kinsoku/>
        <w:autoSpaceDE/>
        <w:autoSpaceDN/>
        <w:adjustRightInd/>
        <w:snapToGrid/>
        <w:spacing w:line="360" w:lineRule="auto"/>
        <w:jc w:val="center"/>
        <w:textAlignment w:val="auto"/>
        <w:rPr>
          <w:rFonts w:ascii="Times New Roman" w:hAnsi="Times New Roman"/>
          <w:b/>
          <w:snapToGrid/>
          <w:color w:val="auto"/>
          <w:sz w:val="24"/>
        </w:rPr>
      </w:pPr>
      <w:r>
        <w:rPr>
          <w:rFonts w:ascii="Times New Roman" w:hAnsi="Times New Roman"/>
          <w:b/>
          <w:bCs/>
          <w:snapToGrid/>
          <w:color w:val="auto"/>
          <w:sz w:val="24"/>
        </w:rPr>
        <w:t>表</w:t>
      </w:r>
      <w:r>
        <w:rPr>
          <w:rFonts w:ascii="Times New Roman" w:hAnsi="Times New Roman" w:cs="Times New Roman"/>
          <w:b/>
          <w:bCs/>
          <w:snapToGrid/>
          <w:color w:val="auto"/>
          <w:sz w:val="24"/>
        </w:rPr>
        <w:t>2.4-1</w:t>
      </w:r>
      <w:r>
        <w:rPr>
          <w:rFonts w:ascii="Times New Roman" w:hAnsi="Times New Roman"/>
          <w:b/>
          <w:bCs/>
          <w:snapToGrid/>
          <w:color w:val="auto"/>
          <w:sz w:val="24"/>
        </w:rPr>
        <w:t>区域环境功能区划</w:t>
      </w:r>
    </w:p>
    <w:p w14:paraId="620CBF0B">
      <w:pPr>
        <w:widowControl w:val="0"/>
        <w:shd w:val="clear"/>
        <w:kinsoku/>
        <w:autoSpaceDE/>
        <w:autoSpaceDN/>
        <w:adjustRightInd/>
        <w:snapToGrid/>
        <w:spacing w:line="23" w:lineRule="exact"/>
        <w:textAlignment w:val="auto"/>
        <w:rPr>
          <w:rFonts w:ascii="Times New Roman" w:hAnsi="Times New Roman" w:eastAsia="宋体"/>
          <w:snapToGrid/>
          <w:color w:val="auto"/>
        </w:rPr>
      </w:pPr>
    </w:p>
    <w:tbl>
      <w:tblPr>
        <w:tblStyle w:val="36"/>
        <w:tblW w:w="865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8"/>
        <w:gridCol w:w="2119"/>
        <w:gridCol w:w="5837"/>
      </w:tblGrid>
      <w:tr w14:paraId="5B68F5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98" w:type="dxa"/>
            <w:tcBorders>
              <w:tl2br w:val="nil"/>
              <w:tr2bl w:val="nil"/>
            </w:tcBorders>
          </w:tcPr>
          <w:p w14:paraId="1E09E1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2119" w:type="dxa"/>
            <w:tcBorders>
              <w:tl2br w:val="nil"/>
              <w:tr2bl w:val="nil"/>
            </w:tcBorders>
          </w:tcPr>
          <w:p w14:paraId="7C10C0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5837" w:type="dxa"/>
            <w:tcBorders>
              <w:tl2br w:val="nil"/>
              <w:tr2bl w:val="nil"/>
            </w:tcBorders>
          </w:tcPr>
          <w:p w14:paraId="29AC8B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功能属性及执行标准</w:t>
            </w:r>
          </w:p>
        </w:tc>
      </w:tr>
      <w:tr w14:paraId="2207C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98" w:type="dxa"/>
            <w:tcBorders>
              <w:tl2br w:val="nil"/>
              <w:tr2bl w:val="nil"/>
            </w:tcBorders>
          </w:tcPr>
          <w:p w14:paraId="649AF72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2119" w:type="dxa"/>
            <w:tcBorders>
              <w:tl2br w:val="nil"/>
              <w:tr2bl w:val="nil"/>
            </w:tcBorders>
          </w:tcPr>
          <w:p w14:paraId="2808C71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环境空气质量功能区划</w:t>
            </w:r>
          </w:p>
        </w:tc>
        <w:tc>
          <w:tcPr>
            <w:tcW w:w="5837" w:type="dxa"/>
            <w:tcBorders>
              <w:tl2br w:val="nil"/>
              <w:tr2bl w:val="nil"/>
            </w:tcBorders>
          </w:tcPr>
          <w:p w14:paraId="73C9DBF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本工程所在区域为环境空气二类功能区，执行《环境空气质量标准》（</w:t>
            </w:r>
            <w:r>
              <w:rPr>
                <w:rFonts w:eastAsia="宋体"/>
                <w:snapToGrid/>
                <w:color w:val="auto"/>
                <w:lang w:eastAsia="zh-CN"/>
              </w:rPr>
              <w:t>GB3095-2012</w:t>
            </w:r>
            <w:r>
              <w:rPr>
                <w:rFonts w:hint="eastAsia" w:eastAsia="宋体"/>
                <w:snapToGrid/>
                <w:color w:val="auto"/>
                <w:lang w:eastAsia="zh-CN"/>
              </w:rPr>
              <w:t>，</w:t>
            </w:r>
            <w:r>
              <w:rPr>
                <w:rFonts w:hint="eastAsia" w:eastAsia="宋体"/>
                <w:snapToGrid/>
                <w:color w:val="auto"/>
                <w:lang w:val="en-US" w:eastAsia="zh-CN"/>
              </w:rPr>
              <w:t>含2018年修改单</w:t>
            </w:r>
            <w:r>
              <w:rPr>
                <w:rFonts w:eastAsia="宋体" w:cs="宋体"/>
                <w:snapToGrid/>
                <w:color w:val="auto"/>
                <w:lang w:eastAsia="zh-CN"/>
              </w:rPr>
              <w:t>）二级标准。</w:t>
            </w:r>
          </w:p>
        </w:tc>
      </w:tr>
      <w:tr w14:paraId="11FBD7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698" w:type="dxa"/>
            <w:tcBorders>
              <w:tl2br w:val="nil"/>
              <w:tr2bl w:val="nil"/>
            </w:tcBorders>
          </w:tcPr>
          <w:p w14:paraId="2077807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2119" w:type="dxa"/>
            <w:tcBorders>
              <w:tl2br w:val="nil"/>
              <w:tr2bl w:val="nil"/>
            </w:tcBorders>
          </w:tcPr>
          <w:p w14:paraId="238734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水环境功能区划</w:t>
            </w:r>
          </w:p>
        </w:tc>
        <w:tc>
          <w:tcPr>
            <w:tcW w:w="5837" w:type="dxa"/>
            <w:tcBorders>
              <w:tl2br w:val="nil"/>
              <w:tr2bl w:val="nil"/>
            </w:tcBorders>
          </w:tcPr>
          <w:p w14:paraId="14FEE74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项目所在地地下水水质以人体健康基准值为依据，地下水环境质量执行《地下水质量标准》（</w:t>
            </w:r>
            <w:r>
              <w:rPr>
                <w:rFonts w:eastAsia="宋体"/>
                <w:snapToGrid/>
                <w:color w:val="auto"/>
                <w:lang w:eastAsia="zh-CN"/>
              </w:rPr>
              <w:t>GB/T14848-2017</w:t>
            </w:r>
            <w:r>
              <w:rPr>
                <w:rFonts w:eastAsia="宋体" w:cs="宋体"/>
                <w:snapToGrid/>
                <w:color w:val="auto"/>
                <w:lang w:eastAsia="zh-CN"/>
              </w:rPr>
              <w:t>）中的Ⅲ类标准</w:t>
            </w:r>
          </w:p>
        </w:tc>
      </w:tr>
      <w:tr w14:paraId="48E87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698" w:type="dxa"/>
            <w:tcBorders>
              <w:tl2br w:val="nil"/>
              <w:tr2bl w:val="nil"/>
            </w:tcBorders>
          </w:tcPr>
          <w:p w14:paraId="057F818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2119" w:type="dxa"/>
            <w:tcBorders>
              <w:tl2br w:val="nil"/>
              <w:tr2bl w:val="nil"/>
            </w:tcBorders>
          </w:tcPr>
          <w:p w14:paraId="07983E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声环境功能区划</w:t>
            </w:r>
          </w:p>
        </w:tc>
        <w:tc>
          <w:tcPr>
            <w:tcW w:w="5837" w:type="dxa"/>
            <w:tcBorders>
              <w:tl2br w:val="nil"/>
              <w:tr2bl w:val="nil"/>
            </w:tcBorders>
          </w:tcPr>
          <w:p w14:paraId="76A5923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本工程所在区域为声环境</w:t>
            </w:r>
            <w:r>
              <w:rPr>
                <w:rFonts w:hint="eastAsia" w:eastAsia="宋体"/>
                <w:snapToGrid/>
                <w:color w:val="auto"/>
                <w:lang w:eastAsia="zh-CN"/>
              </w:rPr>
              <w:t>2</w:t>
            </w:r>
            <w:r>
              <w:rPr>
                <w:rFonts w:eastAsia="宋体" w:cs="宋体"/>
                <w:snapToGrid/>
                <w:color w:val="auto"/>
                <w:lang w:eastAsia="zh-CN"/>
              </w:rPr>
              <w:t>类功能区，执行《声环境质量标准》（</w:t>
            </w:r>
            <w:r>
              <w:rPr>
                <w:rFonts w:eastAsia="宋体"/>
                <w:snapToGrid/>
                <w:color w:val="auto"/>
                <w:lang w:eastAsia="zh-CN"/>
              </w:rPr>
              <w:t>GB3096-2008</w:t>
            </w:r>
            <w:r>
              <w:rPr>
                <w:rFonts w:eastAsia="宋体" w:cs="宋体"/>
                <w:snapToGrid/>
                <w:color w:val="auto"/>
                <w:lang w:eastAsia="zh-CN"/>
              </w:rPr>
              <w:t>）中</w:t>
            </w:r>
            <w:r>
              <w:rPr>
                <w:rFonts w:hint="eastAsia" w:eastAsia="宋体"/>
                <w:snapToGrid/>
                <w:color w:val="auto"/>
                <w:lang w:eastAsia="zh-CN"/>
              </w:rPr>
              <w:t>2</w:t>
            </w:r>
            <w:r>
              <w:rPr>
                <w:rFonts w:eastAsia="宋体" w:cs="宋体"/>
                <w:snapToGrid/>
                <w:color w:val="auto"/>
                <w:lang w:eastAsia="zh-CN"/>
              </w:rPr>
              <w:t>类功能区标准。</w:t>
            </w:r>
          </w:p>
        </w:tc>
      </w:tr>
      <w:tr w14:paraId="6BBC1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698" w:type="dxa"/>
            <w:tcBorders>
              <w:tl2br w:val="nil"/>
              <w:tr2bl w:val="nil"/>
            </w:tcBorders>
          </w:tcPr>
          <w:p w14:paraId="1A0ECFC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2119" w:type="dxa"/>
            <w:tcBorders>
              <w:tl2br w:val="nil"/>
              <w:tr2bl w:val="nil"/>
            </w:tcBorders>
          </w:tcPr>
          <w:p w14:paraId="454684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生态环境功能区划</w:t>
            </w:r>
          </w:p>
        </w:tc>
        <w:tc>
          <w:tcPr>
            <w:tcW w:w="5837" w:type="dxa"/>
            <w:tcBorders>
              <w:tl2br w:val="nil"/>
              <w:tr2bl w:val="nil"/>
            </w:tcBorders>
          </w:tcPr>
          <w:p w14:paraId="3D4A701E">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根据《新疆生态环境功能区划》，本项目所在区域位于</w:t>
            </w:r>
            <w:r>
              <w:rPr>
                <w:rFonts w:hint="eastAsia" w:eastAsia="宋体" w:cs="宋体"/>
                <w:snapToGrid/>
                <w:color w:val="auto"/>
                <w:lang w:eastAsia="zh-CN"/>
              </w:rPr>
              <w:t>II准噶尔盆地温性荒漠与绿洲农业生态区：II</w:t>
            </w:r>
            <w:r>
              <w:rPr>
                <w:rFonts w:hint="eastAsia" w:eastAsia="宋体" w:cs="宋体"/>
                <w:snapToGrid/>
                <w:color w:val="auto"/>
                <w:vertAlign w:val="subscript"/>
                <w:lang w:val="en-US" w:eastAsia="zh-CN"/>
              </w:rPr>
              <w:t>3</w:t>
            </w:r>
            <w:r>
              <w:rPr>
                <w:rFonts w:hint="eastAsia" w:eastAsia="宋体" w:cs="宋体"/>
                <w:snapToGrid/>
                <w:color w:val="auto"/>
                <w:lang w:eastAsia="zh-CN"/>
              </w:rPr>
              <w:t>准噶尔盆地南部荒漠绿洲农业生态亚区</w:t>
            </w:r>
          </w:p>
        </w:tc>
      </w:tr>
      <w:tr w14:paraId="53737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98" w:type="dxa"/>
            <w:tcBorders>
              <w:tl2br w:val="nil"/>
              <w:tr2bl w:val="nil"/>
            </w:tcBorders>
          </w:tcPr>
          <w:p w14:paraId="299955F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2119" w:type="dxa"/>
            <w:tcBorders>
              <w:tl2br w:val="nil"/>
              <w:tr2bl w:val="nil"/>
            </w:tcBorders>
          </w:tcPr>
          <w:p w14:paraId="7A83816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是否基本农田保护区</w:t>
            </w:r>
          </w:p>
        </w:tc>
        <w:tc>
          <w:tcPr>
            <w:tcW w:w="5837" w:type="dxa"/>
            <w:tcBorders>
              <w:tl2br w:val="nil"/>
              <w:tr2bl w:val="nil"/>
            </w:tcBorders>
          </w:tcPr>
          <w:p w14:paraId="220922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r w14:paraId="427E75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98" w:type="dxa"/>
            <w:tcBorders>
              <w:tl2br w:val="nil"/>
              <w:tr2bl w:val="nil"/>
            </w:tcBorders>
          </w:tcPr>
          <w:p w14:paraId="0EBE1EB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w:t>
            </w:r>
          </w:p>
        </w:tc>
        <w:tc>
          <w:tcPr>
            <w:tcW w:w="2119" w:type="dxa"/>
            <w:tcBorders>
              <w:tl2br w:val="nil"/>
              <w:tr2bl w:val="nil"/>
            </w:tcBorders>
          </w:tcPr>
          <w:p w14:paraId="2EADF89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是否</w:t>
            </w:r>
            <w:r>
              <w:rPr>
                <w:rFonts w:hint="eastAsia" w:ascii="Times New Roman" w:hAnsi="Times New Roman" w:eastAsia="宋体" w:cs="宋体"/>
                <w:snapToGrid/>
                <w:color w:val="auto"/>
                <w:lang w:eastAsia="zh-CN"/>
              </w:rPr>
              <w:t>水土流失</w:t>
            </w:r>
            <w:r>
              <w:rPr>
                <w:rFonts w:ascii="Times New Roman" w:hAnsi="Times New Roman" w:eastAsia="宋体" w:cs="宋体"/>
                <w:snapToGrid/>
                <w:color w:val="auto"/>
                <w:lang w:eastAsia="zh-CN"/>
              </w:rPr>
              <w:t>重点防治区</w:t>
            </w:r>
          </w:p>
        </w:tc>
        <w:tc>
          <w:tcPr>
            <w:tcW w:w="5837" w:type="dxa"/>
            <w:tcBorders>
              <w:tl2br w:val="nil"/>
              <w:tr2bl w:val="nil"/>
            </w:tcBorders>
          </w:tcPr>
          <w:p w14:paraId="6325F6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r w14:paraId="6C4F2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98" w:type="dxa"/>
            <w:tcBorders>
              <w:tl2br w:val="nil"/>
              <w:tr2bl w:val="nil"/>
            </w:tcBorders>
          </w:tcPr>
          <w:p w14:paraId="086331F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w:t>
            </w:r>
          </w:p>
        </w:tc>
        <w:tc>
          <w:tcPr>
            <w:tcW w:w="2119" w:type="dxa"/>
            <w:tcBorders>
              <w:tl2br w:val="nil"/>
              <w:tr2bl w:val="nil"/>
            </w:tcBorders>
          </w:tcPr>
          <w:p w14:paraId="607FD3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是否属于生态敏感与脆弱区</w:t>
            </w:r>
          </w:p>
        </w:tc>
        <w:tc>
          <w:tcPr>
            <w:tcW w:w="5837" w:type="dxa"/>
            <w:tcBorders>
              <w:tl2br w:val="nil"/>
              <w:tr2bl w:val="nil"/>
            </w:tcBorders>
          </w:tcPr>
          <w:p w14:paraId="22E2A7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bl>
    <w:p w14:paraId="32BD7A83">
      <w:pPr>
        <w:pStyle w:val="6"/>
        <w:widowControl w:val="0"/>
        <w:shd w:val="clear"/>
        <w:kinsoku/>
        <w:autoSpaceDE/>
        <w:autoSpaceDN/>
        <w:adjustRightInd/>
        <w:spacing w:before="0" w:after="0" w:line="360" w:lineRule="auto"/>
        <w:jc w:val="both"/>
        <w:textAlignment w:val="auto"/>
        <w:rPr>
          <w:rFonts w:ascii="Times New Roman" w:hAnsi="Times New Roman" w:eastAsia="宋体" w:cs="Times New Roman"/>
          <w:snapToGrid/>
          <w:color w:val="auto"/>
          <w:lang w:eastAsia="zh-CN"/>
        </w:rPr>
      </w:pPr>
      <w:bookmarkStart w:id="176" w:name="_Toc14820"/>
      <w:r>
        <w:rPr>
          <w:rFonts w:hint="eastAsia" w:ascii="Times New Roman" w:hAnsi="Times New Roman" w:eastAsia="宋体" w:cs="Times New Roman"/>
          <w:snapToGrid/>
          <w:color w:val="auto"/>
          <w:lang w:eastAsia="zh-CN"/>
        </w:rPr>
        <w:t>2.4.2评价标准</w:t>
      </w:r>
      <w:bookmarkEnd w:id="176"/>
    </w:p>
    <w:p w14:paraId="2A11D107">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"file:///C:\\Users\\jobezho\\AppData\\Local\\Temp\\Rar$DIa13476.12779\\2.4.2.1" </w:instrText>
      </w:r>
      <w:r>
        <w:rPr>
          <w:color w:val="auto"/>
        </w:rPr>
        <w:fldChar w:fldCharType="separate"/>
      </w:r>
      <w:r>
        <w:rPr>
          <w:rFonts w:hint="eastAsia" w:ascii="Times New Roman" w:hAnsi="Times New Roman" w:eastAsia="宋体"/>
          <w:snapToGrid/>
          <w:color w:val="auto"/>
          <w:sz w:val="24"/>
          <w:lang w:eastAsia="zh-CN"/>
        </w:rPr>
        <w:t>2.4.2.1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环境质量标准</w:t>
      </w:r>
    </w:p>
    <w:p w14:paraId="088CC06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177" w:name="_Toc23750"/>
      <w:bookmarkStart w:id="178" w:name="_Toc6790"/>
      <w:bookmarkStart w:id="179" w:name="_Toc28725"/>
      <w:bookmarkStart w:id="180" w:name="_Toc7354"/>
      <w:r>
        <w:rPr>
          <w:rFonts w:ascii="Times New Roman" w:hAnsi="Times New Roman"/>
          <w:snapToGrid/>
          <w:color w:val="auto"/>
          <w:sz w:val="24"/>
          <w:szCs w:val="24"/>
        </w:rPr>
        <w:t>（</w:t>
      </w:r>
      <w:r>
        <w:rPr>
          <w:rFonts w:ascii="Times New Roman" w:hAnsi="Times New Roman" w:cs="Times New Roman"/>
          <w:snapToGrid/>
          <w:color w:val="auto"/>
          <w:sz w:val="24"/>
          <w:szCs w:val="24"/>
        </w:rPr>
        <w:t>1</w:t>
      </w:r>
      <w:r>
        <w:rPr>
          <w:rFonts w:ascii="Times New Roman" w:hAnsi="Times New Roman"/>
          <w:snapToGrid/>
          <w:color w:val="auto"/>
          <w:sz w:val="24"/>
          <w:szCs w:val="24"/>
        </w:rPr>
        <w:t>）空气质量标准</w:t>
      </w:r>
      <w:bookmarkEnd w:id="177"/>
      <w:bookmarkEnd w:id="178"/>
      <w:bookmarkEnd w:id="179"/>
      <w:bookmarkEnd w:id="180"/>
    </w:p>
    <w:p w14:paraId="1ABEE8F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根据环境功能区划，</w:t>
      </w:r>
      <w:r>
        <w:rPr>
          <w:rFonts w:ascii="Times New Roman" w:hAnsi="Times New Roman" w:cs="Times New Roman"/>
          <w:snapToGrid/>
          <w:color w:val="auto"/>
          <w:sz w:val="24"/>
          <w:szCs w:val="24"/>
          <w:lang w:eastAsia="zh-CN"/>
        </w:rPr>
        <w:t>SO</w:t>
      </w:r>
      <w:r>
        <w:rPr>
          <w:rFonts w:ascii="Times New Roman" w:hAnsi="Times New Roman" w:cs="Times New Roman"/>
          <w:snapToGrid/>
          <w:color w:val="auto"/>
          <w:sz w:val="24"/>
          <w:szCs w:val="16"/>
          <w:vertAlign w:val="subscript"/>
          <w:lang w:eastAsia="zh-CN"/>
        </w:rPr>
        <w:t>2</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NO</w:t>
      </w:r>
      <w:r>
        <w:rPr>
          <w:rFonts w:ascii="Times New Roman" w:hAnsi="Times New Roman" w:cs="Times New Roman"/>
          <w:snapToGrid/>
          <w:color w:val="auto"/>
          <w:sz w:val="24"/>
          <w:szCs w:val="16"/>
          <w:vertAlign w:val="subscript"/>
          <w:lang w:eastAsia="zh-CN"/>
        </w:rPr>
        <w:t>2</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PM</w:t>
      </w:r>
      <w:r>
        <w:rPr>
          <w:rFonts w:ascii="Times New Roman" w:hAnsi="Times New Roman" w:cs="Times New Roman"/>
          <w:snapToGrid/>
          <w:color w:val="auto"/>
          <w:sz w:val="24"/>
          <w:szCs w:val="16"/>
          <w:vertAlign w:val="subscript"/>
          <w:lang w:eastAsia="zh-CN"/>
        </w:rPr>
        <w:t>10</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PM</w:t>
      </w:r>
      <w:r>
        <w:rPr>
          <w:rFonts w:ascii="Times New Roman" w:hAnsi="Times New Roman" w:cs="Times New Roman"/>
          <w:snapToGrid/>
          <w:color w:val="auto"/>
          <w:sz w:val="24"/>
          <w:szCs w:val="16"/>
          <w:vertAlign w:val="subscript"/>
          <w:lang w:eastAsia="zh-CN"/>
        </w:rPr>
        <w:t>2.5</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CO</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O</w:t>
      </w:r>
      <w:r>
        <w:rPr>
          <w:rFonts w:ascii="Times New Roman" w:hAnsi="Times New Roman" w:cs="Times New Roman"/>
          <w:snapToGrid/>
          <w:color w:val="auto"/>
          <w:sz w:val="24"/>
          <w:szCs w:val="16"/>
          <w:vertAlign w:val="subscript"/>
          <w:lang w:eastAsia="zh-CN"/>
        </w:rPr>
        <w:t>3</w:t>
      </w:r>
      <w:r>
        <w:rPr>
          <w:rFonts w:ascii="Times New Roman" w:hAnsi="Times New Roman"/>
          <w:snapToGrid/>
          <w:color w:val="auto"/>
          <w:sz w:val="24"/>
          <w:szCs w:val="24"/>
          <w:lang w:eastAsia="zh-CN"/>
        </w:rPr>
        <w:t>和</w:t>
      </w:r>
      <w:r>
        <w:rPr>
          <w:rFonts w:hint="eastAsia" w:ascii="Times New Roman" w:hAnsi="Times New Roman"/>
          <w:snapToGrid/>
          <w:color w:val="auto"/>
          <w:sz w:val="24"/>
          <w:szCs w:val="24"/>
          <w:lang w:val="en-US" w:eastAsia="zh-CN"/>
        </w:rPr>
        <w:t>TSP</w:t>
      </w:r>
      <w:r>
        <w:rPr>
          <w:rFonts w:ascii="Times New Roman" w:hAnsi="Times New Roman"/>
          <w:snapToGrid/>
          <w:color w:val="auto"/>
          <w:sz w:val="24"/>
          <w:szCs w:val="24"/>
          <w:lang w:eastAsia="zh-CN"/>
        </w:rPr>
        <w:t>执行《环境空气质量标准》</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GB3095-2012</w:t>
      </w:r>
      <w:r>
        <w:rPr>
          <w:rFonts w:hint="eastAsia" w:ascii="Times New Roman" w:hAnsi="Times New Roman" w:cs="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含2018年修改单</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中的二级标准；非甲烷总烃参照执行《大气污染物综合排放标准详解》（</w:t>
      </w:r>
      <w:r>
        <w:rPr>
          <w:rFonts w:ascii="Times New Roman" w:hAnsi="Times New Roman" w:cs="Times New Roman"/>
          <w:snapToGrid/>
          <w:color w:val="auto"/>
          <w:sz w:val="24"/>
          <w:szCs w:val="24"/>
          <w:lang w:eastAsia="zh-CN"/>
        </w:rPr>
        <w:t>GB3095-1996</w:t>
      </w:r>
      <w:r>
        <w:rPr>
          <w:rFonts w:ascii="Times New Roman" w:hAnsi="Times New Roman"/>
          <w:snapToGrid/>
          <w:color w:val="auto"/>
          <w:sz w:val="24"/>
          <w:szCs w:val="24"/>
          <w:lang w:eastAsia="zh-CN"/>
        </w:rPr>
        <w:t>）中的推荐值（</w:t>
      </w:r>
      <w:r>
        <w:rPr>
          <w:rFonts w:ascii="Times New Roman" w:hAnsi="Times New Roman" w:cs="Times New Roman"/>
          <w:snapToGrid/>
          <w:color w:val="auto"/>
          <w:sz w:val="24"/>
          <w:szCs w:val="24"/>
          <w:lang w:eastAsia="zh-CN"/>
        </w:rPr>
        <w:t>2mg/m</w:t>
      </w:r>
      <w:r>
        <w:rPr>
          <w:rFonts w:ascii="Times New Roman" w:hAnsi="Times New Roman" w:cs="Times New Roman"/>
          <w:snapToGrid/>
          <w:color w:val="auto"/>
          <w:sz w:val="24"/>
          <w:szCs w:val="16"/>
          <w:vertAlign w:val="superscript"/>
          <w:lang w:eastAsia="zh-CN"/>
        </w:rPr>
        <w:t>3</w:t>
      </w:r>
      <w:r>
        <w:rPr>
          <w:rFonts w:ascii="Times New Roman" w:hAnsi="Times New Roman"/>
          <w:snapToGrid/>
          <w:color w:val="auto"/>
          <w:sz w:val="24"/>
          <w:szCs w:val="24"/>
          <w:lang w:eastAsia="zh-CN"/>
        </w:rPr>
        <w:t>）。标准值见表</w:t>
      </w:r>
      <w:r>
        <w:rPr>
          <w:rFonts w:ascii="Times New Roman" w:hAnsi="Times New Roman" w:cs="Times New Roman"/>
          <w:snapToGrid/>
          <w:color w:val="auto"/>
          <w:sz w:val="24"/>
          <w:szCs w:val="24"/>
          <w:lang w:eastAsia="zh-CN"/>
        </w:rPr>
        <w:t>2.4-2</w:t>
      </w:r>
      <w:r>
        <w:rPr>
          <w:rFonts w:ascii="Times New Roman" w:hAnsi="Times New Roman"/>
          <w:snapToGrid/>
          <w:color w:val="auto"/>
          <w:sz w:val="24"/>
          <w:szCs w:val="24"/>
          <w:lang w:eastAsia="zh-CN"/>
        </w:rPr>
        <w:t>。</w:t>
      </w:r>
    </w:p>
    <w:p w14:paraId="28FD387C">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2.4-2</w:t>
      </w:r>
      <w:r>
        <w:rPr>
          <w:rFonts w:ascii="Times New Roman" w:hAnsi="Times New Roman"/>
          <w:b/>
          <w:bCs/>
          <w:snapToGrid/>
          <w:color w:val="auto"/>
          <w:sz w:val="24"/>
          <w:lang w:eastAsia="zh-CN"/>
        </w:rPr>
        <w:t>大气环境质量评价所执行的标准值</w:t>
      </w:r>
    </w:p>
    <w:p w14:paraId="156CA938">
      <w:pPr>
        <w:keepNext w:val="0"/>
        <w:keepLines w:val="0"/>
        <w:pageBreakBefore w:val="0"/>
        <w:widowControl w:val="0"/>
        <w:shd w:val="clear"/>
        <w:kinsoku/>
        <w:wordWrap/>
        <w:overflowPunct/>
        <w:topLinePunct w:val="0"/>
        <w:autoSpaceDE/>
        <w:autoSpaceDN/>
        <w:bidi w:val="0"/>
        <w:adjustRightInd/>
        <w:snapToGrid/>
        <w:spacing w:line="22" w:lineRule="exact"/>
        <w:textAlignment w:val="auto"/>
        <w:outlineLvl w:val="9"/>
        <w:rPr>
          <w:rFonts w:ascii="Times New Roman" w:hAnsi="Times New Roman" w:eastAsia="宋体"/>
          <w:snapToGrid/>
          <w:color w:val="auto"/>
          <w:lang w:eastAsia="zh-CN"/>
        </w:rPr>
      </w:pPr>
    </w:p>
    <w:tbl>
      <w:tblPr>
        <w:tblStyle w:val="36"/>
        <w:tblW w:w="8435" w:type="dxa"/>
        <w:tblInd w:w="1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637"/>
        <w:gridCol w:w="2042"/>
        <w:gridCol w:w="1008"/>
        <w:gridCol w:w="2961"/>
      </w:tblGrid>
      <w:tr w14:paraId="68394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87" w:type="dxa"/>
            <w:tcBorders>
              <w:tl2br w:val="nil"/>
              <w:tr2bl w:val="nil"/>
            </w:tcBorders>
          </w:tcPr>
          <w:p w14:paraId="04A4775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637" w:type="dxa"/>
            <w:tcBorders>
              <w:tl2br w:val="nil"/>
              <w:tr2bl w:val="nil"/>
            </w:tcBorders>
          </w:tcPr>
          <w:p w14:paraId="34837F6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3050" w:type="dxa"/>
            <w:gridSpan w:val="2"/>
            <w:tcBorders>
              <w:tl2br w:val="nil"/>
              <w:tr2bl w:val="nil"/>
            </w:tcBorders>
          </w:tcPr>
          <w:p w14:paraId="33BB65BD">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b/>
                <w:bCs/>
                <w:snapToGrid/>
                <w:color w:val="auto"/>
              </w:rPr>
              <w:t>浓度限值</w:t>
            </w:r>
            <w:r>
              <w:rPr>
                <w:rFonts w:hint="eastAsia" w:eastAsia="宋体" w:cs="宋体"/>
                <w:b/>
                <w:bCs/>
                <w:snapToGrid/>
                <w:color w:val="auto"/>
                <w:lang w:eastAsia="zh-CN"/>
              </w:rPr>
              <w:t>（</w:t>
            </w:r>
            <w:r>
              <w:rPr>
                <w:rFonts w:eastAsia="宋体"/>
                <w:b/>
                <w:bCs/>
                <w:snapToGrid/>
                <w:color w:val="auto"/>
              </w:rPr>
              <w:t>μg/m</w:t>
            </w:r>
            <w:r>
              <w:rPr>
                <w:rFonts w:eastAsia="宋体"/>
                <w:b/>
                <w:bCs/>
                <w:snapToGrid/>
                <w:color w:val="auto"/>
                <w:szCs w:val="13"/>
                <w:vertAlign w:val="superscript"/>
              </w:rPr>
              <w:t>3</w:t>
            </w:r>
            <w:r>
              <w:rPr>
                <w:rFonts w:eastAsia="宋体" w:cs="宋体"/>
                <w:b/>
                <w:bCs/>
                <w:snapToGrid/>
                <w:color w:val="auto"/>
              </w:rPr>
              <w:t>）</w:t>
            </w:r>
          </w:p>
        </w:tc>
        <w:tc>
          <w:tcPr>
            <w:tcW w:w="2961" w:type="dxa"/>
            <w:tcBorders>
              <w:tl2br w:val="nil"/>
              <w:tr2bl w:val="nil"/>
            </w:tcBorders>
          </w:tcPr>
          <w:p w14:paraId="373ADCE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标准来源</w:t>
            </w:r>
          </w:p>
        </w:tc>
      </w:tr>
      <w:tr w14:paraId="73A17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787" w:type="dxa"/>
            <w:vMerge w:val="restart"/>
            <w:tcBorders>
              <w:tl2br w:val="nil"/>
              <w:tr2bl w:val="nil"/>
            </w:tcBorders>
          </w:tcPr>
          <w:p w14:paraId="78E0A73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w:t>
            </w:r>
          </w:p>
        </w:tc>
        <w:tc>
          <w:tcPr>
            <w:tcW w:w="1637" w:type="dxa"/>
            <w:vMerge w:val="restart"/>
            <w:tcBorders>
              <w:tl2br w:val="nil"/>
              <w:tr2bl w:val="nil"/>
            </w:tcBorders>
          </w:tcPr>
          <w:p w14:paraId="5D7D0D7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二氧化硫（</w:t>
            </w:r>
            <w:r>
              <w:rPr>
                <w:rFonts w:eastAsia="宋体"/>
                <w:snapToGrid/>
                <w:color w:val="auto"/>
              </w:rPr>
              <w:t>SO</w:t>
            </w:r>
            <w:r>
              <w:rPr>
                <w:rFonts w:eastAsia="宋体"/>
                <w:snapToGrid/>
                <w:color w:val="auto"/>
                <w:szCs w:val="13"/>
                <w:vertAlign w:val="subscript"/>
              </w:rPr>
              <w:t>2</w:t>
            </w:r>
            <w:r>
              <w:rPr>
                <w:rFonts w:eastAsia="宋体" w:cs="宋体"/>
                <w:snapToGrid/>
                <w:color w:val="auto"/>
              </w:rPr>
              <w:t>）</w:t>
            </w:r>
          </w:p>
        </w:tc>
        <w:tc>
          <w:tcPr>
            <w:tcW w:w="2042" w:type="dxa"/>
            <w:tcBorders>
              <w:tl2br w:val="nil"/>
              <w:tr2bl w:val="nil"/>
            </w:tcBorders>
          </w:tcPr>
          <w:p w14:paraId="217AE93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0352ED4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500</w:t>
            </w:r>
          </w:p>
        </w:tc>
        <w:tc>
          <w:tcPr>
            <w:tcW w:w="2961" w:type="dxa"/>
            <w:vMerge w:val="restart"/>
            <w:tcBorders>
              <w:tl2br w:val="nil"/>
              <w:tr2bl w:val="nil"/>
            </w:tcBorders>
          </w:tcPr>
          <w:p w14:paraId="1F64A88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hint="eastAsia" w:eastAsia="宋体" w:cs="宋体"/>
                <w:snapToGrid/>
                <w:color w:val="auto"/>
                <w:lang w:eastAsia="zh-CN"/>
              </w:rPr>
              <w:t>《</w:t>
            </w:r>
            <w:r>
              <w:rPr>
                <w:rFonts w:eastAsia="宋体" w:cs="宋体"/>
                <w:snapToGrid/>
                <w:color w:val="auto"/>
                <w:lang w:eastAsia="zh-CN"/>
              </w:rPr>
              <w:t>环境空气质量标准》</w:t>
            </w:r>
            <w:r>
              <w:rPr>
                <w:rFonts w:hint="eastAsia" w:eastAsia="宋体"/>
                <w:snapToGrid/>
                <w:color w:val="auto"/>
                <w:lang w:eastAsia="zh-CN"/>
              </w:rPr>
              <w:t>（</w:t>
            </w:r>
            <w:r>
              <w:rPr>
                <w:rFonts w:eastAsia="宋体"/>
                <w:snapToGrid/>
                <w:color w:val="auto"/>
                <w:lang w:eastAsia="zh-CN"/>
              </w:rPr>
              <w:t>GB3095-2012</w:t>
            </w:r>
            <w:r>
              <w:rPr>
                <w:rFonts w:hint="eastAsia" w:eastAsia="宋体"/>
                <w:snapToGrid/>
                <w:color w:val="auto"/>
                <w:lang w:eastAsia="zh-CN"/>
              </w:rPr>
              <w:t>，</w:t>
            </w:r>
            <w:r>
              <w:rPr>
                <w:rFonts w:hint="eastAsia" w:eastAsia="宋体"/>
                <w:snapToGrid/>
                <w:color w:val="auto"/>
                <w:lang w:val="en-US" w:eastAsia="zh-CN"/>
              </w:rPr>
              <w:t>含2018年修改单</w:t>
            </w:r>
            <w:r>
              <w:rPr>
                <w:rFonts w:hint="eastAsia" w:eastAsia="宋体"/>
                <w:snapToGrid/>
                <w:color w:val="auto"/>
                <w:lang w:eastAsia="zh-CN"/>
              </w:rPr>
              <w:t>）</w:t>
            </w:r>
            <w:r>
              <w:rPr>
                <w:rFonts w:eastAsia="宋体" w:cs="宋体"/>
                <w:snapToGrid/>
                <w:color w:val="auto"/>
                <w:lang w:eastAsia="zh-CN"/>
              </w:rPr>
              <w:t>二级标准</w:t>
            </w:r>
          </w:p>
        </w:tc>
      </w:tr>
      <w:tr w14:paraId="190FA3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87" w:type="dxa"/>
            <w:vMerge w:val="continue"/>
            <w:tcBorders>
              <w:tl2br w:val="nil"/>
              <w:tr2bl w:val="nil"/>
            </w:tcBorders>
          </w:tcPr>
          <w:p w14:paraId="138CFA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lang w:eastAsia="zh-CN"/>
              </w:rPr>
            </w:pPr>
          </w:p>
        </w:tc>
        <w:tc>
          <w:tcPr>
            <w:tcW w:w="1637" w:type="dxa"/>
            <w:vMerge w:val="continue"/>
            <w:tcBorders>
              <w:tl2br w:val="nil"/>
              <w:tr2bl w:val="nil"/>
            </w:tcBorders>
          </w:tcPr>
          <w:p w14:paraId="227490D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lang w:eastAsia="zh-CN"/>
              </w:rPr>
            </w:pPr>
          </w:p>
        </w:tc>
        <w:tc>
          <w:tcPr>
            <w:tcW w:w="2042" w:type="dxa"/>
            <w:tcBorders>
              <w:tl2br w:val="nil"/>
              <w:tr2bl w:val="nil"/>
            </w:tcBorders>
          </w:tcPr>
          <w:p w14:paraId="6CE4987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18B9CE5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150</w:t>
            </w:r>
          </w:p>
        </w:tc>
        <w:tc>
          <w:tcPr>
            <w:tcW w:w="2961" w:type="dxa"/>
            <w:vMerge w:val="continue"/>
            <w:tcBorders>
              <w:tl2br w:val="nil"/>
              <w:tr2bl w:val="nil"/>
            </w:tcBorders>
          </w:tcPr>
          <w:p w14:paraId="2B2DD9F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3C7DB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0811D5E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2F48E2D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1A32B0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年平均值</w:t>
            </w:r>
          </w:p>
        </w:tc>
        <w:tc>
          <w:tcPr>
            <w:tcW w:w="1008" w:type="dxa"/>
            <w:tcBorders>
              <w:tl2br w:val="nil"/>
              <w:tr2bl w:val="nil"/>
            </w:tcBorders>
          </w:tcPr>
          <w:p w14:paraId="25B9C8F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60</w:t>
            </w:r>
          </w:p>
        </w:tc>
        <w:tc>
          <w:tcPr>
            <w:tcW w:w="2961" w:type="dxa"/>
            <w:vMerge w:val="continue"/>
            <w:tcBorders>
              <w:tl2br w:val="nil"/>
              <w:tr2bl w:val="nil"/>
            </w:tcBorders>
          </w:tcPr>
          <w:p w14:paraId="635E876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164AF5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87" w:type="dxa"/>
            <w:vMerge w:val="restart"/>
            <w:tcBorders>
              <w:tl2br w:val="nil"/>
              <w:tr2bl w:val="nil"/>
            </w:tcBorders>
          </w:tcPr>
          <w:p w14:paraId="3E64296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w:t>
            </w:r>
          </w:p>
        </w:tc>
        <w:tc>
          <w:tcPr>
            <w:tcW w:w="1637" w:type="dxa"/>
            <w:vMerge w:val="restart"/>
            <w:tcBorders>
              <w:tl2br w:val="nil"/>
              <w:tr2bl w:val="nil"/>
            </w:tcBorders>
          </w:tcPr>
          <w:p w14:paraId="239437A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szCs w:val="13"/>
              </w:rPr>
            </w:pPr>
            <w:r>
              <w:rPr>
                <w:rFonts w:eastAsia="宋体"/>
                <w:snapToGrid/>
                <w:color w:val="auto"/>
              </w:rPr>
              <w:t>PM</w:t>
            </w:r>
            <w:r>
              <w:rPr>
                <w:rFonts w:eastAsia="宋体"/>
                <w:snapToGrid/>
                <w:color w:val="auto"/>
                <w:szCs w:val="13"/>
                <w:vertAlign w:val="subscript"/>
              </w:rPr>
              <w:t>10</w:t>
            </w:r>
          </w:p>
        </w:tc>
        <w:tc>
          <w:tcPr>
            <w:tcW w:w="2042" w:type="dxa"/>
            <w:tcBorders>
              <w:tl2br w:val="nil"/>
              <w:tr2bl w:val="nil"/>
            </w:tcBorders>
          </w:tcPr>
          <w:p w14:paraId="0828754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1327528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w:t>
            </w:r>
          </w:p>
        </w:tc>
        <w:tc>
          <w:tcPr>
            <w:tcW w:w="2961" w:type="dxa"/>
            <w:vMerge w:val="continue"/>
            <w:tcBorders>
              <w:tl2br w:val="nil"/>
              <w:tr2bl w:val="nil"/>
            </w:tcBorders>
          </w:tcPr>
          <w:p w14:paraId="6695A7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43D2B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54AE230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3781F06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0EEF54E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0E98634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150</w:t>
            </w:r>
          </w:p>
        </w:tc>
        <w:tc>
          <w:tcPr>
            <w:tcW w:w="2961" w:type="dxa"/>
            <w:vMerge w:val="continue"/>
            <w:tcBorders>
              <w:tl2br w:val="nil"/>
              <w:tr2bl w:val="nil"/>
            </w:tcBorders>
          </w:tcPr>
          <w:p w14:paraId="07257A5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78EE7C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051E29C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7134E22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14D5A50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年平均值</w:t>
            </w:r>
          </w:p>
        </w:tc>
        <w:tc>
          <w:tcPr>
            <w:tcW w:w="1008" w:type="dxa"/>
            <w:tcBorders>
              <w:tl2br w:val="nil"/>
              <w:tr2bl w:val="nil"/>
            </w:tcBorders>
          </w:tcPr>
          <w:p w14:paraId="6327C3F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70</w:t>
            </w:r>
          </w:p>
        </w:tc>
        <w:tc>
          <w:tcPr>
            <w:tcW w:w="2961" w:type="dxa"/>
            <w:vMerge w:val="continue"/>
            <w:tcBorders>
              <w:tl2br w:val="nil"/>
              <w:tr2bl w:val="nil"/>
            </w:tcBorders>
          </w:tcPr>
          <w:p w14:paraId="0794F7A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2CDF7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87" w:type="dxa"/>
            <w:vMerge w:val="restart"/>
            <w:tcBorders>
              <w:tl2br w:val="nil"/>
              <w:tr2bl w:val="nil"/>
            </w:tcBorders>
          </w:tcPr>
          <w:p w14:paraId="7034572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w:t>
            </w:r>
          </w:p>
        </w:tc>
        <w:tc>
          <w:tcPr>
            <w:tcW w:w="1637" w:type="dxa"/>
            <w:vMerge w:val="restart"/>
            <w:tcBorders>
              <w:tl2br w:val="nil"/>
              <w:tr2bl w:val="nil"/>
            </w:tcBorders>
          </w:tcPr>
          <w:p w14:paraId="2300034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二氧化氮（</w:t>
            </w:r>
            <w:r>
              <w:rPr>
                <w:rFonts w:eastAsia="宋体"/>
                <w:snapToGrid/>
                <w:color w:val="auto"/>
              </w:rPr>
              <w:t>NO</w:t>
            </w:r>
            <w:r>
              <w:rPr>
                <w:rFonts w:eastAsia="宋体"/>
                <w:snapToGrid/>
                <w:color w:val="auto"/>
                <w:szCs w:val="13"/>
                <w:vertAlign w:val="subscript"/>
              </w:rPr>
              <w:t>2</w:t>
            </w:r>
            <w:r>
              <w:rPr>
                <w:rFonts w:eastAsia="宋体" w:cs="宋体"/>
                <w:snapToGrid/>
                <w:color w:val="auto"/>
              </w:rPr>
              <w:t>）</w:t>
            </w:r>
          </w:p>
        </w:tc>
        <w:tc>
          <w:tcPr>
            <w:tcW w:w="2042" w:type="dxa"/>
            <w:tcBorders>
              <w:tl2br w:val="nil"/>
              <w:tr2bl w:val="nil"/>
            </w:tcBorders>
          </w:tcPr>
          <w:p w14:paraId="528A96B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29C558E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200</w:t>
            </w:r>
          </w:p>
        </w:tc>
        <w:tc>
          <w:tcPr>
            <w:tcW w:w="2961" w:type="dxa"/>
            <w:vMerge w:val="continue"/>
            <w:tcBorders>
              <w:tl2br w:val="nil"/>
              <w:tr2bl w:val="nil"/>
            </w:tcBorders>
          </w:tcPr>
          <w:p w14:paraId="12F06F0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1E8975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141C634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2019D85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1A8E306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5BE3468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80</w:t>
            </w:r>
          </w:p>
        </w:tc>
        <w:tc>
          <w:tcPr>
            <w:tcW w:w="2961" w:type="dxa"/>
            <w:vMerge w:val="continue"/>
            <w:tcBorders>
              <w:tl2br w:val="nil"/>
              <w:tr2bl w:val="nil"/>
            </w:tcBorders>
          </w:tcPr>
          <w:p w14:paraId="391610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EF1A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1A5DC3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1A2019A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5C84CD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年平均值</w:t>
            </w:r>
          </w:p>
        </w:tc>
        <w:tc>
          <w:tcPr>
            <w:tcW w:w="1008" w:type="dxa"/>
            <w:tcBorders>
              <w:tl2br w:val="nil"/>
              <w:tr2bl w:val="nil"/>
            </w:tcBorders>
          </w:tcPr>
          <w:p w14:paraId="6DC6933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40</w:t>
            </w:r>
          </w:p>
        </w:tc>
        <w:tc>
          <w:tcPr>
            <w:tcW w:w="2961" w:type="dxa"/>
            <w:vMerge w:val="continue"/>
            <w:tcBorders>
              <w:tl2br w:val="nil"/>
              <w:tr2bl w:val="nil"/>
            </w:tcBorders>
          </w:tcPr>
          <w:p w14:paraId="760A94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1C2C4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87" w:type="dxa"/>
            <w:vMerge w:val="restart"/>
            <w:tcBorders>
              <w:tl2br w:val="nil"/>
              <w:tr2bl w:val="nil"/>
            </w:tcBorders>
          </w:tcPr>
          <w:p w14:paraId="6827FDF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w:t>
            </w:r>
          </w:p>
        </w:tc>
        <w:tc>
          <w:tcPr>
            <w:tcW w:w="1637" w:type="dxa"/>
            <w:vMerge w:val="restart"/>
            <w:tcBorders>
              <w:tl2br w:val="nil"/>
              <w:tr2bl w:val="nil"/>
            </w:tcBorders>
          </w:tcPr>
          <w:p w14:paraId="6147EA4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szCs w:val="13"/>
              </w:rPr>
            </w:pPr>
            <w:r>
              <w:rPr>
                <w:rFonts w:eastAsia="宋体"/>
                <w:snapToGrid/>
                <w:color w:val="auto"/>
              </w:rPr>
              <w:t>PM</w:t>
            </w:r>
            <w:r>
              <w:rPr>
                <w:rFonts w:eastAsia="宋体"/>
                <w:snapToGrid/>
                <w:color w:val="auto"/>
                <w:szCs w:val="13"/>
                <w:vertAlign w:val="subscript"/>
              </w:rPr>
              <w:t>2.5</w:t>
            </w:r>
          </w:p>
        </w:tc>
        <w:tc>
          <w:tcPr>
            <w:tcW w:w="2042" w:type="dxa"/>
            <w:tcBorders>
              <w:tl2br w:val="nil"/>
              <w:tr2bl w:val="nil"/>
            </w:tcBorders>
          </w:tcPr>
          <w:p w14:paraId="1EF3093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6CB687D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w:t>
            </w:r>
          </w:p>
        </w:tc>
        <w:tc>
          <w:tcPr>
            <w:tcW w:w="2961" w:type="dxa"/>
            <w:vMerge w:val="continue"/>
            <w:tcBorders>
              <w:tl2br w:val="nil"/>
              <w:tr2bl w:val="nil"/>
            </w:tcBorders>
          </w:tcPr>
          <w:p w14:paraId="3186D1D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50C49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6A0B54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4FC18FB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4FB27B3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0D2E389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75</w:t>
            </w:r>
          </w:p>
        </w:tc>
        <w:tc>
          <w:tcPr>
            <w:tcW w:w="2961" w:type="dxa"/>
            <w:vMerge w:val="continue"/>
            <w:tcBorders>
              <w:tl2br w:val="nil"/>
              <w:tr2bl w:val="nil"/>
            </w:tcBorders>
          </w:tcPr>
          <w:p w14:paraId="413CB3A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5B757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20FFC18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0EAF304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71DBF96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年平均值</w:t>
            </w:r>
          </w:p>
        </w:tc>
        <w:tc>
          <w:tcPr>
            <w:tcW w:w="1008" w:type="dxa"/>
            <w:tcBorders>
              <w:tl2br w:val="nil"/>
              <w:tr2bl w:val="nil"/>
            </w:tcBorders>
          </w:tcPr>
          <w:p w14:paraId="1EFB7D3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35</w:t>
            </w:r>
          </w:p>
        </w:tc>
        <w:tc>
          <w:tcPr>
            <w:tcW w:w="2961" w:type="dxa"/>
            <w:vMerge w:val="continue"/>
            <w:tcBorders>
              <w:tl2br w:val="nil"/>
              <w:tr2bl w:val="nil"/>
            </w:tcBorders>
          </w:tcPr>
          <w:p w14:paraId="30FFABF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25EBA0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87" w:type="dxa"/>
            <w:vMerge w:val="restart"/>
            <w:tcBorders>
              <w:tl2br w:val="nil"/>
              <w:tr2bl w:val="nil"/>
            </w:tcBorders>
          </w:tcPr>
          <w:p w14:paraId="45A7FCC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5</w:t>
            </w:r>
          </w:p>
        </w:tc>
        <w:tc>
          <w:tcPr>
            <w:tcW w:w="1637" w:type="dxa"/>
            <w:vMerge w:val="restart"/>
            <w:tcBorders>
              <w:tl2br w:val="nil"/>
              <w:tr2bl w:val="nil"/>
            </w:tcBorders>
          </w:tcPr>
          <w:p w14:paraId="5899447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rPr>
              <w:t>一氧化碳</w:t>
            </w:r>
          </w:p>
        </w:tc>
        <w:tc>
          <w:tcPr>
            <w:tcW w:w="2042" w:type="dxa"/>
            <w:tcBorders>
              <w:tl2br w:val="nil"/>
              <w:tr2bl w:val="nil"/>
            </w:tcBorders>
          </w:tcPr>
          <w:p w14:paraId="0AE58CB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2352F98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10</w:t>
            </w:r>
          </w:p>
        </w:tc>
        <w:tc>
          <w:tcPr>
            <w:tcW w:w="2961" w:type="dxa"/>
            <w:vMerge w:val="continue"/>
            <w:tcBorders>
              <w:tl2br w:val="nil"/>
              <w:tr2bl w:val="nil"/>
            </w:tcBorders>
          </w:tcPr>
          <w:p w14:paraId="413B95B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A0BF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87" w:type="dxa"/>
            <w:vMerge w:val="continue"/>
            <w:tcBorders>
              <w:tl2br w:val="nil"/>
              <w:tr2bl w:val="nil"/>
            </w:tcBorders>
          </w:tcPr>
          <w:p w14:paraId="5B7304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666EFD0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4AEEBA8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4375DE7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w:t>
            </w:r>
          </w:p>
        </w:tc>
        <w:tc>
          <w:tcPr>
            <w:tcW w:w="2961" w:type="dxa"/>
            <w:vMerge w:val="continue"/>
            <w:tcBorders>
              <w:tl2br w:val="nil"/>
              <w:tr2bl w:val="nil"/>
            </w:tcBorders>
          </w:tcPr>
          <w:p w14:paraId="1BE3B7B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48553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restart"/>
            <w:tcBorders>
              <w:tl2br w:val="nil"/>
              <w:tr2bl w:val="nil"/>
            </w:tcBorders>
          </w:tcPr>
          <w:p w14:paraId="07BAFF9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6</w:t>
            </w:r>
          </w:p>
        </w:tc>
        <w:tc>
          <w:tcPr>
            <w:tcW w:w="1637" w:type="dxa"/>
            <w:vMerge w:val="restart"/>
            <w:tcBorders>
              <w:tl2br w:val="nil"/>
              <w:tr2bl w:val="nil"/>
            </w:tcBorders>
          </w:tcPr>
          <w:p w14:paraId="2BED0B2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臭氧（</w:t>
            </w:r>
            <w:r>
              <w:rPr>
                <w:rFonts w:eastAsia="宋体"/>
                <w:snapToGrid/>
                <w:color w:val="auto"/>
              </w:rPr>
              <w:t>O</w:t>
            </w:r>
            <w:r>
              <w:rPr>
                <w:rFonts w:eastAsia="宋体"/>
                <w:snapToGrid/>
                <w:color w:val="auto"/>
                <w:szCs w:val="13"/>
                <w:vertAlign w:val="subscript"/>
              </w:rPr>
              <w:t>3</w:t>
            </w:r>
            <w:r>
              <w:rPr>
                <w:rFonts w:eastAsia="宋体" w:cs="宋体"/>
                <w:snapToGrid/>
                <w:color w:val="auto"/>
              </w:rPr>
              <w:t>）</w:t>
            </w:r>
          </w:p>
        </w:tc>
        <w:tc>
          <w:tcPr>
            <w:tcW w:w="2042" w:type="dxa"/>
            <w:tcBorders>
              <w:tl2br w:val="nil"/>
              <w:tr2bl w:val="nil"/>
            </w:tcBorders>
          </w:tcPr>
          <w:p w14:paraId="3FD14D8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5B97172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200</w:t>
            </w:r>
          </w:p>
        </w:tc>
        <w:tc>
          <w:tcPr>
            <w:tcW w:w="2961" w:type="dxa"/>
            <w:vMerge w:val="continue"/>
            <w:tcBorders>
              <w:tl2br w:val="nil"/>
              <w:tr2bl w:val="nil"/>
            </w:tcBorders>
          </w:tcPr>
          <w:p w14:paraId="4E5FB2A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22FC3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continue"/>
            <w:tcBorders>
              <w:tl2br w:val="nil"/>
              <w:tr2bl w:val="nil"/>
            </w:tcBorders>
          </w:tcPr>
          <w:p w14:paraId="07A0654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2F5B381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5984245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日最大</w:t>
            </w:r>
            <w:r>
              <w:rPr>
                <w:rFonts w:eastAsia="宋体"/>
                <w:snapToGrid/>
                <w:color w:val="auto"/>
              </w:rPr>
              <w:t>8</w:t>
            </w:r>
            <w:r>
              <w:rPr>
                <w:rFonts w:eastAsia="宋体" w:cs="宋体"/>
                <w:snapToGrid/>
                <w:color w:val="auto"/>
              </w:rPr>
              <w:t>小时平均</w:t>
            </w:r>
          </w:p>
        </w:tc>
        <w:tc>
          <w:tcPr>
            <w:tcW w:w="1008" w:type="dxa"/>
            <w:tcBorders>
              <w:tl2br w:val="nil"/>
              <w:tr2bl w:val="nil"/>
            </w:tcBorders>
          </w:tcPr>
          <w:p w14:paraId="3D7246B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160</w:t>
            </w:r>
          </w:p>
        </w:tc>
        <w:tc>
          <w:tcPr>
            <w:tcW w:w="2961" w:type="dxa"/>
            <w:vMerge w:val="continue"/>
            <w:tcBorders>
              <w:tl2br w:val="nil"/>
              <w:tr2bl w:val="nil"/>
            </w:tcBorders>
          </w:tcPr>
          <w:p w14:paraId="640EB32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8B906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87" w:type="dxa"/>
            <w:vMerge w:val="restart"/>
            <w:tcBorders>
              <w:tl2br w:val="nil"/>
              <w:tr2bl w:val="nil"/>
            </w:tcBorders>
          </w:tcPr>
          <w:p w14:paraId="417C128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7</w:t>
            </w:r>
          </w:p>
        </w:tc>
        <w:tc>
          <w:tcPr>
            <w:tcW w:w="1637" w:type="dxa"/>
            <w:vMerge w:val="restart"/>
            <w:tcBorders>
              <w:tl2br w:val="nil"/>
              <w:tr2bl w:val="nil"/>
            </w:tcBorders>
          </w:tcPr>
          <w:p w14:paraId="4FDE994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颗粒物（</w:t>
            </w:r>
            <w:r>
              <w:rPr>
                <w:rFonts w:eastAsia="宋体"/>
                <w:snapToGrid/>
                <w:color w:val="auto"/>
              </w:rPr>
              <w:t>TSP</w:t>
            </w:r>
            <w:r>
              <w:rPr>
                <w:rFonts w:eastAsia="宋体" w:cs="宋体"/>
                <w:snapToGrid/>
                <w:color w:val="auto"/>
              </w:rPr>
              <w:t>）</w:t>
            </w:r>
          </w:p>
        </w:tc>
        <w:tc>
          <w:tcPr>
            <w:tcW w:w="2042" w:type="dxa"/>
            <w:tcBorders>
              <w:tl2br w:val="nil"/>
              <w:tr2bl w:val="nil"/>
            </w:tcBorders>
          </w:tcPr>
          <w:p w14:paraId="29AC394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24</w:t>
            </w:r>
            <w:r>
              <w:rPr>
                <w:rFonts w:eastAsia="宋体" w:cs="宋体"/>
                <w:snapToGrid/>
                <w:color w:val="auto"/>
              </w:rPr>
              <w:t>小时平均</w:t>
            </w:r>
          </w:p>
        </w:tc>
        <w:tc>
          <w:tcPr>
            <w:tcW w:w="1008" w:type="dxa"/>
            <w:tcBorders>
              <w:tl2br w:val="nil"/>
              <w:tr2bl w:val="nil"/>
            </w:tcBorders>
          </w:tcPr>
          <w:p w14:paraId="4F1D260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200</w:t>
            </w:r>
          </w:p>
        </w:tc>
        <w:tc>
          <w:tcPr>
            <w:tcW w:w="2961" w:type="dxa"/>
            <w:vMerge w:val="continue"/>
            <w:tcBorders>
              <w:tl2br w:val="nil"/>
              <w:tr2bl w:val="nil"/>
            </w:tcBorders>
          </w:tcPr>
          <w:p w14:paraId="2C48322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36253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87" w:type="dxa"/>
            <w:vMerge w:val="continue"/>
            <w:tcBorders>
              <w:tl2br w:val="nil"/>
              <w:tr2bl w:val="nil"/>
            </w:tcBorders>
          </w:tcPr>
          <w:p w14:paraId="1D29A1D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637" w:type="dxa"/>
            <w:vMerge w:val="continue"/>
            <w:tcBorders>
              <w:tl2br w:val="nil"/>
              <w:tr2bl w:val="nil"/>
            </w:tcBorders>
          </w:tcPr>
          <w:p w14:paraId="6132D11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042" w:type="dxa"/>
            <w:tcBorders>
              <w:tl2br w:val="nil"/>
              <w:tr2bl w:val="nil"/>
            </w:tcBorders>
          </w:tcPr>
          <w:p w14:paraId="758CD96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年平均值</w:t>
            </w:r>
          </w:p>
        </w:tc>
        <w:tc>
          <w:tcPr>
            <w:tcW w:w="1008" w:type="dxa"/>
            <w:tcBorders>
              <w:tl2br w:val="nil"/>
              <w:tr2bl w:val="nil"/>
            </w:tcBorders>
          </w:tcPr>
          <w:p w14:paraId="377CB05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300</w:t>
            </w:r>
          </w:p>
        </w:tc>
        <w:tc>
          <w:tcPr>
            <w:tcW w:w="2961" w:type="dxa"/>
            <w:vMerge w:val="continue"/>
            <w:tcBorders>
              <w:tl2br w:val="nil"/>
              <w:tr2bl w:val="nil"/>
            </w:tcBorders>
          </w:tcPr>
          <w:p w14:paraId="4585B95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4BDBA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87" w:type="dxa"/>
            <w:tcBorders>
              <w:tl2br w:val="nil"/>
              <w:tr2bl w:val="nil"/>
            </w:tcBorders>
          </w:tcPr>
          <w:p w14:paraId="4D58C96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8</w:t>
            </w:r>
          </w:p>
        </w:tc>
        <w:tc>
          <w:tcPr>
            <w:tcW w:w="1637" w:type="dxa"/>
            <w:tcBorders>
              <w:tl2br w:val="nil"/>
              <w:tr2bl w:val="nil"/>
            </w:tcBorders>
          </w:tcPr>
          <w:p w14:paraId="6234664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2042" w:type="dxa"/>
            <w:tcBorders>
              <w:tl2br w:val="nil"/>
              <w:tr2bl w:val="nil"/>
            </w:tcBorders>
          </w:tcPr>
          <w:p w14:paraId="0F44085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snapToGrid/>
                <w:color w:val="auto"/>
              </w:rPr>
              <w:t>1</w:t>
            </w:r>
            <w:r>
              <w:rPr>
                <w:rFonts w:eastAsia="宋体" w:cs="宋体"/>
                <w:snapToGrid/>
                <w:color w:val="auto"/>
              </w:rPr>
              <w:t>小时平均</w:t>
            </w:r>
          </w:p>
        </w:tc>
        <w:tc>
          <w:tcPr>
            <w:tcW w:w="1008" w:type="dxa"/>
            <w:tcBorders>
              <w:tl2br w:val="nil"/>
              <w:tr2bl w:val="nil"/>
            </w:tcBorders>
          </w:tcPr>
          <w:p w14:paraId="40017A1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2000</w:t>
            </w:r>
          </w:p>
        </w:tc>
        <w:tc>
          <w:tcPr>
            <w:tcW w:w="2961" w:type="dxa"/>
            <w:tcBorders>
              <w:tl2br w:val="nil"/>
              <w:tr2bl w:val="nil"/>
            </w:tcBorders>
          </w:tcPr>
          <w:p w14:paraId="13B618A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lang w:eastAsia="zh-CN"/>
              </w:rPr>
              <w:t>《大气污染物综合排放标准详解》（</w:t>
            </w:r>
            <w:r>
              <w:rPr>
                <w:rFonts w:eastAsia="宋体"/>
                <w:snapToGrid/>
                <w:color w:val="auto"/>
                <w:lang w:eastAsia="zh-CN"/>
              </w:rPr>
              <w:t>GB3095-1996</w:t>
            </w:r>
            <w:r>
              <w:rPr>
                <w:rFonts w:eastAsia="宋体" w:cs="宋体"/>
                <w:snapToGrid/>
                <w:color w:val="auto"/>
                <w:lang w:eastAsia="zh-CN"/>
              </w:rPr>
              <w:t>）推荐值</w:t>
            </w:r>
          </w:p>
        </w:tc>
      </w:tr>
    </w:tbl>
    <w:p w14:paraId="43F68D7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81" w:name="_Toc10950"/>
      <w:bookmarkStart w:id="182" w:name="_Toc27478"/>
      <w:bookmarkStart w:id="183" w:name="_Toc32236"/>
      <w:bookmarkStart w:id="184" w:name="_Toc14424"/>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）地表水</w:t>
      </w:r>
      <w:bookmarkEnd w:id="181"/>
      <w:bookmarkEnd w:id="182"/>
      <w:bookmarkEnd w:id="183"/>
      <w:bookmarkEnd w:id="184"/>
    </w:p>
    <w:p w14:paraId="649E4DE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地表水环境：本项目投产后，全厂的生产废水全部回用不外排，生活污水</w:t>
      </w:r>
      <w:r>
        <w:rPr>
          <w:rFonts w:hint="eastAsia" w:ascii="Times New Roman" w:hAnsi="Times New Roman"/>
          <w:snapToGrid/>
          <w:color w:val="auto"/>
          <w:sz w:val="24"/>
          <w:szCs w:val="24"/>
          <w:lang w:eastAsia="zh-CN"/>
        </w:rPr>
        <w:t>排入防渗化粪池，定期清运</w:t>
      </w:r>
      <w:r>
        <w:rPr>
          <w:rFonts w:ascii="Times New Roman" w:hAnsi="Times New Roman"/>
          <w:snapToGrid/>
          <w:color w:val="auto"/>
          <w:sz w:val="24"/>
          <w:szCs w:val="24"/>
          <w:lang w:eastAsia="zh-CN"/>
        </w:rPr>
        <w:t>，与周围地表水系不存在直接水力联系。</w:t>
      </w:r>
    </w:p>
    <w:p w14:paraId="281F3C7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85" w:name="_Toc26491"/>
      <w:bookmarkStart w:id="186" w:name="_Toc7428"/>
      <w:bookmarkStart w:id="187" w:name="_Toc24958"/>
      <w:bookmarkStart w:id="188" w:name="_Toc15003"/>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）地下水</w:t>
      </w:r>
      <w:bookmarkEnd w:id="185"/>
      <w:bookmarkEnd w:id="186"/>
      <w:bookmarkEnd w:id="187"/>
      <w:bookmarkEnd w:id="188"/>
    </w:p>
    <w:p w14:paraId="515F2E6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按照项目所在地下水环境功能区划，区域地下水执行《地下水质量标准》（</w:t>
      </w:r>
      <w:r>
        <w:rPr>
          <w:rFonts w:ascii="Times New Roman" w:hAnsi="Times New Roman" w:cs="Times New Roman"/>
          <w:snapToGrid/>
          <w:color w:val="auto"/>
          <w:sz w:val="24"/>
          <w:szCs w:val="24"/>
          <w:lang w:eastAsia="zh-CN"/>
        </w:rPr>
        <w:t>GB/T14848-2017</w:t>
      </w:r>
      <w:r>
        <w:rPr>
          <w:rFonts w:ascii="Times New Roman" w:hAnsi="Times New Roman"/>
          <w:snapToGrid/>
          <w:color w:val="auto"/>
          <w:sz w:val="24"/>
          <w:szCs w:val="24"/>
          <w:lang w:eastAsia="zh-CN"/>
        </w:rPr>
        <w:t>）Ⅲ类标准，其标准值见表</w:t>
      </w:r>
      <w:r>
        <w:rPr>
          <w:rFonts w:ascii="Times New Roman" w:hAnsi="Times New Roman" w:cs="Times New Roman"/>
          <w:snapToGrid/>
          <w:color w:val="auto"/>
          <w:sz w:val="24"/>
          <w:szCs w:val="24"/>
          <w:lang w:eastAsia="zh-CN"/>
        </w:rPr>
        <w:t>2.4-3</w:t>
      </w:r>
      <w:r>
        <w:rPr>
          <w:rFonts w:ascii="Times New Roman" w:hAnsi="Times New Roman"/>
          <w:snapToGrid/>
          <w:color w:val="auto"/>
          <w:sz w:val="24"/>
          <w:szCs w:val="24"/>
          <w:lang w:eastAsia="zh-CN"/>
        </w:rPr>
        <w:t>。</w:t>
      </w:r>
    </w:p>
    <w:p w14:paraId="4B849783">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2.4-3</w:t>
      </w:r>
      <w:r>
        <w:rPr>
          <w:rFonts w:ascii="Times New Roman" w:hAnsi="Times New Roman"/>
          <w:b/>
          <w:bCs/>
          <w:snapToGrid/>
          <w:color w:val="auto"/>
          <w:sz w:val="24"/>
          <w:lang w:eastAsia="zh-CN"/>
        </w:rPr>
        <w:t>地下水质量评价所用标准</w:t>
      </w:r>
      <w:r>
        <w:rPr>
          <w:rFonts w:hint="eastAsia" w:ascii="Times New Roman" w:hAnsi="Times New Roman" w:cs="Times New Roman"/>
          <w:b/>
          <w:bCs/>
          <w:snapToGrid/>
          <w:color w:val="auto"/>
          <w:sz w:val="24"/>
          <w:lang w:eastAsia="zh-CN"/>
        </w:rPr>
        <w:t>（</w:t>
      </w:r>
      <w:r>
        <w:rPr>
          <w:rFonts w:ascii="Times New Roman" w:hAnsi="Times New Roman" w:cs="Times New Roman"/>
          <w:b/>
          <w:bCs/>
          <w:snapToGrid/>
          <w:color w:val="auto"/>
          <w:sz w:val="24"/>
          <w:lang w:eastAsia="zh-CN"/>
        </w:rPr>
        <w:t>mg/L</w:t>
      </w:r>
      <w:r>
        <w:rPr>
          <w:rFonts w:hint="eastAsia" w:ascii="Times New Roman" w:hAnsi="Times New Roman" w:cs="Times New Roman"/>
          <w:b/>
          <w:bCs/>
          <w:snapToGrid/>
          <w:color w:val="auto"/>
          <w:sz w:val="24"/>
          <w:lang w:eastAsia="zh-CN"/>
        </w:rPr>
        <w:t>，</w:t>
      </w:r>
      <w:r>
        <w:rPr>
          <w:rFonts w:ascii="Times New Roman" w:hAnsi="Times New Roman"/>
          <w:b/>
          <w:bCs/>
          <w:snapToGrid/>
          <w:color w:val="auto"/>
          <w:sz w:val="24"/>
          <w:lang w:eastAsia="zh-CN"/>
        </w:rPr>
        <w:t>除</w:t>
      </w:r>
      <w:r>
        <w:rPr>
          <w:rFonts w:ascii="Times New Roman" w:hAnsi="Times New Roman" w:cs="Times New Roman"/>
          <w:b/>
          <w:bCs/>
          <w:snapToGrid/>
          <w:color w:val="auto"/>
          <w:sz w:val="24"/>
          <w:lang w:eastAsia="zh-CN"/>
        </w:rPr>
        <w:t>pH</w:t>
      </w:r>
      <w:r>
        <w:rPr>
          <w:rFonts w:ascii="Times New Roman" w:hAnsi="Times New Roman"/>
          <w:b/>
          <w:bCs/>
          <w:snapToGrid/>
          <w:color w:val="auto"/>
          <w:sz w:val="24"/>
          <w:lang w:eastAsia="zh-CN"/>
        </w:rPr>
        <w:t>外</w:t>
      </w:r>
      <w:r>
        <w:rPr>
          <w:rFonts w:hint="eastAsia" w:ascii="Times New Roman" w:hAnsi="Times New Roman" w:cs="Times New Roman"/>
          <w:b/>
          <w:bCs/>
          <w:snapToGrid/>
          <w:color w:val="auto"/>
          <w:sz w:val="24"/>
          <w:lang w:eastAsia="zh-CN"/>
        </w:rPr>
        <w:t>）</w:t>
      </w:r>
    </w:p>
    <w:tbl>
      <w:tblPr>
        <w:tblStyle w:val="36"/>
        <w:tblW w:w="8443" w:type="dxa"/>
        <w:tblInd w:w="1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1968"/>
        <w:gridCol w:w="1409"/>
        <w:gridCol w:w="1970"/>
        <w:gridCol w:w="2011"/>
      </w:tblGrid>
      <w:tr w14:paraId="751BC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085" w:type="dxa"/>
            <w:tcBorders>
              <w:tl2br w:val="nil"/>
              <w:tr2bl w:val="nil"/>
            </w:tcBorders>
          </w:tcPr>
          <w:p w14:paraId="38B551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968" w:type="dxa"/>
            <w:tcBorders>
              <w:tl2br w:val="nil"/>
              <w:tr2bl w:val="nil"/>
            </w:tcBorders>
          </w:tcPr>
          <w:p w14:paraId="1F12338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1409" w:type="dxa"/>
            <w:tcBorders>
              <w:tl2br w:val="nil"/>
              <w:tr2bl w:val="nil"/>
            </w:tcBorders>
          </w:tcPr>
          <w:p w14:paraId="184F6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单位</w:t>
            </w:r>
          </w:p>
        </w:tc>
        <w:tc>
          <w:tcPr>
            <w:tcW w:w="1970" w:type="dxa"/>
            <w:tcBorders>
              <w:tl2br w:val="nil"/>
              <w:tr2bl w:val="nil"/>
            </w:tcBorders>
          </w:tcPr>
          <w:p w14:paraId="38B8BF6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标准值</w:t>
            </w:r>
          </w:p>
        </w:tc>
        <w:tc>
          <w:tcPr>
            <w:tcW w:w="2011" w:type="dxa"/>
            <w:tcBorders>
              <w:tl2br w:val="nil"/>
              <w:tr2bl w:val="nil"/>
            </w:tcBorders>
          </w:tcPr>
          <w:p w14:paraId="2292CEF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标准来源</w:t>
            </w:r>
          </w:p>
        </w:tc>
      </w:tr>
      <w:tr w14:paraId="1F9D0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85" w:type="dxa"/>
            <w:tcBorders>
              <w:tl2br w:val="nil"/>
              <w:tr2bl w:val="nil"/>
            </w:tcBorders>
          </w:tcPr>
          <w:p w14:paraId="46F60F9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w:t>
            </w:r>
          </w:p>
        </w:tc>
        <w:tc>
          <w:tcPr>
            <w:tcW w:w="1968" w:type="dxa"/>
            <w:tcBorders>
              <w:tl2br w:val="nil"/>
              <w:tr2bl w:val="nil"/>
            </w:tcBorders>
          </w:tcPr>
          <w:p w14:paraId="68C0021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pH</w:t>
            </w:r>
          </w:p>
        </w:tc>
        <w:tc>
          <w:tcPr>
            <w:tcW w:w="1409" w:type="dxa"/>
            <w:tcBorders>
              <w:tl2br w:val="nil"/>
              <w:tr2bl w:val="nil"/>
            </w:tcBorders>
          </w:tcPr>
          <w:p w14:paraId="291E2DF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w:t>
            </w:r>
          </w:p>
        </w:tc>
        <w:tc>
          <w:tcPr>
            <w:tcW w:w="1970" w:type="dxa"/>
            <w:tcBorders>
              <w:tl2br w:val="nil"/>
              <w:tr2bl w:val="nil"/>
            </w:tcBorders>
          </w:tcPr>
          <w:p w14:paraId="05D51F6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6.5-8.5</w:t>
            </w:r>
          </w:p>
        </w:tc>
        <w:tc>
          <w:tcPr>
            <w:tcW w:w="2011" w:type="dxa"/>
            <w:vMerge w:val="restart"/>
            <w:tcBorders>
              <w:tl2br w:val="nil"/>
              <w:tr2bl w:val="nil"/>
            </w:tcBorders>
          </w:tcPr>
          <w:p w14:paraId="5C21F29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《地下水质量标准》</w:t>
            </w:r>
          </w:p>
          <w:p w14:paraId="1D63FAE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lang w:eastAsia="zh-CN"/>
              </w:rPr>
              <w:t>（</w:t>
            </w:r>
            <w:r>
              <w:rPr>
                <w:rFonts w:eastAsia="宋体"/>
                <w:snapToGrid/>
                <w:color w:val="auto"/>
                <w:lang w:eastAsia="zh-CN"/>
              </w:rPr>
              <w:t>GB/T14848-2017</w:t>
            </w:r>
            <w:r>
              <w:rPr>
                <w:rFonts w:hint="eastAsia" w:eastAsia="宋体" w:cs="宋体"/>
                <w:snapToGrid/>
                <w:color w:val="auto"/>
                <w:lang w:eastAsia="zh-CN"/>
              </w:rPr>
              <w:t>）</w:t>
            </w:r>
            <w:r>
              <w:rPr>
                <w:rFonts w:eastAsia="宋体" w:cs="宋体"/>
                <w:snapToGrid/>
                <w:color w:val="auto"/>
                <w:lang w:eastAsia="zh-CN"/>
              </w:rPr>
              <w:t>Ⅲ类标准</w:t>
            </w:r>
          </w:p>
        </w:tc>
      </w:tr>
      <w:tr w14:paraId="051000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85" w:type="dxa"/>
            <w:tcBorders>
              <w:tl2br w:val="nil"/>
              <w:tr2bl w:val="nil"/>
            </w:tcBorders>
          </w:tcPr>
          <w:p w14:paraId="666CF90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w:t>
            </w:r>
          </w:p>
        </w:tc>
        <w:tc>
          <w:tcPr>
            <w:tcW w:w="1968" w:type="dxa"/>
            <w:tcBorders>
              <w:tl2br w:val="nil"/>
              <w:tr2bl w:val="nil"/>
            </w:tcBorders>
          </w:tcPr>
          <w:p w14:paraId="7D99E4C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氨氮</w:t>
            </w:r>
          </w:p>
        </w:tc>
        <w:tc>
          <w:tcPr>
            <w:tcW w:w="1409" w:type="dxa"/>
            <w:tcBorders>
              <w:tl2br w:val="nil"/>
              <w:tr2bl w:val="nil"/>
            </w:tcBorders>
          </w:tcPr>
          <w:p w14:paraId="13EA3D0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1C32DDF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≤0.5</w:t>
            </w:r>
          </w:p>
        </w:tc>
        <w:tc>
          <w:tcPr>
            <w:tcW w:w="2011" w:type="dxa"/>
            <w:vMerge w:val="continue"/>
            <w:tcBorders>
              <w:tl2br w:val="nil"/>
              <w:tr2bl w:val="nil"/>
            </w:tcBorders>
          </w:tcPr>
          <w:p w14:paraId="667A836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7BA5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85" w:type="dxa"/>
            <w:tcBorders>
              <w:tl2br w:val="nil"/>
              <w:tr2bl w:val="nil"/>
            </w:tcBorders>
          </w:tcPr>
          <w:p w14:paraId="51EF1E0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w:t>
            </w:r>
          </w:p>
        </w:tc>
        <w:tc>
          <w:tcPr>
            <w:tcW w:w="1968" w:type="dxa"/>
            <w:tcBorders>
              <w:tl2br w:val="nil"/>
              <w:tr2bl w:val="nil"/>
            </w:tcBorders>
          </w:tcPr>
          <w:p w14:paraId="5D6037A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挥发酚</w:t>
            </w:r>
          </w:p>
        </w:tc>
        <w:tc>
          <w:tcPr>
            <w:tcW w:w="1409" w:type="dxa"/>
            <w:tcBorders>
              <w:tl2br w:val="nil"/>
              <w:tr2bl w:val="nil"/>
            </w:tcBorders>
          </w:tcPr>
          <w:p w14:paraId="4F44E41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20EEB34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≤0.002</w:t>
            </w:r>
          </w:p>
        </w:tc>
        <w:tc>
          <w:tcPr>
            <w:tcW w:w="2011" w:type="dxa"/>
            <w:vMerge w:val="continue"/>
            <w:tcBorders>
              <w:tl2br w:val="nil"/>
              <w:tr2bl w:val="nil"/>
            </w:tcBorders>
          </w:tcPr>
          <w:p w14:paraId="005F6BE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4346DC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85" w:type="dxa"/>
            <w:tcBorders>
              <w:tl2br w:val="nil"/>
              <w:tr2bl w:val="nil"/>
            </w:tcBorders>
          </w:tcPr>
          <w:p w14:paraId="71C665C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w:t>
            </w:r>
          </w:p>
        </w:tc>
        <w:tc>
          <w:tcPr>
            <w:tcW w:w="1968" w:type="dxa"/>
            <w:tcBorders>
              <w:tl2br w:val="nil"/>
              <w:tr2bl w:val="nil"/>
            </w:tcBorders>
          </w:tcPr>
          <w:p w14:paraId="633A896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六价铬</w:t>
            </w:r>
          </w:p>
        </w:tc>
        <w:tc>
          <w:tcPr>
            <w:tcW w:w="1409" w:type="dxa"/>
            <w:tcBorders>
              <w:tl2br w:val="nil"/>
              <w:tr2bl w:val="nil"/>
            </w:tcBorders>
          </w:tcPr>
          <w:p w14:paraId="57B5609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cs="宋体"/>
                <w:snapToGrid/>
                <w:color w:val="auto"/>
              </w:rPr>
              <w:t>个</w:t>
            </w:r>
            <w:r>
              <w:rPr>
                <w:rFonts w:eastAsia="宋体"/>
                <w:snapToGrid/>
                <w:color w:val="auto"/>
              </w:rPr>
              <w:t>/L</w:t>
            </w:r>
          </w:p>
        </w:tc>
        <w:tc>
          <w:tcPr>
            <w:tcW w:w="1970" w:type="dxa"/>
            <w:tcBorders>
              <w:tl2br w:val="nil"/>
              <w:tr2bl w:val="nil"/>
            </w:tcBorders>
          </w:tcPr>
          <w:p w14:paraId="6446B76D">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≤0.05</w:t>
            </w:r>
          </w:p>
        </w:tc>
        <w:tc>
          <w:tcPr>
            <w:tcW w:w="2011" w:type="dxa"/>
            <w:vMerge w:val="continue"/>
            <w:tcBorders>
              <w:tl2br w:val="nil"/>
              <w:tr2bl w:val="nil"/>
            </w:tcBorders>
          </w:tcPr>
          <w:p w14:paraId="07F7AA2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A9B0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85" w:type="dxa"/>
            <w:tcBorders>
              <w:tl2br w:val="nil"/>
              <w:tr2bl w:val="nil"/>
            </w:tcBorders>
          </w:tcPr>
          <w:p w14:paraId="1094674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5</w:t>
            </w:r>
          </w:p>
        </w:tc>
        <w:tc>
          <w:tcPr>
            <w:tcW w:w="1968" w:type="dxa"/>
            <w:tcBorders>
              <w:tl2br w:val="nil"/>
              <w:tr2bl w:val="nil"/>
            </w:tcBorders>
          </w:tcPr>
          <w:p w14:paraId="2849CE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硝酸盐氮</w:t>
            </w:r>
          </w:p>
        </w:tc>
        <w:tc>
          <w:tcPr>
            <w:tcW w:w="1409" w:type="dxa"/>
            <w:tcBorders>
              <w:tl2br w:val="nil"/>
              <w:tr2bl w:val="nil"/>
            </w:tcBorders>
          </w:tcPr>
          <w:p w14:paraId="329626A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4555F31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≤20</w:t>
            </w:r>
          </w:p>
        </w:tc>
        <w:tc>
          <w:tcPr>
            <w:tcW w:w="2011" w:type="dxa"/>
            <w:vMerge w:val="continue"/>
            <w:tcBorders>
              <w:tl2br w:val="nil"/>
              <w:tr2bl w:val="nil"/>
            </w:tcBorders>
          </w:tcPr>
          <w:p w14:paraId="0D5AAC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51668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085" w:type="dxa"/>
            <w:tcBorders>
              <w:tl2br w:val="nil"/>
              <w:tr2bl w:val="nil"/>
            </w:tcBorders>
          </w:tcPr>
          <w:p w14:paraId="5817DDA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6</w:t>
            </w:r>
          </w:p>
        </w:tc>
        <w:tc>
          <w:tcPr>
            <w:tcW w:w="1968" w:type="dxa"/>
            <w:tcBorders>
              <w:tl2br w:val="nil"/>
              <w:tr2bl w:val="nil"/>
            </w:tcBorders>
          </w:tcPr>
          <w:p w14:paraId="269FDB7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硫酸盐</w:t>
            </w:r>
          </w:p>
        </w:tc>
        <w:tc>
          <w:tcPr>
            <w:tcW w:w="1409" w:type="dxa"/>
            <w:tcBorders>
              <w:tl2br w:val="nil"/>
              <w:tr2bl w:val="nil"/>
            </w:tcBorders>
          </w:tcPr>
          <w:p w14:paraId="5DB31EB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3BAF804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≤250</w:t>
            </w:r>
          </w:p>
        </w:tc>
        <w:tc>
          <w:tcPr>
            <w:tcW w:w="2011" w:type="dxa"/>
            <w:vMerge w:val="continue"/>
            <w:tcBorders>
              <w:tl2br w:val="nil"/>
              <w:tr2bl w:val="nil"/>
            </w:tcBorders>
          </w:tcPr>
          <w:p w14:paraId="56D8ACB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8E07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85" w:type="dxa"/>
            <w:tcBorders>
              <w:tl2br w:val="nil"/>
              <w:tr2bl w:val="nil"/>
            </w:tcBorders>
          </w:tcPr>
          <w:p w14:paraId="6643912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7</w:t>
            </w:r>
          </w:p>
        </w:tc>
        <w:tc>
          <w:tcPr>
            <w:tcW w:w="1968" w:type="dxa"/>
            <w:tcBorders>
              <w:tl2br w:val="nil"/>
              <w:tr2bl w:val="nil"/>
            </w:tcBorders>
          </w:tcPr>
          <w:p w14:paraId="492464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氯化物</w:t>
            </w:r>
          </w:p>
        </w:tc>
        <w:tc>
          <w:tcPr>
            <w:tcW w:w="1409" w:type="dxa"/>
            <w:tcBorders>
              <w:tl2br w:val="nil"/>
              <w:tr2bl w:val="nil"/>
            </w:tcBorders>
          </w:tcPr>
          <w:p w14:paraId="143AF77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3533790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≤250</w:t>
            </w:r>
          </w:p>
        </w:tc>
        <w:tc>
          <w:tcPr>
            <w:tcW w:w="2011" w:type="dxa"/>
            <w:vMerge w:val="continue"/>
            <w:tcBorders>
              <w:tl2br w:val="nil"/>
              <w:tr2bl w:val="nil"/>
            </w:tcBorders>
          </w:tcPr>
          <w:p w14:paraId="12B6C64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45EE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85" w:type="dxa"/>
            <w:tcBorders>
              <w:tl2br w:val="nil"/>
              <w:tr2bl w:val="nil"/>
            </w:tcBorders>
          </w:tcPr>
          <w:p w14:paraId="25EB81A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8</w:t>
            </w:r>
          </w:p>
        </w:tc>
        <w:tc>
          <w:tcPr>
            <w:tcW w:w="1968" w:type="dxa"/>
            <w:tcBorders>
              <w:tl2br w:val="nil"/>
              <w:tr2bl w:val="nil"/>
            </w:tcBorders>
          </w:tcPr>
          <w:p w14:paraId="56D9BB5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总硬度</w:t>
            </w:r>
          </w:p>
        </w:tc>
        <w:tc>
          <w:tcPr>
            <w:tcW w:w="1409" w:type="dxa"/>
            <w:tcBorders>
              <w:tl2br w:val="nil"/>
              <w:tr2bl w:val="nil"/>
            </w:tcBorders>
          </w:tcPr>
          <w:p w14:paraId="79F499A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37B7531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≤450</w:t>
            </w:r>
          </w:p>
        </w:tc>
        <w:tc>
          <w:tcPr>
            <w:tcW w:w="2011" w:type="dxa"/>
            <w:vMerge w:val="continue"/>
            <w:tcBorders>
              <w:tl2br w:val="nil"/>
              <w:tr2bl w:val="nil"/>
            </w:tcBorders>
          </w:tcPr>
          <w:p w14:paraId="0EFC694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2D335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85" w:type="dxa"/>
            <w:tcBorders>
              <w:tl2br w:val="nil"/>
              <w:tr2bl w:val="nil"/>
            </w:tcBorders>
          </w:tcPr>
          <w:p w14:paraId="48E24A1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9</w:t>
            </w:r>
          </w:p>
        </w:tc>
        <w:tc>
          <w:tcPr>
            <w:tcW w:w="1968" w:type="dxa"/>
            <w:tcBorders>
              <w:tl2br w:val="nil"/>
              <w:tr2bl w:val="nil"/>
            </w:tcBorders>
          </w:tcPr>
          <w:p w14:paraId="2C40657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汞</w:t>
            </w:r>
          </w:p>
        </w:tc>
        <w:tc>
          <w:tcPr>
            <w:tcW w:w="1409" w:type="dxa"/>
            <w:tcBorders>
              <w:tl2br w:val="nil"/>
              <w:tr2bl w:val="nil"/>
            </w:tcBorders>
          </w:tcPr>
          <w:p w14:paraId="3D81404D">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228C9B0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≤0.001</w:t>
            </w:r>
          </w:p>
        </w:tc>
        <w:tc>
          <w:tcPr>
            <w:tcW w:w="2011" w:type="dxa"/>
            <w:vMerge w:val="continue"/>
            <w:tcBorders>
              <w:tl2br w:val="nil"/>
              <w:tr2bl w:val="nil"/>
            </w:tcBorders>
          </w:tcPr>
          <w:p w14:paraId="0724E35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53904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85" w:type="dxa"/>
            <w:tcBorders>
              <w:tl2br w:val="nil"/>
              <w:tr2bl w:val="nil"/>
            </w:tcBorders>
          </w:tcPr>
          <w:p w14:paraId="257646F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10</w:t>
            </w:r>
          </w:p>
        </w:tc>
        <w:tc>
          <w:tcPr>
            <w:tcW w:w="1968" w:type="dxa"/>
            <w:tcBorders>
              <w:tl2br w:val="nil"/>
              <w:tr2bl w:val="nil"/>
            </w:tcBorders>
          </w:tcPr>
          <w:p w14:paraId="458C4D5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铅</w:t>
            </w:r>
          </w:p>
        </w:tc>
        <w:tc>
          <w:tcPr>
            <w:tcW w:w="1409" w:type="dxa"/>
            <w:tcBorders>
              <w:tl2br w:val="nil"/>
              <w:tr2bl w:val="nil"/>
            </w:tcBorders>
          </w:tcPr>
          <w:p w14:paraId="327FC88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6B3C357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≤0.01</w:t>
            </w:r>
          </w:p>
        </w:tc>
        <w:tc>
          <w:tcPr>
            <w:tcW w:w="2011" w:type="dxa"/>
            <w:vMerge w:val="continue"/>
            <w:tcBorders>
              <w:tl2br w:val="nil"/>
              <w:tr2bl w:val="nil"/>
            </w:tcBorders>
          </w:tcPr>
          <w:p w14:paraId="7FDCC57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1359E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85" w:type="dxa"/>
            <w:tcBorders>
              <w:tl2br w:val="nil"/>
              <w:tr2bl w:val="nil"/>
            </w:tcBorders>
          </w:tcPr>
          <w:p w14:paraId="608C3D8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11</w:t>
            </w:r>
          </w:p>
        </w:tc>
        <w:tc>
          <w:tcPr>
            <w:tcW w:w="1968" w:type="dxa"/>
            <w:tcBorders>
              <w:tl2br w:val="nil"/>
              <w:tr2bl w:val="nil"/>
            </w:tcBorders>
          </w:tcPr>
          <w:p w14:paraId="7F22873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氟化物</w:t>
            </w:r>
          </w:p>
        </w:tc>
        <w:tc>
          <w:tcPr>
            <w:tcW w:w="1409" w:type="dxa"/>
            <w:tcBorders>
              <w:tl2br w:val="nil"/>
              <w:tr2bl w:val="nil"/>
            </w:tcBorders>
          </w:tcPr>
          <w:p w14:paraId="6AA9406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7A17EAD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≤1.0</w:t>
            </w:r>
          </w:p>
        </w:tc>
        <w:tc>
          <w:tcPr>
            <w:tcW w:w="2011" w:type="dxa"/>
            <w:vMerge w:val="continue"/>
            <w:tcBorders>
              <w:tl2br w:val="nil"/>
              <w:tr2bl w:val="nil"/>
            </w:tcBorders>
          </w:tcPr>
          <w:p w14:paraId="0299CC0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4FB6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85" w:type="dxa"/>
            <w:tcBorders>
              <w:tl2br w:val="nil"/>
              <w:tr2bl w:val="nil"/>
            </w:tcBorders>
          </w:tcPr>
          <w:p w14:paraId="611B2D3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12</w:t>
            </w:r>
          </w:p>
        </w:tc>
        <w:tc>
          <w:tcPr>
            <w:tcW w:w="1968" w:type="dxa"/>
            <w:tcBorders>
              <w:tl2br w:val="nil"/>
              <w:tr2bl w:val="nil"/>
            </w:tcBorders>
          </w:tcPr>
          <w:p w14:paraId="6AA3888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铁</w:t>
            </w:r>
          </w:p>
        </w:tc>
        <w:tc>
          <w:tcPr>
            <w:tcW w:w="1409" w:type="dxa"/>
            <w:tcBorders>
              <w:tl2br w:val="nil"/>
              <w:tr2bl w:val="nil"/>
            </w:tcBorders>
          </w:tcPr>
          <w:p w14:paraId="1EB9773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4C1E459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≤0.3</w:t>
            </w:r>
          </w:p>
        </w:tc>
        <w:tc>
          <w:tcPr>
            <w:tcW w:w="2011" w:type="dxa"/>
            <w:vMerge w:val="continue"/>
            <w:tcBorders>
              <w:tl2br w:val="nil"/>
              <w:tr2bl w:val="nil"/>
            </w:tcBorders>
          </w:tcPr>
          <w:p w14:paraId="406104A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4CBC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85" w:type="dxa"/>
            <w:tcBorders>
              <w:tl2br w:val="nil"/>
              <w:tr2bl w:val="nil"/>
            </w:tcBorders>
          </w:tcPr>
          <w:p w14:paraId="1C82412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13</w:t>
            </w:r>
          </w:p>
        </w:tc>
        <w:tc>
          <w:tcPr>
            <w:tcW w:w="1968" w:type="dxa"/>
            <w:tcBorders>
              <w:tl2br w:val="nil"/>
              <w:tr2bl w:val="nil"/>
            </w:tcBorders>
          </w:tcPr>
          <w:p w14:paraId="4C0AAD5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锰</w:t>
            </w:r>
          </w:p>
        </w:tc>
        <w:tc>
          <w:tcPr>
            <w:tcW w:w="1409" w:type="dxa"/>
            <w:tcBorders>
              <w:tl2br w:val="nil"/>
              <w:tr2bl w:val="nil"/>
            </w:tcBorders>
          </w:tcPr>
          <w:p w14:paraId="50A8CE9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7709D3C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≤0.1</w:t>
            </w:r>
          </w:p>
        </w:tc>
        <w:tc>
          <w:tcPr>
            <w:tcW w:w="2011" w:type="dxa"/>
            <w:vMerge w:val="continue"/>
            <w:tcBorders>
              <w:tl2br w:val="nil"/>
              <w:tr2bl w:val="nil"/>
            </w:tcBorders>
          </w:tcPr>
          <w:p w14:paraId="4F0EC5E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71A81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85" w:type="dxa"/>
            <w:tcBorders>
              <w:tl2br w:val="nil"/>
              <w:tr2bl w:val="nil"/>
            </w:tcBorders>
          </w:tcPr>
          <w:p w14:paraId="19367CF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14</w:t>
            </w:r>
          </w:p>
        </w:tc>
        <w:tc>
          <w:tcPr>
            <w:tcW w:w="1968" w:type="dxa"/>
            <w:tcBorders>
              <w:tl2br w:val="nil"/>
              <w:tr2bl w:val="nil"/>
            </w:tcBorders>
          </w:tcPr>
          <w:p w14:paraId="5A63CBC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铜</w:t>
            </w:r>
          </w:p>
        </w:tc>
        <w:tc>
          <w:tcPr>
            <w:tcW w:w="1409" w:type="dxa"/>
            <w:tcBorders>
              <w:tl2br w:val="nil"/>
              <w:tr2bl w:val="nil"/>
            </w:tcBorders>
          </w:tcPr>
          <w:p w14:paraId="418E04F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00611F8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≤1.0</w:t>
            </w:r>
          </w:p>
        </w:tc>
        <w:tc>
          <w:tcPr>
            <w:tcW w:w="2011" w:type="dxa"/>
            <w:vMerge w:val="continue"/>
            <w:tcBorders>
              <w:tl2br w:val="nil"/>
              <w:tr2bl w:val="nil"/>
            </w:tcBorders>
          </w:tcPr>
          <w:p w14:paraId="2902F61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68AE8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85" w:type="dxa"/>
            <w:tcBorders>
              <w:tl2br w:val="nil"/>
              <w:tr2bl w:val="nil"/>
            </w:tcBorders>
          </w:tcPr>
          <w:p w14:paraId="5802AA6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15</w:t>
            </w:r>
          </w:p>
        </w:tc>
        <w:tc>
          <w:tcPr>
            <w:tcW w:w="1968" w:type="dxa"/>
            <w:tcBorders>
              <w:tl2br w:val="nil"/>
              <w:tr2bl w:val="nil"/>
            </w:tcBorders>
          </w:tcPr>
          <w:p w14:paraId="794F91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锌</w:t>
            </w:r>
          </w:p>
        </w:tc>
        <w:tc>
          <w:tcPr>
            <w:tcW w:w="1409" w:type="dxa"/>
            <w:tcBorders>
              <w:tl2br w:val="nil"/>
              <w:tr2bl w:val="nil"/>
            </w:tcBorders>
          </w:tcPr>
          <w:p w14:paraId="7C9086A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mg/L</w:t>
            </w:r>
          </w:p>
        </w:tc>
        <w:tc>
          <w:tcPr>
            <w:tcW w:w="1970" w:type="dxa"/>
            <w:tcBorders>
              <w:tl2br w:val="nil"/>
              <w:tr2bl w:val="nil"/>
            </w:tcBorders>
          </w:tcPr>
          <w:p w14:paraId="4F8B5F6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≤1.0</w:t>
            </w:r>
          </w:p>
        </w:tc>
        <w:tc>
          <w:tcPr>
            <w:tcW w:w="2011" w:type="dxa"/>
            <w:vMerge w:val="continue"/>
            <w:tcBorders>
              <w:tl2br w:val="nil"/>
              <w:tr2bl w:val="nil"/>
            </w:tcBorders>
          </w:tcPr>
          <w:p w14:paraId="30D7FA6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44646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085" w:type="dxa"/>
            <w:tcBorders>
              <w:tl2br w:val="nil"/>
              <w:tr2bl w:val="nil"/>
            </w:tcBorders>
          </w:tcPr>
          <w:p w14:paraId="09BD735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16</w:t>
            </w:r>
          </w:p>
        </w:tc>
        <w:tc>
          <w:tcPr>
            <w:tcW w:w="1968" w:type="dxa"/>
            <w:tcBorders>
              <w:tl2br w:val="nil"/>
              <w:tr2bl w:val="nil"/>
            </w:tcBorders>
          </w:tcPr>
          <w:p w14:paraId="43FEC5C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总大肠菌群</w:t>
            </w:r>
          </w:p>
        </w:tc>
        <w:tc>
          <w:tcPr>
            <w:tcW w:w="1409" w:type="dxa"/>
            <w:tcBorders>
              <w:tl2br w:val="nil"/>
              <w:tr2bl w:val="nil"/>
            </w:tcBorders>
          </w:tcPr>
          <w:p w14:paraId="1FF6D9E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MPN/100ml</w:t>
            </w:r>
          </w:p>
        </w:tc>
        <w:tc>
          <w:tcPr>
            <w:tcW w:w="1970" w:type="dxa"/>
            <w:tcBorders>
              <w:tl2br w:val="nil"/>
              <w:tr2bl w:val="nil"/>
            </w:tcBorders>
          </w:tcPr>
          <w:p w14:paraId="5C11847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≤3.0</w:t>
            </w:r>
          </w:p>
        </w:tc>
        <w:tc>
          <w:tcPr>
            <w:tcW w:w="2011" w:type="dxa"/>
            <w:vMerge w:val="continue"/>
            <w:tcBorders>
              <w:tl2br w:val="nil"/>
              <w:tr2bl w:val="nil"/>
            </w:tcBorders>
          </w:tcPr>
          <w:p w14:paraId="2713F9D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bl>
    <w:p w14:paraId="5A94DD6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189" w:name="_Toc8002"/>
      <w:bookmarkStart w:id="190" w:name="_Toc19732"/>
      <w:bookmarkStart w:id="191" w:name="_Toc4090"/>
      <w:bookmarkStart w:id="192" w:name="_Toc14124"/>
      <w:r>
        <w:rPr>
          <w:rFonts w:ascii="Times New Roman" w:hAnsi="Times New Roman"/>
          <w:snapToGrid/>
          <w:color w:val="auto"/>
          <w:sz w:val="24"/>
          <w:szCs w:val="24"/>
        </w:rPr>
        <w:t>（</w:t>
      </w:r>
      <w:r>
        <w:rPr>
          <w:rFonts w:ascii="Times New Roman" w:hAnsi="Times New Roman" w:cs="Times New Roman"/>
          <w:snapToGrid/>
          <w:color w:val="auto"/>
          <w:sz w:val="24"/>
          <w:szCs w:val="24"/>
        </w:rPr>
        <w:t>4</w:t>
      </w:r>
      <w:r>
        <w:rPr>
          <w:rFonts w:ascii="Times New Roman" w:hAnsi="Times New Roman"/>
          <w:snapToGrid/>
          <w:color w:val="auto"/>
          <w:sz w:val="24"/>
          <w:szCs w:val="24"/>
        </w:rPr>
        <w:t>）声环境</w:t>
      </w:r>
      <w:bookmarkEnd w:id="189"/>
      <w:bookmarkEnd w:id="190"/>
      <w:bookmarkEnd w:id="191"/>
      <w:bookmarkEnd w:id="192"/>
    </w:p>
    <w:p w14:paraId="1BFE45C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根据环境功能区划，</w:t>
      </w:r>
      <w:r>
        <w:rPr>
          <w:rFonts w:hint="eastAsia" w:ascii="Times New Roman" w:hAnsi="Times New Roman"/>
          <w:snapToGrid/>
          <w:color w:val="auto"/>
          <w:sz w:val="24"/>
          <w:szCs w:val="24"/>
          <w:lang w:val="en-US" w:eastAsia="zh-CN"/>
        </w:rPr>
        <w:t>项目所在区域</w:t>
      </w:r>
      <w:r>
        <w:rPr>
          <w:rFonts w:ascii="Times New Roman" w:hAnsi="Times New Roman"/>
          <w:snapToGrid/>
          <w:color w:val="auto"/>
          <w:sz w:val="24"/>
          <w:szCs w:val="24"/>
          <w:lang w:eastAsia="zh-CN"/>
        </w:rPr>
        <w:t>环境噪声执行《声环境质量标准》（</w:t>
      </w:r>
      <w:r>
        <w:rPr>
          <w:rFonts w:ascii="Times New Roman" w:hAnsi="Times New Roman" w:cs="Times New Roman"/>
          <w:snapToGrid/>
          <w:color w:val="auto"/>
          <w:sz w:val="24"/>
          <w:szCs w:val="24"/>
          <w:lang w:eastAsia="zh-CN"/>
        </w:rPr>
        <w:t>GB3096-2008</w:t>
      </w:r>
      <w:r>
        <w:rPr>
          <w:rFonts w:ascii="Times New Roman" w:hAnsi="Times New Roman"/>
          <w:snapToGrid/>
          <w:color w:val="auto"/>
          <w:sz w:val="24"/>
          <w:szCs w:val="24"/>
          <w:lang w:eastAsia="zh-CN"/>
        </w:rPr>
        <w:t>）中</w:t>
      </w:r>
      <w:r>
        <w:rPr>
          <w:rFonts w:hint="eastAsia"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类功能区标准，标准值见表</w:t>
      </w:r>
      <w:r>
        <w:rPr>
          <w:rFonts w:ascii="Times New Roman" w:hAnsi="Times New Roman" w:cs="Times New Roman"/>
          <w:snapToGrid/>
          <w:color w:val="auto"/>
          <w:sz w:val="24"/>
          <w:szCs w:val="24"/>
          <w:lang w:eastAsia="zh-CN"/>
        </w:rPr>
        <w:t>2.4-4</w:t>
      </w:r>
      <w:r>
        <w:rPr>
          <w:rFonts w:ascii="Times New Roman" w:hAnsi="Times New Roman"/>
          <w:snapToGrid/>
          <w:color w:val="auto"/>
          <w:sz w:val="24"/>
          <w:szCs w:val="24"/>
          <w:lang w:eastAsia="zh-CN"/>
        </w:rPr>
        <w:t>。</w:t>
      </w:r>
    </w:p>
    <w:p w14:paraId="04C6E3B2">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2.4-4</w:t>
      </w:r>
      <w:r>
        <w:rPr>
          <w:rFonts w:ascii="Times New Roman" w:hAnsi="Times New Roman"/>
          <w:b/>
          <w:bCs/>
          <w:snapToGrid/>
          <w:color w:val="auto"/>
          <w:sz w:val="24"/>
          <w:lang w:eastAsia="zh-CN"/>
        </w:rPr>
        <w:t>声环境质量评价所用标准</w:t>
      </w:r>
    </w:p>
    <w:tbl>
      <w:tblPr>
        <w:tblStyle w:val="36"/>
        <w:tblW w:w="8452" w:type="dxa"/>
        <w:tblInd w:w="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5"/>
        <w:gridCol w:w="1481"/>
        <w:gridCol w:w="1437"/>
        <w:gridCol w:w="1077"/>
        <w:gridCol w:w="2362"/>
      </w:tblGrid>
      <w:tr w14:paraId="710C92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095" w:type="dxa"/>
            <w:vMerge w:val="restart"/>
            <w:tcBorders>
              <w:tl2br w:val="nil"/>
              <w:tr2bl w:val="nil"/>
            </w:tcBorders>
          </w:tcPr>
          <w:p w14:paraId="5D19CA5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2918" w:type="dxa"/>
            <w:gridSpan w:val="2"/>
            <w:tcBorders>
              <w:tl2br w:val="nil"/>
              <w:tr2bl w:val="nil"/>
            </w:tcBorders>
          </w:tcPr>
          <w:p w14:paraId="4173C7D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标准值</w:t>
            </w:r>
          </w:p>
        </w:tc>
        <w:tc>
          <w:tcPr>
            <w:tcW w:w="1077" w:type="dxa"/>
            <w:vMerge w:val="restart"/>
            <w:tcBorders>
              <w:tl2br w:val="nil"/>
              <w:tr2bl w:val="nil"/>
            </w:tcBorders>
          </w:tcPr>
          <w:p w14:paraId="11C750D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单位</w:t>
            </w:r>
          </w:p>
        </w:tc>
        <w:tc>
          <w:tcPr>
            <w:tcW w:w="2362" w:type="dxa"/>
            <w:vMerge w:val="restart"/>
            <w:tcBorders>
              <w:tl2br w:val="nil"/>
              <w:tr2bl w:val="nil"/>
            </w:tcBorders>
          </w:tcPr>
          <w:p w14:paraId="2674FCA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标准来源</w:t>
            </w:r>
          </w:p>
        </w:tc>
      </w:tr>
      <w:tr w14:paraId="65E15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095" w:type="dxa"/>
            <w:vMerge w:val="continue"/>
            <w:tcBorders>
              <w:tl2br w:val="nil"/>
              <w:tr2bl w:val="nil"/>
            </w:tcBorders>
          </w:tcPr>
          <w:p w14:paraId="0A6FE05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481" w:type="dxa"/>
            <w:tcBorders>
              <w:tl2br w:val="nil"/>
              <w:tr2bl w:val="nil"/>
            </w:tcBorders>
          </w:tcPr>
          <w:p w14:paraId="00FDF06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昼间</w:t>
            </w:r>
          </w:p>
        </w:tc>
        <w:tc>
          <w:tcPr>
            <w:tcW w:w="1437" w:type="dxa"/>
            <w:tcBorders>
              <w:tl2br w:val="nil"/>
              <w:tr2bl w:val="nil"/>
            </w:tcBorders>
          </w:tcPr>
          <w:p w14:paraId="28FD4D6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夜间</w:t>
            </w:r>
          </w:p>
        </w:tc>
        <w:tc>
          <w:tcPr>
            <w:tcW w:w="1077" w:type="dxa"/>
            <w:vMerge w:val="continue"/>
            <w:tcBorders>
              <w:tl2br w:val="nil"/>
              <w:tr2bl w:val="nil"/>
            </w:tcBorders>
          </w:tcPr>
          <w:p w14:paraId="188E5C8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362" w:type="dxa"/>
            <w:vMerge w:val="continue"/>
            <w:tcBorders>
              <w:tl2br w:val="nil"/>
              <w:tr2bl w:val="nil"/>
            </w:tcBorders>
          </w:tcPr>
          <w:p w14:paraId="288087A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555D7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95" w:type="dxa"/>
            <w:tcBorders>
              <w:tl2br w:val="nil"/>
              <w:tr2bl w:val="nil"/>
            </w:tcBorders>
          </w:tcPr>
          <w:p w14:paraId="1063076D">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等效连续</w:t>
            </w:r>
            <w:r>
              <w:rPr>
                <w:rFonts w:eastAsia="宋体"/>
                <w:snapToGrid/>
                <w:color w:val="auto"/>
              </w:rPr>
              <w:t>A</w:t>
            </w:r>
            <w:r>
              <w:rPr>
                <w:rFonts w:eastAsia="宋体" w:cs="宋体"/>
                <w:snapToGrid/>
                <w:color w:val="auto"/>
              </w:rPr>
              <w:t>声级</w:t>
            </w:r>
          </w:p>
        </w:tc>
        <w:tc>
          <w:tcPr>
            <w:tcW w:w="1481" w:type="dxa"/>
            <w:tcBorders>
              <w:tl2br w:val="nil"/>
              <w:tr2bl w:val="nil"/>
            </w:tcBorders>
          </w:tcPr>
          <w:p w14:paraId="4220AA5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lang w:eastAsia="zh-CN"/>
              </w:rPr>
            </w:pPr>
            <w:r>
              <w:rPr>
                <w:rFonts w:hint="eastAsia" w:eastAsia="宋体"/>
                <w:snapToGrid/>
                <w:color w:val="auto"/>
                <w:lang w:eastAsia="zh-CN"/>
              </w:rPr>
              <w:t>60</w:t>
            </w:r>
          </w:p>
        </w:tc>
        <w:tc>
          <w:tcPr>
            <w:tcW w:w="1437" w:type="dxa"/>
            <w:tcBorders>
              <w:tl2br w:val="nil"/>
              <w:tr2bl w:val="nil"/>
            </w:tcBorders>
          </w:tcPr>
          <w:p w14:paraId="7A33282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lang w:eastAsia="zh-CN"/>
              </w:rPr>
            </w:pPr>
            <w:r>
              <w:rPr>
                <w:rFonts w:hint="eastAsia" w:eastAsia="宋体"/>
                <w:snapToGrid/>
                <w:color w:val="auto"/>
                <w:lang w:eastAsia="zh-CN"/>
              </w:rPr>
              <w:t>50</w:t>
            </w:r>
          </w:p>
        </w:tc>
        <w:tc>
          <w:tcPr>
            <w:tcW w:w="1077" w:type="dxa"/>
            <w:tcBorders>
              <w:tl2br w:val="nil"/>
              <w:tr2bl w:val="nil"/>
            </w:tcBorders>
          </w:tcPr>
          <w:p w14:paraId="1798B05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eastAsia="宋体"/>
                <w:snapToGrid/>
                <w:color w:val="auto"/>
                <w:lang w:eastAsia="zh-CN"/>
              </w:rPr>
            </w:pPr>
            <w:r>
              <w:rPr>
                <w:rFonts w:eastAsia="宋体"/>
                <w:snapToGrid/>
                <w:color w:val="auto"/>
              </w:rPr>
              <w:t>dB</w:t>
            </w:r>
            <w:r>
              <w:rPr>
                <w:rFonts w:hint="eastAsia" w:eastAsia="宋体"/>
                <w:snapToGrid/>
                <w:color w:val="auto"/>
                <w:lang w:eastAsia="zh-CN"/>
              </w:rPr>
              <w:t>(</w:t>
            </w:r>
            <w:r>
              <w:rPr>
                <w:rFonts w:eastAsia="宋体"/>
                <w:snapToGrid/>
                <w:color w:val="auto"/>
              </w:rPr>
              <w:t>A</w:t>
            </w:r>
            <w:r>
              <w:rPr>
                <w:rFonts w:hint="eastAsia" w:eastAsia="宋体"/>
                <w:snapToGrid/>
                <w:color w:val="auto"/>
                <w:lang w:eastAsia="zh-CN"/>
              </w:rPr>
              <w:t>)</w:t>
            </w:r>
          </w:p>
        </w:tc>
        <w:tc>
          <w:tcPr>
            <w:tcW w:w="2362" w:type="dxa"/>
            <w:tcBorders>
              <w:tl2br w:val="nil"/>
              <w:tr2bl w:val="nil"/>
            </w:tcBorders>
          </w:tcPr>
          <w:p w14:paraId="57B1045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《声环境质量标准》</w:t>
            </w:r>
          </w:p>
          <w:p w14:paraId="3D00738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lang w:eastAsia="zh-CN"/>
              </w:rPr>
              <w:t>（</w:t>
            </w:r>
            <w:r>
              <w:rPr>
                <w:rFonts w:eastAsia="宋体"/>
                <w:snapToGrid/>
                <w:color w:val="auto"/>
                <w:lang w:eastAsia="zh-CN"/>
              </w:rPr>
              <w:t>GB3096-2008</w:t>
            </w:r>
            <w:r>
              <w:rPr>
                <w:rFonts w:eastAsia="宋体" w:cs="宋体"/>
                <w:snapToGrid/>
                <w:color w:val="auto"/>
                <w:lang w:eastAsia="zh-CN"/>
              </w:rPr>
              <w:t>）中</w:t>
            </w:r>
            <w:r>
              <w:rPr>
                <w:rFonts w:hint="eastAsia" w:eastAsia="宋体"/>
                <w:snapToGrid/>
                <w:color w:val="auto"/>
                <w:lang w:eastAsia="zh-CN"/>
              </w:rPr>
              <w:t>2</w:t>
            </w:r>
            <w:r>
              <w:rPr>
                <w:rFonts w:eastAsia="宋体" w:cs="宋体"/>
                <w:snapToGrid/>
                <w:color w:val="auto"/>
                <w:lang w:eastAsia="zh-CN"/>
              </w:rPr>
              <w:t>类</w:t>
            </w:r>
          </w:p>
        </w:tc>
      </w:tr>
    </w:tbl>
    <w:p w14:paraId="7CDB7C6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93" w:name="_Toc6479"/>
      <w:bookmarkStart w:id="194" w:name="_Toc30423"/>
      <w:bookmarkStart w:id="195" w:name="_Toc29361"/>
      <w:bookmarkStart w:id="196" w:name="_Toc2269"/>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5</w:t>
      </w:r>
      <w:r>
        <w:rPr>
          <w:rFonts w:ascii="Times New Roman" w:hAnsi="Times New Roman"/>
          <w:snapToGrid/>
          <w:color w:val="auto"/>
          <w:sz w:val="24"/>
          <w:szCs w:val="24"/>
          <w:lang w:eastAsia="zh-CN"/>
        </w:rPr>
        <w:t>）土壤环境质量标准</w:t>
      </w:r>
      <w:bookmarkEnd w:id="193"/>
      <w:bookmarkEnd w:id="194"/>
      <w:bookmarkEnd w:id="195"/>
      <w:bookmarkEnd w:id="196"/>
    </w:p>
    <w:p w14:paraId="0B3F7CD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土壤环境评价范围的土壤环境质量满足《土壤环境质量</w:t>
      </w:r>
      <w:r>
        <w:rPr>
          <w:rFonts w:hint="eastAsia"/>
          <w:color w:val="auto"/>
          <w:lang w:val="en-US" w:eastAsia="zh-CN"/>
        </w:rPr>
        <w:t xml:space="preserve"> </w:t>
      </w:r>
      <w:r>
        <w:rPr>
          <w:rFonts w:ascii="Times New Roman" w:hAnsi="Times New Roman"/>
          <w:snapToGrid/>
          <w:color w:val="auto"/>
          <w:sz w:val="24"/>
          <w:szCs w:val="24"/>
          <w:lang w:eastAsia="zh-CN"/>
        </w:rPr>
        <w:t>建设用地土壤污染风险管控标准（试行）》（</w:t>
      </w:r>
      <w:r>
        <w:rPr>
          <w:rFonts w:ascii="Times New Roman" w:hAnsi="Times New Roman" w:cs="Times New Roman"/>
          <w:snapToGrid/>
          <w:color w:val="auto"/>
          <w:sz w:val="24"/>
          <w:szCs w:val="24"/>
          <w:lang w:eastAsia="zh-CN"/>
        </w:rPr>
        <w:t>GB36600</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2018</w:t>
      </w:r>
      <w:r>
        <w:rPr>
          <w:rFonts w:ascii="Times New Roman" w:hAnsi="Times New Roman"/>
          <w:snapToGrid/>
          <w:color w:val="auto"/>
          <w:sz w:val="24"/>
          <w:szCs w:val="24"/>
          <w:lang w:eastAsia="zh-CN"/>
        </w:rPr>
        <w:t>）中表</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建设用地土壤污染风险筛选值第二类用地的标准限值。其管控标准值见表</w:t>
      </w:r>
      <w:r>
        <w:rPr>
          <w:rFonts w:ascii="Times New Roman" w:hAnsi="Times New Roman" w:cs="Times New Roman"/>
          <w:snapToGrid/>
          <w:color w:val="auto"/>
          <w:sz w:val="24"/>
          <w:szCs w:val="24"/>
          <w:lang w:eastAsia="zh-CN"/>
        </w:rPr>
        <w:t>2.4-5</w:t>
      </w:r>
      <w:r>
        <w:rPr>
          <w:rFonts w:ascii="Times New Roman" w:hAnsi="Times New Roman"/>
          <w:snapToGrid/>
          <w:color w:val="auto"/>
          <w:sz w:val="24"/>
          <w:szCs w:val="24"/>
          <w:lang w:eastAsia="zh-CN"/>
        </w:rPr>
        <w:t>。</w:t>
      </w:r>
    </w:p>
    <w:p w14:paraId="1DA60C38">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2.4-5</w:t>
      </w:r>
      <w:r>
        <w:rPr>
          <w:rFonts w:ascii="Times New Roman" w:hAnsi="Times New Roman"/>
          <w:b/>
          <w:bCs/>
          <w:snapToGrid/>
          <w:color w:val="auto"/>
          <w:sz w:val="24"/>
          <w:lang w:eastAsia="zh-CN"/>
        </w:rPr>
        <w:t>建设用地土壤污染风险筛选</w:t>
      </w:r>
      <w:r>
        <w:rPr>
          <w:rFonts w:hint="eastAsia" w:ascii="Times New Roman" w:hAnsi="Times New Roman"/>
          <w:b/>
          <w:bCs/>
          <w:snapToGrid/>
          <w:color w:val="auto"/>
          <w:sz w:val="24"/>
          <w:lang w:eastAsia="zh-CN"/>
        </w:rPr>
        <w:t>值</w:t>
      </w:r>
      <w:r>
        <w:rPr>
          <w:rFonts w:ascii="Times New Roman" w:hAnsi="Times New Roman"/>
          <w:b/>
          <w:bCs/>
          <w:snapToGrid/>
          <w:color w:val="auto"/>
          <w:sz w:val="24"/>
          <w:lang w:eastAsia="zh-CN"/>
        </w:rPr>
        <w:t>和管制值一览表单位：</w:t>
      </w:r>
      <w:r>
        <w:rPr>
          <w:rFonts w:ascii="Times New Roman" w:hAnsi="Times New Roman" w:cs="Times New Roman"/>
          <w:b/>
          <w:bCs/>
          <w:snapToGrid/>
          <w:color w:val="auto"/>
          <w:sz w:val="24"/>
          <w:lang w:eastAsia="zh-CN"/>
        </w:rPr>
        <w:t>mg/kg</w:t>
      </w:r>
    </w:p>
    <w:tbl>
      <w:tblPr>
        <w:tblStyle w:val="36"/>
        <w:tblW w:w="8275" w:type="dxa"/>
        <w:tblInd w:w="9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0"/>
        <w:gridCol w:w="2345"/>
        <w:gridCol w:w="2760"/>
        <w:gridCol w:w="2160"/>
      </w:tblGrid>
      <w:tr w14:paraId="33F98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10" w:type="dxa"/>
            <w:tcBorders>
              <w:tl2br w:val="nil"/>
              <w:tr2bl w:val="nil"/>
            </w:tcBorders>
          </w:tcPr>
          <w:p w14:paraId="062F83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2345" w:type="dxa"/>
            <w:tcBorders>
              <w:tl2br w:val="nil"/>
              <w:tr2bl w:val="nil"/>
            </w:tcBorders>
          </w:tcPr>
          <w:p w14:paraId="67CE16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污染物项目</w:t>
            </w:r>
          </w:p>
        </w:tc>
        <w:tc>
          <w:tcPr>
            <w:tcW w:w="2760" w:type="dxa"/>
            <w:tcBorders>
              <w:tl2br w:val="nil"/>
              <w:tr2bl w:val="nil"/>
            </w:tcBorders>
          </w:tcPr>
          <w:p w14:paraId="6836261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筛选值（第二类）</w:t>
            </w:r>
          </w:p>
        </w:tc>
        <w:tc>
          <w:tcPr>
            <w:tcW w:w="2160" w:type="dxa"/>
            <w:tcBorders>
              <w:tl2br w:val="nil"/>
              <w:tr2bl w:val="nil"/>
            </w:tcBorders>
          </w:tcPr>
          <w:p w14:paraId="006168A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管制值（第二类）</w:t>
            </w:r>
          </w:p>
        </w:tc>
      </w:tr>
      <w:tr w14:paraId="718B0F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010" w:type="dxa"/>
            <w:tcBorders>
              <w:tl2br w:val="nil"/>
              <w:tr2bl w:val="nil"/>
            </w:tcBorders>
          </w:tcPr>
          <w:p w14:paraId="05C4800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2345" w:type="dxa"/>
            <w:tcBorders>
              <w:tl2br w:val="nil"/>
              <w:tr2bl w:val="nil"/>
            </w:tcBorders>
          </w:tcPr>
          <w:p w14:paraId="5E71661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砷</w:t>
            </w:r>
          </w:p>
        </w:tc>
        <w:tc>
          <w:tcPr>
            <w:tcW w:w="2760" w:type="dxa"/>
            <w:tcBorders>
              <w:tl2br w:val="nil"/>
              <w:tr2bl w:val="nil"/>
            </w:tcBorders>
          </w:tcPr>
          <w:p w14:paraId="3F6735E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60</w:t>
            </w:r>
          </w:p>
        </w:tc>
        <w:tc>
          <w:tcPr>
            <w:tcW w:w="2160" w:type="dxa"/>
            <w:tcBorders>
              <w:tl2br w:val="nil"/>
              <w:tr2bl w:val="nil"/>
            </w:tcBorders>
          </w:tcPr>
          <w:p w14:paraId="758B06A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140</w:t>
            </w:r>
          </w:p>
        </w:tc>
      </w:tr>
      <w:tr w14:paraId="65E71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7EE0A12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2345" w:type="dxa"/>
            <w:tcBorders>
              <w:tl2br w:val="nil"/>
              <w:tr2bl w:val="nil"/>
            </w:tcBorders>
          </w:tcPr>
          <w:p w14:paraId="0A9395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镉</w:t>
            </w:r>
          </w:p>
        </w:tc>
        <w:tc>
          <w:tcPr>
            <w:tcW w:w="2760" w:type="dxa"/>
            <w:tcBorders>
              <w:tl2br w:val="nil"/>
              <w:tr2bl w:val="nil"/>
            </w:tcBorders>
          </w:tcPr>
          <w:p w14:paraId="5AD5C0D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65</w:t>
            </w:r>
          </w:p>
        </w:tc>
        <w:tc>
          <w:tcPr>
            <w:tcW w:w="2160" w:type="dxa"/>
            <w:tcBorders>
              <w:tl2br w:val="nil"/>
              <w:tr2bl w:val="nil"/>
            </w:tcBorders>
          </w:tcPr>
          <w:p w14:paraId="5552D5F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172</w:t>
            </w:r>
          </w:p>
        </w:tc>
      </w:tr>
      <w:tr w14:paraId="12FF4B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6D30FF9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2345" w:type="dxa"/>
            <w:tcBorders>
              <w:tl2br w:val="nil"/>
              <w:tr2bl w:val="nil"/>
            </w:tcBorders>
          </w:tcPr>
          <w:p w14:paraId="0BC9CB6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铬（六价）</w:t>
            </w:r>
          </w:p>
        </w:tc>
        <w:tc>
          <w:tcPr>
            <w:tcW w:w="2760" w:type="dxa"/>
            <w:tcBorders>
              <w:tl2br w:val="nil"/>
              <w:tr2bl w:val="nil"/>
            </w:tcBorders>
          </w:tcPr>
          <w:p w14:paraId="578DD56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5.7</w:t>
            </w:r>
          </w:p>
        </w:tc>
        <w:tc>
          <w:tcPr>
            <w:tcW w:w="2160" w:type="dxa"/>
            <w:tcBorders>
              <w:tl2br w:val="nil"/>
              <w:tr2bl w:val="nil"/>
            </w:tcBorders>
          </w:tcPr>
          <w:p w14:paraId="7740FB8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78</w:t>
            </w:r>
          </w:p>
        </w:tc>
      </w:tr>
      <w:tr w14:paraId="15568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66F9C02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2345" w:type="dxa"/>
            <w:tcBorders>
              <w:tl2br w:val="nil"/>
              <w:tr2bl w:val="nil"/>
            </w:tcBorders>
          </w:tcPr>
          <w:p w14:paraId="164CEA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铜</w:t>
            </w:r>
          </w:p>
        </w:tc>
        <w:tc>
          <w:tcPr>
            <w:tcW w:w="2760" w:type="dxa"/>
            <w:tcBorders>
              <w:tl2br w:val="nil"/>
              <w:tr2bl w:val="nil"/>
            </w:tcBorders>
          </w:tcPr>
          <w:p w14:paraId="1FD711D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18000</w:t>
            </w:r>
          </w:p>
        </w:tc>
        <w:tc>
          <w:tcPr>
            <w:tcW w:w="2160" w:type="dxa"/>
            <w:tcBorders>
              <w:tl2br w:val="nil"/>
              <w:tr2bl w:val="nil"/>
            </w:tcBorders>
          </w:tcPr>
          <w:p w14:paraId="18D3EDC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3</w:t>
            </w:r>
            <w:r>
              <w:rPr>
                <w:rFonts w:hint="eastAsia" w:eastAsia="宋体"/>
                <w:snapToGrid/>
                <w:color w:val="auto"/>
                <w:lang w:eastAsia="zh-CN"/>
              </w:rPr>
              <w:t>5000</w:t>
            </w:r>
          </w:p>
        </w:tc>
      </w:tr>
      <w:tr w14:paraId="66A2E6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339EAB4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2345" w:type="dxa"/>
            <w:tcBorders>
              <w:tl2br w:val="nil"/>
              <w:tr2bl w:val="nil"/>
            </w:tcBorders>
          </w:tcPr>
          <w:p w14:paraId="691E3AB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铅</w:t>
            </w:r>
          </w:p>
        </w:tc>
        <w:tc>
          <w:tcPr>
            <w:tcW w:w="2760" w:type="dxa"/>
            <w:tcBorders>
              <w:tl2br w:val="nil"/>
              <w:tr2bl w:val="nil"/>
            </w:tcBorders>
          </w:tcPr>
          <w:p w14:paraId="47BFF3A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800</w:t>
            </w:r>
          </w:p>
        </w:tc>
        <w:tc>
          <w:tcPr>
            <w:tcW w:w="2160" w:type="dxa"/>
            <w:tcBorders>
              <w:tl2br w:val="nil"/>
              <w:tr2bl w:val="nil"/>
            </w:tcBorders>
          </w:tcPr>
          <w:p w14:paraId="29F2E75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2500</w:t>
            </w:r>
          </w:p>
        </w:tc>
      </w:tr>
      <w:tr w14:paraId="65D2FF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1275798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w:t>
            </w:r>
          </w:p>
        </w:tc>
        <w:tc>
          <w:tcPr>
            <w:tcW w:w="2345" w:type="dxa"/>
            <w:tcBorders>
              <w:tl2br w:val="nil"/>
              <w:tr2bl w:val="nil"/>
            </w:tcBorders>
          </w:tcPr>
          <w:p w14:paraId="3FC4639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汞</w:t>
            </w:r>
          </w:p>
        </w:tc>
        <w:tc>
          <w:tcPr>
            <w:tcW w:w="2760" w:type="dxa"/>
            <w:tcBorders>
              <w:tl2br w:val="nil"/>
              <w:tr2bl w:val="nil"/>
            </w:tcBorders>
          </w:tcPr>
          <w:p w14:paraId="6C2CB9F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38</w:t>
            </w:r>
          </w:p>
        </w:tc>
        <w:tc>
          <w:tcPr>
            <w:tcW w:w="2160" w:type="dxa"/>
            <w:tcBorders>
              <w:tl2br w:val="nil"/>
              <w:tr2bl w:val="nil"/>
            </w:tcBorders>
          </w:tcPr>
          <w:p w14:paraId="0AE7487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82</w:t>
            </w:r>
          </w:p>
        </w:tc>
      </w:tr>
      <w:tr w14:paraId="3968A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6AAF12A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w:t>
            </w:r>
          </w:p>
        </w:tc>
        <w:tc>
          <w:tcPr>
            <w:tcW w:w="2345" w:type="dxa"/>
            <w:tcBorders>
              <w:tl2br w:val="nil"/>
              <w:tr2bl w:val="nil"/>
            </w:tcBorders>
          </w:tcPr>
          <w:p w14:paraId="596ABE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镍</w:t>
            </w:r>
          </w:p>
        </w:tc>
        <w:tc>
          <w:tcPr>
            <w:tcW w:w="2760" w:type="dxa"/>
            <w:tcBorders>
              <w:tl2br w:val="nil"/>
              <w:tr2bl w:val="nil"/>
            </w:tcBorders>
          </w:tcPr>
          <w:p w14:paraId="6F08B89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900</w:t>
            </w:r>
          </w:p>
        </w:tc>
        <w:tc>
          <w:tcPr>
            <w:tcW w:w="2160" w:type="dxa"/>
            <w:tcBorders>
              <w:tl2br w:val="nil"/>
              <w:tr2bl w:val="nil"/>
            </w:tcBorders>
          </w:tcPr>
          <w:p w14:paraId="3C9EF6A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2000</w:t>
            </w:r>
          </w:p>
        </w:tc>
      </w:tr>
      <w:tr w14:paraId="34FABA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7FD2CD4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w:t>
            </w:r>
          </w:p>
        </w:tc>
        <w:tc>
          <w:tcPr>
            <w:tcW w:w="2345" w:type="dxa"/>
            <w:tcBorders>
              <w:tl2br w:val="nil"/>
              <w:tr2bl w:val="nil"/>
            </w:tcBorders>
          </w:tcPr>
          <w:p w14:paraId="5519CE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四氯化碳</w:t>
            </w:r>
          </w:p>
        </w:tc>
        <w:tc>
          <w:tcPr>
            <w:tcW w:w="2760" w:type="dxa"/>
            <w:tcBorders>
              <w:tl2br w:val="nil"/>
              <w:tr2bl w:val="nil"/>
            </w:tcBorders>
          </w:tcPr>
          <w:p w14:paraId="5A187BA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w:t>
            </w:r>
          </w:p>
        </w:tc>
        <w:tc>
          <w:tcPr>
            <w:tcW w:w="2160" w:type="dxa"/>
            <w:tcBorders>
              <w:tl2br w:val="nil"/>
              <w:tr2bl w:val="nil"/>
            </w:tcBorders>
          </w:tcPr>
          <w:p w14:paraId="784CCA5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36</w:t>
            </w:r>
          </w:p>
        </w:tc>
      </w:tr>
      <w:tr w14:paraId="37B59C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11CCE83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w:t>
            </w:r>
          </w:p>
        </w:tc>
        <w:tc>
          <w:tcPr>
            <w:tcW w:w="2345" w:type="dxa"/>
            <w:tcBorders>
              <w:tl2br w:val="nil"/>
              <w:tr2bl w:val="nil"/>
            </w:tcBorders>
          </w:tcPr>
          <w:p w14:paraId="7CF4682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氯仿</w:t>
            </w:r>
          </w:p>
        </w:tc>
        <w:tc>
          <w:tcPr>
            <w:tcW w:w="2760" w:type="dxa"/>
            <w:tcBorders>
              <w:tl2br w:val="nil"/>
              <w:tr2bl w:val="nil"/>
            </w:tcBorders>
          </w:tcPr>
          <w:p w14:paraId="474D986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0.9</w:t>
            </w:r>
          </w:p>
        </w:tc>
        <w:tc>
          <w:tcPr>
            <w:tcW w:w="2160" w:type="dxa"/>
            <w:tcBorders>
              <w:tl2br w:val="nil"/>
              <w:tr2bl w:val="nil"/>
            </w:tcBorders>
          </w:tcPr>
          <w:p w14:paraId="06DBC23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w:t>
            </w:r>
          </w:p>
        </w:tc>
      </w:tr>
      <w:tr w14:paraId="3EF93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4D3EFE8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w:t>
            </w:r>
          </w:p>
        </w:tc>
        <w:tc>
          <w:tcPr>
            <w:tcW w:w="2345" w:type="dxa"/>
            <w:tcBorders>
              <w:tl2br w:val="nil"/>
              <w:tr2bl w:val="nil"/>
            </w:tcBorders>
          </w:tcPr>
          <w:p w14:paraId="04B66C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氯甲烷</w:t>
            </w:r>
          </w:p>
        </w:tc>
        <w:tc>
          <w:tcPr>
            <w:tcW w:w="2760" w:type="dxa"/>
            <w:tcBorders>
              <w:tl2br w:val="nil"/>
              <w:tr2bl w:val="nil"/>
            </w:tcBorders>
          </w:tcPr>
          <w:p w14:paraId="657A1CA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37</w:t>
            </w:r>
          </w:p>
        </w:tc>
        <w:tc>
          <w:tcPr>
            <w:tcW w:w="2160" w:type="dxa"/>
            <w:tcBorders>
              <w:tl2br w:val="nil"/>
              <w:tr2bl w:val="nil"/>
            </w:tcBorders>
          </w:tcPr>
          <w:p w14:paraId="18A9A3A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120</w:t>
            </w:r>
          </w:p>
        </w:tc>
      </w:tr>
      <w:tr w14:paraId="26023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7AC5ABE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11</w:t>
            </w:r>
          </w:p>
        </w:tc>
        <w:tc>
          <w:tcPr>
            <w:tcW w:w="2345" w:type="dxa"/>
            <w:tcBorders>
              <w:tl2br w:val="nil"/>
              <w:tr2bl w:val="nil"/>
            </w:tcBorders>
          </w:tcPr>
          <w:p w14:paraId="0C60BE79">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cs="宋体"/>
                <w:snapToGrid/>
                <w:color w:val="auto"/>
              </w:rPr>
              <w:t>二氯甲烷</w:t>
            </w:r>
          </w:p>
        </w:tc>
        <w:tc>
          <w:tcPr>
            <w:tcW w:w="2760" w:type="dxa"/>
            <w:tcBorders>
              <w:tl2br w:val="nil"/>
              <w:tr2bl w:val="nil"/>
            </w:tcBorders>
          </w:tcPr>
          <w:p w14:paraId="7677DDA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w:t>
            </w:r>
          </w:p>
        </w:tc>
        <w:tc>
          <w:tcPr>
            <w:tcW w:w="2160" w:type="dxa"/>
            <w:tcBorders>
              <w:tl2br w:val="nil"/>
              <w:tr2bl w:val="nil"/>
            </w:tcBorders>
          </w:tcPr>
          <w:p w14:paraId="6F803F1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100</w:t>
            </w:r>
          </w:p>
        </w:tc>
      </w:tr>
      <w:tr w14:paraId="5F738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3D61A2E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w:t>
            </w:r>
          </w:p>
        </w:tc>
        <w:tc>
          <w:tcPr>
            <w:tcW w:w="2345" w:type="dxa"/>
            <w:tcBorders>
              <w:tl2br w:val="nil"/>
              <w:tr2bl w:val="nil"/>
            </w:tcBorders>
          </w:tcPr>
          <w:p w14:paraId="65B43A42">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二氯乙烷</w:t>
            </w:r>
          </w:p>
        </w:tc>
        <w:tc>
          <w:tcPr>
            <w:tcW w:w="2760" w:type="dxa"/>
            <w:tcBorders>
              <w:tl2br w:val="nil"/>
              <w:tr2bl w:val="nil"/>
            </w:tcBorders>
          </w:tcPr>
          <w:p w14:paraId="4E2BDFD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2160" w:type="dxa"/>
            <w:tcBorders>
              <w:tl2br w:val="nil"/>
              <w:tr2bl w:val="nil"/>
            </w:tcBorders>
          </w:tcPr>
          <w:p w14:paraId="04377AE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21</w:t>
            </w:r>
          </w:p>
        </w:tc>
      </w:tr>
      <w:tr w14:paraId="578AA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6E719E1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13</w:t>
            </w:r>
          </w:p>
        </w:tc>
        <w:tc>
          <w:tcPr>
            <w:tcW w:w="2345" w:type="dxa"/>
            <w:tcBorders>
              <w:tl2br w:val="nil"/>
              <w:tr2bl w:val="nil"/>
            </w:tcBorders>
          </w:tcPr>
          <w:p w14:paraId="17CA184B">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eastAsia="宋体" w:cs="宋体"/>
                <w:snapToGrid/>
                <w:color w:val="auto"/>
              </w:rPr>
              <w:t>二氯乙烯</w:t>
            </w:r>
          </w:p>
        </w:tc>
        <w:tc>
          <w:tcPr>
            <w:tcW w:w="2760" w:type="dxa"/>
            <w:tcBorders>
              <w:tl2br w:val="nil"/>
              <w:tr2bl w:val="nil"/>
            </w:tcBorders>
          </w:tcPr>
          <w:p w14:paraId="3F12C38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66</w:t>
            </w:r>
          </w:p>
        </w:tc>
        <w:tc>
          <w:tcPr>
            <w:tcW w:w="2160" w:type="dxa"/>
            <w:tcBorders>
              <w:tl2br w:val="nil"/>
              <w:tr2bl w:val="nil"/>
            </w:tcBorders>
          </w:tcPr>
          <w:p w14:paraId="4DE4A49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200</w:t>
            </w:r>
          </w:p>
        </w:tc>
      </w:tr>
      <w:tr w14:paraId="2C3B5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10" w:type="dxa"/>
            <w:tcBorders>
              <w:tl2br w:val="nil"/>
              <w:tr2bl w:val="nil"/>
            </w:tcBorders>
          </w:tcPr>
          <w:p w14:paraId="7E8E37C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14</w:t>
            </w:r>
          </w:p>
        </w:tc>
        <w:tc>
          <w:tcPr>
            <w:tcW w:w="2345" w:type="dxa"/>
            <w:tcBorders>
              <w:tl2br w:val="nil"/>
              <w:tr2bl w:val="nil"/>
            </w:tcBorders>
          </w:tcPr>
          <w:p w14:paraId="30FFAAD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顺</w:t>
            </w: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二氯乙烯</w:t>
            </w:r>
          </w:p>
        </w:tc>
        <w:tc>
          <w:tcPr>
            <w:tcW w:w="2760" w:type="dxa"/>
            <w:tcBorders>
              <w:tl2br w:val="nil"/>
              <w:tr2bl w:val="nil"/>
            </w:tcBorders>
          </w:tcPr>
          <w:p w14:paraId="5B4994D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596</w:t>
            </w:r>
          </w:p>
        </w:tc>
        <w:tc>
          <w:tcPr>
            <w:tcW w:w="2160" w:type="dxa"/>
            <w:tcBorders>
              <w:tl2br w:val="nil"/>
              <w:tr2bl w:val="nil"/>
            </w:tcBorders>
          </w:tcPr>
          <w:p w14:paraId="30E0697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2000</w:t>
            </w:r>
          </w:p>
        </w:tc>
      </w:tr>
      <w:tr w14:paraId="671DE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10" w:type="dxa"/>
            <w:tcBorders>
              <w:tl2br w:val="nil"/>
              <w:tr2bl w:val="nil"/>
            </w:tcBorders>
          </w:tcPr>
          <w:p w14:paraId="7BA9A49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345" w:type="dxa"/>
            <w:tcBorders>
              <w:tl2br w:val="nil"/>
              <w:tr2bl w:val="nil"/>
            </w:tcBorders>
          </w:tcPr>
          <w:p w14:paraId="361C5893">
            <w:pPr>
              <w:pStyle w:val="37"/>
              <w:widowControl w:val="0"/>
              <w:shd w:val="clear"/>
              <w:kinsoku/>
              <w:autoSpaceDE/>
              <w:autoSpaceDN/>
              <w:adjustRightInd/>
              <w:snapToGrid/>
              <w:spacing w:line="360" w:lineRule="auto"/>
              <w:jc w:val="center"/>
              <w:textAlignment w:val="auto"/>
              <w:rPr>
                <w:rFonts w:eastAsia="宋体" w:cs="宋体"/>
                <w:snapToGrid/>
                <w:color w:val="auto"/>
              </w:rPr>
            </w:pPr>
            <w:bookmarkStart w:id="197" w:name="bookmark61"/>
            <w:bookmarkEnd w:id="197"/>
            <w:r>
              <w:rPr>
                <w:rFonts w:eastAsia="宋体" w:cs="宋体"/>
                <w:snapToGrid/>
                <w:color w:val="auto"/>
              </w:rPr>
              <w:t>反</w:t>
            </w: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二氯乙烯</w:t>
            </w:r>
          </w:p>
        </w:tc>
        <w:tc>
          <w:tcPr>
            <w:tcW w:w="2760" w:type="dxa"/>
            <w:tcBorders>
              <w:tl2br w:val="nil"/>
              <w:tr2bl w:val="nil"/>
            </w:tcBorders>
          </w:tcPr>
          <w:p w14:paraId="787ED4E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54</w:t>
            </w:r>
          </w:p>
        </w:tc>
        <w:tc>
          <w:tcPr>
            <w:tcW w:w="2160" w:type="dxa"/>
            <w:tcBorders>
              <w:tl2br w:val="nil"/>
              <w:tr2bl w:val="nil"/>
            </w:tcBorders>
          </w:tcPr>
          <w:p w14:paraId="34BA38B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163</w:t>
            </w:r>
          </w:p>
        </w:tc>
      </w:tr>
      <w:tr w14:paraId="6E8E3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012FBE0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16</w:t>
            </w:r>
          </w:p>
        </w:tc>
        <w:tc>
          <w:tcPr>
            <w:tcW w:w="2345" w:type="dxa"/>
            <w:tcBorders>
              <w:tl2br w:val="nil"/>
              <w:tr2bl w:val="nil"/>
            </w:tcBorders>
          </w:tcPr>
          <w:p w14:paraId="1F9AD0E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二氯甲烷</w:t>
            </w:r>
          </w:p>
        </w:tc>
        <w:tc>
          <w:tcPr>
            <w:tcW w:w="2760" w:type="dxa"/>
            <w:tcBorders>
              <w:tl2br w:val="nil"/>
              <w:tr2bl w:val="nil"/>
            </w:tcBorders>
          </w:tcPr>
          <w:p w14:paraId="114D72D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616</w:t>
            </w:r>
          </w:p>
        </w:tc>
        <w:tc>
          <w:tcPr>
            <w:tcW w:w="2160" w:type="dxa"/>
            <w:tcBorders>
              <w:tl2br w:val="nil"/>
              <w:tr2bl w:val="nil"/>
            </w:tcBorders>
          </w:tcPr>
          <w:p w14:paraId="633B21D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2000</w:t>
            </w:r>
          </w:p>
        </w:tc>
      </w:tr>
      <w:tr w14:paraId="4C606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5FD8225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17</w:t>
            </w:r>
          </w:p>
        </w:tc>
        <w:tc>
          <w:tcPr>
            <w:tcW w:w="2345" w:type="dxa"/>
            <w:tcBorders>
              <w:tl2br w:val="nil"/>
              <w:tr2bl w:val="nil"/>
            </w:tcBorders>
          </w:tcPr>
          <w:p w14:paraId="01A98BB8">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二氯丙烷</w:t>
            </w:r>
          </w:p>
        </w:tc>
        <w:tc>
          <w:tcPr>
            <w:tcW w:w="2760" w:type="dxa"/>
            <w:tcBorders>
              <w:tl2br w:val="nil"/>
              <w:tr2bl w:val="nil"/>
            </w:tcBorders>
          </w:tcPr>
          <w:p w14:paraId="6061C2D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2160" w:type="dxa"/>
            <w:tcBorders>
              <w:tl2br w:val="nil"/>
              <w:tr2bl w:val="nil"/>
            </w:tcBorders>
          </w:tcPr>
          <w:p w14:paraId="217CD0B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47</w:t>
            </w:r>
          </w:p>
        </w:tc>
      </w:tr>
      <w:tr w14:paraId="50F25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29B59BB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18</w:t>
            </w:r>
          </w:p>
        </w:tc>
        <w:tc>
          <w:tcPr>
            <w:tcW w:w="2345" w:type="dxa"/>
            <w:tcBorders>
              <w:tl2br w:val="nil"/>
              <w:tr2bl w:val="nil"/>
            </w:tcBorders>
          </w:tcPr>
          <w:p w14:paraId="3723EAB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四氯乙烷</w:t>
            </w:r>
          </w:p>
        </w:tc>
        <w:tc>
          <w:tcPr>
            <w:tcW w:w="2760" w:type="dxa"/>
            <w:tcBorders>
              <w:tl2br w:val="nil"/>
              <w:tr2bl w:val="nil"/>
            </w:tcBorders>
          </w:tcPr>
          <w:p w14:paraId="77F1290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w:t>
            </w:r>
          </w:p>
        </w:tc>
        <w:tc>
          <w:tcPr>
            <w:tcW w:w="2160" w:type="dxa"/>
            <w:tcBorders>
              <w:tl2br w:val="nil"/>
              <w:tr2bl w:val="nil"/>
            </w:tcBorders>
          </w:tcPr>
          <w:p w14:paraId="79BFDF9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100</w:t>
            </w:r>
          </w:p>
        </w:tc>
      </w:tr>
      <w:tr w14:paraId="45A14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10" w:type="dxa"/>
            <w:tcBorders>
              <w:tl2br w:val="nil"/>
              <w:tr2bl w:val="nil"/>
            </w:tcBorders>
          </w:tcPr>
          <w:p w14:paraId="7CF7253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19</w:t>
            </w:r>
          </w:p>
        </w:tc>
        <w:tc>
          <w:tcPr>
            <w:tcW w:w="2345" w:type="dxa"/>
            <w:tcBorders>
              <w:tl2br w:val="nil"/>
              <w:tr2bl w:val="nil"/>
            </w:tcBorders>
          </w:tcPr>
          <w:p w14:paraId="305CA50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snapToGrid/>
                <w:color w:val="auto"/>
              </w:rPr>
              <w:t>2</w:t>
            </w:r>
            <w:r>
              <w:rPr>
                <w:rFonts w:hint="eastAsia" w:eastAsia="宋体"/>
                <w:snapToGrid/>
                <w:color w:val="auto"/>
                <w:lang w:eastAsia="zh-CN"/>
              </w:rPr>
              <w:t>，</w:t>
            </w:r>
            <w:r>
              <w:rPr>
                <w:rFonts w:eastAsia="宋体"/>
                <w:snapToGrid/>
                <w:color w:val="auto"/>
              </w:rPr>
              <w:t>2-</w:t>
            </w:r>
            <w:r>
              <w:rPr>
                <w:rFonts w:eastAsia="宋体" w:cs="宋体"/>
                <w:snapToGrid/>
                <w:color w:val="auto"/>
              </w:rPr>
              <w:t>四氯乙烷</w:t>
            </w:r>
          </w:p>
        </w:tc>
        <w:tc>
          <w:tcPr>
            <w:tcW w:w="2760" w:type="dxa"/>
            <w:tcBorders>
              <w:tl2br w:val="nil"/>
              <w:tr2bl w:val="nil"/>
            </w:tcBorders>
          </w:tcPr>
          <w:p w14:paraId="6D33A76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6.8</w:t>
            </w:r>
          </w:p>
        </w:tc>
        <w:tc>
          <w:tcPr>
            <w:tcW w:w="2160" w:type="dxa"/>
            <w:tcBorders>
              <w:tl2br w:val="nil"/>
              <w:tr2bl w:val="nil"/>
            </w:tcBorders>
          </w:tcPr>
          <w:p w14:paraId="71AAEF0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50</w:t>
            </w:r>
          </w:p>
        </w:tc>
      </w:tr>
      <w:tr w14:paraId="21E52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57783E8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w:t>
            </w:r>
          </w:p>
        </w:tc>
        <w:tc>
          <w:tcPr>
            <w:tcW w:w="2345" w:type="dxa"/>
            <w:tcBorders>
              <w:tl2br w:val="nil"/>
              <w:tr2bl w:val="nil"/>
            </w:tcBorders>
          </w:tcPr>
          <w:p w14:paraId="3B04DB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四氯乙烯</w:t>
            </w:r>
          </w:p>
        </w:tc>
        <w:tc>
          <w:tcPr>
            <w:tcW w:w="2760" w:type="dxa"/>
            <w:tcBorders>
              <w:tl2br w:val="nil"/>
              <w:tr2bl w:val="nil"/>
            </w:tcBorders>
          </w:tcPr>
          <w:p w14:paraId="445A18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53</w:t>
            </w:r>
          </w:p>
        </w:tc>
        <w:tc>
          <w:tcPr>
            <w:tcW w:w="2160" w:type="dxa"/>
            <w:tcBorders>
              <w:tl2br w:val="nil"/>
              <w:tr2bl w:val="nil"/>
            </w:tcBorders>
          </w:tcPr>
          <w:p w14:paraId="4F7A4CE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183</w:t>
            </w:r>
          </w:p>
        </w:tc>
      </w:tr>
      <w:tr w14:paraId="1227B8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6EC32DA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21</w:t>
            </w:r>
          </w:p>
        </w:tc>
        <w:tc>
          <w:tcPr>
            <w:tcW w:w="2345" w:type="dxa"/>
            <w:tcBorders>
              <w:tl2br w:val="nil"/>
              <w:tr2bl w:val="nil"/>
            </w:tcBorders>
          </w:tcPr>
          <w:p w14:paraId="50BB9944">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snapToGrid/>
                <w:color w:val="auto"/>
              </w:rPr>
              <w:t>1-</w:t>
            </w:r>
            <w:r>
              <w:rPr>
                <w:rFonts w:eastAsia="宋体" w:cs="宋体"/>
                <w:snapToGrid/>
                <w:color w:val="auto"/>
              </w:rPr>
              <w:t>三氯乙烷</w:t>
            </w:r>
          </w:p>
        </w:tc>
        <w:tc>
          <w:tcPr>
            <w:tcW w:w="2760" w:type="dxa"/>
            <w:tcBorders>
              <w:tl2br w:val="nil"/>
              <w:tr2bl w:val="nil"/>
            </w:tcBorders>
          </w:tcPr>
          <w:p w14:paraId="47F39CB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840</w:t>
            </w:r>
          </w:p>
        </w:tc>
        <w:tc>
          <w:tcPr>
            <w:tcW w:w="2160" w:type="dxa"/>
            <w:tcBorders>
              <w:tl2br w:val="nil"/>
              <w:tr2bl w:val="nil"/>
            </w:tcBorders>
          </w:tcPr>
          <w:p w14:paraId="67CF2E1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840</w:t>
            </w:r>
          </w:p>
        </w:tc>
      </w:tr>
      <w:tr w14:paraId="53547D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18D1099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22</w:t>
            </w:r>
          </w:p>
        </w:tc>
        <w:tc>
          <w:tcPr>
            <w:tcW w:w="2345" w:type="dxa"/>
            <w:tcBorders>
              <w:tl2br w:val="nil"/>
              <w:tr2bl w:val="nil"/>
            </w:tcBorders>
          </w:tcPr>
          <w:p w14:paraId="266A8429">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1</w:t>
            </w:r>
            <w:r>
              <w:rPr>
                <w:rFonts w:hint="eastAsia" w:eastAsia="宋体"/>
                <w:snapToGrid/>
                <w:color w:val="auto"/>
                <w:lang w:eastAsia="zh-CN"/>
              </w:rPr>
              <w:t>，</w:t>
            </w:r>
            <w:r>
              <w:rPr>
                <w:rFonts w:eastAsia="宋体"/>
                <w:snapToGrid/>
                <w:color w:val="auto"/>
              </w:rPr>
              <w:t>2-</w:t>
            </w:r>
            <w:r>
              <w:rPr>
                <w:rFonts w:eastAsia="宋体" w:cs="宋体"/>
                <w:snapToGrid/>
                <w:color w:val="auto"/>
              </w:rPr>
              <w:t>三氯乙烷</w:t>
            </w:r>
          </w:p>
        </w:tc>
        <w:tc>
          <w:tcPr>
            <w:tcW w:w="2760" w:type="dxa"/>
            <w:tcBorders>
              <w:tl2br w:val="nil"/>
              <w:tr2bl w:val="nil"/>
            </w:tcBorders>
          </w:tcPr>
          <w:p w14:paraId="5F5CCE3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w:t>
            </w:r>
          </w:p>
        </w:tc>
        <w:tc>
          <w:tcPr>
            <w:tcW w:w="2160" w:type="dxa"/>
            <w:tcBorders>
              <w:tl2br w:val="nil"/>
              <w:tr2bl w:val="nil"/>
            </w:tcBorders>
          </w:tcPr>
          <w:p w14:paraId="066106F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r>
      <w:tr w14:paraId="0AA62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6B68468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23</w:t>
            </w:r>
          </w:p>
        </w:tc>
        <w:tc>
          <w:tcPr>
            <w:tcW w:w="2345" w:type="dxa"/>
            <w:tcBorders>
              <w:tl2br w:val="nil"/>
              <w:tr2bl w:val="nil"/>
            </w:tcBorders>
          </w:tcPr>
          <w:p w14:paraId="1A66697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三氯乙烯</w:t>
            </w:r>
          </w:p>
        </w:tc>
        <w:tc>
          <w:tcPr>
            <w:tcW w:w="2760" w:type="dxa"/>
            <w:tcBorders>
              <w:tl2br w:val="nil"/>
              <w:tr2bl w:val="nil"/>
            </w:tcBorders>
          </w:tcPr>
          <w:p w14:paraId="65E9759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w:t>
            </w:r>
          </w:p>
        </w:tc>
        <w:tc>
          <w:tcPr>
            <w:tcW w:w="2160" w:type="dxa"/>
            <w:tcBorders>
              <w:tl2br w:val="nil"/>
              <w:tr2bl w:val="nil"/>
            </w:tcBorders>
          </w:tcPr>
          <w:p w14:paraId="4851F16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w:t>
            </w:r>
          </w:p>
        </w:tc>
      </w:tr>
      <w:tr w14:paraId="227F77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22F0E51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w:t>
            </w:r>
          </w:p>
        </w:tc>
        <w:tc>
          <w:tcPr>
            <w:tcW w:w="2345" w:type="dxa"/>
            <w:tcBorders>
              <w:tl2br w:val="nil"/>
              <w:tr2bl w:val="nil"/>
            </w:tcBorders>
          </w:tcPr>
          <w:p w14:paraId="0E927EF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2</w:t>
            </w:r>
            <w:r>
              <w:rPr>
                <w:rFonts w:hint="eastAsia" w:eastAsia="宋体"/>
                <w:snapToGrid/>
                <w:color w:val="auto"/>
                <w:lang w:eastAsia="zh-CN"/>
              </w:rPr>
              <w:t>，</w:t>
            </w:r>
            <w:r>
              <w:rPr>
                <w:rFonts w:eastAsia="宋体"/>
                <w:snapToGrid/>
                <w:color w:val="auto"/>
              </w:rPr>
              <w:t>3-</w:t>
            </w:r>
            <w:r>
              <w:rPr>
                <w:rFonts w:eastAsia="宋体" w:cs="宋体"/>
                <w:snapToGrid/>
                <w:color w:val="auto"/>
              </w:rPr>
              <w:t>三氯丙烷</w:t>
            </w:r>
          </w:p>
        </w:tc>
        <w:tc>
          <w:tcPr>
            <w:tcW w:w="2760" w:type="dxa"/>
            <w:tcBorders>
              <w:tl2br w:val="nil"/>
              <w:tr2bl w:val="nil"/>
            </w:tcBorders>
          </w:tcPr>
          <w:p w14:paraId="251CFBF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w:t>
            </w:r>
          </w:p>
        </w:tc>
        <w:tc>
          <w:tcPr>
            <w:tcW w:w="2160" w:type="dxa"/>
            <w:tcBorders>
              <w:tl2br w:val="nil"/>
              <w:tr2bl w:val="nil"/>
            </w:tcBorders>
          </w:tcPr>
          <w:p w14:paraId="63FAAB0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r>
      <w:tr w14:paraId="4DDE99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0F08A7D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25</w:t>
            </w:r>
          </w:p>
        </w:tc>
        <w:tc>
          <w:tcPr>
            <w:tcW w:w="2345" w:type="dxa"/>
            <w:tcBorders>
              <w:tl2br w:val="nil"/>
              <w:tr2bl w:val="nil"/>
            </w:tcBorders>
          </w:tcPr>
          <w:p w14:paraId="5A1CA27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氯乙烯</w:t>
            </w:r>
          </w:p>
        </w:tc>
        <w:tc>
          <w:tcPr>
            <w:tcW w:w="2760" w:type="dxa"/>
            <w:tcBorders>
              <w:tl2br w:val="nil"/>
              <w:tr2bl w:val="nil"/>
            </w:tcBorders>
          </w:tcPr>
          <w:p w14:paraId="1790F57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0.43</w:t>
            </w:r>
          </w:p>
        </w:tc>
        <w:tc>
          <w:tcPr>
            <w:tcW w:w="2160" w:type="dxa"/>
            <w:tcBorders>
              <w:tl2br w:val="nil"/>
              <w:tr2bl w:val="nil"/>
            </w:tcBorders>
          </w:tcPr>
          <w:p w14:paraId="2F2587F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4.3</w:t>
            </w:r>
          </w:p>
        </w:tc>
      </w:tr>
      <w:tr w14:paraId="6CD2B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6FAFC98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26</w:t>
            </w:r>
          </w:p>
        </w:tc>
        <w:tc>
          <w:tcPr>
            <w:tcW w:w="2345" w:type="dxa"/>
            <w:tcBorders>
              <w:tl2br w:val="nil"/>
              <w:tr2bl w:val="nil"/>
            </w:tcBorders>
          </w:tcPr>
          <w:p w14:paraId="45D21F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苯</w:t>
            </w:r>
          </w:p>
        </w:tc>
        <w:tc>
          <w:tcPr>
            <w:tcW w:w="2760" w:type="dxa"/>
            <w:tcBorders>
              <w:tl2br w:val="nil"/>
              <w:tr2bl w:val="nil"/>
            </w:tcBorders>
          </w:tcPr>
          <w:p w14:paraId="290E350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2160" w:type="dxa"/>
            <w:tcBorders>
              <w:tl2br w:val="nil"/>
              <w:tr2bl w:val="nil"/>
            </w:tcBorders>
          </w:tcPr>
          <w:p w14:paraId="21163A9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40</w:t>
            </w:r>
          </w:p>
        </w:tc>
      </w:tr>
      <w:tr w14:paraId="181F18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69E71B3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27</w:t>
            </w:r>
          </w:p>
        </w:tc>
        <w:tc>
          <w:tcPr>
            <w:tcW w:w="2345" w:type="dxa"/>
            <w:tcBorders>
              <w:tl2br w:val="nil"/>
              <w:tr2bl w:val="nil"/>
            </w:tcBorders>
          </w:tcPr>
          <w:p w14:paraId="620C496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氯苯</w:t>
            </w:r>
          </w:p>
        </w:tc>
        <w:tc>
          <w:tcPr>
            <w:tcW w:w="2760" w:type="dxa"/>
            <w:tcBorders>
              <w:tl2br w:val="nil"/>
              <w:tr2bl w:val="nil"/>
            </w:tcBorders>
          </w:tcPr>
          <w:p w14:paraId="0C69ADC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270</w:t>
            </w:r>
          </w:p>
        </w:tc>
        <w:tc>
          <w:tcPr>
            <w:tcW w:w="2160" w:type="dxa"/>
            <w:tcBorders>
              <w:tl2br w:val="nil"/>
              <w:tr2bl w:val="nil"/>
            </w:tcBorders>
          </w:tcPr>
          <w:p w14:paraId="4D3C29D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1000</w:t>
            </w:r>
          </w:p>
        </w:tc>
      </w:tr>
      <w:tr w14:paraId="696440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7BFD5FB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w:t>
            </w:r>
          </w:p>
        </w:tc>
        <w:tc>
          <w:tcPr>
            <w:tcW w:w="2345" w:type="dxa"/>
            <w:tcBorders>
              <w:tl2br w:val="nil"/>
              <w:tr2bl w:val="nil"/>
            </w:tcBorders>
          </w:tcPr>
          <w:p w14:paraId="424ECE4B">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2</w:t>
            </w:r>
            <w:r>
              <w:rPr>
                <w:rFonts w:hint="eastAsia" w:eastAsia="宋体"/>
                <w:snapToGrid/>
                <w:color w:val="auto"/>
                <w:lang w:eastAsia="zh-CN"/>
              </w:rPr>
              <w:t>，</w:t>
            </w:r>
            <w:r>
              <w:rPr>
                <w:rFonts w:eastAsia="宋体"/>
                <w:snapToGrid/>
                <w:color w:val="auto"/>
              </w:rPr>
              <w:t>-</w:t>
            </w:r>
            <w:r>
              <w:rPr>
                <w:rFonts w:eastAsia="宋体" w:cs="宋体"/>
                <w:snapToGrid/>
                <w:color w:val="auto"/>
              </w:rPr>
              <w:t>二氯苯</w:t>
            </w:r>
          </w:p>
        </w:tc>
        <w:tc>
          <w:tcPr>
            <w:tcW w:w="2760" w:type="dxa"/>
            <w:tcBorders>
              <w:tl2br w:val="nil"/>
              <w:tr2bl w:val="nil"/>
            </w:tcBorders>
          </w:tcPr>
          <w:p w14:paraId="644CFE2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560</w:t>
            </w:r>
          </w:p>
        </w:tc>
        <w:tc>
          <w:tcPr>
            <w:tcW w:w="2160" w:type="dxa"/>
            <w:tcBorders>
              <w:tl2br w:val="nil"/>
              <w:tr2bl w:val="nil"/>
            </w:tcBorders>
          </w:tcPr>
          <w:p w14:paraId="78BF992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560</w:t>
            </w:r>
          </w:p>
        </w:tc>
      </w:tr>
      <w:tr w14:paraId="43004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46007B5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29</w:t>
            </w:r>
          </w:p>
        </w:tc>
        <w:tc>
          <w:tcPr>
            <w:tcW w:w="2345" w:type="dxa"/>
            <w:tcBorders>
              <w:tl2br w:val="nil"/>
              <w:tr2bl w:val="nil"/>
            </w:tcBorders>
          </w:tcPr>
          <w:p w14:paraId="1B8867AA">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hint="eastAsia" w:eastAsia="宋体"/>
                <w:snapToGrid/>
                <w:color w:val="auto"/>
                <w:lang w:eastAsia="zh-CN"/>
              </w:rPr>
              <w:t>，</w:t>
            </w:r>
            <w:r>
              <w:rPr>
                <w:rFonts w:eastAsia="宋体"/>
                <w:snapToGrid/>
                <w:color w:val="auto"/>
              </w:rPr>
              <w:t>4-</w:t>
            </w:r>
            <w:r>
              <w:rPr>
                <w:rFonts w:eastAsia="宋体" w:cs="宋体"/>
                <w:snapToGrid/>
                <w:color w:val="auto"/>
              </w:rPr>
              <w:t>二氯苯</w:t>
            </w:r>
          </w:p>
        </w:tc>
        <w:tc>
          <w:tcPr>
            <w:tcW w:w="2760" w:type="dxa"/>
            <w:tcBorders>
              <w:tl2br w:val="nil"/>
              <w:tr2bl w:val="nil"/>
            </w:tcBorders>
          </w:tcPr>
          <w:p w14:paraId="5AFD9AE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w:t>
            </w:r>
          </w:p>
        </w:tc>
        <w:tc>
          <w:tcPr>
            <w:tcW w:w="2160" w:type="dxa"/>
            <w:tcBorders>
              <w:tl2br w:val="nil"/>
              <w:tr2bl w:val="nil"/>
            </w:tcBorders>
          </w:tcPr>
          <w:p w14:paraId="4E2D82D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200</w:t>
            </w:r>
          </w:p>
        </w:tc>
      </w:tr>
      <w:tr w14:paraId="4932E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7C3F5C1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30</w:t>
            </w:r>
          </w:p>
        </w:tc>
        <w:tc>
          <w:tcPr>
            <w:tcW w:w="2345" w:type="dxa"/>
            <w:tcBorders>
              <w:tl2br w:val="nil"/>
              <w:tr2bl w:val="nil"/>
            </w:tcBorders>
          </w:tcPr>
          <w:p w14:paraId="25BC04F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乙苯</w:t>
            </w:r>
          </w:p>
        </w:tc>
        <w:tc>
          <w:tcPr>
            <w:tcW w:w="2760" w:type="dxa"/>
            <w:tcBorders>
              <w:tl2br w:val="nil"/>
              <w:tr2bl w:val="nil"/>
            </w:tcBorders>
          </w:tcPr>
          <w:p w14:paraId="39175D4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w:t>
            </w:r>
          </w:p>
        </w:tc>
        <w:tc>
          <w:tcPr>
            <w:tcW w:w="2160" w:type="dxa"/>
            <w:tcBorders>
              <w:tl2br w:val="nil"/>
              <w:tr2bl w:val="nil"/>
            </w:tcBorders>
          </w:tcPr>
          <w:p w14:paraId="50618B8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280</w:t>
            </w:r>
          </w:p>
        </w:tc>
      </w:tr>
      <w:tr w14:paraId="23934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4132C31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31</w:t>
            </w:r>
          </w:p>
        </w:tc>
        <w:tc>
          <w:tcPr>
            <w:tcW w:w="2345" w:type="dxa"/>
            <w:tcBorders>
              <w:tl2br w:val="nil"/>
              <w:tr2bl w:val="nil"/>
            </w:tcBorders>
          </w:tcPr>
          <w:p w14:paraId="5372E27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苯乙烯</w:t>
            </w:r>
          </w:p>
        </w:tc>
        <w:tc>
          <w:tcPr>
            <w:tcW w:w="2760" w:type="dxa"/>
            <w:tcBorders>
              <w:tl2br w:val="nil"/>
              <w:tr2bl w:val="nil"/>
            </w:tcBorders>
          </w:tcPr>
          <w:p w14:paraId="7966769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1290</w:t>
            </w:r>
          </w:p>
        </w:tc>
        <w:tc>
          <w:tcPr>
            <w:tcW w:w="2160" w:type="dxa"/>
            <w:tcBorders>
              <w:tl2br w:val="nil"/>
              <w:tr2bl w:val="nil"/>
            </w:tcBorders>
          </w:tcPr>
          <w:p w14:paraId="6ADFB79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1290</w:t>
            </w:r>
          </w:p>
        </w:tc>
      </w:tr>
      <w:tr w14:paraId="6F079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64E929A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32</w:t>
            </w:r>
          </w:p>
        </w:tc>
        <w:tc>
          <w:tcPr>
            <w:tcW w:w="2345" w:type="dxa"/>
            <w:tcBorders>
              <w:tl2br w:val="nil"/>
              <w:tr2bl w:val="nil"/>
            </w:tcBorders>
          </w:tcPr>
          <w:p w14:paraId="5FEFBC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甲苯</w:t>
            </w:r>
          </w:p>
        </w:tc>
        <w:tc>
          <w:tcPr>
            <w:tcW w:w="2760" w:type="dxa"/>
            <w:tcBorders>
              <w:tl2br w:val="nil"/>
              <w:tr2bl w:val="nil"/>
            </w:tcBorders>
          </w:tcPr>
          <w:p w14:paraId="0B2E4CC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1200</w:t>
            </w:r>
          </w:p>
        </w:tc>
        <w:tc>
          <w:tcPr>
            <w:tcW w:w="2160" w:type="dxa"/>
            <w:tcBorders>
              <w:tl2br w:val="nil"/>
              <w:tr2bl w:val="nil"/>
            </w:tcBorders>
          </w:tcPr>
          <w:p w14:paraId="0A44088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1200</w:t>
            </w:r>
          </w:p>
        </w:tc>
      </w:tr>
      <w:tr w14:paraId="08F830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128B1C6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33</w:t>
            </w:r>
          </w:p>
        </w:tc>
        <w:tc>
          <w:tcPr>
            <w:tcW w:w="2345" w:type="dxa"/>
            <w:tcBorders>
              <w:tl2br w:val="nil"/>
              <w:tr2bl w:val="nil"/>
            </w:tcBorders>
          </w:tcPr>
          <w:p w14:paraId="7DCD381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间二甲苯</w:t>
            </w:r>
            <w:r>
              <w:rPr>
                <w:rFonts w:eastAsia="宋体"/>
                <w:snapToGrid/>
                <w:color w:val="auto"/>
              </w:rPr>
              <w:t>+</w:t>
            </w:r>
            <w:r>
              <w:rPr>
                <w:rFonts w:eastAsia="宋体" w:cs="宋体"/>
                <w:snapToGrid/>
                <w:color w:val="auto"/>
              </w:rPr>
              <w:t>对二甲苯</w:t>
            </w:r>
          </w:p>
        </w:tc>
        <w:tc>
          <w:tcPr>
            <w:tcW w:w="2760" w:type="dxa"/>
            <w:tcBorders>
              <w:tl2br w:val="nil"/>
              <w:tr2bl w:val="nil"/>
            </w:tcBorders>
          </w:tcPr>
          <w:p w14:paraId="44EEA02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570</w:t>
            </w:r>
          </w:p>
        </w:tc>
        <w:tc>
          <w:tcPr>
            <w:tcW w:w="2160" w:type="dxa"/>
            <w:tcBorders>
              <w:tl2br w:val="nil"/>
              <w:tr2bl w:val="nil"/>
            </w:tcBorders>
          </w:tcPr>
          <w:p w14:paraId="1183D11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570</w:t>
            </w:r>
          </w:p>
        </w:tc>
      </w:tr>
      <w:tr w14:paraId="77331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345CEE4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34</w:t>
            </w:r>
          </w:p>
        </w:tc>
        <w:tc>
          <w:tcPr>
            <w:tcW w:w="2345" w:type="dxa"/>
            <w:tcBorders>
              <w:tl2br w:val="nil"/>
              <w:tr2bl w:val="nil"/>
            </w:tcBorders>
          </w:tcPr>
          <w:p w14:paraId="6C2D57D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邻二甲苯</w:t>
            </w:r>
          </w:p>
        </w:tc>
        <w:tc>
          <w:tcPr>
            <w:tcW w:w="2760" w:type="dxa"/>
            <w:tcBorders>
              <w:tl2br w:val="nil"/>
              <w:tr2bl w:val="nil"/>
            </w:tcBorders>
          </w:tcPr>
          <w:p w14:paraId="22904C6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640</w:t>
            </w:r>
          </w:p>
        </w:tc>
        <w:tc>
          <w:tcPr>
            <w:tcW w:w="2160" w:type="dxa"/>
            <w:tcBorders>
              <w:tl2br w:val="nil"/>
              <w:tr2bl w:val="nil"/>
            </w:tcBorders>
          </w:tcPr>
          <w:p w14:paraId="14CF7E7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640</w:t>
            </w:r>
          </w:p>
        </w:tc>
      </w:tr>
      <w:tr w14:paraId="200CF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7E2FC5B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35</w:t>
            </w:r>
          </w:p>
        </w:tc>
        <w:tc>
          <w:tcPr>
            <w:tcW w:w="2345" w:type="dxa"/>
            <w:tcBorders>
              <w:tl2br w:val="nil"/>
              <w:tr2bl w:val="nil"/>
            </w:tcBorders>
          </w:tcPr>
          <w:p w14:paraId="09C06F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硝基苯</w:t>
            </w:r>
          </w:p>
        </w:tc>
        <w:tc>
          <w:tcPr>
            <w:tcW w:w="2760" w:type="dxa"/>
            <w:tcBorders>
              <w:tl2br w:val="nil"/>
              <w:tr2bl w:val="nil"/>
            </w:tcBorders>
          </w:tcPr>
          <w:p w14:paraId="368CA94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76</w:t>
            </w:r>
          </w:p>
        </w:tc>
        <w:tc>
          <w:tcPr>
            <w:tcW w:w="2160" w:type="dxa"/>
            <w:tcBorders>
              <w:tl2br w:val="nil"/>
              <w:tr2bl w:val="nil"/>
            </w:tcBorders>
          </w:tcPr>
          <w:p w14:paraId="4D46613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760</w:t>
            </w:r>
          </w:p>
        </w:tc>
      </w:tr>
      <w:tr w14:paraId="55107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2BA7BEE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36</w:t>
            </w:r>
          </w:p>
        </w:tc>
        <w:tc>
          <w:tcPr>
            <w:tcW w:w="2345" w:type="dxa"/>
            <w:tcBorders>
              <w:tl2br w:val="nil"/>
              <w:tr2bl w:val="nil"/>
            </w:tcBorders>
          </w:tcPr>
          <w:p w14:paraId="5D532A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苯胺</w:t>
            </w:r>
          </w:p>
        </w:tc>
        <w:tc>
          <w:tcPr>
            <w:tcW w:w="2760" w:type="dxa"/>
            <w:tcBorders>
              <w:tl2br w:val="nil"/>
              <w:tr2bl w:val="nil"/>
            </w:tcBorders>
          </w:tcPr>
          <w:p w14:paraId="5A959CB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260</w:t>
            </w:r>
          </w:p>
        </w:tc>
        <w:tc>
          <w:tcPr>
            <w:tcW w:w="2160" w:type="dxa"/>
            <w:tcBorders>
              <w:tl2br w:val="nil"/>
              <w:tr2bl w:val="nil"/>
            </w:tcBorders>
          </w:tcPr>
          <w:p w14:paraId="38A9618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663</w:t>
            </w:r>
          </w:p>
        </w:tc>
      </w:tr>
      <w:tr w14:paraId="254E2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74F1347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37</w:t>
            </w:r>
          </w:p>
        </w:tc>
        <w:tc>
          <w:tcPr>
            <w:tcW w:w="2345" w:type="dxa"/>
            <w:tcBorders>
              <w:tl2br w:val="nil"/>
              <w:tr2bl w:val="nil"/>
            </w:tcBorders>
          </w:tcPr>
          <w:p w14:paraId="6477BF7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2-</w:t>
            </w:r>
            <w:r>
              <w:rPr>
                <w:rFonts w:eastAsia="宋体" w:cs="宋体"/>
                <w:snapToGrid/>
                <w:color w:val="auto"/>
              </w:rPr>
              <w:t>氯酚</w:t>
            </w:r>
          </w:p>
        </w:tc>
        <w:tc>
          <w:tcPr>
            <w:tcW w:w="2760" w:type="dxa"/>
            <w:tcBorders>
              <w:tl2br w:val="nil"/>
              <w:tr2bl w:val="nil"/>
            </w:tcBorders>
          </w:tcPr>
          <w:p w14:paraId="60F8C4B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2256</w:t>
            </w:r>
          </w:p>
        </w:tc>
        <w:tc>
          <w:tcPr>
            <w:tcW w:w="2160" w:type="dxa"/>
            <w:tcBorders>
              <w:tl2br w:val="nil"/>
              <w:tr2bl w:val="nil"/>
            </w:tcBorders>
          </w:tcPr>
          <w:p w14:paraId="42A093A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4500</w:t>
            </w:r>
          </w:p>
        </w:tc>
      </w:tr>
      <w:tr w14:paraId="7EC11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425B54B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38</w:t>
            </w:r>
          </w:p>
        </w:tc>
        <w:tc>
          <w:tcPr>
            <w:tcW w:w="2345" w:type="dxa"/>
            <w:tcBorders>
              <w:tl2br w:val="nil"/>
              <w:tr2bl w:val="nil"/>
            </w:tcBorders>
          </w:tcPr>
          <w:p w14:paraId="44CD189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苯并〔</w:t>
            </w:r>
            <w:r>
              <w:rPr>
                <w:rFonts w:eastAsia="宋体"/>
                <w:snapToGrid/>
                <w:color w:val="auto"/>
              </w:rPr>
              <w:t>a</w:t>
            </w:r>
            <w:r>
              <w:rPr>
                <w:rFonts w:eastAsia="宋体" w:cs="宋体"/>
                <w:snapToGrid/>
                <w:color w:val="auto"/>
              </w:rPr>
              <w:t>〕蒽</w:t>
            </w:r>
          </w:p>
        </w:tc>
        <w:tc>
          <w:tcPr>
            <w:tcW w:w="2760" w:type="dxa"/>
            <w:tcBorders>
              <w:tl2br w:val="nil"/>
              <w:tr2bl w:val="nil"/>
            </w:tcBorders>
          </w:tcPr>
          <w:p w14:paraId="0B35303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160" w:type="dxa"/>
            <w:tcBorders>
              <w:tl2br w:val="nil"/>
              <w:tr2bl w:val="nil"/>
            </w:tcBorders>
          </w:tcPr>
          <w:p w14:paraId="1287CC9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151</w:t>
            </w:r>
          </w:p>
        </w:tc>
      </w:tr>
      <w:tr w14:paraId="61394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010" w:type="dxa"/>
            <w:tcBorders>
              <w:tl2br w:val="nil"/>
              <w:tr2bl w:val="nil"/>
            </w:tcBorders>
          </w:tcPr>
          <w:p w14:paraId="51B1F26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39</w:t>
            </w:r>
          </w:p>
        </w:tc>
        <w:tc>
          <w:tcPr>
            <w:tcW w:w="2345" w:type="dxa"/>
            <w:tcBorders>
              <w:tl2br w:val="nil"/>
              <w:tr2bl w:val="nil"/>
            </w:tcBorders>
          </w:tcPr>
          <w:p w14:paraId="32AC8CEB">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苯并〔</w:t>
            </w:r>
            <w:r>
              <w:rPr>
                <w:rFonts w:eastAsia="宋体"/>
                <w:snapToGrid/>
                <w:color w:val="auto"/>
              </w:rPr>
              <w:t>a</w:t>
            </w:r>
            <w:r>
              <w:rPr>
                <w:rFonts w:eastAsia="宋体" w:cs="宋体"/>
                <w:snapToGrid/>
                <w:color w:val="auto"/>
              </w:rPr>
              <w:t>〕芘</w:t>
            </w:r>
          </w:p>
        </w:tc>
        <w:tc>
          <w:tcPr>
            <w:tcW w:w="2760" w:type="dxa"/>
            <w:tcBorders>
              <w:tl2br w:val="nil"/>
              <w:tr2bl w:val="nil"/>
            </w:tcBorders>
          </w:tcPr>
          <w:p w14:paraId="20A6DBC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160" w:type="dxa"/>
            <w:tcBorders>
              <w:tl2br w:val="nil"/>
              <w:tr2bl w:val="nil"/>
            </w:tcBorders>
          </w:tcPr>
          <w:p w14:paraId="3C49406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r>
      <w:tr w14:paraId="571DB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6DCF0E6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40</w:t>
            </w:r>
          </w:p>
        </w:tc>
        <w:tc>
          <w:tcPr>
            <w:tcW w:w="2345" w:type="dxa"/>
            <w:tcBorders>
              <w:tl2br w:val="nil"/>
              <w:tr2bl w:val="nil"/>
            </w:tcBorders>
          </w:tcPr>
          <w:p w14:paraId="3B68ACC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苯并〔</w:t>
            </w:r>
            <w:r>
              <w:rPr>
                <w:rFonts w:eastAsia="宋体"/>
                <w:snapToGrid/>
                <w:color w:val="auto"/>
              </w:rPr>
              <w:t>b</w:t>
            </w:r>
            <w:r>
              <w:rPr>
                <w:rFonts w:eastAsia="宋体" w:cs="宋体"/>
                <w:snapToGrid/>
                <w:color w:val="auto"/>
              </w:rPr>
              <w:t>〕荧蒽</w:t>
            </w:r>
          </w:p>
        </w:tc>
        <w:tc>
          <w:tcPr>
            <w:tcW w:w="2760" w:type="dxa"/>
            <w:tcBorders>
              <w:tl2br w:val="nil"/>
              <w:tr2bl w:val="nil"/>
            </w:tcBorders>
          </w:tcPr>
          <w:p w14:paraId="39BA52F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160" w:type="dxa"/>
            <w:tcBorders>
              <w:tl2br w:val="nil"/>
              <w:tr2bl w:val="nil"/>
            </w:tcBorders>
          </w:tcPr>
          <w:p w14:paraId="3C0CEE4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151</w:t>
            </w:r>
          </w:p>
        </w:tc>
      </w:tr>
      <w:tr w14:paraId="0CB4C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2AFCFCE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41</w:t>
            </w:r>
          </w:p>
        </w:tc>
        <w:tc>
          <w:tcPr>
            <w:tcW w:w="2345" w:type="dxa"/>
            <w:tcBorders>
              <w:tl2br w:val="nil"/>
              <w:tr2bl w:val="nil"/>
            </w:tcBorders>
          </w:tcPr>
          <w:p w14:paraId="467ECC0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苯并〔</w:t>
            </w:r>
            <w:r>
              <w:rPr>
                <w:rFonts w:eastAsia="宋体"/>
                <w:snapToGrid/>
                <w:color w:val="auto"/>
              </w:rPr>
              <w:t>k</w:t>
            </w:r>
            <w:r>
              <w:rPr>
                <w:rFonts w:eastAsia="宋体" w:cs="宋体"/>
                <w:snapToGrid/>
                <w:color w:val="auto"/>
              </w:rPr>
              <w:t>〕荧蒽</w:t>
            </w:r>
          </w:p>
        </w:tc>
        <w:tc>
          <w:tcPr>
            <w:tcW w:w="2760" w:type="dxa"/>
            <w:tcBorders>
              <w:tl2br w:val="nil"/>
              <w:tr2bl w:val="nil"/>
            </w:tcBorders>
          </w:tcPr>
          <w:p w14:paraId="09655B5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151</w:t>
            </w:r>
          </w:p>
        </w:tc>
        <w:tc>
          <w:tcPr>
            <w:tcW w:w="2160" w:type="dxa"/>
            <w:tcBorders>
              <w:tl2br w:val="nil"/>
              <w:tr2bl w:val="nil"/>
            </w:tcBorders>
          </w:tcPr>
          <w:p w14:paraId="106EFB8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1500</w:t>
            </w:r>
          </w:p>
        </w:tc>
      </w:tr>
      <w:tr w14:paraId="6D8DF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0E57838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42</w:t>
            </w:r>
          </w:p>
        </w:tc>
        <w:tc>
          <w:tcPr>
            <w:tcW w:w="2345" w:type="dxa"/>
            <w:tcBorders>
              <w:tl2br w:val="nil"/>
              <w:tr2bl w:val="nil"/>
            </w:tcBorders>
          </w:tcPr>
          <w:p w14:paraId="4E5E75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䓛</w:t>
            </w:r>
          </w:p>
        </w:tc>
        <w:tc>
          <w:tcPr>
            <w:tcW w:w="2760" w:type="dxa"/>
            <w:tcBorders>
              <w:tl2br w:val="nil"/>
              <w:tr2bl w:val="nil"/>
            </w:tcBorders>
          </w:tcPr>
          <w:p w14:paraId="18C3934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1293</w:t>
            </w:r>
          </w:p>
        </w:tc>
        <w:tc>
          <w:tcPr>
            <w:tcW w:w="2160" w:type="dxa"/>
            <w:tcBorders>
              <w:tl2br w:val="nil"/>
              <w:tr2bl w:val="nil"/>
            </w:tcBorders>
          </w:tcPr>
          <w:p w14:paraId="21F5CB8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12900</w:t>
            </w:r>
          </w:p>
        </w:tc>
      </w:tr>
      <w:tr w14:paraId="0B7B9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7A6A18B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43</w:t>
            </w:r>
          </w:p>
        </w:tc>
        <w:tc>
          <w:tcPr>
            <w:tcW w:w="2345" w:type="dxa"/>
            <w:tcBorders>
              <w:tl2br w:val="nil"/>
              <w:tr2bl w:val="nil"/>
            </w:tcBorders>
          </w:tcPr>
          <w:p w14:paraId="53424EF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二苯并〔</w:t>
            </w:r>
            <w:r>
              <w:rPr>
                <w:rFonts w:eastAsia="宋体"/>
                <w:snapToGrid/>
                <w:color w:val="auto"/>
              </w:rPr>
              <w:t>a</w:t>
            </w:r>
            <w:r>
              <w:rPr>
                <w:rFonts w:hint="eastAsia" w:eastAsia="宋体"/>
                <w:snapToGrid/>
                <w:color w:val="auto"/>
                <w:lang w:eastAsia="zh-CN"/>
              </w:rPr>
              <w:t>，</w:t>
            </w:r>
            <w:r>
              <w:rPr>
                <w:rFonts w:eastAsia="宋体"/>
                <w:snapToGrid/>
                <w:color w:val="auto"/>
              </w:rPr>
              <w:t>h</w:t>
            </w:r>
            <w:r>
              <w:rPr>
                <w:rFonts w:eastAsia="宋体" w:cs="宋体"/>
                <w:snapToGrid/>
                <w:color w:val="auto"/>
              </w:rPr>
              <w:t>〕蒽</w:t>
            </w:r>
          </w:p>
        </w:tc>
        <w:tc>
          <w:tcPr>
            <w:tcW w:w="2760" w:type="dxa"/>
            <w:tcBorders>
              <w:tl2br w:val="nil"/>
              <w:tr2bl w:val="nil"/>
            </w:tcBorders>
          </w:tcPr>
          <w:p w14:paraId="31DD102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160" w:type="dxa"/>
            <w:tcBorders>
              <w:tl2br w:val="nil"/>
              <w:tr2bl w:val="nil"/>
            </w:tcBorders>
          </w:tcPr>
          <w:p w14:paraId="08C1BCF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r>
      <w:tr w14:paraId="442F1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10" w:type="dxa"/>
            <w:tcBorders>
              <w:tl2br w:val="nil"/>
              <w:tr2bl w:val="nil"/>
            </w:tcBorders>
          </w:tcPr>
          <w:p w14:paraId="1EB4A26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44</w:t>
            </w:r>
          </w:p>
        </w:tc>
        <w:tc>
          <w:tcPr>
            <w:tcW w:w="2345" w:type="dxa"/>
            <w:tcBorders>
              <w:tl2br w:val="nil"/>
              <w:tr2bl w:val="nil"/>
            </w:tcBorders>
          </w:tcPr>
          <w:p w14:paraId="12C6E538">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茚并〔</w:t>
            </w:r>
            <w:r>
              <w:rPr>
                <w:rFonts w:eastAsia="宋体"/>
                <w:snapToGrid/>
                <w:color w:val="auto"/>
              </w:rPr>
              <w:t>1</w:t>
            </w:r>
            <w:r>
              <w:rPr>
                <w:rFonts w:hint="eastAsia" w:eastAsia="宋体"/>
                <w:snapToGrid/>
                <w:color w:val="auto"/>
                <w:lang w:eastAsia="zh-CN"/>
              </w:rPr>
              <w:t>，</w:t>
            </w:r>
            <w:r>
              <w:rPr>
                <w:rFonts w:eastAsia="宋体"/>
                <w:snapToGrid/>
                <w:color w:val="auto"/>
              </w:rPr>
              <w:t>2</w:t>
            </w:r>
            <w:r>
              <w:rPr>
                <w:rFonts w:hint="eastAsia" w:eastAsia="宋体"/>
                <w:snapToGrid/>
                <w:color w:val="auto"/>
                <w:lang w:eastAsia="zh-CN"/>
              </w:rPr>
              <w:t>，</w:t>
            </w:r>
            <w:r>
              <w:rPr>
                <w:rFonts w:eastAsia="宋体"/>
                <w:snapToGrid/>
                <w:color w:val="auto"/>
              </w:rPr>
              <w:t>3-cd</w:t>
            </w:r>
            <w:r>
              <w:rPr>
                <w:rFonts w:eastAsia="宋体" w:cs="宋体"/>
                <w:snapToGrid/>
                <w:color w:val="auto"/>
              </w:rPr>
              <w:t>〕芘</w:t>
            </w:r>
          </w:p>
        </w:tc>
        <w:tc>
          <w:tcPr>
            <w:tcW w:w="2760" w:type="dxa"/>
            <w:tcBorders>
              <w:tl2br w:val="nil"/>
              <w:tr2bl w:val="nil"/>
            </w:tcBorders>
          </w:tcPr>
          <w:p w14:paraId="735457B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2160" w:type="dxa"/>
            <w:tcBorders>
              <w:tl2br w:val="nil"/>
              <w:tr2bl w:val="nil"/>
            </w:tcBorders>
          </w:tcPr>
          <w:p w14:paraId="05B6783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151</w:t>
            </w:r>
          </w:p>
        </w:tc>
      </w:tr>
      <w:tr w14:paraId="7EEE6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10" w:type="dxa"/>
            <w:tcBorders>
              <w:tl2br w:val="nil"/>
              <w:tr2bl w:val="nil"/>
            </w:tcBorders>
          </w:tcPr>
          <w:p w14:paraId="5D21EFE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45</w:t>
            </w:r>
          </w:p>
        </w:tc>
        <w:tc>
          <w:tcPr>
            <w:tcW w:w="2345" w:type="dxa"/>
            <w:tcBorders>
              <w:tl2br w:val="nil"/>
              <w:tr2bl w:val="nil"/>
            </w:tcBorders>
          </w:tcPr>
          <w:p w14:paraId="79FE147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萘</w:t>
            </w:r>
          </w:p>
        </w:tc>
        <w:tc>
          <w:tcPr>
            <w:tcW w:w="2760" w:type="dxa"/>
            <w:tcBorders>
              <w:tl2br w:val="nil"/>
              <w:tr2bl w:val="nil"/>
            </w:tcBorders>
          </w:tcPr>
          <w:p w14:paraId="2363EA0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70</w:t>
            </w:r>
          </w:p>
        </w:tc>
        <w:tc>
          <w:tcPr>
            <w:tcW w:w="2160" w:type="dxa"/>
            <w:tcBorders>
              <w:tl2br w:val="nil"/>
              <w:tr2bl w:val="nil"/>
            </w:tcBorders>
          </w:tcPr>
          <w:p w14:paraId="4B14FB0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700</w:t>
            </w:r>
          </w:p>
        </w:tc>
      </w:tr>
    </w:tbl>
    <w:p w14:paraId="1A57F633">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198" w:name="_Toc20998"/>
      <w:bookmarkStart w:id="199" w:name="_Toc6894"/>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"C:\\Users\\jobezho\\AppData\\Local\\Temp\\Rar$DIa13476.12779\\2.4.2.2"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2.4.2.2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污染物排放标准</w:t>
      </w:r>
      <w:bookmarkEnd w:id="198"/>
      <w:bookmarkEnd w:id="199"/>
    </w:p>
    <w:p w14:paraId="3B8CD33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200" w:name="_Toc23304"/>
      <w:bookmarkStart w:id="201" w:name="_Toc18917"/>
      <w:bookmarkStart w:id="202" w:name="_Toc13051"/>
      <w:bookmarkStart w:id="203" w:name="_Toc30614"/>
      <w:r>
        <w:rPr>
          <w:rFonts w:ascii="Times New Roman" w:hAnsi="Times New Roman"/>
          <w:snapToGrid/>
          <w:color w:val="auto"/>
          <w:sz w:val="24"/>
          <w:szCs w:val="24"/>
        </w:rPr>
        <w:t>（</w:t>
      </w:r>
      <w:r>
        <w:rPr>
          <w:rFonts w:ascii="Times New Roman" w:hAnsi="Times New Roman" w:cs="Times New Roman"/>
          <w:snapToGrid/>
          <w:color w:val="auto"/>
          <w:sz w:val="24"/>
          <w:szCs w:val="24"/>
        </w:rPr>
        <w:t>1</w:t>
      </w:r>
      <w:r>
        <w:rPr>
          <w:rFonts w:ascii="Times New Roman" w:hAnsi="Times New Roman"/>
          <w:snapToGrid/>
          <w:color w:val="auto"/>
          <w:sz w:val="24"/>
          <w:szCs w:val="24"/>
        </w:rPr>
        <w:t>）废气</w:t>
      </w:r>
      <w:bookmarkEnd w:id="200"/>
      <w:bookmarkEnd w:id="201"/>
      <w:bookmarkEnd w:id="202"/>
      <w:bookmarkEnd w:id="203"/>
    </w:p>
    <w:p w14:paraId="2490239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根据本项目废气排放特征，废旧滴灌带造粒工序及滴灌带生产过程挤出成型工序有组织废气非甲烷总烃、颗粒物执行《合成树脂工业污染物排放标准》（</w:t>
      </w:r>
      <w:r>
        <w:rPr>
          <w:rFonts w:hint="eastAsia" w:ascii="Times New Roman" w:hAnsi="Times New Roman"/>
          <w:snapToGrid/>
          <w:color w:val="auto"/>
          <w:sz w:val="24"/>
          <w:szCs w:val="24"/>
          <w:lang w:eastAsia="zh-CN"/>
        </w:rPr>
        <w:t>GB 31572-2015，含2024年修改单</w:t>
      </w:r>
      <w:r>
        <w:rPr>
          <w:rFonts w:ascii="Times New Roman" w:hAnsi="Times New Roman"/>
          <w:snapToGrid/>
          <w:color w:val="auto"/>
          <w:sz w:val="24"/>
          <w:szCs w:val="24"/>
          <w:lang w:eastAsia="zh-CN"/>
        </w:rPr>
        <w:t>）表</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中排放限值；</w:t>
      </w:r>
    </w:p>
    <w:p w14:paraId="48B2820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厂界无组织</w:t>
      </w:r>
      <w:r>
        <w:rPr>
          <w:rFonts w:ascii="Times New Roman" w:hAnsi="Times New Roman" w:cs="Times New Roman"/>
          <w:snapToGrid/>
          <w:color w:val="auto"/>
          <w:sz w:val="24"/>
          <w:szCs w:val="24"/>
          <w:lang w:eastAsia="zh-CN"/>
        </w:rPr>
        <w:t>VOC</w:t>
      </w:r>
      <w:r>
        <w:rPr>
          <w:rFonts w:ascii="Times New Roman" w:hAnsi="Times New Roman" w:cs="Times New Roman"/>
          <w:snapToGrid/>
          <w:color w:val="auto"/>
          <w:sz w:val="24"/>
          <w:szCs w:val="16"/>
          <w:lang w:eastAsia="zh-CN"/>
        </w:rPr>
        <w:t>s</w:t>
      </w:r>
      <w:r>
        <w:rPr>
          <w:rFonts w:ascii="Times New Roman" w:hAnsi="Times New Roman"/>
          <w:snapToGrid/>
          <w:color w:val="auto"/>
          <w:sz w:val="24"/>
          <w:szCs w:val="24"/>
          <w:lang w:eastAsia="zh-CN"/>
        </w:rPr>
        <w:t>、颗粒物浓度执行</w:t>
      </w:r>
      <w:r>
        <w:rPr>
          <w:rFonts w:hint="eastAsia" w:ascii="Times New Roman" w:hAnsi="Times New Roman"/>
          <w:snapToGrid/>
          <w:color w:val="auto"/>
          <w:sz w:val="24"/>
          <w:szCs w:val="24"/>
          <w:lang w:eastAsia="zh-CN"/>
        </w:rPr>
        <w:t>《合成树脂工业污染物排放标准》（GB 31572-2015，含2024年修改单）</w:t>
      </w:r>
      <w:r>
        <w:rPr>
          <w:rFonts w:ascii="Times New Roman" w:hAnsi="Times New Roman"/>
          <w:snapToGrid/>
          <w:color w:val="auto"/>
          <w:sz w:val="24"/>
          <w:szCs w:val="24"/>
          <w:lang w:eastAsia="zh-CN"/>
        </w:rPr>
        <w:t>表</w:t>
      </w:r>
      <w:r>
        <w:rPr>
          <w:rFonts w:ascii="Times New Roman" w:hAnsi="Times New Roman" w:cs="Times New Roman"/>
          <w:snapToGrid/>
          <w:color w:val="auto"/>
          <w:sz w:val="24"/>
          <w:szCs w:val="24"/>
          <w:lang w:eastAsia="zh-CN"/>
        </w:rPr>
        <w:t>9</w:t>
      </w:r>
      <w:r>
        <w:rPr>
          <w:rFonts w:ascii="Times New Roman" w:hAnsi="Times New Roman"/>
          <w:snapToGrid/>
          <w:color w:val="auto"/>
          <w:sz w:val="24"/>
          <w:szCs w:val="24"/>
          <w:lang w:eastAsia="zh-CN"/>
        </w:rPr>
        <w:t>企业边界大气污染物浓度限值；</w:t>
      </w:r>
    </w:p>
    <w:p w14:paraId="0332C0B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lang w:eastAsia="zh-CN"/>
        </w:rPr>
      </w:pPr>
      <w:r>
        <w:rPr>
          <w:rFonts w:ascii="Times New Roman" w:hAnsi="Times New Roman"/>
          <w:snapToGrid/>
          <w:color w:val="auto"/>
          <w:sz w:val="24"/>
          <w:szCs w:val="24"/>
          <w:lang w:eastAsia="zh-CN"/>
        </w:rPr>
        <w:t>厂区内</w:t>
      </w:r>
      <w:r>
        <w:rPr>
          <w:rFonts w:ascii="Times New Roman" w:hAnsi="Times New Roman" w:cs="Times New Roman"/>
          <w:snapToGrid/>
          <w:color w:val="auto"/>
          <w:sz w:val="24"/>
          <w:szCs w:val="24"/>
          <w:lang w:eastAsia="zh-CN"/>
        </w:rPr>
        <w:t>VOCs</w:t>
      </w:r>
      <w:r>
        <w:rPr>
          <w:rFonts w:ascii="Times New Roman" w:hAnsi="Times New Roman"/>
          <w:snapToGrid/>
          <w:color w:val="auto"/>
          <w:sz w:val="24"/>
          <w:szCs w:val="24"/>
          <w:lang w:eastAsia="zh-CN"/>
        </w:rPr>
        <w:t>浓度满足《挥发性有机物无组织排放控制标准》（</w:t>
      </w:r>
      <w:r>
        <w:rPr>
          <w:rFonts w:ascii="Times New Roman" w:hAnsi="Times New Roman" w:cs="Times New Roman"/>
          <w:snapToGrid/>
          <w:color w:val="auto"/>
          <w:sz w:val="24"/>
          <w:szCs w:val="24"/>
          <w:lang w:eastAsia="zh-CN"/>
        </w:rPr>
        <w:t>GB37822-2019</w:t>
      </w:r>
      <w:r>
        <w:rPr>
          <w:rFonts w:ascii="Times New Roman" w:hAnsi="Times New Roman"/>
          <w:snapToGrid/>
          <w:color w:val="auto"/>
          <w:sz w:val="24"/>
          <w:szCs w:val="24"/>
          <w:lang w:eastAsia="zh-CN"/>
        </w:rPr>
        <w:t>）中排放限值；</w:t>
      </w:r>
    </w:p>
    <w:p w14:paraId="4D17666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油烟执行《饮食业油烟排放标准》（</w:t>
      </w:r>
      <w:r>
        <w:rPr>
          <w:rFonts w:ascii="Times New Roman" w:hAnsi="Times New Roman" w:cs="Times New Roman"/>
          <w:snapToGrid/>
          <w:color w:val="auto"/>
          <w:sz w:val="24"/>
          <w:szCs w:val="24"/>
          <w:lang w:eastAsia="zh-CN"/>
        </w:rPr>
        <w:t>GB18483-2001</w:t>
      </w:r>
      <w:r>
        <w:rPr>
          <w:rFonts w:ascii="Times New Roman" w:hAnsi="Times New Roman"/>
          <w:snapToGrid/>
          <w:color w:val="auto"/>
          <w:sz w:val="24"/>
          <w:szCs w:val="24"/>
          <w:lang w:eastAsia="zh-CN"/>
        </w:rPr>
        <w:t>）表</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小型饮食业单位油烟最高允许排放浓度、净化设施最低去除效率要求。</w:t>
      </w:r>
      <w:r>
        <w:rPr>
          <w:rFonts w:hint="eastAsia" w:ascii="Times New Roman" w:hAnsi="Times New Roman"/>
          <w:snapToGrid/>
          <w:color w:val="auto"/>
          <w:sz w:val="24"/>
          <w:szCs w:val="24"/>
          <w:lang w:eastAsia="zh-CN"/>
        </w:rPr>
        <w:t>臭气浓度、</w:t>
      </w:r>
      <w:r>
        <w:rPr>
          <w:rFonts w:hint="eastAsia" w:ascii="Times New Roman" w:hAnsi="Times New Roman"/>
          <w:snapToGrid/>
          <w:color w:val="auto"/>
          <w:sz w:val="24"/>
          <w:szCs w:val="24"/>
          <w:lang w:val="en-US" w:eastAsia="zh-CN"/>
        </w:rPr>
        <w:t>恶臭</w:t>
      </w:r>
      <w:r>
        <w:rPr>
          <w:rFonts w:hint="eastAsia" w:ascii="Times New Roman" w:hAnsi="Times New Roman"/>
          <w:snapToGrid/>
          <w:color w:val="auto"/>
          <w:sz w:val="24"/>
          <w:szCs w:val="24"/>
          <w:lang w:eastAsia="zh-CN"/>
        </w:rPr>
        <w:t>执行《恶臭污染物排放标准》（</w:t>
      </w:r>
      <w:r>
        <w:rPr>
          <w:rFonts w:ascii="Times New Roman" w:hAnsi="Times New Roman"/>
          <w:snapToGrid/>
          <w:color w:val="auto"/>
          <w:sz w:val="24"/>
          <w:szCs w:val="24"/>
          <w:lang w:eastAsia="zh-CN"/>
        </w:rPr>
        <w:t>GB14554-93</w:t>
      </w:r>
      <w:r>
        <w:rPr>
          <w:rFonts w:hint="eastAsia" w:ascii="Times New Roman" w:hAnsi="Times New Roman"/>
          <w:snapToGrid/>
          <w:color w:val="auto"/>
          <w:sz w:val="24"/>
          <w:szCs w:val="24"/>
          <w:lang w:eastAsia="zh-CN"/>
        </w:rPr>
        <w:t>）中限值</w:t>
      </w:r>
      <w:r>
        <w:rPr>
          <w:rFonts w:ascii="Times New Roman" w:hAnsi="Times New Roman"/>
          <w:snapToGrid/>
          <w:color w:val="auto"/>
          <w:sz w:val="24"/>
          <w:szCs w:val="24"/>
          <w:lang w:eastAsia="zh-CN"/>
        </w:rPr>
        <w:t>。</w:t>
      </w:r>
    </w:p>
    <w:p w14:paraId="15C11D7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废气污染物排放执行标准值见表</w:t>
      </w:r>
      <w:r>
        <w:rPr>
          <w:rFonts w:ascii="Times New Roman" w:hAnsi="Times New Roman" w:cs="Times New Roman"/>
          <w:snapToGrid/>
          <w:color w:val="auto"/>
          <w:sz w:val="24"/>
          <w:szCs w:val="24"/>
          <w:lang w:eastAsia="zh-CN"/>
        </w:rPr>
        <w:t>2.4-6</w:t>
      </w:r>
      <w:r>
        <w:rPr>
          <w:rFonts w:ascii="Times New Roman" w:hAnsi="Times New Roman"/>
          <w:snapToGrid/>
          <w:color w:val="auto"/>
          <w:sz w:val="24"/>
          <w:szCs w:val="24"/>
          <w:lang w:eastAsia="zh-CN"/>
        </w:rPr>
        <w:t>。</w:t>
      </w:r>
    </w:p>
    <w:p w14:paraId="2C937196">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2.4-6大气污染物排放所执行的标准</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424"/>
        <w:gridCol w:w="1915"/>
        <w:gridCol w:w="4364"/>
      </w:tblGrid>
      <w:tr w14:paraId="4CD0C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22" w:type="pct"/>
            <w:gridSpan w:val="2"/>
            <w:tcBorders>
              <w:tl2br w:val="nil"/>
              <w:tr2bl w:val="nil"/>
            </w:tcBorders>
            <w:vAlign w:val="center"/>
          </w:tcPr>
          <w:p w14:paraId="2F7952C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污染物</w:t>
            </w:r>
          </w:p>
        </w:tc>
        <w:tc>
          <w:tcPr>
            <w:tcW w:w="1091" w:type="pct"/>
            <w:tcBorders>
              <w:tl2br w:val="nil"/>
              <w:tr2bl w:val="nil"/>
            </w:tcBorders>
            <w:vAlign w:val="center"/>
          </w:tcPr>
          <w:p w14:paraId="5C6A24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排放浓度</w:t>
            </w:r>
          </w:p>
        </w:tc>
        <w:tc>
          <w:tcPr>
            <w:tcW w:w="2486" w:type="pct"/>
            <w:tcBorders>
              <w:tl2br w:val="nil"/>
              <w:tr2bl w:val="nil"/>
            </w:tcBorders>
            <w:vAlign w:val="center"/>
          </w:tcPr>
          <w:p w14:paraId="6F0C7AD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标准来源</w:t>
            </w:r>
          </w:p>
        </w:tc>
      </w:tr>
      <w:tr w14:paraId="48761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1" w:type="pct"/>
            <w:vMerge w:val="restart"/>
            <w:tcBorders>
              <w:tl2br w:val="nil"/>
              <w:tr2bl w:val="nil"/>
            </w:tcBorders>
            <w:vAlign w:val="center"/>
          </w:tcPr>
          <w:p w14:paraId="7FD2C2A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有组织排放</w:t>
            </w:r>
          </w:p>
        </w:tc>
        <w:tc>
          <w:tcPr>
            <w:tcW w:w="811" w:type="pct"/>
            <w:tcBorders>
              <w:tl2br w:val="nil"/>
              <w:tr2bl w:val="nil"/>
            </w:tcBorders>
            <w:vAlign w:val="center"/>
          </w:tcPr>
          <w:p w14:paraId="538288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hint="eastAsia" w:ascii="Times New Roman" w:hAnsi="Times New Roman" w:eastAsia="宋体"/>
                <w:color w:val="auto"/>
              </w:rPr>
              <w:t>颗粒物</w:t>
            </w:r>
          </w:p>
        </w:tc>
        <w:tc>
          <w:tcPr>
            <w:tcW w:w="1091" w:type="pct"/>
            <w:tcBorders>
              <w:tl2br w:val="nil"/>
              <w:tr2bl w:val="nil"/>
            </w:tcBorders>
            <w:vAlign w:val="center"/>
          </w:tcPr>
          <w:p w14:paraId="51BECF8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hint="eastAsia" w:ascii="Times New Roman" w:hAnsi="Times New Roman" w:eastAsia="宋体"/>
                <w:color w:val="auto"/>
              </w:rPr>
              <w:t>30</w:t>
            </w:r>
            <w:r>
              <w:rPr>
                <w:rFonts w:ascii="Times New Roman" w:hAnsi="Times New Roman" w:eastAsia="宋体"/>
                <w:color w:val="auto"/>
              </w:rPr>
              <w:t>mg/m</w:t>
            </w:r>
            <w:r>
              <w:rPr>
                <w:rFonts w:ascii="Times New Roman" w:hAnsi="Times New Roman" w:eastAsia="宋体"/>
                <w:color w:val="auto"/>
                <w:vertAlign w:val="superscript"/>
              </w:rPr>
              <w:t>3</w:t>
            </w:r>
          </w:p>
        </w:tc>
        <w:tc>
          <w:tcPr>
            <w:tcW w:w="2486" w:type="pct"/>
            <w:vMerge w:val="restart"/>
            <w:tcBorders>
              <w:tl2br w:val="nil"/>
              <w:tr2bl w:val="nil"/>
            </w:tcBorders>
            <w:vAlign w:val="center"/>
          </w:tcPr>
          <w:p w14:paraId="202BB97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r>
              <w:rPr>
                <w:rFonts w:ascii="Times New Roman" w:hAnsi="Times New Roman" w:eastAsia="宋体"/>
                <w:color w:val="auto"/>
                <w:lang w:eastAsia="zh-CN"/>
              </w:rPr>
              <w:t>《合成树脂工业污染物排放标准》（</w:t>
            </w:r>
            <w:r>
              <w:rPr>
                <w:rFonts w:hint="eastAsia" w:ascii="Times New Roman" w:hAnsi="Times New Roman" w:eastAsia="宋体"/>
                <w:color w:val="auto"/>
                <w:lang w:eastAsia="zh-CN"/>
              </w:rPr>
              <w:t>GB 31572-2015，含2024年修改单</w:t>
            </w:r>
            <w:r>
              <w:rPr>
                <w:rFonts w:ascii="Times New Roman" w:hAnsi="Times New Roman" w:eastAsia="宋体"/>
                <w:color w:val="auto"/>
                <w:lang w:eastAsia="zh-CN"/>
              </w:rPr>
              <w:t>）表4中排放限值</w:t>
            </w:r>
          </w:p>
        </w:tc>
      </w:tr>
      <w:tr w14:paraId="30273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11" w:type="pct"/>
            <w:vMerge w:val="continue"/>
            <w:tcBorders>
              <w:tl2br w:val="nil"/>
              <w:tr2bl w:val="nil"/>
            </w:tcBorders>
            <w:vAlign w:val="center"/>
          </w:tcPr>
          <w:p w14:paraId="7468852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p>
        </w:tc>
        <w:tc>
          <w:tcPr>
            <w:tcW w:w="811" w:type="pct"/>
            <w:tcBorders>
              <w:tl2br w:val="nil"/>
              <w:tr2bl w:val="nil"/>
            </w:tcBorders>
            <w:vAlign w:val="center"/>
          </w:tcPr>
          <w:p w14:paraId="68C9A18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非甲烷总烃</w:t>
            </w:r>
          </w:p>
        </w:tc>
        <w:tc>
          <w:tcPr>
            <w:tcW w:w="1091" w:type="pct"/>
            <w:tcBorders>
              <w:tl2br w:val="nil"/>
              <w:tr2bl w:val="nil"/>
            </w:tcBorders>
            <w:vAlign w:val="center"/>
          </w:tcPr>
          <w:p w14:paraId="1A47A3D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100mg/m</w:t>
            </w:r>
            <w:r>
              <w:rPr>
                <w:rFonts w:ascii="Times New Roman" w:hAnsi="Times New Roman" w:eastAsia="宋体"/>
                <w:color w:val="auto"/>
                <w:vertAlign w:val="superscript"/>
              </w:rPr>
              <w:t>3</w:t>
            </w:r>
          </w:p>
        </w:tc>
        <w:tc>
          <w:tcPr>
            <w:tcW w:w="2486" w:type="pct"/>
            <w:vMerge w:val="continue"/>
            <w:tcBorders>
              <w:tl2br w:val="nil"/>
              <w:tr2bl w:val="nil"/>
            </w:tcBorders>
            <w:vAlign w:val="center"/>
          </w:tcPr>
          <w:p w14:paraId="496483F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p>
        </w:tc>
      </w:tr>
      <w:tr w14:paraId="24946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tblHeader/>
          <w:jc w:val="center"/>
        </w:trPr>
        <w:tc>
          <w:tcPr>
            <w:tcW w:w="611" w:type="pct"/>
            <w:vMerge w:val="restart"/>
            <w:tcBorders>
              <w:tl2br w:val="nil"/>
              <w:tr2bl w:val="nil"/>
            </w:tcBorders>
            <w:vAlign w:val="center"/>
          </w:tcPr>
          <w:p w14:paraId="40135EC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无组织排放</w:t>
            </w:r>
          </w:p>
        </w:tc>
        <w:tc>
          <w:tcPr>
            <w:tcW w:w="811" w:type="pct"/>
            <w:tcBorders>
              <w:tl2br w:val="nil"/>
              <w:tr2bl w:val="nil"/>
            </w:tcBorders>
            <w:vAlign w:val="center"/>
          </w:tcPr>
          <w:p w14:paraId="4229042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颗粒物</w:t>
            </w:r>
          </w:p>
        </w:tc>
        <w:tc>
          <w:tcPr>
            <w:tcW w:w="1091" w:type="pct"/>
            <w:tcBorders>
              <w:tl2br w:val="nil"/>
              <w:tr2bl w:val="nil"/>
            </w:tcBorders>
            <w:vAlign w:val="center"/>
          </w:tcPr>
          <w:p w14:paraId="3A90A3D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1.0mg/m</w:t>
            </w:r>
            <w:r>
              <w:rPr>
                <w:rFonts w:ascii="Times New Roman" w:hAnsi="Times New Roman" w:eastAsia="宋体"/>
                <w:color w:val="auto"/>
                <w:vertAlign w:val="superscript"/>
              </w:rPr>
              <w:t>3</w:t>
            </w:r>
          </w:p>
        </w:tc>
        <w:tc>
          <w:tcPr>
            <w:tcW w:w="2486" w:type="pct"/>
            <w:tcBorders>
              <w:tl2br w:val="nil"/>
              <w:tr2bl w:val="nil"/>
            </w:tcBorders>
            <w:vAlign w:val="center"/>
          </w:tcPr>
          <w:p w14:paraId="59EAED0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r>
              <w:rPr>
                <w:rFonts w:ascii="Times New Roman" w:hAnsi="Times New Roman" w:eastAsia="宋体"/>
                <w:color w:val="auto"/>
                <w:lang w:eastAsia="zh-CN"/>
              </w:rPr>
              <w:t>《合成树脂工业污染物排放标准》（</w:t>
            </w:r>
            <w:r>
              <w:rPr>
                <w:rFonts w:hint="eastAsia" w:ascii="Times New Roman" w:hAnsi="Times New Roman" w:eastAsia="宋体"/>
                <w:color w:val="auto"/>
                <w:lang w:eastAsia="zh-CN"/>
              </w:rPr>
              <w:t>GB 31572-2015，含2024年修改单</w:t>
            </w:r>
            <w:r>
              <w:rPr>
                <w:rFonts w:ascii="Times New Roman" w:hAnsi="Times New Roman" w:eastAsia="宋体"/>
                <w:color w:val="auto"/>
                <w:lang w:eastAsia="zh-CN"/>
              </w:rPr>
              <w:t>）</w:t>
            </w:r>
            <w:r>
              <w:rPr>
                <w:rFonts w:hint="default" w:ascii="Times New Roman" w:hAnsi="Times New Roman" w:eastAsia="宋体"/>
                <w:color w:val="auto"/>
                <w:lang w:eastAsia="zh-CN"/>
              </w:rPr>
              <w:t>表9</w:t>
            </w:r>
            <w:r>
              <w:rPr>
                <w:rFonts w:hint="eastAsia" w:ascii="Times New Roman" w:hAnsi="Times New Roman" w:eastAsia="宋体"/>
                <w:color w:val="auto"/>
                <w:lang w:val="en-US" w:eastAsia="zh-CN"/>
              </w:rPr>
              <w:t>企业边界大气污染物浓度限</w:t>
            </w:r>
            <w:r>
              <w:rPr>
                <w:rFonts w:ascii="Times New Roman" w:hAnsi="Times New Roman" w:eastAsia="宋体"/>
                <w:color w:val="auto"/>
                <w:lang w:eastAsia="zh-CN"/>
              </w:rPr>
              <w:t>值</w:t>
            </w:r>
          </w:p>
        </w:tc>
      </w:tr>
      <w:tr w14:paraId="54C36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1" w:type="pct"/>
            <w:vMerge w:val="continue"/>
            <w:tcBorders>
              <w:tl2br w:val="nil"/>
              <w:tr2bl w:val="nil"/>
            </w:tcBorders>
            <w:vAlign w:val="center"/>
          </w:tcPr>
          <w:p w14:paraId="6B8E596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p>
        </w:tc>
        <w:tc>
          <w:tcPr>
            <w:tcW w:w="811" w:type="pct"/>
            <w:vMerge w:val="restart"/>
            <w:tcBorders>
              <w:tl2br w:val="nil"/>
              <w:tr2bl w:val="nil"/>
            </w:tcBorders>
            <w:vAlign w:val="center"/>
          </w:tcPr>
          <w:p w14:paraId="4F09D46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非甲烷总烃</w:t>
            </w:r>
          </w:p>
        </w:tc>
        <w:tc>
          <w:tcPr>
            <w:tcW w:w="1091" w:type="pct"/>
            <w:tcBorders>
              <w:tl2br w:val="nil"/>
              <w:tr2bl w:val="nil"/>
            </w:tcBorders>
            <w:vAlign w:val="center"/>
          </w:tcPr>
          <w:p w14:paraId="4725A4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ascii="Times New Roman" w:hAnsi="Times New Roman" w:eastAsia="宋体"/>
                <w:color w:val="auto"/>
              </w:rPr>
              <w:t>4.0mg/m</w:t>
            </w:r>
            <w:r>
              <w:rPr>
                <w:rFonts w:ascii="Times New Roman" w:hAnsi="Times New Roman" w:eastAsia="宋体"/>
                <w:color w:val="auto"/>
                <w:vertAlign w:val="superscript"/>
              </w:rPr>
              <w:t>3</w:t>
            </w:r>
          </w:p>
        </w:tc>
        <w:tc>
          <w:tcPr>
            <w:tcW w:w="2486" w:type="pct"/>
            <w:tcBorders>
              <w:tl2br w:val="nil"/>
              <w:tr2bl w:val="nil"/>
            </w:tcBorders>
            <w:vAlign w:val="center"/>
          </w:tcPr>
          <w:p w14:paraId="0A2551E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r>
              <w:rPr>
                <w:rFonts w:hint="eastAsia" w:ascii="Times New Roman" w:hAnsi="Times New Roman" w:eastAsia="宋体"/>
                <w:color w:val="auto"/>
                <w:lang w:val="en-US" w:eastAsia="zh-CN"/>
              </w:rPr>
              <w:t>厂界无组织：</w:t>
            </w:r>
            <w:r>
              <w:rPr>
                <w:rFonts w:ascii="Times New Roman" w:hAnsi="Times New Roman" w:eastAsia="宋体"/>
                <w:color w:val="auto"/>
                <w:lang w:eastAsia="zh-CN"/>
              </w:rPr>
              <w:t>《合成树脂工业污染物排放标准》（</w:t>
            </w:r>
            <w:r>
              <w:rPr>
                <w:rFonts w:hint="eastAsia" w:ascii="Times New Roman" w:hAnsi="Times New Roman" w:eastAsia="宋体"/>
                <w:color w:val="auto"/>
                <w:lang w:eastAsia="zh-CN"/>
              </w:rPr>
              <w:t>GB 31572-2015，含2024年修改单</w:t>
            </w:r>
            <w:r>
              <w:rPr>
                <w:rFonts w:ascii="Times New Roman" w:hAnsi="Times New Roman" w:eastAsia="宋体"/>
                <w:color w:val="auto"/>
                <w:lang w:eastAsia="zh-CN"/>
              </w:rPr>
              <w:t>）</w:t>
            </w:r>
            <w:r>
              <w:rPr>
                <w:rFonts w:hint="default" w:ascii="Times New Roman" w:hAnsi="Times New Roman" w:eastAsia="宋体"/>
                <w:color w:val="auto"/>
                <w:lang w:eastAsia="zh-CN"/>
              </w:rPr>
              <w:t>表9</w:t>
            </w:r>
            <w:r>
              <w:rPr>
                <w:rFonts w:hint="eastAsia" w:ascii="Times New Roman" w:hAnsi="Times New Roman" w:eastAsia="宋体"/>
                <w:color w:val="auto"/>
                <w:lang w:val="en-US" w:eastAsia="zh-CN"/>
              </w:rPr>
              <w:t>企业边界大气污染物浓度限值</w:t>
            </w:r>
          </w:p>
        </w:tc>
      </w:tr>
      <w:tr w14:paraId="6706B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1" w:type="pct"/>
            <w:vMerge w:val="continue"/>
            <w:tcBorders>
              <w:tl2br w:val="nil"/>
              <w:tr2bl w:val="nil"/>
            </w:tcBorders>
            <w:vAlign w:val="center"/>
          </w:tcPr>
          <w:p w14:paraId="685CC5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p>
        </w:tc>
        <w:tc>
          <w:tcPr>
            <w:tcW w:w="811" w:type="pct"/>
            <w:vMerge w:val="continue"/>
            <w:tcBorders>
              <w:tl2br w:val="nil"/>
              <w:tr2bl w:val="nil"/>
            </w:tcBorders>
            <w:vAlign w:val="center"/>
          </w:tcPr>
          <w:p w14:paraId="4A085C9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p>
        </w:tc>
        <w:tc>
          <w:tcPr>
            <w:tcW w:w="1091" w:type="pct"/>
            <w:tcBorders>
              <w:tl2br w:val="nil"/>
              <w:tr2bl w:val="nil"/>
            </w:tcBorders>
            <w:vAlign w:val="center"/>
          </w:tcPr>
          <w:p w14:paraId="233F367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hint="eastAsia" w:ascii="Times New Roman" w:hAnsi="Times New Roman" w:eastAsia="宋体"/>
                <w:color w:val="auto"/>
                <w:lang w:val="en-US" w:eastAsia="zh-CN"/>
              </w:rPr>
              <w:t>监控点处1h平均浓度值10mg/m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，监控点处任意一次浓度值30mg/m</w:t>
            </w:r>
            <w:r>
              <w:rPr>
                <w:rFonts w:hint="eastAsia" w:ascii="Times New Roman" w:hAnsi="Times New Roman" w:eastAsia="宋体"/>
                <w:color w:val="auto"/>
                <w:vertAlign w:val="superscript"/>
                <w:lang w:val="en-US" w:eastAsia="zh-CN"/>
              </w:rPr>
              <w:t>3</w:t>
            </w:r>
          </w:p>
        </w:tc>
        <w:tc>
          <w:tcPr>
            <w:tcW w:w="2486" w:type="pct"/>
            <w:tcBorders>
              <w:tl2br w:val="nil"/>
              <w:tr2bl w:val="nil"/>
            </w:tcBorders>
            <w:vAlign w:val="center"/>
          </w:tcPr>
          <w:p w14:paraId="3E15D7D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r>
              <w:rPr>
                <w:rFonts w:hint="eastAsia" w:ascii="Times New Roman" w:hAnsi="Times New Roman" w:eastAsia="宋体"/>
                <w:color w:val="auto"/>
                <w:lang w:val="en-US" w:eastAsia="zh-CN"/>
              </w:rPr>
              <w:t>厂区内：《挥发性有机物无组织排放控制标准》（GB37822-2019）表A.1厂区内VOCs无组织排放限值要求</w:t>
            </w:r>
          </w:p>
        </w:tc>
      </w:tr>
      <w:tr w14:paraId="3832D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11" w:type="pct"/>
            <w:vMerge w:val="continue"/>
            <w:tcBorders>
              <w:tl2br w:val="nil"/>
              <w:tr2bl w:val="nil"/>
            </w:tcBorders>
            <w:vAlign w:val="center"/>
          </w:tcPr>
          <w:p w14:paraId="070D8A3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p>
        </w:tc>
        <w:tc>
          <w:tcPr>
            <w:tcW w:w="811" w:type="pct"/>
            <w:tcBorders>
              <w:tl2br w:val="nil"/>
              <w:tr2bl w:val="nil"/>
            </w:tcBorders>
            <w:vAlign w:val="center"/>
          </w:tcPr>
          <w:p w14:paraId="2D7C7F4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olor w:val="auto"/>
                <w:lang w:val="en-US" w:eastAsia="zh-CN"/>
              </w:rPr>
            </w:pPr>
            <w:r>
              <w:rPr>
                <w:rFonts w:hint="eastAsia" w:ascii="Times New Roman" w:hAnsi="Times New Roman" w:eastAsia="宋体"/>
                <w:color w:val="auto"/>
              </w:rPr>
              <w:t>臭气浓度</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恶臭</w:t>
            </w:r>
          </w:p>
        </w:tc>
        <w:tc>
          <w:tcPr>
            <w:tcW w:w="1091" w:type="pct"/>
            <w:tcBorders>
              <w:tl2br w:val="nil"/>
              <w:tr2bl w:val="nil"/>
            </w:tcBorders>
            <w:vAlign w:val="center"/>
          </w:tcPr>
          <w:p w14:paraId="1C2BA7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rPr>
            </w:pPr>
            <w:r>
              <w:rPr>
                <w:rFonts w:hint="eastAsia" w:ascii="Times New Roman" w:hAnsi="Times New Roman" w:eastAsia="宋体"/>
                <w:color w:val="auto"/>
              </w:rPr>
              <w:t>20（无量纲）</w:t>
            </w:r>
          </w:p>
        </w:tc>
        <w:tc>
          <w:tcPr>
            <w:tcW w:w="2486" w:type="pct"/>
            <w:tcBorders>
              <w:tl2br w:val="nil"/>
              <w:tr2bl w:val="nil"/>
            </w:tcBorders>
            <w:vAlign w:val="center"/>
          </w:tcPr>
          <w:p w14:paraId="51B56D6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olor w:val="auto"/>
                <w:lang w:eastAsia="zh-CN"/>
              </w:rPr>
            </w:pPr>
            <w:r>
              <w:rPr>
                <w:rFonts w:hint="eastAsia" w:ascii="Times New Roman" w:hAnsi="Times New Roman" w:eastAsia="宋体"/>
                <w:color w:val="auto"/>
                <w:lang w:eastAsia="zh-CN"/>
              </w:rPr>
              <w:t>《</w:t>
            </w:r>
            <w:r>
              <w:rPr>
                <w:rFonts w:hint="eastAsia" w:ascii="Times New Roman" w:hAnsi="Times New Roman" w:eastAsia="宋体"/>
                <w:bCs/>
                <w:color w:val="auto"/>
                <w:lang w:eastAsia="zh-CN"/>
              </w:rPr>
              <w:t>恶臭污染物排放标准</w:t>
            </w:r>
            <w:r>
              <w:rPr>
                <w:rFonts w:hint="eastAsia" w:ascii="Times New Roman" w:hAnsi="Times New Roman" w:eastAsia="宋体"/>
                <w:color w:val="auto"/>
                <w:lang w:eastAsia="zh-CN"/>
              </w:rPr>
              <w:t>》（</w:t>
            </w:r>
            <w:r>
              <w:rPr>
                <w:rFonts w:ascii="Times New Roman" w:hAnsi="Times New Roman" w:eastAsia="宋体"/>
                <w:color w:val="auto"/>
                <w:lang w:eastAsia="zh-CN"/>
              </w:rPr>
              <w:t>GB14554-93</w:t>
            </w:r>
            <w:r>
              <w:rPr>
                <w:rFonts w:hint="eastAsia" w:ascii="Times New Roman" w:hAnsi="Times New Roman" w:eastAsia="宋体"/>
                <w:color w:val="auto"/>
                <w:lang w:eastAsia="zh-CN"/>
              </w:rPr>
              <w:t>）中表</w:t>
            </w:r>
            <w:r>
              <w:rPr>
                <w:rFonts w:ascii="Times New Roman" w:hAnsi="Times New Roman" w:eastAsia="宋体"/>
                <w:color w:val="auto"/>
                <w:lang w:eastAsia="zh-CN"/>
              </w:rPr>
              <w:t>1</w:t>
            </w:r>
            <w:r>
              <w:rPr>
                <w:rFonts w:hint="eastAsia" w:ascii="Times New Roman" w:hAnsi="Times New Roman" w:eastAsia="宋体"/>
                <w:color w:val="auto"/>
                <w:lang w:eastAsia="zh-CN"/>
              </w:rPr>
              <w:t>二级</w:t>
            </w:r>
          </w:p>
        </w:tc>
      </w:tr>
    </w:tbl>
    <w:p w14:paraId="11AEE03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04" w:name="_Toc15114"/>
      <w:bookmarkStart w:id="205" w:name="_Toc24570"/>
      <w:bookmarkStart w:id="206" w:name="_Toc10420"/>
      <w:bookmarkStart w:id="207" w:name="_Toc5379"/>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）废水</w:t>
      </w:r>
      <w:bookmarkEnd w:id="204"/>
      <w:bookmarkEnd w:id="205"/>
      <w:bookmarkEnd w:id="206"/>
      <w:bookmarkEnd w:id="207"/>
    </w:p>
    <w:p w14:paraId="7CDBFAB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本项目排水包括生产废水和生活污水。生产废水主要为废旧滴灌带清洗废水和冷却水，循环利用，不外排。</w:t>
      </w:r>
      <w:r>
        <w:rPr>
          <w:rFonts w:hint="eastAsia" w:ascii="Times New Roman" w:hAnsi="Times New Roman"/>
          <w:snapToGrid/>
          <w:color w:val="auto"/>
          <w:sz w:val="24"/>
          <w:szCs w:val="24"/>
          <w:lang w:eastAsia="zh-CN"/>
        </w:rPr>
        <w:t>非生产期，循环水用于绿化，同时清理循环水池底泥。</w:t>
      </w:r>
      <w:r>
        <w:rPr>
          <w:rFonts w:ascii="Times New Roman" w:hAnsi="Times New Roman"/>
          <w:snapToGrid/>
          <w:color w:val="auto"/>
          <w:sz w:val="24"/>
          <w:szCs w:val="24"/>
          <w:lang w:eastAsia="zh-CN"/>
        </w:rPr>
        <w:t>生活污水排入</w:t>
      </w:r>
      <w:r>
        <w:rPr>
          <w:rFonts w:hint="eastAsia" w:ascii="Times New Roman" w:hAnsi="Times New Roman"/>
          <w:snapToGrid/>
          <w:color w:val="auto"/>
          <w:sz w:val="24"/>
          <w:szCs w:val="24"/>
          <w:lang w:eastAsia="zh-CN"/>
        </w:rPr>
        <w:t>防渗化粪池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定期抽运至木垒哈萨克自治县污水处理厂处理</w:t>
      </w:r>
      <w:r>
        <w:rPr>
          <w:rFonts w:ascii="Times New Roman" w:hAnsi="Times New Roman"/>
          <w:snapToGrid/>
          <w:color w:val="auto"/>
          <w:sz w:val="24"/>
          <w:szCs w:val="24"/>
          <w:lang w:eastAsia="zh-CN"/>
        </w:rPr>
        <w:t>。</w:t>
      </w:r>
    </w:p>
    <w:p w14:paraId="1E2D1CF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本项目废水排放执行《污水综合排放标准》</w:t>
      </w:r>
      <w:r>
        <w:rPr>
          <w:rFonts w:hint="eastAsia" w:ascii="Times New Roman" w:hAnsi="Times New Roman" w:cs="Times New Roman"/>
          <w:snapToGrid/>
          <w:color w:val="auto"/>
          <w:sz w:val="24"/>
          <w:szCs w:val="24"/>
          <w:lang w:eastAsia="zh-CN"/>
        </w:rPr>
        <w:t>（</w:t>
      </w:r>
      <w:r>
        <w:rPr>
          <w:rFonts w:ascii="Times New Roman" w:hAnsi="Times New Roman" w:cs="Times New Roman"/>
          <w:snapToGrid/>
          <w:color w:val="auto"/>
          <w:sz w:val="24"/>
          <w:szCs w:val="24"/>
          <w:lang w:eastAsia="zh-CN"/>
        </w:rPr>
        <w:t>GB8978-1996</w:t>
      </w:r>
      <w:r>
        <w:rPr>
          <w:rFonts w:hint="eastAsia"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中三级标准要求。标准值见表</w:t>
      </w:r>
      <w:r>
        <w:rPr>
          <w:rFonts w:ascii="Times New Roman" w:hAnsi="Times New Roman" w:cs="Times New Roman"/>
          <w:snapToGrid/>
          <w:color w:val="auto"/>
          <w:sz w:val="24"/>
          <w:szCs w:val="24"/>
          <w:lang w:eastAsia="zh-CN"/>
        </w:rPr>
        <w:t>2.4-</w:t>
      </w:r>
      <w:r>
        <w:rPr>
          <w:rFonts w:hint="eastAsia" w:ascii="Times New Roman" w:hAnsi="Times New Roman" w:cs="Times New Roman"/>
          <w:snapToGrid/>
          <w:color w:val="auto"/>
          <w:sz w:val="24"/>
          <w:szCs w:val="24"/>
          <w:lang w:eastAsia="zh-CN"/>
        </w:rPr>
        <w:t>7</w:t>
      </w:r>
      <w:r>
        <w:rPr>
          <w:rFonts w:ascii="Times New Roman" w:hAnsi="Times New Roman"/>
          <w:snapToGrid/>
          <w:color w:val="auto"/>
          <w:sz w:val="24"/>
          <w:szCs w:val="24"/>
          <w:lang w:eastAsia="zh-CN"/>
        </w:rPr>
        <w:t>。</w:t>
      </w:r>
    </w:p>
    <w:p w14:paraId="43BBE559">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2.4-</w:t>
      </w:r>
      <w:r>
        <w:rPr>
          <w:rFonts w:hint="eastAsia" w:ascii="Times New Roman" w:hAnsi="Times New Roman" w:cs="Times New Roman"/>
          <w:b/>
          <w:bCs/>
          <w:snapToGrid/>
          <w:color w:val="auto"/>
          <w:sz w:val="24"/>
          <w:lang w:eastAsia="zh-CN"/>
        </w:rPr>
        <w:t>7</w:t>
      </w:r>
      <w:r>
        <w:rPr>
          <w:rFonts w:ascii="Times New Roman" w:hAnsi="Times New Roman"/>
          <w:b/>
          <w:bCs/>
          <w:snapToGrid/>
          <w:color w:val="auto"/>
          <w:sz w:val="24"/>
          <w:lang w:eastAsia="zh-CN"/>
        </w:rPr>
        <w:t>废水污染物排放标准单位：</w:t>
      </w:r>
      <w:r>
        <w:rPr>
          <w:rFonts w:ascii="Times New Roman" w:hAnsi="Times New Roman" w:cs="Times New Roman"/>
          <w:b/>
          <w:bCs/>
          <w:snapToGrid/>
          <w:color w:val="auto"/>
          <w:sz w:val="24"/>
          <w:lang w:eastAsia="zh-CN"/>
        </w:rPr>
        <w:t>mg/L</w:t>
      </w:r>
      <w:r>
        <w:rPr>
          <w:rFonts w:ascii="Times New Roman" w:hAnsi="Times New Roman"/>
          <w:b/>
          <w:bCs/>
          <w:snapToGrid/>
          <w:color w:val="auto"/>
          <w:sz w:val="24"/>
          <w:lang w:eastAsia="zh-CN"/>
        </w:rPr>
        <w:t>（</w:t>
      </w:r>
      <w:r>
        <w:rPr>
          <w:rFonts w:ascii="Times New Roman" w:hAnsi="Times New Roman" w:cs="Times New Roman"/>
          <w:b/>
          <w:bCs/>
          <w:snapToGrid/>
          <w:color w:val="auto"/>
          <w:sz w:val="24"/>
          <w:lang w:eastAsia="zh-CN"/>
        </w:rPr>
        <w:t>pH</w:t>
      </w:r>
      <w:r>
        <w:rPr>
          <w:rFonts w:ascii="Times New Roman" w:hAnsi="Times New Roman"/>
          <w:b/>
          <w:bCs/>
          <w:snapToGrid/>
          <w:color w:val="auto"/>
          <w:sz w:val="24"/>
          <w:lang w:eastAsia="zh-CN"/>
        </w:rPr>
        <w:t>除外）</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6"/>
        <w:gridCol w:w="2429"/>
        <w:gridCol w:w="2443"/>
        <w:gridCol w:w="2754"/>
      </w:tblGrid>
      <w:tr w14:paraId="03BDC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562" w:type="pct"/>
            <w:tcBorders>
              <w:tl2br w:val="nil"/>
              <w:tr2bl w:val="nil"/>
            </w:tcBorders>
          </w:tcPr>
          <w:p w14:paraId="1A5A701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413" w:type="pct"/>
            <w:tcBorders>
              <w:tl2br w:val="nil"/>
              <w:tr2bl w:val="nil"/>
            </w:tcBorders>
          </w:tcPr>
          <w:p w14:paraId="1A8AACE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1421" w:type="pct"/>
            <w:tcBorders>
              <w:tl2br w:val="nil"/>
              <w:tr2bl w:val="nil"/>
            </w:tcBorders>
          </w:tcPr>
          <w:p w14:paraId="5518A4A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rPr>
            </w:pPr>
            <w:r>
              <w:rPr>
                <w:rFonts w:eastAsia="宋体" w:cs="宋体"/>
                <w:b/>
                <w:bCs/>
                <w:snapToGrid/>
                <w:color w:val="auto"/>
              </w:rPr>
              <w:t>标准值（</w:t>
            </w:r>
            <w:r>
              <w:rPr>
                <w:rFonts w:eastAsia="宋体"/>
                <w:b/>
                <w:bCs/>
                <w:snapToGrid/>
                <w:color w:val="auto"/>
              </w:rPr>
              <w:t>mg/L</w:t>
            </w:r>
            <w:r>
              <w:rPr>
                <w:rFonts w:eastAsia="宋体" w:cs="宋体"/>
                <w:b/>
                <w:bCs/>
                <w:snapToGrid/>
                <w:color w:val="auto"/>
              </w:rPr>
              <w:t>）</w:t>
            </w:r>
          </w:p>
        </w:tc>
        <w:tc>
          <w:tcPr>
            <w:tcW w:w="1602" w:type="pct"/>
            <w:tcBorders>
              <w:tl2br w:val="nil"/>
              <w:tr2bl w:val="nil"/>
            </w:tcBorders>
          </w:tcPr>
          <w:p w14:paraId="2D71D9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标准来源</w:t>
            </w:r>
          </w:p>
        </w:tc>
      </w:tr>
      <w:tr w14:paraId="14FC1A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62" w:type="pct"/>
            <w:tcBorders>
              <w:tl2br w:val="nil"/>
              <w:tr2bl w:val="nil"/>
            </w:tcBorders>
          </w:tcPr>
          <w:p w14:paraId="21CA3D1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w:t>
            </w:r>
          </w:p>
        </w:tc>
        <w:tc>
          <w:tcPr>
            <w:tcW w:w="1413" w:type="pct"/>
            <w:tcBorders>
              <w:tl2br w:val="nil"/>
              <w:tr2bl w:val="nil"/>
            </w:tcBorders>
          </w:tcPr>
          <w:p w14:paraId="6697A44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COD</w:t>
            </w:r>
          </w:p>
        </w:tc>
        <w:tc>
          <w:tcPr>
            <w:tcW w:w="1421" w:type="pct"/>
            <w:tcBorders>
              <w:tl2br w:val="nil"/>
              <w:tr2bl w:val="nil"/>
            </w:tcBorders>
          </w:tcPr>
          <w:p w14:paraId="628625B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500</w:t>
            </w:r>
          </w:p>
        </w:tc>
        <w:tc>
          <w:tcPr>
            <w:tcW w:w="1602" w:type="pct"/>
            <w:vMerge w:val="restart"/>
            <w:tcBorders>
              <w:tl2br w:val="nil"/>
              <w:tr2bl w:val="nil"/>
            </w:tcBorders>
          </w:tcPr>
          <w:p w14:paraId="4F61A2D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《污水综合排放标准》</w:t>
            </w:r>
          </w:p>
          <w:p w14:paraId="6FB1D9C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lang w:eastAsia="zh-CN"/>
              </w:rPr>
              <w:t>（</w:t>
            </w:r>
            <w:r>
              <w:rPr>
                <w:rFonts w:eastAsia="宋体"/>
                <w:snapToGrid/>
                <w:color w:val="auto"/>
                <w:lang w:eastAsia="zh-CN"/>
              </w:rPr>
              <w:t>GB8978-1996</w:t>
            </w:r>
            <w:r>
              <w:rPr>
                <w:rFonts w:eastAsia="宋体" w:cs="宋体"/>
                <w:snapToGrid/>
                <w:color w:val="auto"/>
                <w:lang w:eastAsia="zh-CN"/>
              </w:rPr>
              <w:t>）三级标准</w:t>
            </w:r>
          </w:p>
        </w:tc>
      </w:tr>
      <w:tr w14:paraId="43D1FC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62" w:type="pct"/>
            <w:tcBorders>
              <w:tl2br w:val="nil"/>
              <w:tr2bl w:val="nil"/>
            </w:tcBorders>
          </w:tcPr>
          <w:p w14:paraId="268258D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2</w:t>
            </w:r>
          </w:p>
        </w:tc>
        <w:tc>
          <w:tcPr>
            <w:tcW w:w="1413" w:type="pct"/>
            <w:tcBorders>
              <w:tl2br w:val="nil"/>
              <w:tr2bl w:val="nil"/>
            </w:tcBorders>
          </w:tcPr>
          <w:p w14:paraId="71974AE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sz w:val="13"/>
                <w:szCs w:val="13"/>
              </w:rPr>
            </w:pPr>
            <w:r>
              <w:rPr>
                <w:rFonts w:eastAsia="宋体"/>
                <w:snapToGrid/>
                <w:color w:val="auto"/>
              </w:rPr>
              <w:t>BOD</w:t>
            </w:r>
            <w:r>
              <w:rPr>
                <w:rFonts w:eastAsia="宋体"/>
                <w:snapToGrid/>
                <w:color w:val="auto"/>
                <w:sz w:val="13"/>
                <w:szCs w:val="13"/>
              </w:rPr>
              <w:t>5</w:t>
            </w:r>
          </w:p>
        </w:tc>
        <w:tc>
          <w:tcPr>
            <w:tcW w:w="1421" w:type="pct"/>
            <w:tcBorders>
              <w:tl2br w:val="nil"/>
              <w:tr2bl w:val="nil"/>
            </w:tcBorders>
          </w:tcPr>
          <w:p w14:paraId="54218A7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300</w:t>
            </w:r>
          </w:p>
        </w:tc>
        <w:tc>
          <w:tcPr>
            <w:tcW w:w="1602" w:type="pct"/>
            <w:vMerge w:val="continue"/>
            <w:tcBorders>
              <w:tl2br w:val="nil"/>
              <w:tr2bl w:val="nil"/>
            </w:tcBorders>
          </w:tcPr>
          <w:p w14:paraId="25C9A52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0F413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62" w:type="pct"/>
            <w:tcBorders>
              <w:tl2br w:val="nil"/>
              <w:tr2bl w:val="nil"/>
            </w:tcBorders>
          </w:tcPr>
          <w:p w14:paraId="69E39A1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3</w:t>
            </w:r>
          </w:p>
        </w:tc>
        <w:tc>
          <w:tcPr>
            <w:tcW w:w="1413" w:type="pct"/>
            <w:tcBorders>
              <w:tl2br w:val="nil"/>
              <w:tr2bl w:val="nil"/>
            </w:tcBorders>
          </w:tcPr>
          <w:p w14:paraId="5B9ACA2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SS</w:t>
            </w:r>
          </w:p>
        </w:tc>
        <w:tc>
          <w:tcPr>
            <w:tcW w:w="1421" w:type="pct"/>
            <w:tcBorders>
              <w:tl2br w:val="nil"/>
              <w:tr2bl w:val="nil"/>
            </w:tcBorders>
          </w:tcPr>
          <w:p w14:paraId="5C493E2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400</w:t>
            </w:r>
          </w:p>
        </w:tc>
        <w:tc>
          <w:tcPr>
            <w:tcW w:w="1602" w:type="pct"/>
            <w:vMerge w:val="continue"/>
            <w:tcBorders>
              <w:tl2br w:val="nil"/>
              <w:tr2bl w:val="nil"/>
            </w:tcBorders>
          </w:tcPr>
          <w:p w14:paraId="00E293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r w14:paraId="3BD3E9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562" w:type="pct"/>
            <w:tcBorders>
              <w:tl2br w:val="nil"/>
              <w:tr2bl w:val="nil"/>
            </w:tcBorders>
          </w:tcPr>
          <w:p w14:paraId="54210CF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4</w:t>
            </w:r>
          </w:p>
        </w:tc>
        <w:tc>
          <w:tcPr>
            <w:tcW w:w="1413" w:type="pct"/>
            <w:tcBorders>
              <w:tl2br w:val="nil"/>
              <w:tr2bl w:val="nil"/>
            </w:tcBorders>
          </w:tcPr>
          <w:p w14:paraId="12FA76B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氨氮</w:t>
            </w:r>
          </w:p>
        </w:tc>
        <w:tc>
          <w:tcPr>
            <w:tcW w:w="1421" w:type="pct"/>
            <w:tcBorders>
              <w:tl2br w:val="nil"/>
              <w:tr2bl w:val="nil"/>
            </w:tcBorders>
          </w:tcPr>
          <w:p w14:paraId="2DA9481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w:t>
            </w:r>
          </w:p>
        </w:tc>
        <w:tc>
          <w:tcPr>
            <w:tcW w:w="1602" w:type="pct"/>
            <w:vMerge w:val="continue"/>
            <w:tcBorders>
              <w:tl2br w:val="nil"/>
              <w:tr2bl w:val="nil"/>
            </w:tcBorders>
          </w:tcPr>
          <w:p w14:paraId="523E51C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r>
    </w:tbl>
    <w:p w14:paraId="4BA271E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208" w:name="_Toc772"/>
      <w:bookmarkStart w:id="209" w:name="_Toc12406"/>
      <w:bookmarkStart w:id="210" w:name="_Toc5172"/>
      <w:bookmarkStart w:id="211" w:name="_Toc29071"/>
      <w:r>
        <w:rPr>
          <w:rFonts w:ascii="Times New Roman" w:hAnsi="Times New Roman"/>
          <w:snapToGrid/>
          <w:color w:val="auto"/>
          <w:sz w:val="24"/>
          <w:szCs w:val="24"/>
        </w:rPr>
        <w:t>（</w:t>
      </w:r>
      <w:r>
        <w:rPr>
          <w:rFonts w:ascii="Times New Roman" w:hAnsi="Times New Roman" w:cs="Times New Roman"/>
          <w:snapToGrid/>
          <w:color w:val="auto"/>
          <w:sz w:val="24"/>
          <w:szCs w:val="24"/>
        </w:rPr>
        <w:t>3</w:t>
      </w:r>
      <w:r>
        <w:rPr>
          <w:rFonts w:ascii="Times New Roman" w:hAnsi="Times New Roman"/>
          <w:snapToGrid/>
          <w:color w:val="auto"/>
          <w:sz w:val="24"/>
          <w:szCs w:val="24"/>
        </w:rPr>
        <w:t>）噪声排放标准</w:t>
      </w:r>
      <w:bookmarkEnd w:id="208"/>
      <w:bookmarkEnd w:id="209"/>
      <w:bookmarkEnd w:id="210"/>
      <w:bookmarkEnd w:id="211"/>
    </w:p>
    <w:p w14:paraId="31F93EA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运营期厂界噪声执行《工业企业厂界环境噪声排放标准》（</w:t>
      </w:r>
      <w:r>
        <w:rPr>
          <w:rFonts w:ascii="Times New Roman" w:hAnsi="Times New Roman" w:cs="Times New Roman"/>
          <w:snapToGrid/>
          <w:color w:val="auto"/>
          <w:sz w:val="24"/>
          <w:szCs w:val="24"/>
          <w:lang w:eastAsia="zh-CN"/>
        </w:rPr>
        <w:t>GB12348-2008</w:t>
      </w:r>
      <w:r>
        <w:rPr>
          <w:rFonts w:ascii="Times New Roman" w:hAnsi="Times New Roman"/>
          <w:snapToGrid/>
          <w:color w:val="auto"/>
          <w:sz w:val="24"/>
          <w:szCs w:val="24"/>
          <w:lang w:eastAsia="zh-CN"/>
        </w:rPr>
        <w:t>）</w:t>
      </w:r>
      <w:bookmarkStart w:id="212" w:name="_Toc4207"/>
      <w:bookmarkStart w:id="213" w:name="_Toc3827"/>
      <w:r>
        <w:rPr>
          <w:rFonts w:hint="eastAsia"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类区标准，标准值见表</w:t>
      </w:r>
      <w:r>
        <w:rPr>
          <w:rFonts w:ascii="Times New Roman" w:hAnsi="Times New Roman" w:cs="Times New Roman"/>
          <w:snapToGrid/>
          <w:color w:val="auto"/>
          <w:sz w:val="24"/>
          <w:szCs w:val="24"/>
          <w:lang w:eastAsia="zh-CN"/>
        </w:rPr>
        <w:t>2.4-</w:t>
      </w:r>
      <w:r>
        <w:rPr>
          <w:rFonts w:hint="eastAsia"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w:t>
      </w:r>
      <w:bookmarkEnd w:id="212"/>
      <w:bookmarkEnd w:id="213"/>
    </w:p>
    <w:p w14:paraId="41E5774B">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b/>
          <w:snapToGrid/>
          <w:color w:val="auto"/>
          <w:sz w:val="24"/>
        </w:rPr>
      </w:pPr>
      <w:r>
        <w:rPr>
          <w:rFonts w:ascii="Times New Roman" w:hAnsi="Times New Roman"/>
          <w:b/>
          <w:bCs/>
          <w:snapToGrid/>
          <w:color w:val="auto"/>
          <w:sz w:val="24"/>
        </w:rPr>
        <w:t>表</w:t>
      </w:r>
      <w:r>
        <w:rPr>
          <w:rFonts w:ascii="Times New Roman" w:hAnsi="Times New Roman" w:cs="Times New Roman"/>
          <w:b/>
          <w:bCs/>
          <w:snapToGrid/>
          <w:color w:val="auto"/>
          <w:sz w:val="24"/>
        </w:rPr>
        <w:t>2.4-</w:t>
      </w:r>
      <w:r>
        <w:rPr>
          <w:rFonts w:hint="eastAsia" w:ascii="Times New Roman" w:hAnsi="Times New Roman" w:cs="Times New Roman"/>
          <w:b/>
          <w:bCs/>
          <w:snapToGrid/>
          <w:color w:val="auto"/>
          <w:sz w:val="24"/>
          <w:lang w:eastAsia="zh-CN"/>
        </w:rPr>
        <w:t>8</w:t>
      </w:r>
      <w:r>
        <w:rPr>
          <w:rFonts w:ascii="Times New Roman" w:hAnsi="Times New Roman"/>
          <w:b/>
          <w:bCs/>
          <w:snapToGrid/>
          <w:color w:val="auto"/>
          <w:sz w:val="24"/>
        </w:rPr>
        <w:t>噪声排放标准</w:t>
      </w:r>
    </w:p>
    <w:p w14:paraId="1B1E3DEF">
      <w:pPr>
        <w:keepNext w:val="0"/>
        <w:keepLines w:val="0"/>
        <w:pageBreakBefore w:val="0"/>
        <w:widowControl w:val="0"/>
        <w:shd w:val="clear"/>
        <w:kinsoku/>
        <w:wordWrap/>
        <w:overflowPunct/>
        <w:topLinePunct w:val="0"/>
        <w:autoSpaceDE/>
        <w:autoSpaceDN/>
        <w:bidi w:val="0"/>
        <w:adjustRightInd/>
        <w:snapToGrid/>
        <w:spacing w:line="22" w:lineRule="exact"/>
        <w:textAlignment w:val="auto"/>
        <w:outlineLvl w:val="9"/>
        <w:rPr>
          <w:rFonts w:ascii="Times New Roman" w:hAnsi="Times New Roman" w:eastAsia="宋体"/>
          <w:snapToGrid/>
          <w:color w:val="auto"/>
        </w:rPr>
      </w:pP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62"/>
        <w:gridCol w:w="1324"/>
        <w:gridCol w:w="4064"/>
        <w:gridCol w:w="1126"/>
        <w:gridCol w:w="916"/>
      </w:tblGrid>
      <w:tr w14:paraId="0A35C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76" w:type="pct"/>
            <w:vMerge w:val="restart"/>
            <w:tcBorders>
              <w:tl2br w:val="nil"/>
              <w:tr2bl w:val="nil"/>
            </w:tcBorders>
            <w:vAlign w:val="center"/>
          </w:tcPr>
          <w:p w14:paraId="723AAA7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功能区</w:t>
            </w:r>
          </w:p>
        </w:tc>
        <w:tc>
          <w:tcPr>
            <w:tcW w:w="770" w:type="pct"/>
            <w:vMerge w:val="restart"/>
            <w:tcBorders>
              <w:tl2br w:val="nil"/>
              <w:tr2bl w:val="nil"/>
            </w:tcBorders>
            <w:vAlign w:val="center"/>
          </w:tcPr>
          <w:p w14:paraId="4FA9F98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功能区类型</w:t>
            </w:r>
          </w:p>
        </w:tc>
        <w:tc>
          <w:tcPr>
            <w:tcW w:w="2364" w:type="pct"/>
            <w:vMerge w:val="restart"/>
            <w:tcBorders>
              <w:tl2br w:val="nil"/>
              <w:tr2bl w:val="nil"/>
            </w:tcBorders>
            <w:vAlign w:val="center"/>
          </w:tcPr>
          <w:p w14:paraId="46D7BF7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执行的标准与级别</w:t>
            </w:r>
          </w:p>
        </w:tc>
        <w:tc>
          <w:tcPr>
            <w:tcW w:w="1188" w:type="pct"/>
            <w:gridSpan w:val="2"/>
            <w:tcBorders>
              <w:tl2br w:val="nil"/>
              <w:tr2bl w:val="nil"/>
            </w:tcBorders>
            <w:vAlign w:val="center"/>
          </w:tcPr>
          <w:p w14:paraId="5DD9DE6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rPr>
            </w:pPr>
            <w:r>
              <w:rPr>
                <w:rFonts w:eastAsia="宋体" w:cs="宋体"/>
                <w:b/>
                <w:bCs/>
                <w:snapToGrid/>
                <w:color w:val="auto"/>
              </w:rPr>
              <w:t>标准值</w:t>
            </w:r>
            <w:r>
              <w:rPr>
                <w:rFonts w:eastAsia="宋体"/>
                <w:b/>
                <w:bCs/>
                <w:snapToGrid/>
                <w:color w:val="auto"/>
              </w:rPr>
              <w:t>[dB</w:t>
            </w:r>
            <w:r>
              <w:rPr>
                <w:rFonts w:hint="eastAsia" w:eastAsia="宋体"/>
                <w:b/>
                <w:bCs/>
                <w:snapToGrid/>
                <w:color w:val="auto"/>
                <w:lang w:eastAsia="zh-CN"/>
              </w:rPr>
              <w:t>（</w:t>
            </w:r>
            <w:r>
              <w:rPr>
                <w:rFonts w:eastAsia="宋体"/>
                <w:b/>
                <w:bCs/>
                <w:snapToGrid/>
                <w:color w:val="auto"/>
              </w:rPr>
              <w:t>A</w:t>
            </w:r>
            <w:r>
              <w:rPr>
                <w:rFonts w:hint="eastAsia" w:eastAsia="宋体"/>
                <w:b/>
                <w:bCs/>
                <w:snapToGrid/>
                <w:color w:val="auto"/>
                <w:lang w:eastAsia="zh-CN"/>
              </w:rPr>
              <w:t>）</w:t>
            </w:r>
            <w:r>
              <w:rPr>
                <w:rFonts w:eastAsia="宋体"/>
                <w:b/>
                <w:bCs/>
                <w:snapToGrid/>
                <w:color w:val="auto"/>
              </w:rPr>
              <w:t>]</w:t>
            </w:r>
          </w:p>
        </w:tc>
      </w:tr>
      <w:tr w14:paraId="084D40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676" w:type="pct"/>
            <w:vMerge w:val="continue"/>
            <w:tcBorders>
              <w:tl2br w:val="nil"/>
              <w:tr2bl w:val="nil"/>
            </w:tcBorders>
            <w:vAlign w:val="center"/>
          </w:tcPr>
          <w:p w14:paraId="4D1B02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770" w:type="pct"/>
            <w:vMerge w:val="continue"/>
            <w:tcBorders>
              <w:tl2br w:val="nil"/>
              <w:tr2bl w:val="nil"/>
            </w:tcBorders>
            <w:vAlign w:val="center"/>
          </w:tcPr>
          <w:p w14:paraId="2048FEE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2364" w:type="pct"/>
            <w:vMerge w:val="continue"/>
            <w:tcBorders>
              <w:tl2br w:val="nil"/>
              <w:tr2bl w:val="nil"/>
            </w:tcBorders>
            <w:vAlign w:val="center"/>
          </w:tcPr>
          <w:p w14:paraId="2B677CA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655" w:type="pct"/>
            <w:tcBorders>
              <w:tl2br w:val="nil"/>
              <w:tr2bl w:val="nil"/>
            </w:tcBorders>
            <w:vAlign w:val="center"/>
          </w:tcPr>
          <w:p w14:paraId="3C259D8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昼间</w:t>
            </w:r>
          </w:p>
        </w:tc>
        <w:tc>
          <w:tcPr>
            <w:tcW w:w="533" w:type="pct"/>
            <w:tcBorders>
              <w:tl2br w:val="nil"/>
              <w:tr2bl w:val="nil"/>
            </w:tcBorders>
            <w:vAlign w:val="center"/>
          </w:tcPr>
          <w:p w14:paraId="0A1951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夜间</w:t>
            </w:r>
          </w:p>
        </w:tc>
      </w:tr>
      <w:tr w14:paraId="6A2A1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5" w:hRule="atLeast"/>
          <w:jc w:val="center"/>
        </w:trPr>
        <w:tc>
          <w:tcPr>
            <w:tcW w:w="676" w:type="pct"/>
            <w:tcBorders>
              <w:tl2br w:val="nil"/>
              <w:tr2bl w:val="nil"/>
            </w:tcBorders>
            <w:vAlign w:val="center"/>
          </w:tcPr>
          <w:p w14:paraId="16A4346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厂界噪声</w:t>
            </w:r>
          </w:p>
        </w:tc>
        <w:tc>
          <w:tcPr>
            <w:tcW w:w="770" w:type="pct"/>
            <w:tcBorders>
              <w:tl2br w:val="nil"/>
              <w:tr2bl w:val="nil"/>
            </w:tcBorders>
            <w:vAlign w:val="center"/>
          </w:tcPr>
          <w:p w14:paraId="347BFB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工业区</w:t>
            </w:r>
          </w:p>
        </w:tc>
        <w:tc>
          <w:tcPr>
            <w:tcW w:w="2364" w:type="pct"/>
            <w:tcBorders>
              <w:tl2br w:val="nil"/>
              <w:tr2bl w:val="nil"/>
            </w:tcBorders>
            <w:vAlign w:val="center"/>
          </w:tcPr>
          <w:p w14:paraId="137BE9F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cs="宋体"/>
                <w:snapToGrid/>
                <w:color w:val="auto"/>
                <w:lang w:eastAsia="zh-CN"/>
              </w:rPr>
            </w:pPr>
            <w:r>
              <w:rPr>
                <w:rFonts w:eastAsia="宋体" w:cs="宋体"/>
                <w:snapToGrid/>
                <w:color w:val="auto"/>
                <w:lang w:eastAsia="zh-CN"/>
              </w:rPr>
              <w:t>《工业企业厂界环境噪声排放标准》（</w:t>
            </w:r>
            <w:r>
              <w:rPr>
                <w:rFonts w:eastAsia="宋体"/>
                <w:snapToGrid/>
                <w:color w:val="auto"/>
                <w:lang w:eastAsia="zh-CN"/>
              </w:rPr>
              <w:t>GB12348-2008</w:t>
            </w:r>
            <w:r>
              <w:rPr>
                <w:rFonts w:eastAsia="宋体" w:cs="宋体"/>
                <w:snapToGrid/>
                <w:color w:val="auto"/>
                <w:lang w:eastAsia="zh-CN"/>
              </w:rPr>
              <w:t>）中</w:t>
            </w:r>
            <w:r>
              <w:rPr>
                <w:rFonts w:hint="eastAsia" w:eastAsia="宋体"/>
                <w:snapToGrid/>
                <w:color w:val="auto"/>
                <w:lang w:eastAsia="zh-CN"/>
              </w:rPr>
              <w:t>2</w:t>
            </w:r>
            <w:r>
              <w:rPr>
                <w:rFonts w:eastAsia="宋体" w:cs="宋体"/>
                <w:snapToGrid/>
                <w:color w:val="auto"/>
                <w:lang w:eastAsia="zh-CN"/>
              </w:rPr>
              <w:t>类标准</w:t>
            </w:r>
          </w:p>
        </w:tc>
        <w:tc>
          <w:tcPr>
            <w:tcW w:w="655" w:type="pct"/>
            <w:tcBorders>
              <w:tl2br w:val="nil"/>
              <w:tr2bl w:val="nil"/>
            </w:tcBorders>
            <w:vAlign w:val="center"/>
          </w:tcPr>
          <w:p w14:paraId="13CB9E2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lang w:eastAsia="zh-CN"/>
              </w:rPr>
            </w:pPr>
            <w:r>
              <w:rPr>
                <w:rFonts w:hint="eastAsia" w:eastAsia="宋体"/>
                <w:snapToGrid/>
                <w:color w:val="auto"/>
                <w:lang w:eastAsia="zh-CN"/>
              </w:rPr>
              <w:t>60</w:t>
            </w:r>
          </w:p>
        </w:tc>
        <w:tc>
          <w:tcPr>
            <w:tcW w:w="533" w:type="pct"/>
            <w:tcBorders>
              <w:tl2br w:val="nil"/>
              <w:tr2bl w:val="nil"/>
            </w:tcBorders>
            <w:vAlign w:val="center"/>
          </w:tcPr>
          <w:p w14:paraId="057EBD1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eastAsia="宋体"/>
                <w:snapToGrid/>
                <w:color w:val="auto"/>
                <w:lang w:eastAsia="zh-CN"/>
              </w:rPr>
            </w:pPr>
            <w:r>
              <w:rPr>
                <w:rFonts w:hint="eastAsia" w:eastAsia="宋体"/>
                <w:snapToGrid/>
                <w:color w:val="auto"/>
                <w:lang w:eastAsia="zh-CN"/>
              </w:rPr>
              <w:t>50</w:t>
            </w:r>
          </w:p>
        </w:tc>
      </w:tr>
    </w:tbl>
    <w:p w14:paraId="6B32231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14" w:name="_Toc23131"/>
      <w:bookmarkStart w:id="215" w:name="_Toc12017"/>
      <w:bookmarkStart w:id="216" w:name="_Toc18397"/>
      <w:bookmarkStart w:id="217" w:name="_Toc7759"/>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）固体污染物控制标准</w:t>
      </w:r>
      <w:bookmarkEnd w:id="214"/>
      <w:bookmarkEnd w:id="215"/>
      <w:bookmarkEnd w:id="216"/>
      <w:bookmarkEnd w:id="217"/>
    </w:p>
    <w:p w14:paraId="7D783DA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项目</w:t>
      </w:r>
      <w:r>
        <w:rPr>
          <w:rFonts w:hint="eastAsia" w:ascii="Times New Roman" w:hAnsi="Times New Roman"/>
          <w:snapToGrid/>
          <w:color w:val="auto"/>
          <w:sz w:val="24"/>
          <w:szCs w:val="24"/>
          <w:lang w:eastAsia="zh-CN"/>
        </w:rPr>
        <w:t>一般生产固废</w:t>
      </w:r>
      <w:r>
        <w:rPr>
          <w:rFonts w:hint="eastAsia" w:ascii="Times New Roman" w:hAnsi="Times New Roman"/>
          <w:snapToGrid/>
          <w:color w:val="auto"/>
          <w:sz w:val="24"/>
          <w:szCs w:val="24"/>
          <w:lang w:val="en-US" w:eastAsia="zh-CN"/>
        </w:rPr>
        <w:t>按照</w:t>
      </w:r>
      <w:r>
        <w:rPr>
          <w:rFonts w:hint="default" w:ascii="Times New Roman" w:hAnsi="Times New Roman"/>
          <w:snapToGrid/>
          <w:color w:val="auto"/>
          <w:sz w:val="24"/>
          <w:szCs w:val="24"/>
          <w:lang w:val="en-US" w:eastAsia="zh-CN"/>
        </w:rPr>
        <w:t>《中华人民共和国固体废物污染环境防治法</w:t>
      </w:r>
      <w:r>
        <w:rPr>
          <w:rFonts w:hint="eastAsia" w:ascii="Times New Roman" w:hAnsi="Times New Roman"/>
          <w:snapToGrid/>
          <w:color w:val="auto"/>
          <w:sz w:val="24"/>
          <w:szCs w:val="24"/>
          <w:lang w:val="en-US" w:eastAsia="zh-CN"/>
        </w:rPr>
        <w:t>》《</w:t>
      </w:r>
      <w:r>
        <w:rPr>
          <w:rFonts w:hint="eastAsia" w:ascii="Times New Roman" w:hAnsi="Times New Roman"/>
          <w:snapToGrid/>
          <w:color w:val="auto"/>
          <w:sz w:val="24"/>
          <w:szCs w:val="24"/>
          <w:lang w:eastAsia="zh-CN"/>
        </w:rPr>
        <w:t>一般工业固体废物贮存</w:t>
      </w:r>
      <w:r>
        <w:rPr>
          <w:rFonts w:hint="eastAsia" w:ascii="Times New Roman" w:hAnsi="Times New Roman"/>
          <w:snapToGrid/>
          <w:color w:val="auto"/>
          <w:sz w:val="24"/>
          <w:szCs w:val="24"/>
          <w:lang w:val="en-US" w:eastAsia="zh-CN"/>
        </w:rPr>
        <w:t>和填埋</w:t>
      </w:r>
      <w:r>
        <w:rPr>
          <w:rFonts w:hint="eastAsia" w:ascii="Times New Roman" w:hAnsi="Times New Roman"/>
          <w:snapToGrid/>
          <w:color w:val="auto"/>
          <w:sz w:val="24"/>
          <w:szCs w:val="24"/>
          <w:lang w:eastAsia="zh-CN"/>
        </w:rPr>
        <w:t>污染控制标准》（</w:t>
      </w:r>
      <w:r>
        <w:rPr>
          <w:rFonts w:ascii="Times New Roman" w:hAnsi="Times New Roman"/>
          <w:snapToGrid/>
          <w:color w:val="auto"/>
          <w:sz w:val="24"/>
          <w:szCs w:val="24"/>
          <w:lang w:eastAsia="zh-CN"/>
        </w:rPr>
        <w:t>GB18599-</w:t>
      </w:r>
      <w:r>
        <w:rPr>
          <w:rFonts w:hint="eastAsia" w:ascii="Times New Roman" w:hAnsi="Times New Roman"/>
          <w:snapToGrid/>
          <w:color w:val="auto"/>
          <w:sz w:val="24"/>
          <w:szCs w:val="24"/>
          <w:lang w:val="en-US" w:eastAsia="zh-CN"/>
        </w:rPr>
        <w:t>2020</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《关于工业固体废物环境管理有关要求的公告》（新疆维吾尔自治区生态环境厅，公告〔2023〕53号）</w:t>
      </w:r>
      <w:r>
        <w:rPr>
          <w:rFonts w:hint="eastAsia" w:ascii="Times New Roman" w:hAnsi="Times New Roman"/>
          <w:snapToGrid/>
          <w:color w:val="auto"/>
          <w:sz w:val="24"/>
          <w:szCs w:val="24"/>
          <w:lang w:eastAsia="zh-CN"/>
        </w:rPr>
        <w:t>中的相关要求</w:t>
      </w:r>
      <w:r>
        <w:rPr>
          <w:rFonts w:hint="eastAsia" w:ascii="Times New Roman" w:hAnsi="Times New Roman"/>
          <w:snapToGrid/>
          <w:color w:val="auto"/>
          <w:sz w:val="24"/>
          <w:szCs w:val="24"/>
          <w:lang w:val="en-US" w:eastAsia="zh-CN"/>
        </w:rPr>
        <w:t>进行管理，并按相关要求建设一般工业固体废物</w:t>
      </w:r>
      <w:r>
        <w:rPr>
          <w:rFonts w:hint="eastAsia" w:ascii="Times New Roman" w:hAnsi="Times New Roman"/>
          <w:snapToGrid/>
          <w:color w:val="auto"/>
          <w:sz w:val="24"/>
          <w:szCs w:val="24"/>
          <w:lang w:eastAsia="zh-CN"/>
        </w:rPr>
        <w:t>贮存</w:t>
      </w:r>
      <w:r>
        <w:rPr>
          <w:rFonts w:hint="eastAsia" w:ascii="Times New Roman" w:hAnsi="Times New Roman"/>
          <w:snapToGrid/>
          <w:color w:val="auto"/>
          <w:sz w:val="24"/>
          <w:szCs w:val="24"/>
          <w:lang w:val="en-US" w:eastAsia="zh-CN"/>
        </w:rPr>
        <w:t>设施，落实防渗漏、防雨淋、防扬尘等要求</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危险废物</w:t>
      </w:r>
      <w:r>
        <w:rPr>
          <w:rFonts w:hint="eastAsia" w:ascii="Times New Roman" w:hAnsi="Times New Roman"/>
          <w:snapToGrid/>
          <w:color w:val="auto"/>
          <w:sz w:val="24"/>
          <w:szCs w:val="24"/>
          <w:lang w:val="en-US" w:eastAsia="zh-CN"/>
        </w:rPr>
        <w:t>贮存</w:t>
      </w:r>
      <w:r>
        <w:rPr>
          <w:rFonts w:ascii="Times New Roman" w:hAnsi="Times New Roman"/>
          <w:snapToGrid/>
          <w:color w:val="auto"/>
          <w:sz w:val="24"/>
          <w:szCs w:val="24"/>
          <w:lang w:eastAsia="zh-CN"/>
        </w:rPr>
        <w:t>执行《危险废物贮存污染控制标准》（</w:t>
      </w:r>
      <w:r>
        <w:rPr>
          <w:rFonts w:ascii="Times New Roman" w:hAnsi="Times New Roman" w:cs="Times New Roman"/>
          <w:snapToGrid/>
          <w:color w:val="auto"/>
          <w:sz w:val="24"/>
          <w:szCs w:val="24"/>
          <w:lang w:eastAsia="zh-CN"/>
        </w:rPr>
        <w:t>GB18597-2023</w:t>
      </w:r>
      <w:r>
        <w:rPr>
          <w:rFonts w:ascii="Times New Roman" w:hAnsi="Times New Roman"/>
          <w:snapToGrid/>
          <w:color w:val="auto"/>
          <w:sz w:val="24"/>
          <w:szCs w:val="24"/>
          <w:lang w:eastAsia="zh-CN"/>
        </w:rPr>
        <w:t>）。</w:t>
      </w:r>
    </w:p>
    <w:p w14:paraId="08E33BD1">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218" w:name="bookmark13"/>
      <w:bookmarkEnd w:id="218"/>
      <w:bookmarkStart w:id="219" w:name="_Toc10728"/>
      <w:bookmarkStart w:id="220" w:name="_Toc23236"/>
      <w:bookmarkStart w:id="221" w:name="_Toc32540"/>
      <w:r>
        <w:rPr>
          <w:rFonts w:hint="eastAsia" w:ascii="Times New Roman" w:hAnsi="Times New Roman" w:eastAsia="宋体"/>
          <w:snapToGrid/>
          <w:color w:val="auto"/>
          <w:lang w:eastAsia="zh-CN"/>
        </w:rPr>
        <w:t>2.5评价工作等级及评价范围</w:t>
      </w:r>
      <w:bookmarkEnd w:id="219"/>
      <w:bookmarkEnd w:id="220"/>
      <w:bookmarkEnd w:id="221"/>
    </w:p>
    <w:p w14:paraId="107A814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222" w:name="_Toc24477"/>
      <w:r>
        <w:rPr>
          <w:rFonts w:hint="eastAsia" w:ascii="Times New Roman" w:hAnsi="Times New Roman" w:eastAsia="宋体" w:cs="Times New Roman"/>
          <w:snapToGrid/>
          <w:color w:val="auto"/>
          <w:lang w:eastAsia="zh-CN"/>
        </w:rPr>
        <w:t>2.5.1环境空气评价工作等级及范围</w:t>
      </w:r>
      <w:bookmarkEnd w:id="222"/>
    </w:p>
    <w:p w14:paraId="46BECED8">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23" w:name="_Toc19614"/>
      <w:bookmarkStart w:id="224" w:name="_Toc28559"/>
      <w:bookmarkStart w:id="225" w:name="_Toc7922"/>
      <w:bookmarkStart w:id="226" w:name="_Toc28246"/>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）评价等级</w:t>
      </w:r>
      <w:bookmarkEnd w:id="223"/>
      <w:bookmarkEnd w:id="224"/>
      <w:bookmarkEnd w:id="225"/>
      <w:bookmarkEnd w:id="226"/>
    </w:p>
    <w:p w14:paraId="211221F1">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r>
        <w:rPr>
          <w:rFonts w:ascii="Times New Roman" w:hAnsi="Times New Roman"/>
          <w:snapToGrid/>
          <w:color w:val="auto"/>
          <w:sz w:val="24"/>
          <w:szCs w:val="24"/>
          <w:lang w:eastAsia="zh-CN"/>
        </w:rPr>
        <w:t>根据评价导则《环境影响评价技术导则</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大气环境》（</w:t>
      </w:r>
      <w:r>
        <w:rPr>
          <w:rFonts w:ascii="Times New Roman" w:hAnsi="Times New Roman" w:cs="Times New Roman"/>
          <w:snapToGrid/>
          <w:color w:val="auto"/>
          <w:sz w:val="24"/>
          <w:szCs w:val="24"/>
          <w:lang w:eastAsia="zh-CN"/>
        </w:rPr>
        <w:t>HJ2.2-2018</w:t>
      </w:r>
      <w:r>
        <w:rPr>
          <w:rFonts w:ascii="Times New Roman" w:hAnsi="Times New Roman"/>
          <w:snapToGrid/>
          <w:color w:val="auto"/>
          <w:sz w:val="24"/>
          <w:szCs w:val="24"/>
          <w:lang w:eastAsia="zh-CN"/>
        </w:rPr>
        <w:t>）中</w:t>
      </w:r>
      <w:r>
        <w:rPr>
          <w:rFonts w:ascii="Times New Roman" w:hAnsi="Times New Roman" w:cs="Times New Roman"/>
          <w:snapToGrid/>
          <w:color w:val="auto"/>
          <w:sz w:val="24"/>
          <w:szCs w:val="24"/>
          <w:lang w:eastAsia="zh-CN"/>
        </w:rPr>
        <w:t>5.3</w:t>
      </w:r>
      <w:r>
        <w:rPr>
          <w:rFonts w:ascii="Times New Roman" w:hAnsi="Times New Roman"/>
          <w:snapToGrid/>
          <w:color w:val="auto"/>
          <w:sz w:val="24"/>
          <w:szCs w:val="24"/>
          <w:lang w:eastAsia="zh-CN"/>
        </w:rPr>
        <w:t>“评价等级判定”规定的方法核算，选择</w:t>
      </w:r>
      <w:r>
        <w:rPr>
          <w:rFonts w:ascii="Times New Roman" w:hAnsi="Times New Roman" w:cs="Times New Roman"/>
          <w:snapToGrid/>
          <w:color w:val="auto"/>
          <w:sz w:val="24"/>
          <w:szCs w:val="24"/>
          <w:lang w:eastAsia="zh-CN"/>
        </w:rPr>
        <w:t>1-3</w:t>
      </w:r>
      <w:r>
        <w:rPr>
          <w:rFonts w:ascii="Times New Roman" w:hAnsi="Times New Roman"/>
          <w:snapToGrid/>
          <w:color w:val="auto"/>
          <w:sz w:val="24"/>
          <w:szCs w:val="24"/>
          <w:lang w:eastAsia="zh-CN"/>
        </w:rPr>
        <w:t>种主要污染物，分别计算每一种污染物的最大地面浓度占标率</w:t>
      </w:r>
      <w:r>
        <w:rPr>
          <w:rFonts w:ascii="Times New Roman" w:hAnsi="Times New Roman" w:cs="Times New Roman"/>
          <w:snapToGrid/>
          <w:color w:val="auto"/>
          <w:sz w:val="24"/>
          <w:szCs w:val="24"/>
          <w:lang w:eastAsia="zh-CN"/>
        </w:rPr>
        <w:t>P</w:t>
      </w:r>
      <w:r>
        <w:rPr>
          <w:rFonts w:ascii="Times New Roman" w:hAnsi="Times New Roman" w:cs="Times New Roman"/>
          <w:snapToGrid/>
          <w:color w:val="auto"/>
          <w:sz w:val="24"/>
          <w:szCs w:val="24"/>
          <w:vertAlign w:val="subscript"/>
          <w:lang w:eastAsia="zh-CN"/>
        </w:rPr>
        <w:t>i</w:t>
      </w:r>
      <w:r>
        <w:rPr>
          <w:rFonts w:ascii="Times New Roman" w:hAnsi="Times New Roman"/>
          <w:snapToGrid/>
          <w:color w:val="auto"/>
          <w:sz w:val="24"/>
          <w:szCs w:val="24"/>
          <w:lang w:eastAsia="zh-CN"/>
        </w:rPr>
        <w:t>（第</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个污染物），及第</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个污染物的地面浓度达到标准值的</w:t>
      </w:r>
      <w:r>
        <w:rPr>
          <w:rFonts w:ascii="Times New Roman" w:hAnsi="Times New Roman" w:cs="Times New Roman"/>
          <w:snapToGrid/>
          <w:color w:val="auto"/>
          <w:sz w:val="24"/>
          <w:szCs w:val="24"/>
          <w:lang w:eastAsia="zh-CN"/>
        </w:rPr>
        <w:t>10%</w:t>
      </w:r>
      <w:r>
        <w:rPr>
          <w:rFonts w:ascii="Times New Roman" w:hAnsi="Times New Roman"/>
          <w:snapToGrid/>
          <w:color w:val="auto"/>
          <w:sz w:val="24"/>
          <w:szCs w:val="24"/>
          <w:lang w:eastAsia="zh-CN"/>
        </w:rPr>
        <w:t>时所对应的最远距离</w:t>
      </w:r>
      <w:r>
        <w:rPr>
          <w:rFonts w:ascii="Times New Roman" w:hAnsi="Times New Roman" w:cs="Times New Roman"/>
          <w:snapToGrid/>
          <w:color w:val="auto"/>
          <w:sz w:val="24"/>
          <w:szCs w:val="24"/>
          <w:lang w:eastAsia="zh-CN"/>
        </w:rPr>
        <w:t>D10%</w:t>
      </w:r>
      <w:r>
        <w:rPr>
          <w:rFonts w:ascii="Times New Roman" w:hAnsi="Times New Roman"/>
          <w:snapToGrid/>
          <w:color w:val="auto"/>
          <w:sz w:val="24"/>
          <w:szCs w:val="24"/>
          <w:lang w:eastAsia="zh-CN"/>
        </w:rPr>
        <w:t>。</w:t>
      </w:r>
      <w:r>
        <w:rPr>
          <w:rFonts w:ascii="Times New Roman" w:hAnsi="Times New Roman"/>
          <w:snapToGrid/>
          <w:color w:val="auto"/>
          <w:sz w:val="24"/>
          <w:szCs w:val="24"/>
        </w:rPr>
        <w:t>其中</w:t>
      </w:r>
      <w:r>
        <w:rPr>
          <w:rFonts w:ascii="Times New Roman" w:hAnsi="Times New Roman" w:cs="Times New Roman"/>
          <w:snapToGrid/>
          <w:color w:val="auto"/>
          <w:sz w:val="24"/>
          <w:szCs w:val="24"/>
        </w:rPr>
        <w:t>Pi</w:t>
      </w:r>
      <w:r>
        <w:rPr>
          <w:rFonts w:ascii="Times New Roman" w:hAnsi="Times New Roman"/>
          <w:snapToGrid/>
          <w:color w:val="auto"/>
          <w:sz w:val="24"/>
          <w:szCs w:val="24"/>
        </w:rPr>
        <w:t>定义为：</w:t>
      </w:r>
    </w:p>
    <w:p w14:paraId="4FACDC7D">
      <w:pPr>
        <w:keepNext w:val="0"/>
        <w:keepLines w:val="0"/>
        <w:pageBreakBefore w:val="0"/>
        <w:widowControl w:val="0"/>
        <w:shd w:val="clear"/>
        <w:tabs>
          <w:tab w:val="left" w:pos="2340"/>
        </w:tabs>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rPr>
      </w:pPr>
      <w:r>
        <w:rPr>
          <w:rFonts w:ascii="Times New Roman" w:hAnsi="Times New Roman" w:eastAsia="宋体"/>
          <w:snapToGrid/>
          <w:color w:val="auto"/>
        </w:rPr>
        <w:drawing>
          <wp:inline distT="0" distB="0" distL="0" distR="0">
            <wp:extent cx="1093470" cy="4000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5"/>
                    <a:stretch>
                      <a:fillRect/>
                    </a:stretch>
                  </pic:blipFill>
                  <pic:spPr>
                    <a:xfrm>
                      <a:off x="0" y="0"/>
                      <a:ext cx="1093608" cy="400053"/>
                    </a:xfrm>
                    <a:prstGeom prst="rect">
                      <a:avLst/>
                    </a:prstGeom>
                  </pic:spPr>
                </pic:pic>
              </a:graphicData>
            </a:graphic>
          </wp:inline>
        </w:drawing>
      </w:r>
    </w:p>
    <w:p w14:paraId="35937B42">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式中：</w:t>
      </w:r>
      <w:r>
        <w:rPr>
          <w:rFonts w:ascii="Times New Roman" w:hAnsi="Times New Roman" w:cs="Times New Roman"/>
          <w:snapToGrid/>
          <w:color w:val="auto"/>
          <w:sz w:val="24"/>
          <w:szCs w:val="24"/>
          <w:lang w:eastAsia="zh-CN"/>
        </w:rPr>
        <w:t>P</w:t>
      </w:r>
      <w:r>
        <w:rPr>
          <w:rFonts w:ascii="Times New Roman" w:hAnsi="Times New Roman" w:cs="Times New Roman"/>
          <w:snapToGrid/>
          <w:color w:val="auto"/>
          <w:sz w:val="24"/>
          <w:szCs w:val="16"/>
          <w:vertAlign w:val="subscript"/>
          <w:lang w:eastAsia="zh-CN"/>
        </w:rPr>
        <w:t>i</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第</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个污染物的最大地面空气质量浓度占标率，</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p>
    <w:p w14:paraId="75EC5044">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cs="Times New Roman"/>
          <w:snapToGrid/>
          <w:color w:val="auto"/>
          <w:sz w:val="24"/>
          <w:szCs w:val="24"/>
          <w:lang w:eastAsia="zh-CN"/>
        </w:rPr>
        <w:t>C</w:t>
      </w:r>
      <w:r>
        <w:rPr>
          <w:rFonts w:ascii="Times New Roman" w:hAnsi="Times New Roman" w:cs="Times New Roman"/>
          <w:snapToGrid/>
          <w:color w:val="auto"/>
          <w:sz w:val="24"/>
          <w:szCs w:val="16"/>
          <w:vertAlign w:val="subscript"/>
          <w:lang w:eastAsia="zh-CN"/>
        </w:rPr>
        <w:t>i</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采用估算模型计算出的第</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个污染物的最大</w:t>
      </w:r>
      <w:r>
        <w:rPr>
          <w:rFonts w:ascii="Times New Roman" w:hAnsi="Times New Roman" w:cs="Times New Roman"/>
          <w:snapToGrid/>
          <w:color w:val="auto"/>
          <w:sz w:val="24"/>
          <w:szCs w:val="24"/>
          <w:lang w:eastAsia="zh-CN"/>
        </w:rPr>
        <w:t>1h</w:t>
      </w:r>
      <w:r>
        <w:rPr>
          <w:rFonts w:ascii="Times New Roman" w:hAnsi="Times New Roman"/>
          <w:snapToGrid/>
          <w:color w:val="auto"/>
          <w:sz w:val="24"/>
          <w:szCs w:val="24"/>
          <w:lang w:eastAsia="zh-CN"/>
        </w:rPr>
        <w:t>地面空气质量浓度，</w:t>
      </w:r>
      <w:r>
        <w:rPr>
          <w:rFonts w:ascii="Times New Roman" w:hAnsi="Times New Roman" w:cs="Times New Roman"/>
          <w:snapToGrid/>
          <w:color w:val="auto"/>
          <w:sz w:val="24"/>
          <w:szCs w:val="24"/>
        </w:rPr>
        <w:t>μ</w:t>
      </w:r>
      <w:r>
        <w:rPr>
          <w:rFonts w:ascii="Times New Roman" w:hAnsi="Times New Roman" w:cs="Times New Roman"/>
          <w:snapToGrid/>
          <w:color w:val="auto"/>
          <w:sz w:val="24"/>
          <w:szCs w:val="24"/>
          <w:lang w:eastAsia="zh-CN"/>
        </w:rPr>
        <w:t>g/m</w:t>
      </w:r>
      <w:r>
        <w:rPr>
          <w:rFonts w:ascii="Times New Roman" w:hAnsi="Times New Roman" w:cs="Times New Roman"/>
          <w:snapToGrid/>
          <w:color w:val="auto"/>
          <w:sz w:val="24"/>
          <w:szCs w:val="16"/>
          <w:vertAlign w:val="superscript"/>
          <w:lang w:eastAsia="zh-CN"/>
        </w:rPr>
        <w:t>3</w:t>
      </w:r>
      <w:r>
        <w:rPr>
          <w:rFonts w:ascii="Times New Roman" w:hAnsi="Times New Roman"/>
          <w:snapToGrid/>
          <w:color w:val="auto"/>
          <w:sz w:val="24"/>
          <w:szCs w:val="24"/>
          <w:lang w:eastAsia="zh-CN"/>
        </w:rPr>
        <w:t>；</w:t>
      </w:r>
    </w:p>
    <w:p w14:paraId="05D030E0">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cs="Times New Roman"/>
          <w:snapToGrid/>
          <w:color w:val="auto"/>
          <w:sz w:val="24"/>
          <w:szCs w:val="16"/>
          <w:lang w:eastAsia="zh-CN"/>
        </w:rPr>
      </w:pPr>
      <w:bookmarkStart w:id="227" w:name="_Toc32556"/>
      <w:bookmarkStart w:id="228" w:name="_Toc20479"/>
      <w:r>
        <w:rPr>
          <w:rFonts w:ascii="Times New Roman" w:hAnsi="Times New Roman" w:cs="Times New Roman"/>
          <w:snapToGrid/>
          <w:color w:val="auto"/>
          <w:sz w:val="24"/>
          <w:szCs w:val="24"/>
          <w:lang w:eastAsia="zh-CN"/>
        </w:rPr>
        <w:t>C</w:t>
      </w:r>
      <w:r>
        <w:rPr>
          <w:rFonts w:ascii="Times New Roman" w:hAnsi="Times New Roman" w:cs="Times New Roman"/>
          <w:snapToGrid/>
          <w:color w:val="auto"/>
          <w:sz w:val="24"/>
          <w:szCs w:val="16"/>
          <w:vertAlign w:val="subscript"/>
          <w:lang w:eastAsia="zh-CN"/>
        </w:rPr>
        <w:t>0i</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第</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个污染物的环境空气质量浓度标准，</w:t>
      </w:r>
      <w:r>
        <w:rPr>
          <w:rFonts w:ascii="Times New Roman" w:hAnsi="Times New Roman" w:cs="Times New Roman"/>
          <w:snapToGrid/>
          <w:color w:val="auto"/>
          <w:sz w:val="24"/>
          <w:szCs w:val="24"/>
        </w:rPr>
        <w:t>μ</w:t>
      </w:r>
      <w:r>
        <w:rPr>
          <w:rFonts w:ascii="Times New Roman" w:hAnsi="Times New Roman" w:cs="Times New Roman"/>
          <w:snapToGrid/>
          <w:color w:val="auto"/>
          <w:sz w:val="24"/>
          <w:szCs w:val="24"/>
          <w:lang w:eastAsia="zh-CN"/>
        </w:rPr>
        <w:t>g/m</w:t>
      </w:r>
      <w:r>
        <w:rPr>
          <w:rFonts w:ascii="Times New Roman" w:hAnsi="Times New Roman" w:cs="Times New Roman"/>
          <w:snapToGrid/>
          <w:color w:val="auto"/>
          <w:sz w:val="24"/>
          <w:szCs w:val="16"/>
          <w:vertAlign w:val="superscript"/>
          <w:lang w:eastAsia="zh-CN"/>
        </w:rPr>
        <w:t>3</w:t>
      </w:r>
      <w:bookmarkEnd w:id="227"/>
      <w:bookmarkEnd w:id="228"/>
    </w:p>
    <w:p w14:paraId="1EEFB1B5">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cs="Times New Roman"/>
          <w:snapToGrid/>
          <w:color w:val="auto"/>
          <w:sz w:val="24"/>
          <w:szCs w:val="24"/>
          <w:lang w:eastAsia="zh-CN"/>
        </w:rPr>
        <w:t>C</w:t>
      </w:r>
      <w:r>
        <w:rPr>
          <w:rFonts w:ascii="Times New Roman" w:hAnsi="Times New Roman" w:cs="Times New Roman"/>
          <w:snapToGrid/>
          <w:color w:val="auto"/>
          <w:sz w:val="24"/>
          <w:szCs w:val="16"/>
          <w:vertAlign w:val="subscript"/>
          <w:lang w:eastAsia="zh-CN"/>
        </w:rPr>
        <w:t>0i</w:t>
      </w:r>
      <w:r>
        <w:rPr>
          <w:rFonts w:ascii="Times New Roman" w:hAnsi="Times New Roman"/>
          <w:snapToGrid/>
          <w:color w:val="auto"/>
          <w:sz w:val="24"/>
          <w:szCs w:val="24"/>
          <w:lang w:eastAsia="zh-CN"/>
        </w:rPr>
        <w:t>一般选用《环境空气质量标准》（</w:t>
      </w:r>
      <w:r>
        <w:rPr>
          <w:rFonts w:ascii="Times New Roman" w:hAnsi="Times New Roman" w:cs="Times New Roman"/>
          <w:snapToGrid/>
          <w:color w:val="auto"/>
          <w:sz w:val="24"/>
          <w:szCs w:val="24"/>
          <w:lang w:eastAsia="zh-CN"/>
        </w:rPr>
        <w:t>GB3095-2012</w:t>
      </w:r>
      <w:r>
        <w:rPr>
          <w:rFonts w:hint="eastAsia" w:ascii="Times New Roman" w:hAnsi="Times New Roman" w:cs="Times New Roman"/>
          <w:snapToGrid/>
          <w:color w:val="auto"/>
          <w:sz w:val="24"/>
          <w:szCs w:val="24"/>
          <w:lang w:eastAsia="zh-CN"/>
        </w:rPr>
        <w:t>，</w:t>
      </w:r>
      <w:r>
        <w:rPr>
          <w:rFonts w:hint="eastAsia" w:ascii="Times New Roman" w:hAnsi="Times New Roman" w:cs="Times New Roman"/>
          <w:snapToGrid/>
          <w:color w:val="auto"/>
          <w:sz w:val="24"/>
          <w:szCs w:val="24"/>
          <w:lang w:val="en-US" w:eastAsia="zh-CN"/>
        </w:rPr>
        <w:t>含2018年修改单</w:t>
      </w:r>
      <w:r>
        <w:rPr>
          <w:rFonts w:ascii="Times New Roman" w:hAnsi="Times New Roman"/>
          <w:snapToGrid/>
          <w:color w:val="auto"/>
          <w:sz w:val="24"/>
          <w:szCs w:val="24"/>
          <w:lang w:eastAsia="zh-CN"/>
        </w:rPr>
        <w:t>）中</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小时平均取样时间的二级标准浓度限值；对于无小时浓度限值的污染物可取日平均浓度限值的</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倍；对该标准中未包含的污染物可参照《工业企业设计卫生标准》（</w:t>
      </w:r>
      <w:r>
        <w:rPr>
          <w:rFonts w:ascii="Times New Roman" w:hAnsi="Times New Roman" w:cs="Times New Roman"/>
          <w:snapToGrid/>
          <w:color w:val="auto"/>
          <w:sz w:val="24"/>
          <w:szCs w:val="24"/>
          <w:lang w:eastAsia="zh-CN"/>
        </w:rPr>
        <w:t>TJ36-79</w:t>
      </w:r>
      <w:r>
        <w:rPr>
          <w:rFonts w:ascii="Times New Roman" w:hAnsi="Times New Roman"/>
          <w:snapToGrid/>
          <w:color w:val="auto"/>
          <w:sz w:val="24"/>
          <w:szCs w:val="24"/>
          <w:lang w:eastAsia="zh-CN"/>
        </w:rPr>
        <w:t>）中居住区大气中有害物质的最高容许浓度的一次浓度限值。</w:t>
      </w:r>
    </w:p>
    <w:p w14:paraId="6C81264C">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lang w:eastAsia="zh-CN"/>
        </w:rPr>
      </w:pPr>
      <w:r>
        <w:rPr>
          <w:rFonts w:ascii="Times New Roman" w:hAnsi="Times New Roman"/>
          <w:snapToGrid/>
          <w:color w:val="auto"/>
          <w:sz w:val="24"/>
          <w:szCs w:val="24"/>
          <w:lang w:eastAsia="zh-CN"/>
        </w:rPr>
        <w:t>评价工作等级按表</w:t>
      </w:r>
      <w:r>
        <w:rPr>
          <w:rFonts w:ascii="Times New Roman" w:hAnsi="Times New Roman" w:cs="Times New Roman"/>
          <w:snapToGrid/>
          <w:color w:val="auto"/>
          <w:sz w:val="24"/>
          <w:szCs w:val="24"/>
          <w:lang w:eastAsia="zh-CN"/>
        </w:rPr>
        <w:t>2.5-1</w:t>
      </w:r>
      <w:r>
        <w:rPr>
          <w:rFonts w:ascii="Times New Roman" w:hAnsi="Times New Roman"/>
          <w:snapToGrid/>
          <w:color w:val="auto"/>
          <w:sz w:val="24"/>
          <w:szCs w:val="24"/>
          <w:lang w:eastAsia="zh-CN"/>
        </w:rPr>
        <w:t>进行划分，如污染物</w:t>
      </w:r>
      <w:r>
        <w:rPr>
          <w:rFonts w:hint="eastAsia" w:ascii="Times New Roman" w:hAnsi="Times New Roman"/>
          <w:snapToGrid/>
          <w:color w:val="auto"/>
          <w:sz w:val="24"/>
          <w:szCs w:val="24"/>
          <w:lang w:eastAsia="zh-CN"/>
        </w:rPr>
        <w:t>数量</w:t>
      </w:r>
      <w:r>
        <w:rPr>
          <w:rFonts w:ascii="Times New Roman" w:hAnsi="Times New Roman" w:cs="Times New Roman"/>
          <w:snapToGrid/>
          <w:color w:val="auto"/>
          <w:sz w:val="24"/>
          <w:szCs w:val="24"/>
          <w:lang w:eastAsia="zh-CN"/>
        </w:rPr>
        <w:t>i</w:t>
      </w:r>
      <w:r>
        <w:rPr>
          <w:rFonts w:ascii="Times New Roman" w:hAnsi="Times New Roman"/>
          <w:snapToGrid/>
          <w:color w:val="auto"/>
          <w:sz w:val="24"/>
          <w:szCs w:val="24"/>
          <w:lang w:eastAsia="zh-CN"/>
        </w:rPr>
        <w:t>大于</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，取</w:t>
      </w:r>
      <w:r>
        <w:rPr>
          <w:rFonts w:ascii="Times New Roman" w:hAnsi="Times New Roman" w:cs="Times New Roman"/>
          <w:snapToGrid/>
          <w:color w:val="auto"/>
          <w:sz w:val="24"/>
          <w:szCs w:val="24"/>
          <w:lang w:eastAsia="zh-CN"/>
        </w:rPr>
        <w:t>P</w:t>
      </w:r>
      <w:r>
        <w:rPr>
          <w:rFonts w:ascii="Times New Roman" w:hAnsi="Times New Roman"/>
          <w:snapToGrid/>
          <w:color w:val="auto"/>
          <w:sz w:val="24"/>
          <w:szCs w:val="24"/>
          <w:lang w:eastAsia="zh-CN"/>
        </w:rPr>
        <w:t>值中最大者（</w:t>
      </w:r>
      <w:r>
        <w:rPr>
          <w:rFonts w:ascii="Times New Roman" w:hAnsi="Times New Roman" w:cs="Times New Roman"/>
          <w:snapToGrid/>
          <w:color w:val="auto"/>
          <w:sz w:val="24"/>
          <w:szCs w:val="24"/>
          <w:lang w:eastAsia="zh-CN"/>
        </w:rPr>
        <w:t>P</w:t>
      </w:r>
      <w:r>
        <w:rPr>
          <w:rFonts w:ascii="Times New Roman" w:hAnsi="Times New Roman" w:cs="Times New Roman"/>
          <w:snapToGrid/>
          <w:color w:val="auto"/>
          <w:sz w:val="24"/>
          <w:szCs w:val="24"/>
          <w:vertAlign w:val="subscript"/>
          <w:lang w:eastAsia="zh-CN"/>
        </w:rPr>
        <w:t>max</w:t>
      </w:r>
      <w:r>
        <w:rPr>
          <w:rFonts w:ascii="Times New Roman" w:hAnsi="Times New Roman"/>
          <w:snapToGrid/>
          <w:color w:val="auto"/>
          <w:sz w:val="24"/>
          <w:szCs w:val="24"/>
          <w:lang w:eastAsia="zh-CN"/>
        </w:rPr>
        <w:t>）。</w:t>
      </w:r>
    </w:p>
    <w:p w14:paraId="31A71EA2">
      <w:pPr>
        <w:pStyle w:val="2"/>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2.5-1</w:t>
      </w:r>
      <w:r>
        <w:rPr>
          <w:rFonts w:ascii="Times New Roman" w:hAnsi="Times New Roman"/>
          <w:b/>
          <w:bCs/>
          <w:snapToGrid/>
          <w:color w:val="auto"/>
          <w:sz w:val="24"/>
          <w:lang w:eastAsia="zh-CN"/>
        </w:rPr>
        <w:t>环境空气影响评价工作等级判别表</w:t>
      </w:r>
    </w:p>
    <w:p w14:paraId="734EEB6A">
      <w:pPr>
        <w:keepNext w:val="0"/>
        <w:keepLines w:val="0"/>
        <w:pageBreakBefore w:val="0"/>
        <w:widowControl w:val="0"/>
        <w:shd w:val="clear"/>
        <w:kinsoku/>
        <w:wordWrap/>
        <w:overflowPunct/>
        <w:autoSpaceDE/>
        <w:autoSpaceDN/>
        <w:bidi w:val="0"/>
        <w:adjustRightInd/>
        <w:snapToGrid/>
        <w:spacing w:line="27" w:lineRule="exact"/>
        <w:textAlignment w:val="auto"/>
        <w:outlineLvl w:val="9"/>
        <w:rPr>
          <w:rFonts w:ascii="Times New Roman" w:hAnsi="Times New Roman" w:eastAsia="宋体"/>
          <w:snapToGrid/>
          <w:color w:val="auto"/>
          <w:lang w:eastAsia="zh-CN"/>
        </w:rPr>
      </w:pPr>
    </w:p>
    <w:tbl>
      <w:tblPr>
        <w:tblStyle w:val="36"/>
        <w:tblW w:w="8450" w:type="dxa"/>
        <w:tblInd w:w="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30"/>
        <w:gridCol w:w="6420"/>
      </w:tblGrid>
      <w:tr w14:paraId="73595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2030" w:type="dxa"/>
            <w:tcBorders>
              <w:tl2br w:val="nil"/>
              <w:tr2bl w:val="nil"/>
            </w:tcBorders>
          </w:tcPr>
          <w:p w14:paraId="35AA350C">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评价等级</w:t>
            </w:r>
          </w:p>
        </w:tc>
        <w:tc>
          <w:tcPr>
            <w:tcW w:w="6420" w:type="dxa"/>
            <w:tcBorders>
              <w:tl2br w:val="nil"/>
              <w:tr2bl w:val="nil"/>
            </w:tcBorders>
          </w:tcPr>
          <w:p w14:paraId="5DC1EAC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评价工作分级判据</w:t>
            </w:r>
          </w:p>
        </w:tc>
      </w:tr>
      <w:tr w14:paraId="35B2D5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030" w:type="dxa"/>
            <w:tcBorders>
              <w:tl2br w:val="nil"/>
              <w:tr2bl w:val="nil"/>
            </w:tcBorders>
          </w:tcPr>
          <w:p w14:paraId="460495A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一级</w:t>
            </w:r>
          </w:p>
        </w:tc>
        <w:tc>
          <w:tcPr>
            <w:tcW w:w="6420" w:type="dxa"/>
            <w:tcBorders>
              <w:tl2br w:val="nil"/>
              <w:tr2bl w:val="nil"/>
            </w:tcBorders>
          </w:tcPr>
          <w:p w14:paraId="38EEA16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P</w:t>
            </w:r>
            <w:r>
              <w:rPr>
                <w:rFonts w:eastAsia="宋体"/>
                <w:snapToGrid/>
                <w:color w:val="auto"/>
                <w:vertAlign w:val="subscript"/>
              </w:rPr>
              <w:t>max</w:t>
            </w:r>
            <w:r>
              <w:rPr>
                <w:rFonts w:eastAsia="宋体"/>
                <w:snapToGrid/>
                <w:color w:val="auto"/>
              </w:rPr>
              <w:t>≥10%</w:t>
            </w:r>
          </w:p>
        </w:tc>
      </w:tr>
      <w:tr w14:paraId="3F422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030" w:type="dxa"/>
            <w:tcBorders>
              <w:tl2br w:val="nil"/>
              <w:tr2bl w:val="nil"/>
            </w:tcBorders>
          </w:tcPr>
          <w:p w14:paraId="28C5689F">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二级</w:t>
            </w:r>
          </w:p>
        </w:tc>
        <w:tc>
          <w:tcPr>
            <w:tcW w:w="6420" w:type="dxa"/>
            <w:tcBorders>
              <w:tl2br w:val="nil"/>
              <w:tr2bl w:val="nil"/>
            </w:tcBorders>
          </w:tcPr>
          <w:p w14:paraId="384B63D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1%≤P</w:t>
            </w:r>
            <w:r>
              <w:rPr>
                <w:rFonts w:eastAsia="宋体"/>
                <w:snapToGrid/>
                <w:color w:val="auto"/>
                <w:vertAlign w:val="subscript"/>
              </w:rPr>
              <w:t>max</w:t>
            </w:r>
            <w:r>
              <w:rPr>
                <w:rFonts w:eastAsia="宋体"/>
                <w:snapToGrid/>
                <w:color w:val="auto"/>
              </w:rPr>
              <w:t>&lt;10%</w:t>
            </w:r>
          </w:p>
        </w:tc>
      </w:tr>
      <w:tr w14:paraId="3F98E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030" w:type="dxa"/>
            <w:tcBorders>
              <w:tl2br w:val="nil"/>
              <w:tr2bl w:val="nil"/>
            </w:tcBorders>
          </w:tcPr>
          <w:p w14:paraId="679C8CB3">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三级</w:t>
            </w:r>
          </w:p>
        </w:tc>
        <w:tc>
          <w:tcPr>
            <w:tcW w:w="6420" w:type="dxa"/>
            <w:tcBorders>
              <w:tl2br w:val="nil"/>
              <w:tr2bl w:val="nil"/>
            </w:tcBorders>
          </w:tcPr>
          <w:p w14:paraId="7BCE978D">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P</w:t>
            </w:r>
            <w:r>
              <w:rPr>
                <w:rFonts w:eastAsia="宋体"/>
                <w:snapToGrid/>
                <w:color w:val="auto"/>
                <w:szCs w:val="13"/>
                <w:vertAlign w:val="subscript"/>
              </w:rPr>
              <w:t>max</w:t>
            </w:r>
            <w:r>
              <w:rPr>
                <w:rFonts w:eastAsia="宋体" w:cs="宋体"/>
                <w:snapToGrid/>
                <w:color w:val="auto"/>
              </w:rPr>
              <w:t>﹤</w:t>
            </w:r>
            <w:r>
              <w:rPr>
                <w:rFonts w:eastAsia="宋体"/>
                <w:snapToGrid/>
                <w:color w:val="auto"/>
              </w:rPr>
              <w:t>1%</w:t>
            </w:r>
          </w:p>
        </w:tc>
      </w:tr>
    </w:tbl>
    <w:p w14:paraId="6794FBE5">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评价等级的确定还应符合以下规定：</w:t>
      </w:r>
    </w:p>
    <w:p w14:paraId="59907F6B">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同一评价项目有多个（两个以上，含两个）污染源排放同一种污染物时，则按各污染源分别确定其评价等级，并取评价级别最高者作为项目的评价等级。</w:t>
      </w:r>
    </w:p>
    <w:p w14:paraId="1775160C">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29" w:name="_Toc15561"/>
      <w:bookmarkStart w:id="230" w:name="_Toc10058"/>
      <w:bookmarkStart w:id="231" w:name="_Toc19356"/>
      <w:bookmarkStart w:id="232" w:name="_Toc30714"/>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）判别估算过程</w:t>
      </w:r>
      <w:bookmarkEnd w:id="229"/>
      <w:bookmarkEnd w:id="230"/>
      <w:bookmarkEnd w:id="231"/>
      <w:bookmarkEnd w:id="232"/>
    </w:p>
    <w:p w14:paraId="3A681585">
      <w:pPr>
        <w:keepNext w:val="0"/>
        <w:keepLines w:val="0"/>
        <w:pageBreakBefore w:val="0"/>
        <w:widowControl w:val="0"/>
        <w:shd w:val="clear"/>
        <w:tabs>
          <w:tab w:val="left" w:leader="dot" w:pos="8770"/>
        </w:tabs>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根据工程分析可知，本项目运营期产生的大气污染物主要为废旧滴灌带分拣过程中产生的粉尘以及造粒热熔挤出、</w:t>
      </w:r>
      <w:r>
        <w:rPr>
          <w:rFonts w:hint="eastAsia" w:ascii="Times New Roman" w:hAnsi="Times New Roman" w:eastAsia="宋体"/>
          <w:color w:val="auto"/>
          <w:sz w:val="24"/>
          <w:lang w:eastAsia="zh-CN"/>
        </w:rPr>
        <w:t>滴灌带</w:t>
      </w:r>
      <w:r>
        <w:rPr>
          <w:rFonts w:hint="eastAsia" w:ascii="Times New Roman" w:hAnsi="Times New Roman" w:eastAsia="宋体" w:cs="Times New Roman"/>
          <w:color w:val="auto"/>
          <w:sz w:val="24"/>
          <w:szCs w:val="24"/>
          <w:lang w:val="en-US" w:eastAsia="zh-CN" w:bidi="ar-SA"/>
        </w:rPr>
        <w:t>热熔挤出工序产生的有机废气（以非甲烷总烃计）。本次环评选取颗粒物、非甲烷总烃作为评价因子。</w:t>
      </w:r>
    </w:p>
    <w:p w14:paraId="5AB24416">
      <w:pPr>
        <w:pStyle w:val="57"/>
        <w:keepNext w:val="0"/>
        <w:keepLines w:val="0"/>
        <w:pageBreakBefore w:val="0"/>
        <w:widowControl w:val="0"/>
        <w:shd w:val="clear"/>
        <w:kinsoku w:val="0"/>
        <w:wordWrap/>
        <w:overflowPunct/>
        <w:topLinePunct/>
        <w:autoSpaceDE w:val="0"/>
        <w:autoSpaceDN w:val="0"/>
        <w:bidi w:val="0"/>
        <w:adjustRightInd/>
        <w:snapToGrid/>
        <w:spacing w:before="0" w:line="360" w:lineRule="auto"/>
        <w:ind w:firstLine="0"/>
        <w:textAlignment w:val="baseline"/>
        <w:outlineLvl w:val="9"/>
        <w:rPr>
          <w:rFonts w:hint="default" w:ascii="Times New Roman" w:eastAsia="宋体"/>
          <w:b/>
          <w:bCs/>
          <w:color w:val="auto"/>
          <w:spacing w:val="0"/>
          <w:position w:val="0"/>
          <w:sz w:val="24"/>
          <w:szCs w:val="21"/>
          <w:lang w:val="en-US" w:eastAsia="zh-CN"/>
        </w:rPr>
      </w:pPr>
      <w:r>
        <w:rPr>
          <w:rFonts w:hint="eastAsia" w:ascii="Times New Roman" w:eastAsia="宋体"/>
          <w:b/>
          <w:bCs/>
          <w:color w:val="auto"/>
          <w:spacing w:val="0"/>
          <w:position w:val="0"/>
          <w:sz w:val="24"/>
          <w:szCs w:val="21"/>
          <w:lang w:val="en-US" w:eastAsia="zh-CN"/>
        </w:rPr>
        <w:t>表</w:t>
      </w:r>
      <w:r>
        <w:rPr>
          <w:rFonts w:hint="eastAsia" w:ascii="Times New Roman"/>
          <w:b/>
          <w:bCs/>
          <w:color w:val="auto"/>
          <w:spacing w:val="0"/>
          <w:position w:val="0"/>
          <w:sz w:val="24"/>
          <w:szCs w:val="21"/>
          <w:lang w:val="en-US" w:eastAsia="zh-CN"/>
        </w:rPr>
        <w:t>2.5-2评价因子和评价标准表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812"/>
        <w:gridCol w:w="1708"/>
        <w:gridCol w:w="3735"/>
      </w:tblGrid>
      <w:tr w14:paraId="1A595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67" w:type="pct"/>
            <w:tcBorders>
              <w:tl2br w:val="nil"/>
              <w:tr2bl w:val="nil"/>
            </w:tcBorders>
            <w:noWrap w:val="0"/>
            <w:vAlign w:val="center"/>
          </w:tcPr>
          <w:p w14:paraId="747115BF">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bCs/>
                <w:color w:val="auto"/>
                <w:sz w:val="21"/>
              </w:rPr>
            </w:pPr>
            <w:r>
              <w:rPr>
                <w:rFonts w:hint="default" w:ascii="Times New Roman" w:hAnsi="Times New Roman" w:eastAsia="宋体"/>
                <w:b/>
                <w:bCs/>
                <w:color w:val="auto"/>
                <w:sz w:val="21"/>
              </w:rPr>
              <w:t>评价因子</w:t>
            </w:r>
          </w:p>
        </w:tc>
        <w:tc>
          <w:tcPr>
            <w:tcW w:w="1032" w:type="pct"/>
            <w:tcBorders>
              <w:tl2br w:val="nil"/>
              <w:tr2bl w:val="nil"/>
            </w:tcBorders>
            <w:noWrap w:val="0"/>
            <w:vAlign w:val="center"/>
          </w:tcPr>
          <w:p w14:paraId="7C2C3F8C">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bCs/>
                <w:color w:val="auto"/>
                <w:sz w:val="21"/>
              </w:rPr>
            </w:pPr>
            <w:r>
              <w:rPr>
                <w:rFonts w:hint="default" w:ascii="Times New Roman" w:hAnsi="Times New Roman" w:eastAsia="宋体"/>
                <w:b/>
                <w:bCs/>
                <w:color w:val="auto"/>
                <w:sz w:val="21"/>
              </w:rPr>
              <w:t>评价标准</w:t>
            </w:r>
          </w:p>
        </w:tc>
        <w:tc>
          <w:tcPr>
            <w:tcW w:w="973" w:type="pct"/>
            <w:tcBorders>
              <w:tl2br w:val="nil"/>
              <w:tr2bl w:val="nil"/>
            </w:tcBorders>
            <w:noWrap w:val="0"/>
            <w:vAlign w:val="center"/>
          </w:tcPr>
          <w:p w14:paraId="347C321D">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bCs/>
                <w:color w:val="auto"/>
                <w:sz w:val="21"/>
              </w:rPr>
            </w:pPr>
            <w:r>
              <w:rPr>
                <w:rFonts w:hint="default" w:ascii="Times New Roman" w:hAnsi="Times New Roman" w:eastAsia="宋体"/>
                <w:b/>
                <w:bCs/>
                <w:color w:val="auto"/>
                <w:sz w:val="21"/>
              </w:rPr>
              <w:t>标准值</w:t>
            </w:r>
          </w:p>
        </w:tc>
        <w:tc>
          <w:tcPr>
            <w:tcW w:w="2126" w:type="pct"/>
            <w:tcBorders>
              <w:tl2br w:val="nil"/>
              <w:tr2bl w:val="nil"/>
            </w:tcBorders>
            <w:noWrap w:val="0"/>
            <w:vAlign w:val="center"/>
          </w:tcPr>
          <w:p w14:paraId="6F35E9BB">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bCs/>
                <w:color w:val="auto"/>
                <w:sz w:val="21"/>
              </w:rPr>
            </w:pPr>
            <w:r>
              <w:rPr>
                <w:rFonts w:hint="default" w:ascii="Times New Roman" w:hAnsi="Times New Roman" w:eastAsia="宋体"/>
                <w:b/>
                <w:bCs/>
                <w:color w:val="auto"/>
                <w:sz w:val="21"/>
              </w:rPr>
              <w:t>标准来源</w:t>
            </w:r>
          </w:p>
        </w:tc>
      </w:tr>
      <w:tr w14:paraId="79D28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l2br w:val="nil"/>
              <w:tr2bl w:val="nil"/>
            </w:tcBorders>
            <w:noWrap w:val="0"/>
            <w:vAlign w:val="center"/>
          </w:tcPr>
          <w:p w14:paraId="69DDFE22">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TSP</w:t>
            </w:r>
          </w:p>
        </w:tc>
        <w:tc>
          <w:tcPr>
            <w:tcW w:w="1032" w:type="pct"/>
            <w:tcBorders>
              <w:tl2br w:val="nil"/>
              <w:tr2bl w:val="nil"/>
            </w:tcBorders>
            <w:noWrap w:val="0"/>
            <w:vAlign w:val="center"/>
          </w:tcPr>
          <w:p w14:paraId="74B8E643">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1小时平均*</w:t>
            </w:r>
          </w:p>
        </w:tc>
        <w:tc>
          <w:tcPr>
            <w:tcW w:w="973" w:type="pct"/>
            <w:tcBorders>
              <w:tl2br w:val="nil"/>
              <w:tr2bl w:val="nil"/>
            </w:tcBorders>
            <w:noWrap w:val="0"/>
            <w:vAlign w:val="center"/>
          </w:tcPr>
          <w:p w14:paraId="0C859E96">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eastAsia" w:ascii="Times New Roman" w:hAnsi="Times New Roman" w:eastAsia="宋体"/>
                <w:b w:val="0"/>
                <w:color w:val="auto"/>
                <w:sz w:val="21"/>
                <w:lang w:val="en-US" w:eastAsia="zh-CN"/>
              </w:rPr>
              <w:t>900</w:t>
            </w:r>
            <w:r>
              <w:rPr>
                <w:rFonts w:hint="default" w:ascii="Times New Roman" w:hAnsi="Times New Roman" w:eastAsia="宋体"/>
                <w:b w:val="0"/>
                <w:color w:val="auto"/>
                <w:sz w:val="21"/>
              </w:rPr>
              <w:t>µg/m</w:t>
            </w:r>
            <w:r>
              <w:rPr>
                <w:rFonts w:hint="default" w:ascii="Times New Roman" w:hAnsi="Times New Roman" w:eastAsia="宋体"/>
                <w:b w:val="0"/>
                <w:color w:val="auto"/>
                <w:sz w:val="21"/>
                <w:vertAlign w:val="superscript"/>
              </w:rPr>
              <w:t>3</w:t>
            </w:r>
          </w:p>
        </w:tc>
        <w:tc>
          <w:tcPr>
            <w:tcW w:w="2126" w:type="pct"/>
            <w:tcBorders>
              <w:tl2br w:val="nil"/>
              <w:tr2bl w:val="nil"/>
            </w:tcBorders>
            <w:noWrap w:val="0"/>
            <w:vAlign w:val="center"/>
          </w:tcPr>
          <w:p w14:paraId="1D321CE4">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《环境空气质量标准》（GB 3095-2012）</w:t>
            </w:r>
          </w:p>
        </w:tc>
      </w:tr>
      <w:tr w14:paraId="4747B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l2br w:val="nil"/>
              <w:tr2bl w:val="nil"/>
            </w:tcBorders>
            <w:noWrap w:val="0"/>
            <w:vAlign w:val="center"/>
          </w:tcPr>
          <w:p w14:paraId="7F97007E">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NMHC</w:t>
            </w:r>
          </w:p>
        </w:tc>
        <w:tc>
          <w:tcPr>
            <w:tcW w:w="1032" w:type="pct"/>
            <w:tcBorders>
              <w:tl2br w:val="nil"/>
              <w:tr2bl w:val="nil"/>
            </w:tcBorders>
            <w:noWrap w:val="0"/>
            <w:vAlign w:val="center"/>
          </w:tcPr>
          <w:p w14:paraId="3855A633">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1小时平均*</w:t>
            </w:r>
          </w:p>
        </w:tc>
        <w:tc>
          <w:tcPr>
            <w:tcW w:w="973" w:type="pct"/>
            <w:tcBorders>
              <w:tl2br w:val="nil"/>
              <w:tr2bl w:val="nil"/>
            </w:tcBorders>
            <w:noWrap w:val="0"/>
            <w:vAlign w:val="center"/>
          </w:tcPr>
          <w:p w14:paraId="188F0E83">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eastAsia" w:ascii="Times New Roman" w:hAnsi="Times New Roman" w:eastAsia="宋体"/>
                <w:b w:val="0"/>
                <w:color w:val="auto"/>
                <w:sz w:val="21"/>
                <w:lang w:val="en-US" w:eastAsia="zh-CN"/>
              </w:rPr>
              <w:t>2000</w:t>
            </w:r>
            <w:r>
              <w:rPr>
                <w:rFonts w:hint="default" w:ascii="Times New Roman" w:hAnsi="Times New Roman" w:eastAsia="宋体"/>
                <w:b w:val="0"/>
                <w:color w:val="auto"/>
                <w:sz w:val="21"/>
              </w:rPr>
              <w:t>µg/m</w:t>
            </w:r>
            <w:r>
              <w:rPr>
                <w:rFonts w:hint="default" w:ascii="Times New Roman" w:hAnsi="Times New Roman" w:eastAsia="宋体"/>
                <w:b w:val="0"/>
                <w:color w:val="auto"/>
                <w:sz w:val="21"/>
                <w:vertAlign w:val="superscript"/>
              </w:rPr>
              <w:t>3</w:t>
            </w:r>
          </w:p>
        </w:tc>
        <w:tc>
          <w:tcPr>
            <w:tcW w:w="2126" w:type="pct"/>
            <w:tcBorders>
              <w:tl2br w:val="nil"/>
              <w:tr2bl w:val="nil"/>
            </w:tcBorders>
            <w:noWrap w:val="0"/>
            <w:vAlign w:val="center"/>
          </w:tcPr>
          <w:p w14:paraId="4B96D3CD">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《大气污染物综合排放标准详解》非甲烷总烃标准取值</w:t>
            </w:r>
          </w:p>
        </w:tc>
      </w:tr>
      <w:tr w14:paraId="60711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53A199BD">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outlineLvl w:val="9"/>
              <w:rPr>
                <w:rFonts w:hint="default" w:ascii="Times New Roman" w:hAnsi="Times New Roman" w:eastAsia="宋体"/>
                <w:b w:val="0"/>
                <w:color w:val="auto"/>
                <w:sz w:val="21"/>
              </w:rPr>
            </w:pPr>
            <w:r>
              <w:rPr>
                <w:rFonts w:hint="default" w:ascii="Times New Roman" w:hAnsi="Times New Roman" w:eastAsia="宋体"/>
                <w:b w:val="0"/>
                <w:color w:val="auto"/>
                <w:sz w:val="21"/>
              </w:rPr>
              <w:t>*注：根据导则要求，对仅有8h平均、日平均或年平均质量浓度限值的，可分别按2倍、3倍、6倍折算为1h平均质量浓度限值。</w:t>
            </w:r>
          </w:p>
        </w:tc>
      </w:tr>
    </w:tbl>
    <w:p w14:paraId="2DB306E0">
      <w:pPr>
        <w:keepNext w:val="0"/>
        <w:keepLines w:val="0"/>
        <w:pageBreakBefore w:val="0"/>
        <w:widowControl w:val="0"/>
        <w:shd w:val="clear"/>
        <w:tabs>
          <w:tab w:val="left" w:leader="dot" w:pos="8770"/>
        </w:tabs>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本项目估算模式预测参数详见表2.5-3。</w:t>
      </w:r>
    </w:p>
    <w:p w14:paraId="2B2B1F7D">
      <w:pPr>
        <w:keepNext w:val="0"/>
        <w:keepLines w:val="0"/>
        <w:pageBreakBefore w:val="0"/>
        <w:widowControl/>
        <w:shd w:val="clear"/>
        <w:tabs>
          <w:tab w:val="left" w:leader="dot" w:pos="8770"/>
        </w:tabs>
        <w:kinsoku w:val="0"/>
        <w:wordWrap/>
        <w:overflowPunct/>
        <w:topLinePunct w:val="0"/>
        <w:autoSpaceDE w:val="0"/>
        <w:autoSpaceDN w:val="0"/>
        <w:bidi w:val="0"/>
        <w:adjustRightInd/>
        <w:snapToGrid/>
        <w:spacing w:line="360" w:lineRule="auto"/>
        <w:jc w:val="center"/>
        <w:textAlignment w:val="baseline"/>
        <w:outlineLvl w:val="9"/>
        <w:rPr>
          <w:rFonts w:ascii="Times New Roman" w:hAnsi="Times New Roman" w:eastAsia="宋体"/>
          <w:b/>
          <w:bCs/>
          <w:color w:val="auto"/>
          <w:sz w:val="24"/>
          <w:szCs w:val="21"/>
          <w:highlight w:val="none"/>
        </w:rPr>
      </w:pPr>
      <w:r>
        <w:rPr>
          <w:rFonts w:hint="eastAsia" w:ascii="Times New Roman" w:hAnsi="Times New Roman" w:eastAsia="宋体"/>
          <w:b/>
          <w:bCs/>
          <w:color w:val="auto"/>
          <w:sz w:val="24"/>
          <w:szCs w:val="21"/>
          <w:highlight w:val="none"/>
        </w:rPr>
        <w:t>表</w:t>
      </w:r>
      <w:r>
        <w:rPr>
          <w:rFonts w:hint="eastAsia" w:ascii="Times New Roman" w:hAnsi="Times New Roman" w:eastAsia="宋体"/>
          <w:b/>
          <w:bCs/>
          <w:color w:val="auto"/>
          <w:sz w:val="24"/>
          <w:szCs w:val="21"/>
          <w:highlight w:val="none"/>
          <w:lang w:val="en-US" w:eastAsia="zh-CN"/>
        </w:rPr>
        <w:t>2.5-3</w:t>
      </w:r>
      <w:r>
        <w:rPr>
          <w:rFonts w:hint="eastAsia" w:ascii="Times New Roman" w:hAnsi="Times New Roman" w:eastAsia="宋体"/>
          <w:b/>
          <w:bCs/>
          <w:color w:val="auto"/>
          <w:sz w:val="24"/>
          <w:szCs w:val="21"/>
          <w:highlight w:val="none"/>
        </w:rPr>
        <w:t>估算模型</w:t>
      </w:r>
      <w:r>
        <w:rPr>
          <w:rFonts w:hint="eastAsia" w:ascii="Times New Roman" w:hAnsi="Times New Roman" w:eastAsia="宋体"/>
          <w:b/>
          <w:bCs/>
          <w:color w:val="auto"/>
          <w:sz w:val="24"/>
          <w:szCs w:val="21"/>
          <w:highlight w:val="none"/>
          <w:lang w:val="en-US" w:eastAsia="zh-CN"/>
        </w:rPr>
        <w:t>计算</w:t>
      </w:r>
      <w:r>
        <w:rPr>
          <w:rFonts w:hint="eastAsia" w:ascii="Times New Roman" w:hAnsi="Times New Roman" w:eastAsia="宋体"/>
          <w:b/>
          <w:bCs/>
          <w:color w:val="auto"/>
          <w:sz w:val="24"/>
          <w:szCs w:val="21"/>
          <w:highlight w:val="none"/>
        </w:rPr>
        <w:t>参数表</w:t>
      </w:r>
    </w:p>
    <w:tbl>
      <w:tblPr>
        <w:tblStyle w:val="36"/>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48"/>
        <w:gridCol w:w="2519"/>
        <w:gridCol w:w="4356"/>
      </w:tblGrid>
      <w:tr w14:paraId="20855D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9" w:hRule="atLeast"/>
          <w:jc w:val="center"/>
        </w:trPr>
        <w:tc>
          <w:tcPr>
            <w:tcW w:w="2474" w:type="pct"/>
            <w:gridSpan w:val="2"/>
            <w:tcBorders>
              <w:tl2br w:val="nil"/>
              <w:tr2bl w:val="nil"/>
            </w:tcBorders>
            <w:vAlign w:val="center"/>
          </w:tcPr>
          <w:p w14:paraId="6907E74C">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参数</w:t>
            </w:r>
          </w:p>
        </w:tc>
        <w:tc>
          <w:tcPr>
            <w:tcW w:w="2525" w:type="pct"/>
            <w:tcBorders>
              <w:tl2br w:val="nil"/>
              <w:tr2bl w:val="nil"/>
            </w:tcBorders>
            <w:vAlign w:val="center"/>
          </w:tcPr>
          <w:p w14:paraId="4A47D968">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取值</w:t>
            </w:r>
          </w:p>
        </w:tc>
      </w:tr>
      <w:tr w14:paraId="114720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014" w:type="pct"/>
            <w:vMerge w:val="restart"/>
            <w:tcBorders>
              <w:tl2br w:val="nil"/>
              <w:tr2bl w:val="nil"/>
            </w:tcBorders>
            <w:vAlign w:val="center"/>
          </w:tcPr>
          <w:p w14:paraId="3312AE56">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城市</w:t>
            </w:r>
            <w:r>
              <w:rPr>
                <w:rFonts w:eastAsia="宋体"/>
                <w:snapToGrid/>
                <w:color w:val="auto"/>
              </w:rPr>
              <w:t>/</w:t>
            </w:r>
            <w:r>
              <w:rPr>
                <w:rFonts w:eastAsia="宋体" w:cs="宋体"/>
                <w:snapToGrid/>
                <w:color w:val="auto"/>
              </w:rPr>
              <w:t>农村选项</w:t>
            </w:r>
          </w:p>
        </w:tc>
        <w:tc>
          <w:tcPr>
            <w:tcW w:w="1460" w:type="pct"/>
            <w:tcBorders>
              <w:tl2br w:val="nil"/>
              <w:tr2bl w:val="nil"/>
            </w:tcBorders>
            <w:vAlign w:val="center"/>
          </w:tcPr>
          <w:p w14:paraId="2D1E8FB6">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城市</w:t>
            </w:r>
            <w:r>
              <w:rPr>
                <w:rFonts w:eastAsia="宋体"/>
                <w:snapToGrid/>
                <w:color w:val="auto"/>
              </w:rPr>
              <w:t>/</w:t>
            </w:r>
            <w:r>
              <w:rPr>
                <w:rFonts w:eastAsia="宋体" w:cs="宋体"/>
                <w:snapToGrid/>
                <w:color w:val="auto"/>
              </w:rPr>
              <w:t>农村</w:t>
            </w:r>
          </w:p>
        </w:tc>
        <w:tc>
          <w:tcPr>
            <w:tcW w:w="2525" w:type="pct"/>
            <w:tcBorders>
              <w:tl2br w:val="nil"/>
              <w:tr2bl w:val="nil"/>
            </w:tcBorders>
            <w:vAlign w:val="center"/>
          </w:tcPr>
          <w:p w14:paraId="6B718CF4">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农村</w:t>
            </w:r>
          </w:p>
        </w:tc>
      </w:tr>
      <w:tr w14:paraId="460B4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1014" w:type="pct"/>
            <w:vMerge w:val="continue"/>
            <w:tcBorders>
              <w:tl2br w:val="nil"/>
              <w:tr2bl w:val="nil"/>
            </w:tcBorders>
            <w:vAlign w:val="center"/>
          </w:tcPr>
          <w:p w14:paraId="20BE359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460" w:type="pct"/>
            <w:tcBorders>
              <w:tl2br w:val="nil"/>
              <w:tr2bl w:val="nil"/>
            </w:tcBorders>
            <w:vAlign w:val="center"/>
          </w:tcPr>
          <w:p w14:paraId="27714176">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人口数（城市时选项）</w:t>
            </w:r>
          </w:p>
        </w:tc>
        <w:tc>
          <w:tcPr>
            <w:tcW w:w="2525" w:type="pct"/>
            <w:tcBorders>
              <w:tl2br w:val="nil"/>
              <w:tr2bl w:val="nil"/>
            </w:tcBorders>
            <w:vAlign w:val="center"/>
          </w:tcPr>
          <w:p w14:paraId="78C17C56">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w:t>
            </w:r>
          </w:p>
        </w:tc>
      </w:tr>
      <w:tr w14:paraId="6E6EB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474" w:type="pct"/>
            <w:gridSpan w:val="2"/>
            <w:tcBorders>
              <w:tl2br w:val="nil"/>
              <w:tr2bl w:val="nil"/>
            </w:tcBorders>
            <w:vAlign w:val="center"/>
          </w:tcPr>
          <w:p w14:paraId="1F872CE5">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最高环境温度</w:t>
            </w:r>
            <w:r>
              <w:rPr>
                <w:rFonts w:eastAsia="宋体"/>
                <w:snapToGrid/>
                <w:color w:val="auto"/>
              </w:rPr>
              <w:t>/</w:t>
            </w:r>
            <w:r>
              <w:rPr>
                <w:rFonts w:eastAsia="宋体" w:cs="宋体"/>
                <w:snapToGrid/>
                <w:color w:val="auto"/>
              </w:rPr>
              <w:t>℃</w:t>
            </w:r>
          </w:p>
        </w:tc>
        <w:tc>
          <w:tcPr>
            <w:tcW w:w="2525" w:type="pct"/>
            <w:tcBorders>
              <w:tl2br w:val="nil"/>
              <w:tr2bl w:val="nil"/>
            </w:tcBorders>
            <w:vAlign w:val="center"/>
          </w:tcPr>
          <w:p w14:paraId="29D1CD4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hint="eastAsia"/>
                <w:color w:val="auto"/>
              </w:rPr>
              <w:t>36.5</w:t>
            </w:r>
          </w:p>
        </w:tc>
      </w:tr>
      <w:tr w14:paraId="4A992B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474" w:type="pct"/>
            <w:gridSpan w:val="2"/>
            <w:tcBorders>
              <w:tl2br w:val="nil"/>
              <w:tr2bl w:val="nil"/>
            </w:tcBorders>
            <w:vAlign w:val="center"/>
          </w:tcPr>
          <w:p w14:paraId="035CC5C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cs="宋体"/>
                <w:snapToGrid/>
                <w:color w:val="auto"/>
              </w:rPr>
            </w:pPr>
            <w:r>
              <w:rPr>
                <w:rFonts w:eastAsia="宋体" w:cs="宋体"/>
                <w:snapToGrid/>
                <w:color w:val="auto"/>
              </w:rPr>
              <w:t>最低环境温度</w:t>
            </w:r>
            <w:r>
              <w:rPr>
                <w:rFonts w:eastAsia="宋体"/>
                <w:snapToGrid/>
                <w:color w:val="auto"/>
              </w:rPr>
              <w:t>/</w:t>
            </w:r>
            <w:r>
              <w:rPr>
                <w:rFonts w:eastAsia="宋体" w:cs="宋体"/>
                <w:snapToGrid/>
                <w:color w:val="auto"/>
              </w:rPr>
              <w:t>℃</w:t>
            </w:r>
          </w:p>
        </w:tc>
        <w:tc>
          <w:tcPr>
            <w:tcW w:w="2525" w:type="pct"/>
            <w:tcBorders>
              <w:tl2br w:val="nil"/>
              <w:tr2bl w:val="nil"/>
            </w:tcBorders>
            <w:vAlign w:val="center"/>
          </w:tcPr>
          <w:p w14:paraId="511921DB">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color w:val="auto"/>
              </w:rPr>
              <w:t>-</w:t>
            </w:r>
            <w:r>
              <w:rPr>
                <w:rFonts w:hint="eastAsia"/>
                <w:color w:val="auto"/>
              </w:rPr>
              <w:t>31</w:t>
            </w:r>
          </w:p>
        </w:tc>
      </w:tr>
      <w:tr w14:paraId="458D5D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474" w:type="pct"/>
            <w:gridSpan w:val="2"/>
            <w:tcBorders>
              <w:tl2br w:val="nil"/>
              <w:tr2bl w:val="nil"/>
            </w:tcBorders>
            <w:vAlign w:val="center"/>
          </w:tcPr>
          <w:p w14:paraId="0802ECFA">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土地利用类型</w:t>
            </w:r>
          </w:p>
        </w:tc>
        <w:tc>
          <w:tcPr>
            <w:tcW w:w="2525" w:type="pct"/>
            <w:tcBorders>
              <w:tl2br w:val="nil"/>
              <w:tr2bl w:val="nil"/>
            </w:tcBorders>
            <w:vAlign w:val="center"/>
          </w:tcPr>
          <w:p w14:paraId="45D082F2">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农村</w:t>
            </w:r>
          </w:p>
        </w:tc>
      </w:tr>
      <w:tr w14:paraId="3F618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2474" w:type="pct"/>
            <w:gridSpan w:val="2"/>
            <w:tcBorders>
              <w:tl2br w:val="nil"/>
              <w:tr2bl w:val="nil"/>
            </w:tcBorders>
            <w:vAlign w:val="center"/>
          </w:tcPr>
          <w:p w14:paraId="2A7679A0">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区域湿度条件</w:t>
            </w:r>
          </w:p>
        </w:tc>
        <w:tc>
          <w:tcPr>
            <w:tcW w:w="2525" w:type="pct"/>
            <w:tcBorders>
              <w:tl2br w:val="nil"/>
              <w:tr2bl w:val="nil"/>
            </w:tcBorders>
            <w:vAlign w:val="center"/>
          </w:tcPr>
          <w:p w14:paraId="1495A30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干燥气候</w:t>
            </w:r>
          </w:p>
        </w:tc>
      </w:tr>
      <w:tr w14:paraId="192D9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4" w:type="pct"/>
            <w:vMerge w:val="restart"/>
            <w:tcBorders>
              <w:tl2br w:val="nil"/>
              <w:tr2bl w:val="nil"/>
            </w:tcBorders>
            <w:vAlign w:val="center"/>
          </w:tcPr>
          <w:p w14:paraId="597650C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是否考虑地形</w:t>
            </w:r>
          </w:p>
        </w:tc>
        <w:tc>
          <w:tcPr>
            <w:tcW w:w="1460" w:type="pct"/>
            <w:tcBorders>
              <w:tl2br w:val="nil"/>
              <w:tr2bl w:val="nil"/>
            </w:tcBorders>
            <w:vAlign w:val="center"/>
          </w:tcPr>
          <w:p w14:paraId="32E57ADD">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考虑地形</w:t>
            </w:r>
          </w:p>
        </w:tc>
        <w:tc>
          <w:tcPr>
            <w:tcW w:w="2525" w:type="pct"/>
            <w:tcBorders>
              <w:tl2br w:val="nil"/>
              <w:tr2bl w:val="nil"/>
            </w:tcBorders>
            <w:vAlign w:val="center"/>
          </w:tcPr>
          <w:p w14:paraId="051DBEB7">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是</w:t>
            </w:r>
          </w:p>
        </w:tc>
      </w:tr>
      <w:tr w14:paraId="79964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4" w:type="pct"/>
            <w:vMerge w:val="continue"/>
            <w:tcBorders>
              <w:tl2br w:val="nil"/>
              <w:tr2bl w:val="nil"/>
            </w:tcBorders>
            <w:vAlign w:val="center"/>
          </w:tcPr>
          <w:p w14:paraId="31829FC3">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460" w:type="pct"/>
            <w:tcBorders>
              <w:tl2br w:val="nil"/>
              <w:tr2bl w:val="nil"/>
            </w:tcBorders>
            <w:vAlign w:val="center"/>
          </w:tcPr>
          <w:p w14:paraId="77255AB2">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cs="宋体"/>
                <w:snapToGrid/>
                <w:color w:val="auto"/>
              </w:rPr>
              <w:t>地形数据分辨率</w:t>
            </w:r>
            <w:r>
              <w:rPr>
                <w:rFonts w:eastAsia="宋体"/>
                <w:snapToGrid/>
                <w:color w:val="auto"/>
              </w:rPr>
              <w:t>/m</w:t>
            </w:r>
          </w:p>
        </w:tc>
        <w:tc>
          <w:tcPr>
            <w:tcW w:w="2525" w:type="pct"/>
            <w:tcBorders>
              <w:tl2br w:val="nil"/>
              <w:tr2bl w:val="nil"/>
            </w:tcBorders>
            <w:vAlign w:val="center"/>
          </w:tcPr>
          <w:p w14:paraId="183A7AA6">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eastAsia="宋体"/>
                <w:snapToGrid/>
                <w:color w:val="auto"/>
              </w:rPr>
            </w:pPr>
            <w:r>
              <w:rPr>
                <w:rFonts w:eastAsia="宋体"/>
                <w:snapToGrid/>
                <w:color w:val="auto"/>
              </w:rPr>
              <w:t>90</w:t>
            </w:r>
          </w:p>
        </w:tc>
      </w:tr>
      <w:tr w14:paraId="69682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4" w:type="pct"/>
            <w:vMerge w:val="restart"/>
            <w:tcBorders>
              <w:tl2br w:val="nil"/>
              <w:tr2bl w:val="nil"/>
            </w:tcBorders>
            <w:vAlign w:val="center"/>
          </w:tcPr>
          <w:p w14:paraId="73E8D0A9">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是否考虑岸线烟熏</w:t>
            </w:r>
          </w:p>
        </w:tc>
        <w:tc>
          <w:tcPr>
            <w:tcW w:w="1460" w:type="pct"/>
            <w:tcBorders>
              <w:tl2br w:val="nil"/>
              <w:tr2bl w:val="nil"/>
            </w:tcBorders>
            <w:vAlign w:val="center"/>
          </w:tcPr>
          <w:p w14:paraId="081BD09D">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考虑岸线烟熏</w:t>
            </w:r>
          </w:p>
        </w:tc>
        <w:tc>
          <w:tcPr>
            <w:tcW w:w="2525" w:type="pct"/>
            <w:tcBorders>
              <w:tl2br w:val="nil"/>
              <w:tr2bl w:val="nil"/>
            </w:tcBorders>
            <w:vAlign w:val="center"/>
          </w:tcPr>
          <w:p w14:paraId="50E0E41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否</w:t>
            </w:r>
          </w:p>
        </w:tc>
      </w:tr>
      <w:tr w14:paraId="4A3AD3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4" w:type="pct"/>
            <w:vMerge w:val="continue"/>
            <w:tcBorders>
              <w:tl2br w:val="nil"/>
              <w:tr2bl w:val="nil"/>
            </w:tcBorders>
            <w:vAlign w:val="center"/>
          </w:tcPr>
          <w:p w14:paraId="3E2B5D9D">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460" w:type="pct"/>
            <w:tcBorders>
              <w:tl2br w:val="nil"/>
              <w:tr2bl w:val="nil"/>
            </w:tcBorders>
            <w:vAlign w:val="center"/>
          </w:tcPr>
          <w:p w14:paraId="075DED41">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岸线距离</w:t>
            </w:r>
          </w:p>
        </w:tc>
        <w:tc>
          <w:tcPr>
            <w:tcW w:w="2525" w:type="pct"/>
            <w:tcBorders>
              <w:tl2br w:val="nil"/>
              <w:tr2bl w:val="nil"/>
            </w:tcBorders>
            <w:vAlign w:val="center"/>
          </w:tcPr>
          <w:p w14:paraId="38222E96">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否</w:t>
            </w:r>
          </w:p>
        </w:tc>
      </w:tr>
      <w:tr w14:paraId="790CAE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014" w:type="pct"/>
            <w:vMerge w:val="continue"/>
            <w:tcBorders>
              <w:tl2br w:val="nil"/>
              <w:tr2bl w:val="nil"/>
            </w:tcBorders>
            <w:vAlign w:val="center"/>
          </w:tcPr>
          <w:p w14:paraId="271D6CC8">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rPr>
            </w:pPr>
          </w:p>
        </w:tc>
        <w:tc>
          <w:tcPr>
            <w:tcW w:w="1460" w:type="pct"/>
            <w:tcBorders>
              <w:tl2br w:val="nil"/>
              <w:tr2bl w:val="nil"/>
            </w:tcBorders>
            <w:vAlign w:val="center"/>
          </w:tcPr>
          <w:p w14:paraId="34A97ACD">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岸线方向</w:t>
            </w:r>
          </w:p>
        </w:tc>
        <w:tc>
          <w:tcPr>
            <w:tcW w:w="2525" w:type="pct"/>
            <w:tcBorders>
              <w:tl2br w:val="nil"/>
              <w:tr2bl w:val="nil"/>
            </w:tcBorders>
            <w:vAlign w:val="center"/>
          </w:tcPr>
          <w:p w14:paraId="770FBEE0">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否</w:t>
            </w:r>
          </w:p>
        </w:tc>
      </w:tr>
    </w:tbl>
    <w:p w14:paraId="01DB8C9A">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本项目各废气污染源的参数见表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4</w:t>
      </w:r>
      <w:r>
        <w:rPr>
          <w:rFonts w:hint="eastAsia"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5</w:t>
      </w:r>
      <w:r>
        <w:rPr>
          <w:rFonts w:ascii="Times New Roman" w:hAnsi="Times New Roman"/>
          <w:snapToGrid/>
          <w:color w:val="auto"/>
          <w:sz w:val="24"/>
          <w:szCs w:val="24"/>
          <w:lang w:eastAsia="zh-CN"/>
        </w:rPr>
        <w:t>。</w:t>
      </w:r>
    </w:p>
    <w:p w14:paraId="5EAD92EF">
      <w:pPr>
        <w:pStyle w:val="2"/>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snapToGrid/>
          <w:color w:val="auto"/>
        </w:rPr>
      </w:pPr>
      <w:r>
        <w:rPr>
          <w:rFonts w:ascii="Times New Roman" w:hAnsi="Times New Roman"/>
          <w:b/>
          <w:bCs/>
          <w:snapToGrid/>
          <w:color w:val="auto"/>
          <w:sz w:val="24"/>
        </w:rPr>
        <w:t>表</w:t>
      </w:r>
      <w:r>
        <w:rPr>
          <w:rFonts w:ascii="Times New Roman" w:hAnsi="Times New Roman" w:cs="Times New Roman"/>
          <w:b/>
          <w:bCs/>
          <w:snapToGrid/>
          <w:color w:val="auto"/>
          <w:sz w:val="24"/>
        </w:rPr>
        <w:t>2.5-</w:t>
      </w:r>
      <w:r>
        <w:rPr>
          <w:rFonts w:hint="eastAsia" w:ascii="Times New Roman" w:hAnsi="Times New Roman" w:cs="Times New Roman"/>
          <w:b/>
          <w:bCs/>
          <w:snapToGrid/>
          <w:color w:val="auto"/>
          <w:sz w:val="24"/>
          <w:lang w:val="en-US" w:eastAsia="zh-CN"/>
        </w:rPr>
        <w:t>4</w:t>
      </w:r>
      <w:r>
        <w:rPr>
          <w:rFonts w:hint="eastAsia" w:ascii="Times New Roman" w:hAnsi="Times New Roman" w:cs="Times New Roman"/>
          <w:b/>
          <w:bCs/>
          <w:snapToGrid/>
          <w:color w:val="auto"/>
          <w:sz w:val="24"/>
          <w:lang w:eastAsia="zh-CN"/>
        </w:rPr>
        <w:t>有组织</w:t>
      </w:r>
      <w:r>
        <w:rPr>
          <w:rFonts w:ascii="Times New Roman" w:hAnsi="Times New Roman"/>
          <w:b/>
          <w:bCs/>
          <w:snapToGrid/>
          <w:color w:val="auto"/>
          <w:sz w:val="24"/>
        </w:rPr>
        <w:t>污染源参数表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407"/>
        <w:gridCol w:w="1407"/>
        <w:gridCol w:w="792"/>
        <w:gridCol w:w="792"/>
        <w:gridCol w:w="792"/>
        <w:gridCol w:w="837"/>
        <w:gridCol w:w="930"/>
        <w:gridCol w:w="999"/>
      </w:tblGrid>
      <w:tr w14:paraId="7EBE6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0" w:type="pct"/>
            <w:vMerge w:val="restart"/>
            <w:tcBorders>
              <w:tl2br w:val="nil"/>
              <w:tr2bl w:val="nil"/>
            </w:tcBorders>
            <w:noWrap w:val="0"/>
            <w:vAlign w:val="center"/>
          </w:tcPr>
          <w:p w14:paraId="70ED789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污染源名称</w:t>
            </w:r>
          </w:p>
        </w:tc>
        <w:tc>
          <w:tcPr>
            <w:tcW w:w="1300" w:type="pct"/>
            <w:gridSpan w:val="2"/>
            <w:tcBorders>
              <w:tl2br w:val="nil"/>
              <w:tr2bl w:val="nil"/>
            </w:tcBorders>
            <w:noWrap w:val="0"/>
            <w:vAlign w:val="center"/>
          </w:tcPr>
          <w:p w14:paraId="7EFC77C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排气筒底部中心坐标（°）</w:t>
            </w:r>
          </w:p>
        </w:tc>
        <w:tc>
          <w:tcPr>
            <w:tcW w:w="742" w:type="pct"/>
            <w:vMerge w:val="restart"/>
            <w:tcBorders>
              <w:tl2br w:val="nil"/>
              <w:tr2bl w:val="nil"/>
            </w:tcBorders>
            <w:noWrap w:val="0"/>
            <w:vAlign w:val="center"/>
          </w:tcPr>
          <w:p w14:paraId="72D319C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排气筒底部海拔（m）</w:t>
            </w:r>
          </w:p>
        </w:tc>
        <w:tc>
          <w:tcPr>
            <w:tcW w:w="1711" w:type="pct"/>
            <w:gridSpan w:val="4"/>
            <w:tcBorders>
              <w:tl2br w:val="nil"/>
              <w:tr2bl w:val="nil"/>
            </w:tcBorders>
            <w:noWrap w:val="0"/>
            <w:vAlign w:val="center"/>
          </w:tcPr>
          <w:p w14:paraId="21B0221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排气筒参数</w:t>
            </w:r>
          </w:p>
        </w:tc>
        <w:tc>
          <w:tcPr>
            <w:tcW w:w="704" w:type="pct"/>
            <w:tcBorders>
              <w:tl2br w:val="nil"/>
              <w:tr2bl w:val="nil"/>
            </w:tcBorders>
            <w:noWrap w:val="0"/>
            <w:vAlign w:val="center"/>
          </w:tcPr>
          <w:p w14:paraId="70F3EF0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污染物排放速率（kg/h）</w:t>
            </w:r>
          </w:p>
        </w:tc>
      </w:tr>
      <w:tr w14:paraId="04B80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0" w:type="pct"/>
            <w:vMerge w:val="continue"/>
            <w:tcBorders>
              <w:tl2br w:val="nil"/>
              <w:tr2bl w:val="nil"/>
            </w:tcBorders>
            <w:noWrap w:val="0"/>
            <w:vAlign w:val="center"/>
          </w:tcPr>
          <w:p w14:paraId="26DC975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p>
        </w:tc>
        <w:tc>
          <w:tcPr>
            <w:tcW w:w="650" w:type="pct"/>
            <w:tcBorders>
              <w:tl2br w:val="nil"/>
              <w:tr2bl w:val="nil"/>
            </w:tcBorders>
            <w:noWrap w:val="0"/>
            <w:vAlign w:val="center"/>
          </w:tcPr>
          <w:p w14:paraId="4A9F77F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经度</w:t>
            </w:r>
          </w:p>
        </w:tc>
        <w:tc>
          <w:tcPr>
            <w:tcW w:w="650" w:type="pct"/>
            <w:tcBorders>
              <w:tl2br w:val="nil"/>
              <w:tr2bl w:val="nil"/>
            </w:tcBorders>
            <w:noWrap w:val="0"/>
            <w:vAlign w:val="center"/>
          </w:tcPr>
          <w:p w14:paraId="525C832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纬度</w:t>
            </w:r>
          </w:p>
        </w:tc>
        <w:tc>
          <w:tcPr>
            <w:tcW w:w="742" w:type="pct"/>
            <w:vMerge w:val="continue"/>
            <w:tcBorders>
              <w:tl2br w:val="nil"/>
              <w:tr2bl w:val="nil"/>
            </w:tcBorders>
            <w:noWrap w:val="0"/>
            <w:vAlign w:val="center"/>
          </w:tcPr>
          <w:p w14:paraId="3A24007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p>
        </w:tc>
        <w:tc>
          <w:tcPr>
            <w:tcW w:w="432" w:type="pct"/>
            <w:tcBorders>
              <w:tl2br w:val="nil"/>
              <w:tr2bl w:val="nil"/>
            </w:tcBorders>
            <w:noWrap w:val="0"/>
            <w:vAlign w:val="center"/>
          </w:tcPr>
          <w:p w14:paraId="2B9747D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高度（m）</w:t>
            </w:r>
          </w:p>
        </w:tc>
        <w:tc>
          <w:tcPr>
            <w:tcW w:w="388" w:type="pct"/>
            <w:tcBorders>
              <w:tl2br w:val="nil"/>
              <w:tr2bl w:val="nil"/>
            </w:tcBorders>
            <w:noWrap w:val="0"/>
            <w:vAlign w:val="center"/>
          </w:tcPr>
          <w:p w14:paraId="13041E3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内径（m）</w:t>
            </w:r>
          </w:p>
        </w:tc>
        <w:tc>
          <w:tcPr>
            <w:tcW w:w="437" w:type="pct"/>
            <w:tcBorders>
              <w:tl2br w:val="nil"/>
              <w:tr2bl w:val="nil"/>
            </w:tcBorders>
            <w:noWrap w:val="0"/>
            <w:vAlign w:val="center"/>
          </w:tcPr>
          <w:p w14:paraId="1D7D075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温度（℃）</w:t>
            </w:r>
          </w:p>
        </w:tc>
        <w:tc>
          <w:tcPr>
            <w:tcW w:w="453" w:type="pct"/>
            <w:tcBorders>
              <w:tl2br w:val="nil"/>
              <w:tr2bl w:val="nil"/>
            </w:tcBorders>
            <w:noWrap w:val="0"/>
            <w:vAlign w:val="center"/>
          </w:tcPr>
          <w:p w14:paraId="00455CB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流速（m/s）</w:t>
            </w:r>
          </w:p>
        </w:tc>
        <w:tc>
          <w:tcPr>
            <w:tcW w:w="704" w:type="pct"/>
            <w:tcBorders>
              <w:tl2br w:val="nil"/>
              <w:tr2bl w:val="nil"/>
            </w:tcBorders>
            <w:noWrap w:val="0"/>
            <w:vAlign w:val="center"/>
          </w:tcPr>
          <w:p w14:paraId="455F682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NMHC</w:t>
            </w:r>
          </w:p>
        </w:tc>
      </w:tr>
      <w:tr w14:paraId="75894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0" w:type="pct"/>
            <w:tcBorders>
              <w:tl2br w:val="nil"/>
              <w:tr2bl w:val="nil"/>
            </w:tcBorders>
            <w:noWrap w:val="0"/>
            <w:vAlign w:val="center"/>
          </w:tcPr>
          <w:p w14:paraId="0F63E5D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DA001</w:t>
            </w:r>
          </w:p>
        </w:tc>
        <w:tc>
          <w:tcPr>
            <w:tcW w:w="650" w:type="pct"/>
            <w:tcBorders>
              <w:tl2br w:val="nil"/>
              <w:tr2bl w:val="nil"/>
            </w:tcBorders>
            <w:noWrap w:val="0"/>
            <w:vAlign w:val="center"/>
          </w:tcPr>
          <w:p w14:paraId="17AD84D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90.071612398</w:t>
            </w:r>
          </w:p>
        </w:tc>
        <w:tc>
          <w:tcPr>
            <w:tcW w:w="650" w:type="pct"/>
            <w:tcBorders>
              <w:tl2br w:val="nil"/>
              <w:tr2bl w:val="nil"/>
            </w:tcBorders>
            <w:noWrap w:val="0"/>
            <w:vAlign w:val="center"/>
          </w:tcPr>
          <w:p w14:paraId="63AC961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44.061669613</w:t>
            </w:r>
          </w:p>
        </w:tc>
        <w:tc>
          <w:tcPr>
            <w:tcW w:w="742" w:type="pct"/>
            <w:tcBorders>
              <w:tl2br w:val="nil"/>
              <w:tr2bl w:val="nil"/>
            </w:tcBorders>
            <w:noWrap w:val="0"/>
            <w:vAlign w:val="center"/>
          </w:tcPr>
          <w:p w14:paraId="15BC7B4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795.69</w:t>
            </w:r>
          </w:p>
        </w:tc>
        <w:tc>
          <w:tcPr>
            <w:tcW w:w="432" w:type="pct"/>
            <w:tcBorders>
              <w:tl2br w:val="nil"/>
              <w:tr2bl w:val="nil"/>
            </w:tcBorders>
            <w:noWrap w:val="0"/>
            <w:vAlign w:val="center"/>
          </w:tcPr>
          <w:p w14:paraId="5AEC250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15.00</w:t>
            </w:r>
          </w:p>
        </w:tc>
        <w:tc>
          <w:tcPr>
            <w:tcW w:w="388" w:type="pct"/>
            <w:tcBorders>
              <w:tl2br w:val="nil"/>
              <w:tr2bl w:val="nil"/>
            </w:tcBorders>
            <w:noWrap w:val="0"/>
            <w:vAlign w:val="center"/>
          </w:tcPr>
          <w:p w14:paraId="21DC932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0.50</w:t>
            </w:r>
          </w:p>
        </w:tc>
        <w:tc>
          <w:tcPr>
            <w:tcW w:w="437" w:type="pct"/>
            <w:tcBorders>
              <w:tl2br w:val="nil"/>
              <w:tr2bl w:val="nil"/>
            </w:tcBorders>
            <w:noWrap w:val="0"/>
            <w:vAlign w:val="center"/>
          </w:tcPr>
          <w:p w14:paraId="4731E91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25</w:t>
            </w:r>
          </w:p>
        </w:tc>
        <w:tc>
          <w:tcPr>
            <w:tcW w:w="453" w:type="pct"/>
            <w:tcBorders>
              <w:tl2br w:val="nil"/>
              <w:tr2bl w:val="nil"/>
            </w:tcBorders>
            <w:noWrap w:val="0"/>
            <w:vAlign w:val="center"/>
          </w:tcPr>
          <w:p w14:paraId="59A9FED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11.44</w:t>
            </w:r>
          </w:p>
        </w:tc>
        <w:tc>
          <w:tcPr>
            <w:tcW w:w="704" w:type="pct"/>
            <w:tcBorders>
              <w:tl2br w:val="nil"/>
              <w:tr2bl w:val="nil"/>
            </w:tcBorders>
            <w:noWrap w:val="0"/>
            <w:vAlign w:val="center"/>
          </w:tcPr>
          <w:p w14:paraId="5FD0E26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0.16</w:t>
            </w:r>
          </w:p>
        </w:tc>
      </w:tr>
    </w:tbl>
    <w:p w14:paraId="68FF8836">
      <w:pPr>
        <w:pStyle w:val="2"/>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snapToGrid/>
          <w:color w:val="auto"/>
        </w:rPr>
      </w:pPr>
      <w:r>
        <w:rPr>
          <w:rFonts w:ascii="Times New Roman" w:hAnsi="Times New Roman"/>
          <w:b/>
          <w:bCs/>
          <w:snapToGrid/>
          <w:color w:val="auto"/>
          <w:sz w:val="24"/>
        </w:rPr>
        <w:t>表</w:t>
      </w:r>
      <w:r>
        <w:rPr>
          <w:rFonts w:hint="eastAsia" w:ascii="Times New Roman" w:hAnsi="Times New Roman"/>
          <w:b/>
          <w:bCs/>
          <w:snapToGrid/>
          <w:color w:val="auto"/>
          <w:sz w:val="24"/>
          <w:lang w:eastAsia="zh-CN"/>
        </w:rPr>
        <w:t>2.5-</w:t>
      </w:r>
      <w:r>
        <w:rPr>
          <w:rFonts w:hint="eastAsia" w:ascii="Times New Roman" w:hAnsi="Times New Roman"/>
          <w:b/>
          <w:bCs/>
          <w:snapToGrid/>
          <w:color w:val="auto"/>
          <w:sz w:val="24"/>
          <w:lang w:val="en-US" w:eastAsia="zh-CN"/>
        </w:rPr>
        <w:t>5</w:t>
      </w:r>
      <w:r>
        <w:rPr>
          <w:rFonts w:hint="eastAsia" w:ascii="Times New Roman" w:hAnsi="Times New Roman"/>
          <w:b/>
          <w:bCs/>
          <w:snapToGrid/>
          <w:color w:val="auto"/>
          <w:sz w:val="24"/>
          <w:lang w:eastAsia="zh-CN"/>
        </w:rPr>
        <w:t>无</w:t>
      </w:r>
      <w:r>
        <w:rPr>
          <w:rFonts w:hint="eastAsia" w:ascii="Times New Roman" w:hAnsi="Times New Roman" w:cs="Times New Roman"/>
          <w:b/>
          <w:bCs/>
          <w:snapToGrid/>
          <w:color w:val="auto"/>
          <w:sz w:val="24"/>
          <w:lang w:eastAsia="zh-CN"/>
        </w:rPr>
        <w:t>组织</w:t>
      </w:r>
      <w:r>
        <w:rPr>
          <w:rFonts w:ascii="Times New Roman" w:hAnsi="Times New Roman"/>
          <w:b/>
          <w:bCs/>
          <w:snapToGrid/>
          <w:color w:val="auto"/>
          <w:sz w:val="24"/>
        </w:rPr>
        <w:t>污染源参数表</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424"/>
        <w:gridCol w:w="1424"/>
        <w:gridCol w:w="825"/>
        <w:gridCol w:w="825"/>
        <w:gridCol w:w="825"/>
        <w:gridCol w:w="850"/>
        <w:gridCol w:w="869"/>
        <w:gridCol w:w="1263"/>
      </w:tblGrid>
      <w:tr w14:paraId="4D488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vMerge w:val="restart"/>
            <w:tcBorders>
              <w:tl2br w:val="nil"/>
              <w:tr2bl w:val="nil"/>
            </w:tcBorders>
            <w:noWrap w:val="0"/>
            <w:vAlign w:val="center"/>
          </w:tcPr>
          <w:p w14:paraId="24DAA03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污染源名称</w:t>
            </w:r>
          </w:p>
        </w:tc>
        <w:tc>
          <w:tcPr>
            <w:tcW w:w="0" w:type="auto"/>
            <w:gridSpan w:val="2"/>
            <w:tcBorders>
              <w:tl2br w:val="nil"/>
              <w:tr2bl w:val="nil"/>
            </w:tcBorders>
            <w:noWrap w:val="0"/>
            <w:vAlign w:val="center"/>
          </w:tcPr>
          <w:p w14:paraId="59D020B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坐标（°）</w:t>
            </w:r>
          </w:p>
        </w:tc>
        <w:tc>
          <w:tcPr>
            <w:tcW w:w="0" w:type="auto"/>
            <w:vMerge w:val="restart"/>
            <w:tcBorders>
              <w:tl2br w:val="nil"/>
              <w:tr2bl w:val="nil"/>
            </w:tcBorders>
            <w:noWrap w:val="0"/>
            <w:vAlign w:val="center"/>
          </w:tcPr>
          <w:p w14:paraId="3FBFFC6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海拔（m）</w:t>
            </w:r>
          </w:p>
        </w:tc>
        <w:tc>
          <w:tcPr>
            <w:tcW w:w="0" w:type="auto"/>
            <w:gridSpan w:val="3"/>
            <w:tcBorders>
              <w:tl2br w:val="nil"/>
              <w:tr2bl w:val="nil"/>
            </w:tcBorders>
            <w:noWrap w:val="0"/>
            <w:vAlign w:val="center"/>
          </w:tcPr>
          <w:p w14:paraId="1B9B6EC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矩形面源</w:t>
            </w:r>
          </w:p>
        </w:tc>
        <w:tc>
          <w:tcPr>
            <w:tcW w:w="0" w:type="auto"/>
            <w:gridSpan w:val="2"/>
            <w:tcBorders>
              <w:tl2br w:val="nil"/>
              <w:tr2bl w:val="nil"/>
            </w:tcBorders>
            <w:noWrap w:val="0"/>
            <w:vAlign w:val="center"/>
          </w:tcPr>
          <w:p w14:paraId="4732720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污染物排放速率（kg/h）</w:t>
            </w:r>
          </w:p>
        </w:tc>
      </w:tr>
      <w:tr w14:paraId="16BD2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vMerge w:val="continue"/>
            <w:tcBorders>
              <w:tl2br w:val="nil"/>
              <w:tr2bl w:val="nil"/>
            </w:tcBorders>
            <w:noWrap w:val="0"/>
            <w:vAlign w:val="center"/>
          </w:tcPr>
          <w:p w14:paraId="70FF407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p>
        </w:tc>
        <w:tc>
          <w:tcPr>
            <w:tcW w:w="0" w:type="auto"/>
            <w:tcBorders>
              <w:tl2br w:val="nil"/>
              <w:tr2bl w:val="nil"/>
            </w:tcBorders>
            <w:noWrap w:val="0"/>
            <w:vAlign w:val="center"/>
          </w:tcPr>
          <w:p w14:paraId="2D393CB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经度</w:t>
            </w:r>
          </w:p>
        </w:tc>
        <w:tc>
          <w:tcPr>
            <w:tcW w:w="0" w:type="auto"/>
            <w:tcBorders>
              <w:tl2br w:val="nil"/>
              <w:tr2bl w:val="nil"/>
            </w:tcBorders>
            <w:noWrap w:val="0"/>
            <w:vAlign w:val="center"/>
          </w:tcPr>
          <w:p w14:paraId="06E4A15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纬度</w:t>
            </w:r>
          </w:p>
        </w:tc>
        <w:tc>
          <w:tcPr>
            <w:tcW w:w="0" w:type="auto"/>
            <w:vMerge w:val="continue"/>
            <w:tcBorders>
              <w:tl2br w:val="nil"/>
              <w:tr2bl w:val="nil"/>
            </w:tcBorders>
            <w:noWrap w:val="0"/>
            <w:vAlign w:val="center"/>
          </w:tcPr>
          <w:p w14:paraId="3EBD2ED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p>
        </w:tc>
        <w:tc>
          <w:tcPr>
            <w:tcW w:w="0" w:type="auto"/>
            <w:tcBorders>
              <w:tl2br w:val="nil"/>
              <w:tr2bl w:val="nil"/>
            </w:tcBorders>
            <w:noWrap w:val="0"/>
            <w:vAlign w:val="center"/>
          </w:tcPr>
          <w:p w14:paraId="002BA4C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长度（m）</w:t>
            </w:r>
          </w:p>
        </w:tc>
        <w:tc>
          <w:tcPr>
            <w:tcW w:w="0" w:type="auto"/>
            <w:tcBorders>
              <w:tl2br w:val="nil"/>
              <w:tr2bl w:val="nil"/>
            </w:tcBorders>
            <w:noWrap w:val="0"/>
            <w:vAlign w:val="center"/>
          </w:tcPr>
          <w:p w14:paraId="3938CEB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宽度（m）</w:t>
            </w:r>
          </w:p>
        </w:tc>
        <w:tc>
          <w:tcPr>
            <w:tcW w:w="0" w:type="auto"/>
            <w:tcBorders>
              <w:tl2br w:val="nil"/>
              <w:tr2bl w:val="nil"/>
            </w:tcBorders>
            <w:noWrap w:val="0"/>
            <w:vAlign w:val="center"/>
          </w:tcPr>
          <w:p w14:paraId="1B7955F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有效高度（m）</w:t>
            </w:r>
          </w:p>
        </w:tc>
        <w:tc>
          <w:tcPr>
            <w:tcW w:w="0" w:type="auto"/>
            <w:tcBorders>
              <w:tl2br w:val="nil"/>
              <w:tr2bl w:val="nil"/>
            </w:tcBorders>
            <w:noWrap w:val="0"/>
            <w:vAlign w:val="center"/>
          </w:tcPr>
          <w:p w14:paraId="2E6E97D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NMHC</w:t>
            </w:r>
          </w:p>
        </w:tc>
        <w:tc>
          <w:tcPr>
            <w:tcW w:w="0" w:type="auto"/>
            <w:tcBorders>
              <w:tl2br w:val="nil"/>
              <w:tr2bl w:val="nil"/>
            </w:tcBorders>
            <w:noWrap w:val="0"/>
            <w:vAlign w:val="center"/>
          </w:tcPr>
          <w:p w14:paraId="683503F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TSP</w:t>
            </w:r>
          </w:p>
        </w:tc>
      </w:tr>
      <w:tr w14:paraId="78492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tcBorders>
              <w:tl2br w:val="nil"/>
              <w:tr2bl w:val="nil"/>
            </w:tcBorders>
            <w:noWrap w:val="0"/>
            <w:vAlign w:val="center"/>
          </w:tcPr>
          <w:p w14:paraId="68167B7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生产车间</w:t>
            </w:r>
          </w:p>
        </w:tc>
        <w:tc>
          <w:tcPr>
            <w:tcW w:w="0" w:type="auto"/>
            <w:tcBorders>
              <w:tl2br w:val="nil"/>
              <w:tr2bl w:val="nil"/>
            </w:tcBorders>
            <w:noWrap w:val="0"/>
            <w:vAlign w:val="center"/>
          </w:tcPr>
          <w:p w14:paraId="23918B8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90.071612398</w:t>
            </w:r>
          </w:p>
        </w:tc>
        <w:tc>
          <w:tcPr>
            <w:tcW w:w="0" w:type="auto"/>
            <w:tcBorders>
              <w:tl2br w:val="nil"/>
              <w:tr2bl w:val="nil"/>
            </w:tcBorders>
            <w:noWrap w:val="0"/>
            <w:vAlign w:val="center"/>
          </w:tcPr>
          <w:p w14:paraId="59CD733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44.061669613</w:t>
            </w:r>
          </w:p>
        </w:tc>
        <w:tc>
          <w:tcPr>
            <w:tcW w:w="0" w:type="auto"/>
            <w:tcBorders>
              <w:tl2br w:val="nil"/>
              <w:tr2bl w:val="nil"/>
            </w:tcBorders>
            <w:noWrap w:val="0"/>
            <w:vAlign w:val="center"/>
          </w:tcPr>
          <w:p w14:paraId="4C19340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795.69</w:t>
            </w:r>
          </w:p>
        </w:tc>
        <w:tc>
          <w:tcPr>
            <w:tcW w:w="0" w:type="auto"/>
            <w:tcBorders>
              <w:tl2br w:val="nil"/>
              <w:tr2bl w:val="nil"/>
            </w:tcBorders>
            <w:noWrap w:val="0"/>
            <w:vAlign w:val="center"/>
          </w:tcPr>
          <w:p w14:paraId="750D2A4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40</w:t>
            </w:r>
          </w:p>
        </w:tc>
        <w:tc>
          <w:tcPr>
            <w:tcW w:w="0" w:type="auto"/>
            <w:tcBorders>
              <w:tl2br w:val="nil"/>
              <w:tr2bl w:val="nil"/>
            </w:tcBorders>
            <w:noWrap w:val="0"/>
            <w:vAlign w:val="center"/>
          </w:tcPr>
          <w:p w14:paraId="1A1B8BE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20</w:t>
            </w:r>
          </w:p>
        </w:tc>
        <w:tc>
          <w:tcPr>
            <w:tcW w:w="0" w:type="auto"/>
            <w:tcBorders>
              <w:tl2br w:val="nil"/>
              <w:tr2bl w:val="nil"/>
            </w:tcBorders>
            <w:noWrap w:val="0"/>
            <w:vAlign w:val="center"/>
          </w:tcPr>
          <w:p w14:paraId="3C1C9DF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10</w:t>
            </w:r>
          </w:p>
        </w:tc>
        <w:tc>
          <w:tcPr>
            <w:tcW w:w="0" w:type="auto"/>
            <w:tcBorders>
              <w:tl2br w:val="nil"/>
              <w:tr2bl w:val="nil"/>
            </w:tcBorders>
            <w:noWrap w:val="0"/>
            <w:vAlign w:val="center"/>
          </w:tcPr>
          <w:p w14:paraId="7E938DA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0.12</w:t>
            </w:r>
          </w:p>
        </w:tc>
        <w:tc>
          <w:tcPr>
            <w:tcW w:w="882" w:type="dxa"/>
            <w:tcBorders>
              <w:tl2br w:val="nil"/>
              <w:tr2bl w:val="nil"/>
            </w:tcBorders>
            <w:noWrap w:val="0"/>
            <w:vAlign w:val="center"/>
          </w:tcPr>
          <w:p w14:paraId="57CFB36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eastAsia" w:ascii="Times New Roman" w:hAnsi="Times New Roman" w:eastAsia="宋体" w:cs="Times New Roman"/>
                <w:b w:val="0"/>
                <w:color w:val="auto"/>
                <w:sz w:val="21"/>
                <w:lang w:val="en-US" w:eastAsia="zh-CN"/>
              </w:rPr>
            </w:pPr>
            <w:r>
              <w:rPr>
                <w:rFonts w:hint="eastAsia" w:eastAsia="宋体"/>
                <w:snapToGrid/>
                <w:color w:val="auto"/>
                <w:lang w:val="en-US" w:eastAsia="zh-CN"/>
              </w:rPr>
              <w:t>-</w:t>
            </w:r>
          </w:p>
        </w:tc>
      </w:tr>
      <w:tr w14:paraId="16A33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tcBorders>
              <w:tl2br w:val="nil"/>
              <w:tr2bl w:val="nil"/>
            </w:tcBorders>
            <w:noWrap w:val="0"/>
            <w:vAlign w:val="center"/>
          </w:tcPr>
          <w:p w14:paraId="6079BD0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原料分拣区</w:t>
            </w:r>
          </w:p>
        </w:tc>
        <w:tc>
          <w:tcPr>
            <w:tcW w:w="0" w:type="auto"/>
            <w:tcBorders>
              <w:tl2br w:val="nil"/>
              <w:tr2bl w:val="nil"/>
            </w:tcBorders>
            <w:noWrap w:val="0"/>
            <w:vAlign w:val="center"/>
          </w:tcPr>
          <w:p w14:paraId="3D53E0D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90.120964311</w:t>
            </w:r>
          </w:p>
        </w:tc>
        <w:tc>
          <w:tcPr>
            <w:tcW w:w="0" w:type="auto"/>
            <w:tcBorders>
              <w:tl2br w:val="nil"/>
              <w:tr2bl w:val="nil"/>
            </w:tcBorders>
            <w:noWrap w:val="0"/>
            <w:vAlign w:val="center"/>
          </w:tcPr>
          <w:p w14:paraId="6EAAC9E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44.104730335</w:t>
            </w:r>
          </w:p>
        </w:tc>
        <w:tc>
          <w:tcPr>
            <w:tcW w:w="0" w:type="auto"/>
            <w:tcBorders>
              <w:tl2br w:val="nil"/>
              <w:tr2bl w:val="nil"/>
            </w:tcBorders>
            <w:noWrap w:val="0"/>
            <w:vAlign w:val="center"/>
          </w:tcPr>
          <w:p w14:paraId="09E2E28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795.69</w:t>
            </w:r>
          </w:p>
        </w:tc>
        <w:tc>
          <w:tcPr>
            <w:tcW w:w="0" w:type="auto"/>
            <w:tcBorders>
              <w:tl2br w:val="nil"/>
              <w:tr2bl w:val="nil"/>
            </w:tcBorders>
            <w:noWrap w:val="0"/>
            <w:vAlign w:val="center"/>
          </w:tcPr>
          <w:p w14:paraId="33C6EE2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30</w:t>
            </w:r>
          </w:p>
        </w:tc>
        <w:tc>
          <w:tcPr>
            <w:tcW w:w="0" w:type="auto"/>
            <w:tcBorders>
              <w:tl2br w:val="nil"/>
              <w:tr2bl w:val="nil"/>
            </w:tcBorders>
            <w:noWrap w:val="0"/>
            <w:vAlign w:val="center"/>
          </w:tcPr>
          <w:p w14:paraId="49B35B8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20</w:t>
            </w:r>
          </w:p>
        </w:tc>
        <w:tc>
          <w:tcPr>
            <w:tcW w:w="0" w:type="auto"/>
            <w:tcBorders>
              <w:tl2br w:val="nil"/>
              <w:tr2bl w:val="nil"/>
            </w:tcBorders>
            <w:noWrap w:val="0"/>
            <w:vAlign w:val="center"/>
          </w:tcPr>
          <w:p w14:paraId="40225BE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5.00</w:t>
            </w:r>
          </w:p>
        </w:tc>
        <w:tc>
          <w:tcPr>
            <w:tcW w:w="0" w:type="auto"/>
            <w:tcBorders>
              <w:tl2br w:val="nil"/>
              <w:tr2bl w:val="nil"/>
            </w:tcBorders>
            <w:noWrap w:val="0"/>
            <w:vAlign w:val="center"/>
          </w:tcPr>
          <w:p w14:paraId="5135216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w:t>
            </w:r>
          </w:p>
        </w:tc>
        <w:tc>
          <w:tcPr>
            <w:tcW w:w="882" w:type="dxa"/>
            <w:tcBorders>
              <w:tl2br w:val="nil"/>
              <w:tr2bl w:val="nil"/>
            </w:tcBorders>
            <w:noWrap w:val="0"/>
            <w:vAlign w:val="center"/>
          </w:tcPr>
          <w:p w14:paraId="4578668C">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default" w:ascii="Times New Roman" w:hAnsi="Times New Roman" w:eastAsia="宋体" w:cs="Times New Roman"/>
                <w:b w:val="0"/>
                <w:color w:val="auto"/>
                <w:sz w:val="21"/>
                <w:lang w:val="en-US" w:eastAsia="zh-CN"/>
              </w:rPr>
            </w:pPr>
            <w:r>
              <w:rPr>
                <w:rFonts w:hint="eastAsia" w:eastAsia="宋体"/>
                <w:snapToGrid/>
                <w:color w:val="auto"/>
                <w:lang w:val="en-US" w:eastAsia="zh-CN"/>
              </w:rPr>
              <w:t>0.083</w:t>
            </w:r>
          </w:p>
        </w:tc>
      </w:tr>
    </w:tbl>
    <w:p w14:paraId="24B4E77D">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各废气污染物最大地面浓度占标率</w:t>
      </w:r>
      <w:r>
        <w:rPr>
          <w:rFonts w:ascii="Times New Roman" w:hAnsi="Times New Roman" w:cs="Times New Roman"/>
          <w:snapToGrid/>
          <w:color w:val="auto"/>
          <w:sz w:val="24"/>
          <w:szCs w:val="24"/>
          <w:lang w:eastAsia="zh-CN"/>
        </w:rPr>
        <w:t>P</w:t>
      </w:r>
      <w:r>
        <w:rPr>
          <w:rFonts w:ascii="Times New Roman" w:hAnsi="Times New Roman" w:cs="Times New Roman"/>
          <w:snapToGrid/>
          <w:color w:val="auto"/>
          <w:sz w:val="24"/>
          <w:szCs w:val="24"/>
          <w:vertAlign w:val="subscript"/>
          <w:lang w:eastAsia="zh-CN"/>
        </w:rPr>
        <w:t>max</w:t>
      </w:r>
      <w:r>
        <w:rPr>
          <w:rFonts w:ascii="Times New Roman" w:hAnsi="Times New Roman"/>
          <w:snapToGrid/>
          <w:color w:val="auto"/>
          <w:sz w:val="24"/>
          <w:szCs w:val="24"/>
          <w:lang w:eastAsia="zh-CN"/>
        </w:rPr>
        <w:t>计算结果见表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6</w:t>
      </w:r>
      <w:r>
        <w:rPr>
          <w:rFonts w:ascii="Times New Roman" w:hAnsi="Times New Roman"/>
          <w:snapToGrid/>
          <w:color w:val="auto"/>
          <w:sz w:val="24"/>
          <w:szCs w:val="24"/>
          <w:lang w:eastAsia="zh-CN"/>
        </w:rPr>
        <w:t>。</w:t>
      </w:r>
    </w:p>
    <w:p w14:paraId="4B216F51">
      <w:pPr>
        <w:pStyle w:val="2"/>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6</w:t>
      </w:r>
      <w:r>
        <w:rPr>
          <w:rFonts w:ascii="Times New Roman" w:hAnsi="Times New Roman"/>
          <w:b/>
          <w:bCs/>
          <w:snapToGrid/>
          <w:color w:val="auto"/>
          <w:sz w:val="24"/>
          <w:lang w:eastAsia="zh-CN"/>
        </w:rPr>
        <w:t>各污染物</w:t>
      </w:r>
      <w:r>
        <w:rPr>
          <w:rFonts w:ascii="Times New Roman" w:hAnsi="Times New Roman" w:cs="Times New Roman"/>
          <w:b/>
          <w:bCs/>
          <w:snapToGrid/>
          <w:color w:val="auto"/>
          <w:sz w:val="24"/>
          <w:lang w:eastAsia="zh-CN"/>
        </w:rPr>
        <w:t>Pi</w:t>
      </w:r>
      <w:r>
        <w:rPr>
          <w:rFonts w:ascii="Times New Roman" w:hAnsi="Times New Roman"/>
          <w:b/>
          <w:bCs/>
          <w:snapToGrid/>
          <w:color w:val="auto"/>
          <w:sz w:val="24"/>
          <w:lang w:eastAsia="zh-CN"/>
        </w:rPr>
        <w:t>计算结果</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4"/>
        <w:gridCol w:w="1152"/>
        <w:gridCol w:w="1250"/>
        <w:gridCol w:w="2059"/>
        <w:gridCol w:w="2116"/>
        <w:gridCol w:w="1171"/>
      </w:tblGrid>
      <w:tr w14:paraId="468F8E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1888" w:type="pct"/>
            <w:gridSpan w:val="3"/>
            <w:tcBorders>
              <w:tl2br w:val="nil"/>
              <w:tr2bl w:val="nil"/>
            </w:tcBorders>
          </w:tcPr>
          <w:p w14:paraId="5CB84626">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lang w:eastAsia="zh-CN"/>
              </w:rPr>
            </w:pPr>
            <w:r>
              <w:rPr>
                <w:rFonts w:ascii="Times New Roman" w:hAnsi="Times New Roman" w:eastAsia="宋体"/>
                <w:snapToGrid/>
                <w:color w:val="auto"/>
                <w:sz w:val="21"/>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-6350</wp:posOffset>
                      </wp:positionV>
                      <wp:extent cx="2044065" cy="367665"/>
                      <wp:effectExtent l="8890" t="2540" r="4445" b="1270"/>
                      <wp:wrapNone/>
                      <wp:docPr id="9" name="Freeform 2"/>
                      <wp:cNvGraphicFramePr/>
                      <a:graphic xmlns:a="http://schemas.openxmlformats.org/drawingml/2006/main">
                        <a:graphicData uri="http://schemas.microsoft.com/office/word/2010/wordprocessingShape">
                          <wps:wsp>
                            <wps:cNvSpPr>
                              <a:spLocks noChangeArrowheads="1"/>
                            </wps:cNvSpPr>
                            <wps:spPr bwMode="auto">
                              <a:xfrm>
                                <a:off x="0" y="0"/>
                                <a:ext cx="2044065" cy="367665"/>
                              </a:xfrm>
                              <a:custGeom>
                                <a:avLst/>
                                <a:gdLst>
                                  <a:gd name="T0" fmla="*/ 4 w 3218"/>
                                  <a:gd name="T1" fmla="*/ 4 h 579"/>
                                  <a:gd name="T2" fmla="*/ 3213 w 3218"/>
                                  <a:gd name="T3" fmla="*/ 573 h 579"/>
                                </a:gdLst>
                                <a:ahLst/>
                                <a:cxnLst>
                                  <a:cxn ang="0">
                                    <a:pos x="T0" y="T1"/>
                                  </a:cxn>
                                  <a:cxn ang="0">
                                    <a:pos x="T2" y="T3"/>
                                  </a:cxn>
                                </a:cxnLst>
                                <a:rect l="0" t="0" r="r" b="b"/>
                                <a:pathLst>
                                  <a:path w="3218" h="579">
                                    <a:moveTo>
                                      <a:pt x="4" y="4"/>
                                    </a:moveTo>
                                    <a:lnTo>
                                      <a:pt x="3213" y="573"/>
                                    </a:lnTo>
                                  </a:path>
                                </a:pathLst>
                              </a:custGeom>
                              <a:noFill/>
                              <a:ln w="6096" cap="rnd">
                                <a:solidFill>
                                  <a:srgbClr val="000000"/>
                                </a:solidFill>
                                <a:round/>
                              </a:ln>
                            </wps:spPr>
                            <wps:bodyPr rot="0" vert="horz" wrap="square" lIns="91440" tIns="45720" rIns="91440" bIns="45720" anchor="t" anchorCtr="0" upright="1">
                              <a:noAutofit/>
                            </wps:bodyPr>
                          </wps:wsp>
                        </a:graphicData>
                      </a:graphic>
                    </wp:anchor>
                  </w:drawing>
                </mc:Choice>
                <mc:Fallback>
                  <w:pict>
                    <v:shape id="Freeform 2" o:spid="_x0000_s1026" o:spt="100" style="position:absolute;left:0pt;margin-left:0pt;margin-top:-0.5pt;height:28.95pt;width:160.95pt;z-index:251704320;mso-width-relative:page;mso-height-relative:page;" filled="f" stroked="t" coordsize="3218,579" o:gfxdata="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YmaZNcAAAAG&#10;AQAADwAAAAAAAAABACAAAAAiAAAAZHJzL2Rvd25yZXYueG1sUEsBAhQAFAAAAAgAh07iQHXQzIPI&#10;AgAAAwYAAA4AAAAAAAAAAQAgAAAAJgEAAGRycy9lMm9Eb2MueG1sUEsFBgAAAAAGAAYAWQEAAGAG&#10;AAAAAA==&#10;" path="m4,4l3213,573e">
                      <v:path o:connectlocs="2540,2540;2040889,363855" o:connectangles="0,0"/>
                      <v:fill on="f" focussize="0,0"/>
                      <v:stroke weight="0.48pt" color="#000000" joinstyle="round" endcap="round"/>
                      <v:imagedata o:title=""/>
                      <o:lock v:ext="edit" aspectratio="f"/>
                    </v:shape>
                  </w:pict>
                </mc:Fallback>
              </mc:AlternateContent>
            </w:r>
            <w:r>
              <w:rPr>
                <w:rFonts w:ascii="Times New Roman" w:hAnsi="Times New Roman" w:eastAsia="宋体" w:cs="宋体"/>
                <w:b/>
                <w:bCs/>
                <w:snapToGrid/>
                <w:color w:val="auto"/>
                <w:sz w:val="21"/>
                <w:lang w:eastAsia="zh-CN"/>
              </w:rPr>
              <w:t>污染物估算结果</w:t>
            </w:r>
          </w:p>
          <w:p w14:paraId="246803D6">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lang w:eastAsia="zh-CN"/>
              </w:rPr>
            </w:pPr>
            <w:r>
              <w:rPr>
                <w:rFonts w:ascii="Times New Roman" w:hAnsi="Times New Roman" w:eastAsia="宋体" w:cs="宋体"/>
                <w:b/>
                <w:bCs/>
                <w:snapToGrid/>
                <w:color w:val="auto"/>
                <w:sz w:val="21"/>
                <w:lang w:eastAsia="zh-CN"/>
              </w:rPr>
              <w:t>污染源名称</w:t>
            </w:r>
          </w:p>
        </w:tc>
        <w:tc>
          <w:tcPr>
            <w:tcW w:w="1198" w:type="pct"/>
            <w:tcBorders>
              <w:tl2br w:val="nil"/>
              <w:tr2bl w:val="nil"/>
            </w:tcBorders>
          </w:tcPr>
          <w:p w14:paraId="3F49A18E">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lang w:eastAsia="zh-CN"/>
              </w:rPr>
            </w:pPr>
            <w:r>
              <w:rPr>
                <w:rFonts w:ascii="Times New Roman" w:hAnsi="Times New Roman" w:eastAsia="宋体" w:cs="宋体"/>
                <w:b/>
                <w:bCs/>
                <w:snapToGrid/>
                <w:color w:val="auto"/>
                <w:sz w:val="21"/>
                <w:lang w:eastAsia="zh-CN"/>
              </w:rPr>
              <w:t>最大落地浓度距（</w:t>
            </w:r>
            <w:r>
              <w:rPr>
                <w:rFonts w:ascii="Times New Roman" w:hAnsi="Times New Roman" w:eastAsia="宋体"/>
                <w:b/>
                <w:bCs/>
                <w:snapToGrid/>
                <w:color w:val="auto"/>
                <w:sz w:val="21"/>
                <w:lang w:eastAsia="zh-CN"/>
              </w:rPr>
              <w:t>m</w:t>
            </w:r>
            <w:r>
              <w:rPr>
                <w:rFonts w:ascii="Times New Roman" w:hAnsi="Times New Roman" w:eastAsia="宋体" w:cs="宋体"/>
                <w:b/>
                <w:bCs/>
                <w:snapToGrid/>
                <w:color w:val="auto"/>
                <w:sz w:val="21"/>
                <w:lang w:eastAsia="zh-CN"/>
              </w:rPr>
              <w:t>）</w:t>
            </w:r>
          </w:p>
        </w:tc>
        <w:tc>
          <w:tcPr>
            <w:tcW w:w="1231" w:type="pct"/>
            <w:tcBorders>
              <w:tl2br w:val="nil"/>
              <w:tr2bl w:val="nil"/>
            </w:tcBorders>
          </w:tcPr>
          <w:p w14:paraId="333AEB97">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lang w:eastAsia="zh-CN"/>
              </w:rPr>
            </w:pPr>
            <w:r>
              <w:rPr>
                <w:rFonts w:ascii="Times New Roman" w:hAnsi="Times New Roman" w:eastAsia="宋体" w:cs="宋体"/>
                <w:b/>
                <w:bCs/>
                <w:snapToGrid/>
                <w:color w:val="auto"/>
                <w:sz w:val="21"/>
                <w:lang w:eastAsia="zh-CN"/>
              </w:rPr>
              <w:t>最大落地浓度</w:t>
            </w:r>
            <w:r>
              <w:rPr>
                <w:rFonts w:hint="eastAsia" w:ascii="Times New Roman" w:hAnsi="Times New Roman" w:eastAsia="宋体" w:cs="宋体"/>
                <w:b/>
                <w:bCs/>
                <w:snapToGrid/>
                <w:color w:val="auto"/>
                <w:sz w:val="21"/>
                <w:lang w:eastAsia="zh-CN"/>
              </w:rPr>
              <w:t>（</w:t>
            </w:r>
            <w:r>
              <w:rPr>
                <w:rFonts w:ascii="Times New Roman" w:hAnsi="Times New Roman" w:eastAsia="宋体"/>
                <w:b/>
                <w:bCs/>
                <w:snapToGrid/>
                <w:color w:val="auto"/>
                <w:sz w:val="21"/>
              </w:rPr>
              <w:t>μ</w:t>
            </w:r>
            <w:r>
              <w:rPr>
                <w:rFonts w:ascii="Times New Roman" w:hAnsi="Times New Roman" w:eastAsia="宋体"/>
                <w:b/>
                <w:bCs/>
                <w:snapToGrid/>
                <w:color w:val="auto"/>
                <w:sz w:val="21"/>
                <w:lang w:eastAsia="zh-CN"/>
              </w:rPr>
              <w:t>g/m</w:t>
            </w:r>
            <w:r>
              <w:rPr>
                <w:rFonts w:ascii="Times New Roman" w:hAnsi="Times New Roman" w:eastAsia="宋体"/>
                <w:b/>
                <w:bCs/>
                <w:snapToGrid/>
                <w:color w:val="auto"/>
                <w:sz w:val="21"/>
                <w:szCs w:val="13"/>
                <w:vertAlign w:val="superscript"/>
                <w:lang w:eastAsia="zh-CN"/>
              </w:rPr>
              <w:t>3</w:t>
            </w:r>
            <w:r>
              <w:rPr>
                <w:rFonts w:ascii="Times New Roman" w:hAnsi="Times New Roman" w:eastAsia="宋体" w:cs="宋体"/>
                <w:b/>
                <w:bCs/>
                <w:snapToGrid/>
                <w:color w:val="auto"/>
                <w:sz w:val="21"/>
                <w:lang w:eastAsia="zh-CN"/>
              </w:rPr>
              <w:t>）</w:t>
            </w:r>
          </w:p>
        </w:tc>
        <w:tc>
          <w:tcPr>
            <w:tcW w:w="681" w:type="pct"/>
            <w:tcBorders>
              <w:tl2br w:val="nil"/>
              <w:tr2bl w:val="nil"/>
            </w:tcBorders>
          </w:tcPr>
          <w:p w14:paraId="766CCA08">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b/>
                <w:bCs/>
                <w:snapToGrid/>
                <w:color w:val="auto"/>
                <w:sz w:val="21"/>
              </w:rPr>
              <w:t>占标率（</w:t>
            </w:r>
            <w:r>
              <w:rPr>
                <w:rFonts w:ascii="Times New Roman" w:hAnsi="Times New Roman" w:eastAsia="宋体"/>
                <w:b/>
                <w:bCs/>
                <w:snapToGrid/>
                <w:color w:val="auto"/>
                <w:sz w:val="21"/>
              </w:rPr>
              <w:t>%</w:t>
            </w:r>
            <w:r>
              <w:rPr>
                <w:rFonts w:ascii="Times New Roman" w:hAnsi="Times New Roman" w:eastAsia="宋体" w:cs="宋体"/>
                <w:b/>
                <w:bCs/>
                <w:snapToGrid/>
                <w:color w:val="auto"/>
                <w:sz w:val="21"/>
              </w:rPr>
              <w:t>）</w:t>
            </w:r>
          </w:p>
        </w:tc>
      </w:tr>
      <w:tr w14:paraId="144D0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1" w:type="pct"/>
            <w:tcBorders>
              <w:tl2br w:val="nil"/>
              <w:tr2bl w:val="nil"/>
            </w:tcBorders>
          </w:tcPr>
          <w:p w14:paraId="0C557090">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有组织</w:t>
            </w:r>
          </w:p>
        </w:tc>
        <w:tc>
          <w:tcPr>
            <w:tcW w:w="670" w:type="pct"/>
            <w:tcBorders>
              <w:tl2br w:val="nil"/>
              <w:tr2bl w:val="nil"/>
            </w:tcBorders>
          </w:tcPr>
          <w:p w14:paraId="44CBF192">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生产车间</w:t>
            </w:r>
          </w:p>
        </w:tc>
        <w:tc>
          <w:tcPr>
            <w:tcW w:w="726" w:type="pct"/>
            <w:tcBorders>
              <w:tl2br w:val="nil"/>
              <w:tr2bl w:val="nil"/>
            </w:tcBorders>
          </w:tcPr>
          <w:p w14:paraId="5EFF3CCA">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非甲烷总烃</w:t>
            </w:r>
          </w:p>
        </w:tc>
        <w:tc>
          <w:tcPr>
            <w:tcW w:w="1198" w:type="pct"/>
            <w:tcBorders>
              <w:tl2br w:val="nil"/>
              <w:tr2bl w:val="nil"/>
            </w:tcBorders>
          </w:tcPr>
          <w:p w14:paraId="00CBE78E">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sz w:val="21"/>
                <w:lang w:eastAsia="zh-CN"/>
              </w:rPr>
            </w:pPr>
            <w:r>
              <w:rPr>
                <w:rFonts w:hint="eastAsia" w:ascii="Times New Roman" w:hAnsi="Times New Roman" w:eastAsia="宋体"/>
                <w:snapToGrid/>
                <w:color w:val="auto"/>
                <w:sz w:val="21"/>
                <w:lang w:eastAsia="zh-CN"/>
              </w:rPr>
              <w:t>10</w:t>
            </w:r>
          </w:p>
        </w:tc>
        <w:tc>
          <w:tcPr>
            <w:tcW w:w="1231" w:type="pct"/>
            <w:tcBorders>
              <w:tl2br w:val="nil"/>
              <w:tr2bl w:val="nil"/>
            </w:tcBorders>
            <w:vAlign w:val="center"/>
          </w:tcPr>
          <w:p w14:paraId="297EE1B8">
            <w:pPr>
              <w:keepNext w:val="0"/>
              <w:keepLines w:val="0"/>
              <w:pageBreakBefore w:val="0"/>
              <w:shd w:val="clear"/>
              <w:wordWrap/>
              <w:overflowPunct/>
              <w:autoSpaceDE/>
              <w:autoSpaceDN/>
              <w:bidi w:val="0"/>
              <w:adjustRightInd/>
              <w:snapToGrid/>
              <w:spacing w:line="360" w:lineRule="auto"/>
              <w:jc w:val="center"/>
              <w:textAlignment w:val="auto"/>
              <w:outlineLvl w:val="9"/>
              <w:rPr>
                <w:rFonts w:ascii="Times New Roman" w:hAnsi="Times New Roman" w:eastAsia="宋体"/>
                <w:snapToGrid/>
                <w:color w:val="auto"/>
                <w:sz w:val="21"/>
              </w:rPr>
            </w:pPr>
            <w:r>
              <w:rPr>
                <w:rFonts w:hint="eastAsia" w:ascii="Times New Roman" w:hAnsi="Times New Roman" w:eastAsia="宋体"/>
                <w:snapToGrid/>
                <w:color w:val="auto"/>
                <w:sz w:val="21"/>
                <w:lang w:val="en-US" w:eastAsia="zh-CN"/>
              </w:rPr>
              <w:t>2.21</w:t>
            </w:r>
          </w:p>
        </w:tc>
        <w:tc>
          <w:tcPr>
            <w:tcW w:w="1171" w:type="dxa"/>
            <w:tcBorders>
              <w:tl2br w:val="nil"/>
              <w:tr2bl w:val="nil"/>
            </w:tcBorders>
            <w:vAlign w:val="center"/>
          </w:tcPr>
          <w:p w14:paraId="03A60CFE">
            <w:pPr>
              <w:keepNext w:val="0"/>
              <w:keepLines w:val="0"/>
              <w:pageBreakBefore w:val="0"/>
              <w:widowControl w:val="0"/>
              <w:shd w:val="clear"/>
              <w:wordWrap/>
              <w:overflowPunct/>
              <w:autoSpaceDE/>
              <w:autoSpaceDN/>
              <w:bidi w:val="0"/>
              <w:adjustRightInd/>
              <w:snapToGrid/>
              <w:spacing w:line="360" w:lineRule="auto"/>
              <w:jc w:val="center"/>
              <w:textAlignment w:val="auto"/>
              <w:outlineLvl w:val="9"/>
              <w:rPr>
                <w:rFonts w:hint="default" w:ascii="Times New Roman" w:hAnsi="Times New Roman" w:eastAsia="宋体"/>
                <w:snapToGrid/>
                <w:color w:val="auto"/>
                <w:sz w:val="21"/>
                <w:lang w:val="en-US"/>
              </w:rPr>
            </w:pPr>
            <w:r>
              <w:rPr>
                <w:rFonts w:hint="eastAsia" w:ascii="Times New Roman" w:hAnsi="Times New Roman" w:eastAsia="宋体" w:cs="宋体"/>
                <w:color w:val="auto"/>
                <w:sz w:val="21"/>
                <w:szCs w:val="22"/>
                <w:lang w:val="en-US" w:eastAsia="zh-CN" w:bidi="ar"/>
              </w:rPr>
              <w:t>0.11</w:t>
            </w:r>
          </w:p>
        </w:tc>
      </w:tr>
      <w:tr w14:paraId="77B599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1" w:type="pct"/>
            <w:tcBorders>
              <w:tl2br w:val="nil"/>
              <w:tr2bl w:val="nil"/>
            </w:tcBorders>
          </w:tcPr>
          <w:p w14:paraId="6B034A4C">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无组织</w:t>
            </w:r>
          </w:p>
        </w:tc>
        <w:tc>
          <w:tcPr>
            <w:tcW w:w="670" w:type="pct"/>
            <w:tcBorders>
              <w:tl2br w:val="nil"/>
              <w:tr2bl w:val="nil"/>
            </w:tcBorders>
          </w:tcPr>
          <w:p w14:paraId="78464492">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生产车间</w:t>
            </w:r>
          </w:p>
        </w:tc>
        <w:tc>
          <w:tcPr>
            <w:tcW w:w="726" w:type="pct"/>
            <w:tcBorders>
              <w:tl2br w:val="nil"/>
              <w:tr2bl w:val="nil"/>
            </w:tcBorders>
          </w:tcPr>
          <w:p w14:paraId="3AC1A07B">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ascii="Times New Roman" w:hAnsi="Times New Roman" w:eastAsia="宋体" w:cs="宋体"/>
                <w:snapToGrid/>
                <w:color w:val="auto"/>
                <w:sz w:val="21"/>
              </w:rPr>
            </w:pPr>
            <w:r>
              <w:rPr>
                <w:rFonts w:ascii="Times New Roman" w:hAnsi="Times New Roman" w:eastAsia="宋体" w:cs="宋体"/>
                <w:snapToGrid/>
                <w:color w:val="auto"/>
                <w:sz w:val="21"/>
              </w:rPr>
              <w:t>非甲烷总烃</w:t>
            </w:r>
          </w:p>
        </w:tc>
        <w:tc>
          <w:tcPr>
            <w:tcW w:w="1198" w:type="pct"/>
            <w:tcBorders>
              <w:tl2br w:val="nil"/>
              <w:tr2bl w:val="nil"/>
            </w:tcBorders>
          </w:tcPr>
          <w:p w14:paraId="313669DF">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default" w:ascii="Times New Roman" w:hAnsi="Times New Roman" w:eastAsia="宋体"/>
                <w:snapToGrid/>
                <w:color w:val="auto"/>
                <w:sz w:val="21"/>
                <w:lang w:val="en-US" w:eastAsia="zh-CN"/>
              </w:rPr>
            </w:pPr>
            <w:r>
              <w:rPr>
                <w:rFonts w:hint="eastAsia" w:eastAsia="宋体"/>
                <w:snapToGrid/>
                <w:color w:val="auto"/>
                <w:sz w:val="21"/>
                <w:lang w:val="en-US" w:eastAsia="zh-CN"/>
              </w:rPr>
              <w:t>80</w:t>
            </w:r>
          </w:p>
        </w:tc>
        <w:tc>
          <w:tcPr>
            <w:tcW w:w="1231" w:type="pct"/>
            <w:tcBorders>
              <w:tl2br w:val="nil"/>
              <w:tr2bl w:val="nil"/>
            </w:tcBorders>
            <w:vAlign w:val="center"/>
          </w:tcPr>
          <w:p w14:paraId="7FB7E9A9">
            <w:pPr>
              <w:keepNext w:val="0"/>
              <w:keepLines w:val="0"/>
              <w:pageBreakBefore w:val="0"/>
              <w:widowControl w:val="0"/>
              <w:shd w:val="clear"/>
              <w:wordWrap/>
              <w:overflowPunct/>
              <w:autoSpaceDE/>
              <w:autoSpaceDN/>
              <w:bidi w:val="0"/>
              <w:adjustRightInd/>
              <w:snapToGrid/>
              <w:spacing w:line="360" w:lineRule="auto"/>
              <w:jc w:val="center"/>
              <w:textAlignment w:val="auto"/>
              <w:outlineLvl w:val="9"/>
              <w:rPr>
                <w:rFonts w:ascii="Times New Roman" w:hAnsi="Times New Roman" w:eastAsia="宋体"/>
                <w:color w:val="auto"/>
                <w:sz w:val="21"/>
              </w:rPr>
            </w:pPr>
            <w:r>
              <w:rPr>
                <w:rFonts w:hint="eastAsia" w:ascii="Times New Roman" w:hAnsi="Times New Roman" w:eastAsia="宋体"/>
                <w:color w:val="auto"/>
                <w:sz w:val="21"/>
                <w:lang w:val="en-US" w:eastAsia="zh-CN"/>
              </w:rPr>
              <w:t>66.529999</w:t>
            </w:r>
          </w:p>
        </w:tc>
        <w:tc>
          <w:tcPr>
            <w:tcW w:w="1171" w:type="dxa"/>
            <w:tcBorders>
              <w:tl2br w:val="nil"/>
              <w:tr2bl w:val="nil"/>
            </w:tcBorders>
            <w:vAlign w:val="center"/>
          </w:tcPr>
          <w:p w14:paraId="7FA4FE1D">
            <w:pPr>
              <w:keepNext w:val="0"/>
              <w:keepLines w:val="0"/>
              <w:pageBreakBefore w:val="0"/>
              <w:widowControl w:val="0"/>
              <w:shd w:val="clear"/>
              <w:wordWrap/>
              <w:overflowPunct/>
              <w:autoSpaceDE/>
              <w:autoSpaceDN/>
              <w:bidi w:val="0"/>
              <w:adjustRightInd/>
              <w:snapToGrid/>
              <w:spacing w:line="360" w:lineRule="auto"/>
              <w:jc w:val="center"/>
              <w:textAlignment w:val="auto"/>
              <w:outlineLvl w:val="9"/>
              <w:rPr>
                <w:rFonts w:hint="default" w:ascii="Times New Roman" w:hAnsi="Times New Roman" w:eastAsia="宋体"/>
                <w:snapToGrid/>
                <w:color w:val="auto"/>
                <w:sz w:val="21"/>
                <w:lang w:val="en-US"/>
              </w:rPr>
            </w:pPr>
            <w:r>
              <w:rPr>
                <w:rFonts w:hint="eastAsia" w:ascii="Times New Roman" w:hAnsi="Times New Roman" w:eastAsia="宋体" w:cs="宋体"/>
                <w:color w:val="auto"/>
                <w:sz w:val="21"/>
                <w:szCs w:val="22"/>
                <w:lang w:val="en-US" w:eastAsia="zh-CN" w:bidi="ar"/>
              </w:rPr>
              <w:t>3.33</w:t>
            </w:r>
          </w:p>
        </w:tc>
      </w:tr>
      <w:tr w14:paraId="13F5C5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1" w:type="pct"/>
            <w:tcBorders>
              <w:tl2br w:val="nil"/>
              <w:tr2bl w:val="nil"/>
            </w:tcBorders>
          </w:tcPr>
          <w:p w14:paraId="01CC16C7">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eastAsia" w:ascii="Times New Roman" w:hAnsi="Times New Roman" w:eastAsia="宋体" w:cs="宋体"/>
                <w:snapToGrid/>
                <w:color w:val="auto"/>
                <w:sz w:val="21"/>
                <w:lang w:val="en-US" w:eastAsia="zh-CN"/>
              </w:rPr>
            </w:pPr>
            <w:bookmarkStart w:id="233" w:name="_Toc27038"/>
            <w:bookmarkStart w:id="234" w:name="_Toc8574"/>
            <w:bookmarkStart w:id="235" w:name="_Toc8658"/>
            <w:bookmarkStart w:id="236" w:name="_Toc20803"/>
            <w:r>
              <w:rPr>
                <w:rFonts w:hint="eastAsia" w:ascii="Times New Roman" w:hAnsi="Times New Roman" w:eastAsia="宋体" w:cs="宋体"/>
                <w:snapToGrid/>
                <w:color w:val="auto"/>
                <w:sz w:val="21"/>
                <w:lang w:val="en-US" w:eastAsia="zh-CN"/>
              </w:rPr>
              <w:t>无组织</w:t>
            </w:r>
          </w:p>
        </w:tc>
        <w:tc>
          <w:tcPr>
            <w:tcW w:w="670" w:type="pct"/>
            <w:tcBorders>
              <w:tl2br w:val="nil"/>
              <w:tr2bl w:val="nil"/>
            </w:tcBorders>
          </w:tcPr>
          <w:p w14:paraId="526AA95E">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eastAsia" w:ascii="Times New Roman" w:hAnsi="Times New Roman" w:eastAsia="宋体" w:cs="宋体"/>
                <w:snapToGrid/>
                <w:color w:val="auto"/>
                <w:sz w:val="21"/>
                <w:lang w:val="en-US" w:eastAsia="zh-CN"/>
              </w:rPr>
            </w:pPr>
            <w:r>
              <w:rPr>
                <w:rFonts w:hint="eastAsia" w:ascii="Times New Roman" w:hAnsi="Times New Roman" w:eastAsia="宋体" w:cs="宋体"/>
                <w:snapToGrid/>
                <w:color w:val="auto"/>
                <w:sz w:val="21"/>
                <w:lang w:val="en-US" w:eastAsia="zh-CN"/>
              </w:rPr>
              <w:t>原料分拣区</w:t>
            </w:r>
          </w:p>
        </w:tc>
        <w:tc>
          <w:tcPr>
            <w:tcW w:w="726" w:type="pct"/>
            <w:tcBorders>
              <w:tl2br w:val="nil"/>
              <w:tr2bl w:val="nil"/>
            </w:tcBorders>
          </w:tcPr>
          <w:p w14:paraId="34455D30">
            <w:pPr>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eastAsia" w:ascii="Times New Roman" w:hAnsi="Times New Roman" w:eastAsia="宋体" w:cs="宋体"/>
                <w:snapToGrid/>
                <w:color w:val="auto"/>
                <w:sz w:val="21"/>
                <w:lang w:val="en-US" w:eastAsia="zh-CN"/>
              </w:rPr>
            </w:pPr>
            <w:r>
              <w:rPr>
                <w:rFonts w:hint="eastAsia" w:ascii="Times New Roman" w:hAnsi="Times New Roman" w:eastAsia="宋体" w:cs="宋体"/>
                <w:snapToGrid/>
                <w:color w:val="auto"/>
                <w:sz w:val="21"/>
                <w:lang w:val="en-US" w:eastAsia="zh-CN"/>
              </w:rPr>
              <w:t>颗粒物</w:t>
            </w:r>
          </w:p>
        </w:tc>
        <w:tc>
          <w:tcPr>
            <w:tcW w:w="1198" w:type="pct"/>
            <w:tcBorders>
              <w:tl2br w:val="nil"/>
              <w:tr2bl w:val="nil"/>
            </w:tcBorders>
          </w:tcPr>
          <w:p w14:paraId="3AD5588F">
            <w:pPr>
              <w:pStyle w:val="37"/>
              <w:keepNext w:val="0"/>
              <w:keepLines w:val="0"/>
              <w:pageBreakBefore w:val="0"/>
              <w:widowControl w:val="0"/>
              <w:shd w:val="clear"/>
              <w:kinsoku/>
              <w:wordWrap/>
              <w:overflowPunct/>
              <w:autoSpaceDE/>
              <w:autoSpaceDN/>
              <w:bidi w:val="0"/>
              <w:adjustRightInd/>
              <w:snapToGrid/>
              <w:spacing w:line="360" w:lineRule="auto"/>
              <w:jc w:val="center"/>
              <w:textAlignment w:val="auto"/>
              <w:outlineLvl w:val="9"/>
              <w:rPr>
                <w:rFonts w:hint="default" w:ascii="Times New Roman" w:hAnsi="Times New Roman" w:eastAsia="宋体"/>
                <w:snapToGrid/>
                <w:color w:val="auto"/>
                <w:sz w:val="21"/>
                <w:lang w:val="en-US" w:eastAsia="zh-CN"/>
              </w:rPr>
            </w:pPr>
            <w:r>
              <w:rPr>
                <w:rFonts w:hint="eastAsia" w:eastAsia="宋体"/>
                <w:snapToGrid/>
                <w:color w:val="auto"/>
                <w:sz w:val="21"/>
                <w:lang w:val="en-US" w:eastAsia="zh-CN"/>
              </w:rPr>
              <w:t>79</w:t>
            </w:r>
          </w:p>
        </w:tc>
        <w:tc>
          <w:tcPr>
            <w:tcW w:w="2116" w:type="dxa"/>
            <w:tcBorders>
              <w:tl2br w:val="nil"/>
              <w:tr2bl w:val="nil"/>
            </w:tcBorders>
            <w:vAlign w:val="center"/>
          </w:tcPr>
          <w:p w14:paraId="7AAF7B3F">
            <w:pPr>
              <w:keepNext w:val="0"/>
              <w:keepLines w:val="0"/>
              <w:pageBreakBefore w:val="0"/>
              <w:widowControl w:val="0"/>
              <w:suppressLineNumbers w:val="0"/>
              <w:shd w:val="clea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宋体"/>
                <w:color w:val="auto"/>
                <w:sz w:val="21"/>
                <w:szCs w:val="22"/>
                <w:lang w:eastAsia="zh-CN" w:bidi="ar"/>
              </w:rPr>
            </w:pPr>
            <w:r>
              <w:rPr>
                <w:rFonts w:hint="eastAsia" w:ascii="Times New Roman" w:hAnsi="Times New Roman" w:eastAsia="宋体" w:cs="宋体"/>
                <w:color w:val="auto"/>
                <w:sz w:val="21"/>
                <w:szCs w:val="22"/>
                <w:lang w:val="en-US" w:eastAsia="zh-CN" w:bidi="ar"/>
              </w:rPr>
              <w:t>46.540001</w:t>
            </w:r>
          </w:p>
        </w:tc>
        <w:tc>
          <w:tcPr>
            <w:tcW w:w="1171" w:type="dxa"/>
            <w:tcBorders>
              <w:tl2br w:val="nil"/>
              <w:tr2bl w:val="nil"/>
            </w:tcBorders>
            <w:vAlign w:val="center"/>
          </w:tcPr>
          <w:p w14:paraId="2F865A7D">
            <w:pPr>
              <w:keepNext w:val="0"/>
              <w:keepLines w:val="0"/>
              <w:pageBreakBefore w:val="0"/>
              <w:widowControl w:val="0"/>
              <w:suppressLineNumbers w:val="0"/>
              <w:shd w:val="clea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olor w:val="auto"/>
                <w:sz w:val="21"/>
                <w:lang w:val="en-US"/>
              </w:rPr>
            </w:pPr>
            <w:r>
              <w:rPr>
                <w:rFonts w:hint="eastAsia" w:ascii="Times New Roman" w:hAnsi="Times New Roman" w:eastAsia="宋体" w:cs="宋体"/>
                <w:i w:val="0"/>
                <w:iCs w:val="0"/>
                <w:snapToGrid w:val="0"/>
                <w:color w:val="auto"/>
                <w:kern w:val="0"/>
                <w:sz w:val="21"/>
                <w:szCs w:val="22"/>
                <w:u w:val="none"/>
                <w:lang w:val="en-US" w:eastAsia="zh-CN" w:bidi="ar"/>
              </w:rPr>
              <w:t>5.17</w:t>
            </w:r>
          </w:p>
        </w:tc>
      </w:tr>
    </w:tbl>
    <w:p w14:paraId="0CDCB2E4">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r>
        <w:rPr>
          <w:rFonts w:ascii="Times New Roman" w:hAnsi="Times New Roman"/>
          <w:snapToGrid/>
          <w:color w:val="auto"/>
          <w:sz w:val="24"/>
          <w:szCs w:val="24"/>
        </w:rPr>
        <w:t>（</w:t>
      </w:r>
      <w:r>
        <w:rPr>
          <w:rFonts w:ascii="Times New Roman" w:hAnsi="Times New Roman" w:cs="Times New Roman"/>
          <w:snapToGrid/>
          <w:color w:val="auto"/>
          <w:sz w:val="24"/>
          <w:szCs w:val="24"/>
        </w:rPr>
        <w:t>3</w:t>
      </w:r>
      <w:r>
        <w:rPr>
          <w:rFonts w:ascii="Times New Roman" w:hAnsi="Times New Roman"/>
          <w:snapToGrid/>
          <w:color w:val="auto"/>
          <w:sz w:val="24"/>
          <w:szCs w:val="24"/>
        </w:rPr>
        <w:t>）确定评价等级</w:t>
      </w:r>
      <w:bookmarkEnd w:id="233"/>
      <w:bookmarkEnd w:id="234"/>
      <w:bookmarkEnd w:id="235"/>
      <w:bookmarkEnd w:id="236"/>
    </w:p>
    <w:p w14:paraId="09C79532">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根据估算结果表明，本项目所有污染物最大占标率为：</w:t>
      </w:r>
      <w:r>
        <w:rPr>
          <w:rFonts w:hint="eastAsia" w:ascii="Times New Roman" w:hAnsi="Times New Roman"/>
          <w:snapToGrid/>
          <w:color w:val="auto"/>
          <w:sz w:val="24"/>
          <w:szCs w:val="24"/>
          <w:lang w:val="en-US" w:eastAsia="zh-CN"/>
        </w:rPr>
        <w:t>5.17</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。由所有污染物的最大占标率1%≤P</w:t>
      </w:r>
      <w:r>
        <w:rPr>
          <w:rFonts w:ascii="Times New Roman" w:hAnsi="Times New Roman"/>
          <w:snapToGrid/>
          <w:color w:val="auto"/>
          <w:sz w:val="24"/>
          <w:szCs w:val="24"/>
          <w:vertAlign w:val="subscript"/>
          <w:lang w:eastAsia="zh-CN"/>
        </w:rPr>
        <w:t>max</w:t>
      </w:r>
      <w:r>
        <w:rPr>
          <w:rFonts w:ascii="Times New Roman" w:hAnsi="Times New Roman"/>
          <w:snapToGrid/>
          <w:color w:val="auto"/>
          <w:sz w:val="24"/>
          <w:szCs w:val="24"/>
          <w:lang w:eastAsia="zh-CN"/>
        </w:rPr>
        <w:t>&lt;10%，确定大气环境评价等级为</w:t>
      </w:r>
      <w:r>
        <w:rPr>
          <w:rFonts w:hint="eastAsia" w:ascii="Times New Roman" w:hAnsi="Times New Roman"/>
          <w:snapToGrid/>
          <w:color w:val="auto"/>
          <w:sz w:val="24"/>
          <w:szCs w:val="24"/>
          <w:lang w:val="en-US" w:eastAsia="zh-CN"/>
        </w:rPr>
        <w:t>二</w:t>
      </w:r>
      <w:r>
        <w:rPr>
          <w:rFonts w:hint="eastAsia" w:ascii="Times New Roman" w:hAnsi="Times New Roman"/>
          <w:snapToGrid/>
          <w:color w:val="auto"/>
          <w:sz w:val="24"/>
          <w:szCs w:val="24"/>
          <w:lang w:eastAsia="zh-CN"/>
        </w:rPr>
        <w:t>级</w:t>
      </w:r>
      <w:r>
        <w:rPr>
          <w:rFonts w:ascii="Times New Roman" w:hAnsi="Times New Roman"/>
          <w:snapToGrid/>
          <w:color w:val="auto"/>
          <w:sz w:val="24"/>
          <w:szCs w:val="24"/>
          <w:lang w:eastAsia="zh-CN"/>
        </w:rPr>
        <w:t>。</w:t>
      </w:r>
    </w:p>
    <w:p w14:paraId="48B353C3">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37" w:name="_Toc17032"/>
      <w:bookmarkStart w:id="238" w:name="_Toc9234"/>
      <w:bookmarkStart w:id="239" w:name="_Toc25847"/>
      <w:bookmarkStart w:id="240" w:name="_Toc13883"/>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）评价范围</w:t>
      </w:r>
      <w:bookmarkEnd w:id="237"/>
      <w:bookmarkEnd w:id="238"/>
      <w:bookmarkEnd w:id="239"/>
      <w:bookmarkEnd w:id="240"/>
    </w:p>
    <w:p w14:paraId="22A14D50">
      <w:pPr>
        <w:pStyle w:val="2"/>
        <w:keepNext w:val="0"/>
        <w:keepLines w:val="0"/>
        <w:pageBreakBefore w:val="0"/>
        <w:widowControl w:val="0"/>
        <w:shd w:val="clear"/>
        <w:kinsoku/>
        <w:wordWrap/>
        <w:overflowPunct/>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根据《环境影响评价技术导则大气环境》（</w:t>
      </w:r>
      <w:r>
        <w:rPr>
          <w:rFonts w:ascii="Times New Roman" w:hAnsi="Times New Roman" w:cs="Times New Roman"/>
          <w:snapToGrid/>
          <w:color w:val="auto"/>
          <w:sz w:val="24"/>
          <w:szCs w:val="24"/>
          <w:lang w:eastAsia="zh-CN"/>
        </w:rPr>
        <w:t>HJ2.2-2018</w:t>
      </w:r>
      <w:r>
        <w:rPr>
          <w:rFonts w:ascii="Times New Roman" w:hAnsi="Times New Roman"/>
          <w:snapToGrid/>
          <w:color w:val="auto"/>
          <w:sz w:val="24"/>
          <w:szCs w:val="24"/>
          <w:lang w:eastAsia="zh-CN"/>
        </w:rPr>
        <w:t>）规定的评价范围的确定方法，结合评价等级，确定本项目大气环境影响评价范围为：以项目厂址为中心，边长为</w:t>
      </w:r>
      <w:r>
        <w:rPr>
          <w:rFonts w:ascii="Times New Roman" w:hAnsi="Times New Roman" w:cs="Times New Roman"/>
          <w:snapToGrid/>
          <w:color w:val="auto"/>
          <w:sz w:val="24"/>
          <w:szCs w:val="24"/>
          <w:lang w:eastAsia="zh-CN"/>
        </w:rPr>
        <w:t>5km</w:t>
      </w:r>
      <w:r>
        <w:rPr>
          <w:rFonts w:ascii="Times New Roman" w:hAnsi="Times New Roman"/>
          <w:snapToGrid/>
          <w:color w:val="auto"/>
          <w:sz w:val="24"/>
          <w:szCs w:val="24"/>
          <w:lang w:eastAsia="zh-CN"/>
        </w:rPr>
        <w:t>矩形区域。</w:t>
      </w:r>
    </w:p>
    <w:p w14:paraId="211FB800">
      <w:pPr>
        <w:pStyle w:val="2"/>
        <w:widowControl w:val="0"/>
        <w:shd w:val="clear"/>
        <w:kinsoku/>
        <w:autoSpaceDE/>
        <w:autoSpaceDN/>
        <w:adjustRightInd/>
        <w:snapToGrid/>
        <w:spacing w:before="35" w:line="341" w:lineRule="auto"/>
        <w:ind w:left="34" w:right="7008"/>
        <w:textAlignment w:val="auto"/>
        <w:outlineLvl w:val="2"/>
        <w:rPr>
          <w:rFonts w:ascii="Times New Roman" w:hAnsi="Times New Roman" w:cs="Times New Roman"/>
          <w:b/>
          <w:bCs/>
          <w:snapToGrid/>
          <w:color w:val="auto"/>
          <w:sz w:val="28"/>
          <w:szCs w:val="32"/>
          <w:lang w:eastAsia="zh-CN"/>
        </w:rPr>
      </w:pPr>
      <w:bookmarkStart w:id="241" w:name="_Toc703"/>
      <w:bookmarkStart w:id="242" w:name="_Toc8491"/>
      <w:bookmarkStart w:id="243" w:name="_Toc18266"/>
      <w:r>
        <w:rPr>
          <w:rFonts w:hint="eastAsia" w:ascii="Times New Roman" w:hAnsi="Times New Roman" w:cs="Times New Roman"/>
          <w:b/>
          <w:bCs/>
          <w:snapToGrid/>
          <w:color w:val="auto"/>
          <w:sz w:val="28"/>
          <w:szCs w:val="32"/>
          <w:lang w:eastAsia="zh-CN"/>
        </w:rPr>
        <w:t>2.5.2水环境</w:t>
      </w:r>
      <w:bookmarkEnd w:id="241"/>
    </w:p>
    <w:p w14:paraId="58E2ABD8">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"file:///C:\\Users\\jobezho\\AppData\\Local\\Temp\\Rar$DIa13476.12779\\2.5.2.1" </w:instrText>
      </w:r>
      <w:r>
        <w:rPr>
          <w:color w:val="auto"/>
        </w:rPr>
        <w:fldChar w:fldCharType="separate"/>
      </w:r>
      <w:r>
        <w:rPr>
          <w:rFonts w:hint="eastAsia" w:ascii="Times New Roman" w:hAnsi="Times New Roman" w:eastAsia="宋体"/>
          <w:snapToGrid/>
          <w:color w:val="auto"/>
          <w:sz w:val="24"/>
          <w:lang w:eastAsia="zh-CN"/>
        </w:rPr>
        <w:t>2.5.2.1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地表水</w:t>
      </w:r>
      <w:bookmarkEnd w:id="242"/>
      <w:bookmarkEnd w:id="243"/>
    </w:p>
    <w:p w14:paraId="0AE761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地表水环境》（</w:t>
      </w:r>
      <w:r>
        <w:rPr>
          <w:rFonts w:ascii="Times New Roman" w:hAnsi="Times New Roman" w:cs="Times New Roman"/>
          <w:snapToGrid/>
          <w:color w:val="auto"/>
          <w:sz w:val="24"/>
          <w:szCs w:val="24"/>
          <w:lang w:eastAsia="zh-CN"/>
        </w:rPr>
        <w:t>HJ2.3-2018</w:t>
      </w:r>
      <w:r>
        <w:rPr>
          <w:rFonts w:ascii="Times New Roman" w:hAnsi="Times New Roman"/>
          <w:snapToGrid/>
          <w:color w:val="auto"/>
          <w:sz w:val="24"/>
          <w:szCs w:val="24"/>
          <w:lang w:eastAsia="zh-CN"/>
        </w:rPr>
        <w:t>），地表水评价工作等级分级表见表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7</w:t>
      </w:r>
      <w:r>
        <w:rPr>
          <w:rFonts w:ascii="Times New Roman" w:hAnsi="Times New Roman"/>
          <w:snapToGrid/>
          <w:color w:val="auto"/>
          <w:sz w:val="24"/>
          <w:szCs w:val="24"/>
          <w:lang w:eastAsia="zh-CN"/>
        </w:rPr>
        <w:t>。</w:t>
      </w:r>
    </w:p>
    <w:p w14:paraId="6985D26D">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7</w:t>
      </w:r>
      <w:r>
        <w:rPr>
          <w:rFonts w:ascii="Times New Roman" w:hAnsi="Times New Roman"/>
          <w:b/>
          <w:bCs/>
          <w:snapToGrid/>
          <w:color w:val="auto"/>
          <w:sz w:val="24"/>
          <w:lang w:eastAsia="zh-CN"/>
        </w:rPr>
        <w:t>地表水评价工作等级分级表</w:t>
      </w:r>
    </w:p>
    <w:tbl>
      <w:tblPr>
        <w:tblStyle w:val="36"/>
        <w:tblW w:w="8366" w:type="dxa"/>
        <w:tblInd w:w="5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19"/>
        <w:gridCol w:w="1113"/>
        <w:gridCol w:w="6034"/>
      </w:tblGrid>
      <w:tr w14:paraId="79019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219" w:type="dxa"/>
            <w:vMerge w:val="restart"/>
            <w:tcBorders>
              <w:tl2br w:val="nil"/>
              <w:tr2bl w:val="nil"/>
            </w:tcBorders>
          </w:tcPr>
          <w:p w14:paraId="4DE69C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评价等级</w:t>
            </w:r>
          </w:p>
        </w:tc>
        <w:tc>
          <w:tcPr>
            <w:tcW w:w="7147" w:type="dxa"/>
            <w:gridSpan w:val="2"/>
            <w:tcBorders>
              <w:tl2br w:val="nil"/>
              <w:tr2bl w:val="nil"/>
            </w:tcBorders>
          </w:tcPr>
          <w:p w14:paraId="2311B2B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判定依据</w:t>
            </w:r>
          </w:p>
        </w:tc>
      </w:tr>
      <w:tr w14:paraId="4C7A5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219" w:type="dxa"/>
            <w:vMerge w:val="continue"/>
            <w:tcBorders>
              <w:tl2br w:val="nil"/>
              <w:tr2bl w:val="nil"/>
            </w:tcBorders>
          </w:tcPr>
          <w:p w14:paraId="4CAC09E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13" w:type="dxa"/>
            <w:tcBorders>
              <w:tl2br w:val="nil"/>
              <w:tr2bl w:val="nil"/>
            </w:tcBorders>
          </w:tcPr>
          <w:p w14:paraId="7F0413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排放方式</w:t>
            </w:r>
          </w:p>
        </w:tc>
        <w:tc>
          <w:tcPr>
            <w:tcW w:w="6034" w:type="dxa"/>
            <w:tcBorders>
              <w:tl2br w:val="nil"/>
              <w:tr2bl w:val="nil"/>
            </w:tcBorders>
          </w:tcPr>
          <w:p w14:paraId="5A6414A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b/>
                <w:bCs/>
                <w:snapToGrid/>
                <w:color w:val="auto"/>
                <w:lang w:eastAsia="zh-CN"/>
              </w:rPr>
              <w:t>废水排放量</w:t>
            </w:r>
            <w:r>
              <w:rPr>
                <w:rFonts w:eastAsia="宋体"/>
                <w:b/>
                <w:bCs/>
                <w:snapToGrid/>
                <w:color w:val="auto"/>
                <w:lang w:eastAsia="zh-CN"/>
              </w:rPr>
              <w:t>Q/</w:t>
            </w:r>
            <w:r>
              <w:rPr>
                <w:rFonts w:eastAsia="宋体" w:cs="宋体"/>
                <w:b/>
                <w:bCs/>
                <w:snapToGrid/>
                <w:color w:val="auto"/>
                <w:lang w:eastAsia="zh-CN"/>
              </w:rPr>
              <w:t>（</w:t>
            </w:r>
            <w:r>
              <w:rPr>
                <w:rFonts w:eastAsia="宋体"/>
                <w:b/>
                <w:bCs/>
                <w:snapToGrid/>
                <w:color w:val="auto"/>
                <w:lang w:eastAsia="zh-CN"/>
              </w:rPr>
              <w:t>m</w:t>
            </w:r>
            <w:r>
              <w:rPr>
                <w:rFonts w:eastAsia="宋体"/>
                <w:b/>
                <w:bCs/>
                <w:snapToGrid/>
                <w:color w:val="auto"/>
                <w:szCs w:val="13"/>
                <w:vertAlign w:val="superscript"/>
                <w:lang w:eastAsia="zh-CN"/>
              </w:rPr>
              <w:t>3</w:t>
            </w:r>
            <w:r>
              <w:rPr>
                <w:rFonts w:eastAsia="宋体"/>
                <w:b/>
                <w:bCs/>
                <w:snapToGrid/>
                <w:color w:val="auto"/>
                <w:lang w:eastAsia="zh-CN"/>
              </w:rPr>
              <w:t>/d</w:t>
            </w:r>
            <w:r>
              <w:rPr>
                <w:rFonts w:eastAsia="宋体" w:cs="宋体"/>
                <w:b/>
                <w:bCs/>
                <w:snapToGrid/>
                <w:color w:val="auto"/>
                <w:lang w:eastAsia="zh-CN"/>
              </w:rPr>
              <w:t>）；水污染物当量数</w:t>
            </w:r>
            <w:r>
              <w:rPr>
                <w:rFonts w:eastAsia="宋体"/>
                <w:b/>
                <w:bCs/>
                <w:snapToGrid/>
                <w:color w:val="auto"/>
                <w:lang w:eastAsia="zh-CN"/>
              </w:rPr>
              <w:t>W/</w:t>
            </w:r>
            <w:r>
              <w:rPr>
                <w:rFonts w:eastAsia="宋体" w:cs="宋体"/>
                <w:b/>
                <w:bCs/>
                <w:snapToGrid/>
                <w:color w:val="auto"/>
                <w:lang w:eastAsia="zh-CN"/>
              </w:rPr>
              <w:t>（无量纲）</w:t>
            </w:r>
          </w:p>
        </w:tc>
      </w:tr>
      <w:tr w14:paraId="0C1739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19" w:type="dxa"/>
            <w:tcBorders>
              <w:tl2br w:val="nil"/>
              <w:tr2bl w:val="nil"/>
            </w:tcBorders>
          </w:tcPr>
          <w:p w14:paraId="0C55D0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1113" w:type="dxa"/>
            <w:tcBorders>
              <w:tl2br w:val="nil"/>
              <w:tr2bl w:val="nil"/>
            </w:tcBorders>
          </w:tcPr>
          <w:p w14:paraId="53357A6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直接排放</w:t>
            </w:r>
          </w:p>
        </w:tc>
        <w:tc>
          <w:tcPr>
            <w:tcW w:w="6034" w:type="dxa"/>
            <w:tcBorders>
              <w:tl2br w:val="nil"/>
              <w:tr2bl w:val="nil"/>
            </w:tcBorders>
          </w:tcPr>
          <w:p w14:paraId="45A5FE3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Q≥20000</w:t>
            </w:r>
            <w:r>
              <w:rPr>
                <w:rFonts w:eastAsia="宋体" w:cs="宋体"/>
                <w:snapToGrid/>
                <w:color w:val="auto"/>
              </w:rPr>
              <w:t>或</w:t>
            </w:r>
            <w:r>
              <w:rPr>
                <w:rFonts w:eastAsia="宋体"/>
                <w:snapToGrid/>
                <w:color w:val="auto"/>
              </w:rPr>
              <w:t>W≥</w:t>
            </w:r>
            <w:r>
              <w:rPr>
                <w:rFonts w:hint="eastAsia" w:eastAsia="宋体"/>
                <w:snapToGrid/>
                <w:color w:val="auto"/>
                <w:lang w:eastAsia="zh-CN"/>
              </w:rPr>
              <w:t>5000</w:t>
            </w:r>
            <w:r>
              <w:rPr>
                <w:rFonts w:eastAsia="宋体"/>
                <w:snapToGrid/>
                <w:color w:val="auto"/>
              </w:rPr>
              <w:t>00</w:t>
            </w:r>
          </w:p>
        </w:tc>
      </w:tr>
      <w:tr w14:paraId="563F4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219" w:type="dxa"/>
            <w:tcBorders>
              <w:tl2br w:val="nil"/>
              <w:tr2bl w:val="nil"/>
            </w:tcBorders>
          </w:tcPr>
          <w:p w14:paraId="7211974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1113" w:type="dxa"/>
            <w:tcBorders>
              <w:tl2br w:val="nil"/>
              <w:tr2bl w:val="nil"/>
            </w:tcBorders>
          </w:tcPr>
          <w:p w14:paraId="27E4AFB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直接排放</w:t>
            </w:r>
          </w:p>
        </w:tc>
        <w:tc>
          <w:tcPr>
            <w:tcW w:w="6034" w:type="dxa"/>
            <w:tcBorders>
              <w:tl2br w:val="nil"/>
              <w:tr2bl w:val="nil"/>
            </w:tcBorders>
          </w:tcPr>
          <w:p w14:paraId="0B36F4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其他</w:t>
            </w:r>
          </w:p>
        </w:tc>
      </w:tr>
      <w:tr w14:paraId="2518B6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19" w:type="dxa"/>
            <w:tcBorders>
              <w:tl2br w:val="nil"/>
              <w:tr2bl w:val="nil"/>
            </w:tcBorders>
          </w:tcPr>
          <w:p w14:paraId="54C8C79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三级</w:t>
            </w:r>
            <w:r>
              <w:rPr>
                <w:rFonts w:eastAsia="宋体"/>
                <w:snapToGrid/>
                <w:color w:val="auto"/>
              </w:rPr>
              <w:t>A</w:t>
            </w:r>
          </w:p>
        </w:tc>
        <w:tc>
          <w:tcPr>
            <w:tcW w:w="1113" w:type="dxa"/>
            <w:tcBorders>
              <w:tl2br w:val="nil"/>
              <w:tr2bl w:val="nil"/>
            </w:tcBorders>
          </w:tcPr>
          <w:p w14:paraId="359EE77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直接排放</w:t>
            </w:r>
          </w:p>
        </w:tc>
        <w:tc>
          <w:tcPr>
            <w:tcW w:w="6034" w:type="dxa"/>
            <w:tcBorders>
              <w:tl2br w:val="nil"/>
              <w:tr2bl w:val="nil"/>
            </w:tcBorders>
          </w:tcPr>
          <w:p w14:paraId="2C21BB3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Q</w:t>
            </w:r>
            <w:r>
              <w:rPr>
                <w:rFonts w:eastAsia="宋体" w:cs="宋体"/>
                <w:snapToGrid/>
                <w:color w:val="auto"/>
              </w:rPr>
              <w:t>＜</w:t>
            </w:r>
            <w:r>
              <w:rPr>
                <w:rFonts w:eastAsia="宋体"/>
                <w:snapToGrid/>
                <w:color w:val="auto"/>
              </w:rPr>
              <w:t>200</w:t>
            </w:r>
            <w:r>
              <w:rPr>
                <w:rFonts w:eastAsia="宋体" w:cs="宋体"/>
                <w:snapToGrid/>
                <w:color w:val="auto"/>
              </w:rPr>
              <w:t>且</w:t>
            </w:r>
            <w:r>
              <w:rPr>
                <w:rFonts w:eastAsia="宋体"/>
                <w:snapToGrid/>
                <w:color w:val="auto"/>
              </w:rPr>
              <w:t>W</w:t>
            </w:r>
            <w:r>
              <w:rPr>
                <w:rFonts w:eastAsia="宋体" w:cs="宋体"/>
                <w:snapToGrid/>
                <w:color w:val="auto"/>
              </w:rPr>
              <w:t>＜</w:t>
            </w:r>
            <w:r>
              <w:rPr>
                <w:rFonts w:hint="eastAsia" w:eastAsia="宋体"/>
                <w:snapToGrid/>
                <w:color w:val="auto"/>
                <w:lang w:eastAsia="zh-CN"/>
              </w:rPr>
              <w:t>5000</w:t>
            </w:r>
          </w:p>
        </w:tc>
      </w:tr>
      <w:tr w14:paraId="58C88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219" w:type="dxa"/>
            <w:tcBorders>
              <w:tl2br w:val="nil"/>
              <w:tr2bl w:val="nil"/>
            </w:tcBorders>
          </w:tcPr>
          <w:p w14:paraId="402AA82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三级</w:t>
            </w:r>
            <w:r>
              <w:rPr>
                <w:rFonts w:eastAsia="宋体"/>
                <w:snapToGrid/>
                <w:color w:val="auto"/>
              </w:rPr>
              <w:t>B</w:t>
            </w:r>
          </w:p>
        </w:tc>
        <w:tc>
          <w:tcPr>
            <w:tcW w:w="1113" w:type="dxa"/>
            <w:tcBorders>
              <w:tl2br w:val="nil"/>
              <w:tr2bl w:val="nil"/>
            </w:tcBorders>
          </w:tcPr>
          <w:p w14:paraId="3F8292E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间接排放</w:t>
            </w:r>
          </w:p>
        </w:tc>
        <w:tc>
          <w:tcPr>
            <w:tcW w:w="6034" w:type="dxa"/>
            <w:tcBorders>
              <w:tl2br w:val="nil"/>
              <w:tr2bl w:val="nil"/>
            </w:tcBorders>
          </w:tcPr>
          <w:p w14:paraId="0F4B5A0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20AC68A6">
      <w:pPr>
        <w:pStyle w:val="2"/>
        <w:widowControl w:val="0"/>
        <w:shd w:val="clear"/>
        <w:tabs>
          <w:tab w:val="left" w:pos="172"/>
        </w:tabs>
        <w:kinsoku/>
        <w:autoSpaceDE/>
        <w:autoSpaceDN/>
        <w:adjustRightInd/>
        <w:snapToGrid/>
        <w:spacing w:before="75" w:line="220" w:lineRule="auto"/>
        <w:ind w:left="43"/>
        <w:textAlignment w:val="auto"/>
        <w:rPr>
          <w:rFonts w:ascii="Times New Roman" w:hAnsi="Times New Roman"/>
          <w:snapToGrid/>
          <w:color w:val="auto"/>
          <w:lang w:eastAsia="zh-CN"/>
        </w:rPr>
      </w:pPr>
      <w:r>
        <w:rPr>
          <w:rFonts w:ascii="Times New Roman" w:hAnsi="Times New Roman"/>
          <w:snapToGrid/>
          <w:color w:val="auto"/>
          <w:u w:val="single"/>
          <w:lang w:eastAsia="zh-CN"/>
        </w:rPr>
        <w:t>注：建设项目</w:t>
      </w:r>
      <w:r>
        <w:rPr>
          <w:rFonts w:hint="eastAsia" w:ascii="Times New Roman" w:hAnsi="Times New Roman"/>
          <w:snapToGrid/>
          <w:color w:val="auto"/>
          <w:u w:val="single"/>
          <w:lang w:eastAsia="zh-CN"/>
        </w:rPr>
        <w:t>生产</w:t>
      </w:r>
      <w:r>
        <w:rPr>
          <w:rFonts w:ascii="Times New Roman" w:hAnsi="Times New Roman"/>
          <w:snapToGrid/>
          <w:color w:val="auto"/>
          <w:u w:val="single"/>
          <w:lang w:eastAsia="zh-CN"/>
        </w:rPr>
        <w:t>工艺中有废水产生，但作为回水利用，不排放到外环境的，按三级</w:t>
      </w:r>
      <w:r>
        <w:rPr>
          <w:rFonts w:ascii="Times New Roman" w:hAnsi="Times New Roman" w:cs="Times New Roman"/>
          <w:snapToGrid/>
          <w:color w:val="auto"/>
          <w:u w:val="single"/>
          <w:lang w:eastAsia="zh-CN"/>
        </w:rPr>
        <w:t>B</w:t>
      </w:r>
      <w:r>
        <w:rPr>
          <w:rFonts w:ascii="Times New Roman" w:hAnsi="Times New Roman"/>
          <w:snapToGrid/>
          <w:color w:val="auto"/>
          <w:u w:val="single"/>
          <w:lang w:eastAsia="zh-CN"/>
        </w:rPr>
        <w:t>评价。</w:t>
      </w:r>
    </w:p>
    <w:p w14:paraId="11377D9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营运期废水主要为职工的生活污水和生产废水，生产废水主要污染物为</w:t>
      </w:r>
      <w:r>
        <w:rPr>
          <w:rFonts w:ascii="Times New Roman" w:hAnsi="Times New Roman" w:cs="Times New Roman"/>
          <w:snapToGrid/>
          <w:color w:val="auto"/>
          <w:sz w:val="24"/>
          <w:szCs w:val="24"/>
          <w:lang w:eastAsia="zh-CN"/>
        </w:rPr>
        <w:t>SS</w:t>
      </w:r>
      <w:r>
        <w:rPr>
          <w:rFonts w:ascii="Times New Roman" w:hAnsi="Times New Roman"/>
          <w:snapToGrid/>
          <w:color w:val="auto"/>
          <w:sz w:val="24"/>
          <w:szCs w:val="24"/>
          <w:lang w:eastAsia="zh-CN"/>
        </w:rPr>
        <w:t>，经厂内沉淀池沉淀后循环利用不外排</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生活污水排入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定期</w:t>
      </w:r>
      <w:r>
        <w:rPr>
          <w:rFonts w:hint="eastAsia" w:ascii="Times New Roman" w:hAnsi="Times New Roman"/>
          <w:snapToGrid/>
          <w:color w:val="auto"/>
          <w:sz w:val="24"/>
          <w:szCs w:val="24"/>
          <w:lang w:val="en-US" w:eastAsia="zh-CN"/>
        </w:rPr>
        <w:t>抽</w:t>
      </w:r>
      <w:r>
        <w:rPr>
          <w:rFonts w:hint="eastAsia" w:ascii="Times New Roman" w:hAnsi="Times New Roman"/>
          <w:snapToGrid/>
          <w:color w:val="auto"/>
          <w:sz w:val="24"/>
          <w:szCs w:val="24"/>
          <w:lang w:eastAsia="zh-CN"/>
        </w:rPr>
        <w:t>运至木垒哈萨克自治县污水处理厂处理，</w:t>
      </w:r>
      <w:r>
        <w:rPr>
          <w:rFonts w:ascii="Times New Roman" w:hAnsi="Times New Roman"/>
          <w:snapToGrid/>
          <w:color w:val="auto"/>
          <w:sz w:val="24"/>
          <w:szCs w:val="24"/>
          <w:lang w:eastAsia="zh-CN"/>
        </w:rPr>
        <w:t>项目废水不与地表水系直接接触，按《环境影响评价技术导则</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地表水环境》（</w:t>
      </w:r>
      <w:r>
        <w:rPr>
          <w:rFonts w:ascii="Times New Roman" w:hAnsi="Times New Roman" w:cs="Times New Roman"/>
          <w:snapToGrid/>
          <w:color w:val="auto"/>
          <w:sz w:val="24"/>
          <w:szCs w:val="24"/>
          <w:lang w:eastAsia="zh-CN"/>
        </w:rPr>
        <w:t>HJ2.3-2018</w:t>
      </w:r>
      <w:r>
        <w:rPr>
          <w:rFonts w:ascii="Times New Roman" w:hAnsi="Times New Roman"/>
          <w:snapToGrid/>
          <w:color w:val="auto"/>
          <w:sz w:val="24"/>
          <w:szCs w:val="24"/>
          <w:lang w:eastAsia="zh-CN"/>
        </w:rPr>
        <w:t>）对地表水环境影响评价工作进行等级的划分，故地表水评价等级为三级</w:t>
      </w:r>
      <w:r>
        <w:rPr>
          <w:rFonts w:ascii="Times New Roman" w:hAnsi="Times New Roman" w:cs="Times New Roman"/>
          <w:snapToGrid/>
          <w:color w:val="auto"/>
          <w:sz w:val="24"/>
          <w:szCs w:val="24"/>
          <w:lang w:eastAsia="zh-CN"/>
        </w:rPr>
        <w:t>B</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因此，本项目地表水评价不设评价范围，重点分析项目废水的处置方法及去向等的可行性。</w:t>
      </w:r>
    </w:p>
    <w:p w14:paraId="18D93F01">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"file:///C:\\Users\\jobezho\\AppData\\Local\\Temp\\Rar$DIa13476.12779\\2.5.2.2" </w:instrText>
      </w:r>
      <w:r>
        <w:rPr>
          <w:color w:val="auto"/>
        </w:rPr>
        <w:fldChar w:fldCharType="separate"/>
      </w:r>
      <w:r>
        <w:rPr>
          <w:rFonts w:hint="eastAsia" w:ascii="Times New Roman" w:hAnsi="Times New Roman" w:eastAsia="宋体"/>
          <w:snapToGrid/>
          <w:color w:val="auto"/>
          <w:sz w:val="24"/>
          <w:lang w:eastAsia="zh-CN"/>
        </w:rPr>
        <w:t>2.5.2.2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地下水</w:t>
      </w:r>
    </w:p>
    <w:p w14:paraId="6152D19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44" w:name="_Toc26021"/>
      <w:bookmarkStart w:id="245" w:name="_Toc17551"/>
      <w:bookmarkStart w:id="246" w:name="_Toc22995"/>
      <w:bookmarkStart w:id="247" w:name="_Toc6103"/>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）项目类别</w:t>
      </w:r>
      <w:bookmarkEnd w:id="244"/>
      <w:bookmarkEnd w:id="245"/>
      <w:bookmarkEnd w:id="246"/>
      <w:bookmarkEnd w:id="247"/>
    </w:p>
    <w:p w14:paraId="413F91F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根据《环境影响评价技术导则地下水环境》（</w:t>
      </w:r>
      <w:r>
        <w:rPr>
          <w:rFonts w:ascii="Times New Roman" w:hAnsi="Times New Roman" w:cs="Times New Roman"/>
          <w:snapToGrid/>
          <w:color w:val="auto"/>
          <w:sz w:val="24"/>
          <w:szCs w:val="24"/>
          <w:lang w:eastAsia="zh-CN"/>
        </w:rPr>
        <w:t>HJ610-2016</w:t>
      </w:r>
      <w:r>
        <w:rPr>
          <w:rFonts w:ascii="Times New Roman" w:hAnsi="Times New Roman"/>
          <w:snapToGrid/>
          <w:color w:val="auto"/>
          <w:sz w:val="24"/>
          <w:szCs w:val="24"/>
          <w:lang w:eastAsia="zh-CN"/>
        </w:rPr>
        <w:t>）中附录</w:t>
      </w:r>
      <w:r>
        <w:rPr>
          <w:rFonts w:ascii="Times New Roman" w:hAnsi="Times New Roman" w:cs="Times New Roman"/>
          <w:snapToGrid/>
          <w:color w:val="auto"/>
          <w:sz w:val="24"/>
          <w:szCs w:val="24"/>
          <w:lang w:eastAsia="zh-CN"/>
        </w:rPr>
        <w:t>A</w:t>
      </w:r>
      <w:r>
        <w:rPr>
          <w:rFonts w:ascii="Times New Roman" w:hAnsi="Times New Roman"/>
          <w:snapToGrid/>
          <w:color w:val="auto"/>
          <w:sz w:val="24"/>
          <w:szCs w:val="24"/>
          <w:lang w:eastAsia="zh-CN"/>
        </w:rPr>
        <w:t>地下水环境影响评价行业分类表，本项目属于“</w:t>
      </w:r>
      <w:r>
        <w:rPr>
          <w:rFonts w:ascii="Times New Roman" w:hAnsi="Times New Roman" w:cs="Times New Roman"/>
          <w:snapToGrid/>
          <w:color w:val="auto"/>
          <w:sz w:val="24"/>
          <w:szCs w:val="24"/>
          <w:lang w:eastAsia="zh-CN"/>
        </w:rPr>
        <w:t>155</w:t>
      </w:r>
      <w:r>
        <w:rPr>
          <w:rFonts w:ascii="Times New Roman" w:hAnsi="Times New Roman"/>
          <w:snapToGrid/>
          <w:color w:val="auto"/>
          <w:sz w:val="24"/>
          <w:szCs w:val="24"/>
          <w:lang w:eastAsia="zh-CN"/>
        </w:rPr>
        <w:t>、废旧资源（含生物质）加工、再生利用”，地下水环境影响评价类别属于</w:t>
      </w:r>
      <w:r>
        <w:rPr>
          <w:rFonts w:hint="eastAsia" w:ascii="Times New Roman" w:hAnsi="Times New Roman"/>
          <w:snapToGrid/>
          <w:color w:val="auto"/>
          <w:sz w:val="24"/>
          <w:szCs w:val="24"/>
          <w:lang w:eastAsia="zh-CN"/>
        </w:rPr>
        <w:t>Ⅲ</w:t>
      </w:r>
      <w:r>
        <w:rPr>
          <w:rFonts w:ascii="Times New Roman" w:hAnsi="Times New Roman"/>
          <w:snapToGrid/>
          <w:color w:val="auto"/>
          <w:sz w:val="24"/>
          <w:szCs w:val="24"/>
          <w:lang w:eastAsia="zh-CN"/>
        </w:rPr>
        <w:t>类。</w:t>
      </w:r>
    </w:p>
    <w:p w14:paraId="3ECF206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48" w:name="_Toc75"/>
      <w:bookmarkStart w:id="249" w:name="_Toc1278"/>
      <w:bookmarkStart w:id="250" w:name="_Toc32535"/>
      <w:bookmarkStart w:id="251" w:name="_Toc22422"/>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）地下水敏感程度</w:t>
      </w:r>
      <w:bookmarkEnd w:id="248"/>
      <w:bookmarkEnd w:id="249"/>
      <w:bookmarkEnd w:id="250"/>
      <w:bookmarkEnd w:id="251"/>
    </w:p>
    <w:p w14:paraId="2B1AABF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根据《环境影响评价技术导则地下水环境》（</w:t>
      </w:r>
      <w:r>
        <w:rPr>
          <w:rFonts w:ascii="Times New Roman" w:hAnsi="Times New Roman" w:cs="Times New Roman"/>
          <w:snapToGrid/>
          <w:color w:val="auto"/>
          <w:sz w:val="24"/>
          <w:szCs w:val="24"/>
          <w:lang w:eastAsia="zh-CN"/>
        </w:rPr>
        <w:t>HJ610-2016</w:t>
      </w:r>
      <w:r>
        <w:rPr>
          <w:rFonts w:ascii="Times New Roman" w:hAnsi="Times New Roman"/>
          <w:snapToGrid/>
          <w:color w:val="auto"/>
          <w:sz w:val="24"/>
          <w:szCs w:val="24"/>
          <w:lang w:eastAsia="zh-CN"/>
        </w:rPr>
        <w:t>），地下水环境敏感程度分级表见表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8</w:t>
      </w:r>
      <w:r>
        <w:rPr>
          <w:rFonts w:ascii="Times New Roman" w:hAnsi="Times New Roman"/>
          <w:snapToGrid/>
          <w:color w:val="auto"/>
          <w:sz w:val="24"/>
          <w:szCs w:val="24"/>
          <w:lang w:eastAsia="zh-CN"/>
        </w:rPr>
        <w:t>。</w:t>
      </w:r>
    </w:p>
    <w:p w14:paraId="39440470">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8</w:t>
      </w:r>
      <w:r>
        <w:rPr>
          <w:rFonts w:ascii="Times New Roman" w:hAnsi="Times New Roman"/>
          <w:b/>
          <w:bCs/>
          <w:snapToGrid/>
          <w:color w:val="auto"/>
          <w:sz w:val="24"/>
          <w:lang w:eastAsia="zh-CN"/>
        </w:rPr>
        <w:t>地下水环境敏感程度分级表</w:t>
      </w:r>
    </w:p>
    <w:p w14:paraId="016B1123">
      <w:pPr>
        <w:keepNext w:val="0"/>
        <w:keepLines w:val="0"/>
        <w:pageBreakBefore w:val="0"/>
        <w:widowControl w:val="0"/>
        <w:shd w:val="clear"/>
        <w:kinsoku/>
        <w:wordWrap/>
        <w:overflowPunct/>
        <w:topLinePunct w:val="0"/>
        <w:autoSpaceDE/>
        <w:autoSpaceDN/>
        <w:bidi w:val="0"/>
        <w:adjustRightInd/>
        <w:snapToGrid/>
        <w:spacing w:line="21" w:lineRule="exact"/>
        <w:textAlignment w:val="auto"/>
        <w:outlineLvl w:val="9"/>
        <w:rPr>
          <w:rFonts w:ascii="Times New Roman" w:hAnsi="Times New Roman" w:eastAsia="宋体"/>
          <w:snapToGrid/>
          <w:color w:val="auto"/>
          <w:lang w:eastAsia="zh-CN"/>
        </w:rPr>
      </w:pPr>
    </w:p>
    <w:tbl>
      <w:tblPr>
        <w:tblStyle w:val="36"/>
        <w:tblW w:w="8428" w:type="dxa"/>
        <w:tblInd w:w="2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6153"/>
        <w:gridCol w:w="1048"/>
      </w:tblGrid>
      <w:tr w14:paraId="3FAE7F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227" w:type="dxa"/>
            <w:tcBorders>
              <w:tl2br w:val="nil"/>
              <w:tr2bl w:val="nil"/>
            </w:tcBorders>
          </w:tcPr>
          <w:p w14:paraId="037D140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敏感程度</w:t>
            </w:r>
          </w:p>
        </w:tc>
        <w:tc>
          <w:tcPr>
            <w:tcW w:w="6153" w:type="dxa"/>
            <w:tcBorders>
              <w:tl2br w:val="nil"/>
              <w:tr2bl w:val="nil"/>
            </w:tcBorders>
          </w:tcPr>
          <w:p w14:paraId="70761FB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地下水环境敏感特征</w:t>
            </w:r>
          </w:p>
        </w:tc>
        <w:tc>
          <w:tcPr>
            <w:tcW w:w="1048" w:type="dxa"/>
            <w:tcBorders>
              <w:tl2br w:val="nil"/>
              <w:tr2bl w:val="nil"/>
            </w:tcBorders>
          </w:tcPr>
          <w:p w14:paraId="7EACA12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本项目</w:t>
            </w:r>
          </w:p>
        </w:tc>
      </w:tr>
      <w:tr w14:paraId="75010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227" w:type="dxa"/>
            <w:tcBorders>
              <w:tl2br w:val="nil"/>
              <w:tr2bl w:val="nil"/>
            </w:tcBorders>
          </w:tcPr>
          <w:p w14:paraId="245F205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敏感</w:t>
            </w:r>
          </w:p>
        </w:tc>
        <w:tc>
          <w:tcPr>
            <w:tcW w:w="6153" w:type="dxa"/>
            <w:tcBorders>
              <w:tl2br w:val="nil"/>
              <w:tr2bl w:val="nil"/>
            </w:tcBorders>
          </w:tcPr>
          <w:p w14:paraId="0B5D836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集中式饮用水水源（包括</w:t>
            </w:r>
            <w:r>
              <w:rPr>
                <w:rFonts w:hint="eastAsia" w:ascii="Times New Roman" w:hAnsi="Times New Roman" w:eastAsia="宋体" w:cs="宋体"/>
                <w:snapToGrid/>
                <w:color w:val="auto"/>
                <w:lang w:eastAsia="zh-CN"/>
              </w:rPr>
              <w:t>新建</w:t>
            </w:r>
            <w:r>
              <w:rPr>
                <w:rFonts w:ascii="Times New Roman" w:hAnsi="Times New Roman" w:eastAsia="宋体" w:cs="宋体"/>
                <w:snapToGrid/>
                <w:color w:val="auto"/>
                <w:lang w:eastAsia="zh-CN"/>
              </w:rPr>
              <w:t>成的在用、备用、应急水源，在建和规划的饮用水水源）准保护区；除集中式饮用水水源以外的国家或地方政府设定的与地下水环境相关的其他保护区，如热水、矿泉水、温泉等特殊地下水资源保护区。</w:t>
            </w:r>
          </w:p>
        </w:tc>
        <w:tc>
          <w:tcPr>
            <w:tcW w:w="1048" w:type="dxa"/>
            <w:vMerge w:val="restart"/>
            <w:tcBorders>
              <w:tl2br w:val="nil"/>
              <w:tr2bl w:val="nil"/>
            </w:tcBorders>
          </w:tcPr>
          <w:p w14:paraId="1D87923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本项目不位于上述敏感及较敏感区域</w:t>
            </w:r>
          </w:p>
        </w:tc>
      </w:tr>
      <w:tr w14:paraId="1B7CC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27" w:type="dxa"/>
            <w:tcBorders>
              <w:tl2br w:val="nil"/>
              <w:tr2bl w:val="nil"/>
            </w:tcBorders>
          </w:tcPr>
          <w:p w14:paraId="42C9BD0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较敏感</w:t>
            </w:r>
          </w:p>
        </w:tc>
        <w:tc>
          <w:tcPr>
            <w:tcW w:w="6153" w:type="dxa"/>
            <w:tcBorders>
              <w:tl2br w:val="nil"/>
              <w:tr2bl w:val="nil"/>
            </w:tcBorders>
          </w:tcPr>
          <w:p w14:paraId="50653E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集中式饮用水水源（包括</w:t>
            </w:r>
            <w:r>
              <w:rPr>
                <w:rFonts w:hint="eastAsia" w:ascii="Times New Roman" w:hAnsi="Times New Roman" w:eastAsia="宋体" w:cs="宋体"/>
                <w:snapToGrid/>
                <w:color w:val="auto"/>
                <w:lang w:eastAsia="zh-CN"/>
              </w:rPr>
              <w:t>新建</w:t>
            </w:r>
            <w:r>
              <w:rPr>
                <w:rFonts w:ascii="Times New Roman" w:hAnsi="Times New Roman" w:eastAsia="宋体" w:cs="宋体"/>
                <w:snapToGrid/>
                <w:color w:val="auto"/>
                <w:lang w:eastAsia="zh-CN"/>
              </w:rPr>
              <w:t>成的在用、备用、应急水源，在建和规划的饮用水水源）准保护区以外的补给径流区；未划定准保护区的</w:t>
            </w:r>
            <w:r>
              <w:rPr>
                <w:rFonts w:hint="eastAsia" w:ascii="Times New Roman" w:hAnsi="Times New Roman" w:eastAsia="宋体" w:cs="宋体"/>
                <w:snapToGrid/>
                <w:color w:val="auto"/>
                <w:lang w:eastAsia="zh-CN"/>
              </w:rPr>
              <w:t>集中</w:t>
            </w:r>
            <w:r>
              <w:rPr>
                <w:rFonts w:ascii="Times New Roman" w:hAnsi="Times New Roman" w:eastAsia="宋体" w:cs="宋体"/>
                <w:snapToGrid/>
                <w:color w:val="auto"/>
                <w:lang w:eastAsia="zh-CN"/>
              </w:rPr>
              <w:t>式饮用水水源，其保护区以外的补给径流区；分散式饮用水水源地；特殊地下水资源（如矿泉水、温泉等）保护区以外的分布区等其他未列入上述敏感分级的环境敏感区。</w:t>
            </w:r>
          </w:p>
        </w:tc>
        <w:tc>
          <w:tcPr>
            <w:tcW w:w="1048" w:type="dxa"/>
            <w:vMerge w:val="continue"/>
            <w:tcBorders>
              <w:tl2br w:val="nil"/>
              <w:tr2bl w:val="nil"/>
            </w:tcBorders>
          </w:tcPr>
          <w:p w14:paraId="5719FFF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lang w:eastAsia="zh-CN"/>
              </w:rPr>
            </w:pPr>
          </w:p>
        </w:tc>
      </w:tr>
      <w:tr w14:paraId="609D02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227" w:type="dxa"/>
            <w:tcBorders>
              <w:tl2br w:val="nil"/>
              <w:tr2bl w:val="nil"/>
            </w:tcBorders>
          </w:tcPr>
          <w:p w14:paraId="1C013D8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snapToGrid/>
                <w:color w:val="auto"/>
              </w:rPr>
              <w:t>不敏感</w:t>
            </w:r>
          </w:p>
        </w:tc>
        <w:tc>
          <w:tcPr>
            <w:tcW w:w="6153" w:type="dxa"/>
            <w:tcBorders>
              <w:tl2br w:val="nil"/>
              <w:tr2bl w:val="nil"/>
            </w:tcBorders>
          </w:tcPr>
          <w:p w14:paraId="76A2353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上述地区之外的</w:t>
            </w:r>
            <w:r>
              <w:rPr>
                <w:rFonts w:hint="eastAsia" w:ascii="Times New Roman" w:hAnsi="Times New Roman" w:eastAsia="宋体" w:cs="宋体"/>
                <w:snapToGrid/>
                <w:color w:val="auto"/>
                <w:lang w:eastAsia="zh-CN"/>
              </w:rPr>
              <w:t>其他</w:t>
            </w:r>
            <w:r>
              <w:rPr>
                <w:rFonts w:ascii="Times New Roman" w:hAnsi="Times New Roman" w:eastAsia="宋体" w:cs="宋体"/>
                <w:snapToGrid/>
                <w:color w:val="auto"/>
                <w:lang w:eastAsia="zh-CN"/>
              </w:rPr>
              <w:t>地区。</w:t>
            </w:r>
          </w:p>
        </w:tc>
        <w:tc>
          <w:tcPr>
            <w:tcW w:w="1048" w:type="dxa"/>
            <w:vMerge w:val="continue"/>
            <w:tcBorders>
              <w:tl2br w:val="nil"/>
              <w:tr2bl w:val="nil"/>
            </w:tcBorders>
          </w:tcPr>
          <w:p w14:paraId="47DF67C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snapToGrid/>
                <w:color w:val="auto"/>
                <w:lang w:eastAsia="zh-CN"/>
              </w:rPr>
            </w:pPr>
          </w:p>
        </w:tc>
      </w:tr>
    </w:tbl>
    <w:p w14:paraId="0268693D">
      <w:pPr>
        <w:pStyle w:val="2"/>
        <w:keepNext w:val="0"/>
        <w:keepLines w:val="0"/>
        <w:pageBreakBefore w:val="0"/>
        <w:widowControl w:val="0"/>
        <w:shd w:val="clear"/>
        <w:kinsoku/>
        <w:wordWrap/>
        <w:overflowPunct/>
        <w:topLinePunct w:val="0"/>
        <w:autoSpaceDE/>
        <w:autoSpaceDN/>
        <w:bidi w:val="0"/>
        <w:adjustRightInd/>
        <w:snapToGrid/>
        <w:spacing w:before="33" w:line="228" w:lineRule="auto"/>
        <w:ind w:left="3532" w:right="127" w:hanging="3387"/>
        <w:textAlignment w:val="auto"/>
        <w:outlineLvl w:val="9"/>
        <w:rPr>
          <w:rFonts w:ascii="Times New Roman" w:hAnsi="Times New Roman"/>
          <w:snapToGrid/>
          <w:color w:val="auto"/>
          <w:lang w:eastAsia="zh-CN"/>
        </w:rPr>
      </w:pPr>
      <w:r>
        <w:rPr>
          <w:rFonts w:ascii="Times New Roman" w:hAnsi="Times New Roman"/>
          <w:snapToGrid/>
          <w:color w:val="auto"/>
          <w:lang w:eastAsia="zh-CN"/>
        </w:rPr>
        <w:t>注：</w:t>
      </w:r>
      <w:r>
        <w:rPr>
          <w:rFonts w:ascii="Times New Roman" w:hAnsi="Times New Roman" w:cs="Times New Roman"/>
          <w:snapToGrid/>
          <w:color w:val="auto"/>
          <w:lang w:eastAsia="zh-CN"/>
        </w:rPr>
        <w:t>a</w:t>
      </w:r>
      <w:r>
        <w:rPr>
          <w:rFonts w:ascii="Times New Roman" w:hAnsi="Times New Roman"/>
          <w:snapToGrid/>
          <w:color w:val="auto"/>
          <w:lang w:eastAsia="zh-CN"/>
        </w:rPr>
        <w:t>“环境敏感区”是指《建设项目环境影响评价分类管理名录》中所界定的涉及地下水的环境敏感区。</w:t>
      </w:r>
    </w:p>
    <w:p w14:paraId="7A99FF2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项目所在地为</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，项目所在区域非集中式饮用水水源地，无分散饮用水水源地，故本项目区域地下水级别为“不敏感”。</w:t>
      </w:r>
    </w:p>
    <w:p w14:paraId="00DF867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52" w:name="_Toc30408"/>
      <w:bookmarkStart w:id="253" w:name="_Toc22365"/>
      <w:bookmarkStart w:id="254" w:name="_Toc11951"/>
      <w:bookmarkStart w:id="255" w:name="_Toc21015"/>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）评价工作等级判定</w:t>
      </w:r>
      <w:bookmarkEnd w:id="252"/>
      <w:bookmarkEnd w:id="253"/>
      <w:bookmarkEnd w:id="254"/>
      <w:bookmarkEnd w:id="255"/>
    </w:p>
    <w:p w14:paraId="1A37673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按照《环境影响评价技术导则地下水环境》（</w:t>
      </w:r>
      <w:r>
        <w:rPr>
          <w:rFonts w:ascii="Times New Roman" w:hAnsi="Times New Roman" w:cs="Times New Roman"/>
          <w:snapToGrid/>
          <w:color w:val="auto"/>
          <w:sz w:val="24"/>
          <w:szCs w:val="24"/>
          <w:lang w:eastAsia="zh-CN"/>
        </w:rPr>
        <w:t>HJ610-2016</w:t>
      </w:r>
      <w:r>
        <w:rPr>
          <w:rFonts w:ascii="Times New Roman" w:hAnsi="Times New Roman"/>
          <w:snapToGrid/>
          <w:color w:val="auto"/>
          <w:sz w:val="24"/>
          <w:szCs w:val="24"/>
          <w:lang w:eastAsia="zh-CN"/>
        </w:rPr>
        <w:t>）中表</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评价工作等级分级表，见表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9</w:t>
      </w:r>
      <w:r>
        <w:rPr>
          <w:rFonts w:ascii="Times New Roman" w:hAnsi="Times New Roman"/>
          <w:snapToGrid/>
          <w:color w:val="auto"/>
          <w:sz w:val="24"/>
          <w:szCs w:val="24"/>
          <w:lang w:eastAsia="zh-CN"/>
        </w:rPr>
        <w:t>。</w:t>
      </w:r>
    </w:p>
    <w:p w14:paraId="5A7F81D8">
      <w:pPr>
        <w:pStyle w:val="2"/>
        <w:widowControl w:val="0"/>
        <w:shd w:val="clear"/>
        <w:kinsoku/>
        <w:autoSpaceDE/>
        <w:autoSpaceDN/>
        <w:adjustRightInd/>
        <w:snapToGrid/>
        <w:spacing w:line="360" w:lineRule="auto"/>
        <w:jc w:val="center"/>
        <w:textAlignment w:val="auto"/>
        <w:rPr>
          <w:rFonts w:ascii="Times New Roman" w:hAnsi="Times New Roman"/>
          <w:b/>
          <w:snapToGrid/>
          <w:color w:val="auto"/>
          <w:sz w:val="24"/>
        </w:rPr>
      </w:pPr>
      <w:r>
        <w:rPr>
          <w:rFonts w:ascii="Times New Roman" w:hAnsi="Times New Roman"/>
          <w:b/>
          <w:bCs/>
          <w:snapToGrid/>
          <w:color w:val="auto"/>
          <w:sz w:val="24"/>
        </w:rPr>
        <w:t>表</w:t>
      </w:r>
      <w:r>
        <w:rPr>
          <w:rFonts w:ascii="Times New Roman" w:hAnsi="Times New Roman" w:cs="Times New Roman"/>
          <w:b/>
          <w:bCs/>
          <w:snapToGrid/>
          <w:color w:val="auto"/>
          <w:sz w:val="24"/>
        </w:rPr>
        <w:t>2.5-</w:t>
      </w:r>
      <w:r>
        <w:rPr>
          <w:rFonts w:hint="eastAsia" w:ascii="Times New Roman" w:hAnsi="Times New Roman" w:cs="Times New Roman"/>
          <w:b/>
          <w:bCs/>
          <w:snapToGrid/>
          <w:color w:val="auto"/>
          <w:sz w:val="24"/>
          <w:lang w:val="en-US" w:eastAsia="zh-CN"/>
        </w:rPr>
        <w:t>9</w:t>
      </w:r>
      <w:r>
        <w:rPr>
          <w:rFonts w:ascii="Times New Roman" w:hAnsi="Times New Roman"/>
          <w:b/>
          <w:bCs/>
          <w:snapToGrid/>
          <w:color w:val="auto"/>
          <w:sz w:val="24"/>
        </w:rPr>
        <w:t>评价工作等级分级表</w:t>
      </w:r>
    </w:p>
    <w:p w14:paraId="68A53124">
      <w:pPr>
        <w:widowControl w:val="0"/>
        <w:shd w:val="clear"/>
        <w:kinsoku/>
        <w:autoSpaceDE/>
        <w:autoSpaceDN/>
        <w:adjustRightInd/>
        <w:snapToGrid/>
        <w:spacing w:line="25" w:lineRule="exact"/>
        <w:textAlignment w:val="auto"/>
        <w:rPr>
          <w:rFonts w:ascii="Times New Roman" w:hAnsi="Times New Roman" w:eastAsia="宋体"/>
          <w:snapToGrid/>
          <w:color w:val="auto"/>
        </w:rPr>
      </w:pPr>
    </w:p>
    <w:tbl>
      <w:tblPr>
        <w:tblStyle w:val="36"/>
        <w:tblW w:w="8378" w:type="dxa"/>
        <w:tblInd w:w="4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05"/>
        <w:gridCol w:w="2090"/>
        <w:gridCol w:w="2090"/>
        <w:gridCol w:w="2093"/>
      </w:tblGrid>
      <w:tr w14:paraId="183F36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105" w:type="dxa"/>
            <w:tcBorders>
              <w:tl2br w:val="nil"/>
              <w:tr2bl w:val="nil"/>
            </w:tcBorders>
          </w:tcPr>
          <w:p w14:paraId="245B29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snapToGrid/>
                <w:color w:val="auto"/>
              </w:rPr>
              <mc:AlternateContent>
                <mc:Choice Requires="wps">
                  <w:drawing>
                    <wp:anchor distT="0" distB="0" distL="114300" distR="114300" simplePos="0" relativeHeight="251705344" behindDoc="1" locked="0" layoutInCell="1" allowOverlap="1">
                      <wp:simplePos x="0" y="0"/>
                      <wp:positionH relativeFrom="column">
                        <wp:posOffset>17780</wp:posOffset>
                      </wp:positionH>
                      <wp:positionV relativeFrom="paragraph">
                        <wp:posOffset>2540</wp:posOffset>
                      </wp:positionV>
                      <wp:extent cx="1359535" cy="425450"/>
                      <wp:effectExtent l="8890" t="8890" r="3175" b="3810"/>
                      <wp:wrapNone/>
                      <wp:docPr id="7" name="Freeform 3"/>
                      <wp:cNvGraphicFramePr/>
                      <a:graphic xmlns:a="http://schemas.openxmlformats.org/drawingml/2006/main">
                        <a:graphicData uri="http://schemas.microsoft.com/office/word/2010/wordprocessingShape">
                          <wps:wsp>
                            <wps:cNvSpPr>
                              <a:spLocks noChangeArrowheads="1"/>
                            </wps:cNvSpPr>
                            <wps:spPr bwMode="auto">
                              <a:xfrm>
                                <a:off x="0" y="0"/>
                                <a:ext cx="1359535" cy="425450"/>
                              </a:xfrm>
                              <a:custGeom>
                                <a:avLst/>
                                <a:gdLst>
                                  <a:gd name="T0" fmla="*/ 4 w 2141"/>
                                  <a:gd name="T1" fmla="*/ 4 h 670"/>
                                  <a:gd name="T2" fmla="*/ 2135 w 2141"/>
                                  <a:gd name="T3" fmla="*/ 664 h 670"/>
                                </a:gdLst>
                                <a:ahLst/>
                                <a:cxnLst>
                                  <a:cxn ang="0">
                                    <a:pos x="T0" y="T1"/>
                                  </a:cxn>
                                  <a:cxn ang="0">
                                    <a:pos x="T2" y="T3"/>
                                  </a:cxn>
                                </a:cxnLst>
                                <a:rect l="0" t="0" r="r" b="b"/>
                                <a:pathLst>
                                  <a:path w="2141" h="670">
                                    <a:moveTo>
                                      <a:pt x="4" y="4"/>
                                    </a:moveTo>
                                    <a:lnTo>
                                      <a:pt x="2135" y="664"/>
                                    </a:lnTo>
                                  </a:path>
                                </a:pathLst>
                              </a:custGeom>
                              <a:noFill/>
                              <a:ln w="6096" cap="rnd">
                                <a:solidFill>
                                  <a:srgbClr val="000000"/>
                                </a:solidFill>
                                <a:round/>
                              </a:ln>
                            </wps:spPr>
                            <wps:bodyPr rot="0" vert="horz" wrap="square" lIns="91440" tIns="45720" rIns="91440" bIns="45720" anchor="t" anchorCtr="0" upright="1">
                              <a:noAutofit/>
                            </wps:bodyPr>
                          </wps:wsp>
                        </a:graphicData>
                      </a:graphic>
                    </wp:anchor>
                  </w:drawing>
                </mc:Choice>
                <mc:Fallback>
                  <w:pict>
                    <v:shape id="Freeform 3" o:spid="_x0000_s1026" o:spt="100" style="position:absolute;left:0pt;margin-left:1.4pt;margin-top:0.2pt;height:33.5pt;width:107.05pt;z-index:-251611136;mso-width-relative:page;mso-height-relative:page;" filled="f" stroked="t" coordsize="2141,670" o:gfxdata="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UdKCCNcA&#10;AAAFAQAADwAAAAAAAAABACAAAAAiAAAAZHJzL2Rvd25yZXYueG1sUEsBAhQAFAAAAAgAh07iQHjZ&#10;IgTLAgAAAwYAAA4AAAAAAAAAAQAgAAAAJgEAAGRycy9lMm9Eb2MueG1sUEsFBgAAAAAGAAYAWQEA&#10;AGMGAAAAAA==&#10;" path="m4,4l2135,664e">
                      <v:path o:connectlocs="2540,2540;1355725,421640" o:connectangles="0,0"/>
                      <v:fill on="f" focussize="0,0"/>
                      <v:stroke weight="0.48pt" color="#000000" joinstyle="round" endcap="round"/>
                      <v:imagedata o:title=""/>
                      <o:lock v:ext="edit" aspectratio="f"/>
                    </v:shape>
                  </w:pict>
                </mc:Fallback>
              </mc:AlternateContent>
            </w:r>
            <w:r>
              <w:rPr>
                <w:rFonts w:ascii="Times New Roman" w:hAnsi="Times New Roman" w:eastAsia="宋体" w:cs="宋体"/>
                <w:b/>
                <w:bCs/>
                <w:snapToGrid/>
                <w:color w:val="auto"/>
                <w:lang w:eastAsia="zh-CN"/>
              </w:rPr>
              <w:t>项目类别环境敏感程度</w:t>
            </w:r>
          </w:p>
        </w:tc>
        <w:tc>
          <w:tcPr>
            <w:tcW w:w="2090" w:type="dxa"/>
            <w:tcBorders>
              <w:tl2br w:val="nil"/>
              <w:tr2bl w:val="nil"/>
            </w:tcBorders>
          </w:tcPr>
          <w:p w14:paraId="584EB5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Ⅰ类项目</w:t>
            </w:r>
          </w:p>
        </w:tc>
        <w:tc>
          <w:tcPr>
            <w:tcW w:w="2090" w:type="dxa"/>
            <w:tcBorders>
              <w:tl2br w:val="nil"/>
              <w:tr2bl w:val="nil"/>
            </w:tcBorders>
          </w:tcPr>
          <w:p w14:paraId="5E8AF66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Ⅱ类项目</w:t>
            </w:r>
          </w:p>
        </w:tc>
        <w:tc>
          <w:tcPr>
            <w:tcW w:w="2093" w:type="dxa"/>
            <w:tcBorders>
              <w:tl2br w:val="nil"/>
              <w:tr2bl w:val="nil"/>
            </w:tcBorders>
          </w:tcPr>
          <w:p w14:paraId="141C2E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Ⅲ类项目</w:t>
            </w:r>
          </w:p>
        </w:tc>
      </w:tr>
      <w:tr w14:paraId="506C95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05" w:type="dxa"/>
            <w:tcBorders>
              <w:tl2br w:val="nil"/>
              <w:tr2bl w:val="nil"/>
            </w:tcBorders>
          </w:tcPr>
          <w:p w14:paraId="4C1D47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w:t>
            </w:r>
          </w:p>
        </w:tc>
        <w:tc>
          <w:tcPr>
            <w:tcW w:w="2090" w:type="dxa"/>
            <w:tcBorders>
              <w:tl2br w:val="nil"/>
              <w:tr2bl w:val="nil"/>
            </w:tcBorders>
          </w:tcPr>
          <w:p w14:paraId="1A581E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w:t>
            </w:r>
          </w:p>
        </w:tc>
        <w:tc>
          <w:tcPr>
            <w:tcW w:w="2090" w:type="dxa"/>
            <w:tcBorders>
              <w:tl2br w:val="nil"/>
              <w:tr2bl w:val="nil"/>
            </w:tcBorders>
          </w:tcPr>
          <w:p w14:paraId="41A623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w:t>
            </w:r>
          </w:p>
        </w:tc>
        <w:tc>
          <w:tcPr>
            <w:tcW w:w="2093" w:type="dxa"/>
            <w:tcBorders>
              <w:tl2br w:val="nil"/>
              <w:tr2bl w:val="nil"/>
            </w:tcBorders>
          </w:tcPr>
          <w:p w14:paraId="1DAB51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w:t>
            </w:r>
          </w:p>
        </w:tc>
      </w:tr>
      <w:tr w14:paraId="5727A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105" w:type="dxa"/>
            <w:tcBorders>
              <w:tl2br w:val="nil"/>
              <w:tr2bl w:val="nil"/>
            </w:tcBorders>
          </w:tcPr>
          <w:p w14:paraId="70A6E2A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较敏感</w:t>
            </w:r>
          </w:p>
        </w:tc>
        <w:tc>
          <w:tcPr>
            <w:tcW w:w="2090" w:type="dxa"/>
            <w:tcBorders>
              <w:tl2br w:val="nil"/>
              <w:tr2bl w:val="nil"/>
            </w:tcBorders>
          </w:tcPr>
          <w:p w14:paraId="4D5163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w:t>
            </w:r>
          </w:p>
        </w:tc>
        <w:tc>
          <w:tcPr>
            <w:tcW w:w="2090" w:type="dxa"/>
            <w:tcBorders>
              <w:tl2br w:val="nil"/>
              <w:tr2bl w:val="nil"/>
            </w:tcBorders>
          </w:tcPr>
          <w:p w14:paraId="464FE4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w:t>
            </w:r>
          </w:p>
        </w:tc>
        <w:tc>
          <w:tcPr>
            <w:tcW w:w="2093" w:type="dxa"/>
            <w:tcBorders>
              <w:tl2br w:val="nil"/>
              <w:tr2bl w:val="nil"/>
            </w:tcBorders>
          </w:tcPr>
          <w:p w14:paraId="01FCB7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w:t>
            </w:r>
          </w:p>
        </w:tc>
      </w:tr>
      <w:tr w14:paraId="60FDD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2105" w:type="dxa"/>
            <w:tcBorders>
              <w:tl2br w:val="nil"/>
              <w:tr2bl w:val="nil"/>
            </w:tcBorders>
          </w:tcPr>
          <w:p w14:paraId="26335CE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不敏感</w:t>
            </w:r>
          </w:p>
        </w:tc>
        <w:tc>
          <w:tcPr>
            <w:tcW w:w="2090" w:type="dxa"/>
            <w:tcBorders>
              <w:tl2br w:val="nil"/>
              <w:tr2bl w:val="nil"/>
            </w:tcBorders>
          </w:tcPr>
          <w:p w14:paraId="1B80D0E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w:t>
            </w:r>
          </w:p>
        </w:tc>
        <w:tc>
          <w:tcPr>
            <w:tcW w:w="2090" w:type="dxa"/>
            <w:tcBorders>
              <w:tl2br w:val="nil"/>
              <w:tr2bl w:val="nil"/>
            </w:tcBorders>
          </w:tcPr>
          <w:p w14:paraId="37DB21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w:t>
            </w:r>
          </w:p>
        </w:tc>
        <w:tc>
          <w:tcPr>
            <w:tcW w:w="2093" w:type="dxa"/>
            <w:tcBorders>
              <w:tl2br w:val="nil"/>
              <w:tr2bl w:val="nil"/>
            </w:tcBorders>
          </w:tcPr>
          <w:p w14:paraId="6CADC2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w:t>
            </w:r>
          </w:p>
        </w:tc>
      </w:tr>
    </w:tbl>
    <w:p w14:paraId="0426F90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项目所在地为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，非集中式饮用水水源地，无分散式饮用水水源地，区域地下水级别为“不敏感”。根据</w:t>
      </w:r>
      <w:r>
        <w:rPr>
          <w:rFonts w:ascii="Times New Roman" w:hAnsi="Times New Roman" w:cs="Times New Roman"/>
          <w:snapToGrid/>
          <w:color w:val="auto"/>
          <w:sz w:val="24"/>
          <w:szCs w:val="24"/>
          <w:lang w:eastAsia="zh-CN"/>
        </w:rPr>
        <w:t>HJ610-2016</w:t>
      </w:r>
      <w:r>
        <w:rPr>
          <w:rFonts w:ascii="Times New Roman" w:hAnsi="Times New Roman"/>
          <w:snapToGrid/>
          <w:color w:val="auto"/>
          <w:sz w:val="24"/>
          <w:szCs w:val="24"/>
          <w:lang w:eastAsia="zh-CN"/>
        </w:rPr>
        <w:t>附录</w:t>
      </w:r>
      <w:r>
        <w:rPr>
          <w:rFonts w:ascii="Times New Roman" w:hAnsi="Times New Roman" w:cs="Times New Roman"/>
          <w:snapToGrid/>
          <w:color w:val="auto"/>
          <w:sz w:val="24"/>
          <w:szCs w:val="24"/>
          <w:lang w:eastAsia="zh-CN"/>
        </w:rPr>
        <w:t>A</w:t>
      </w:r>
      <w:r>
        <w:rPr>
          <w:rFonts w:ascii="Times New Roman" w:hAnsi="Times New Roman"/>
          <w:snapToGrid/>
          <w:color w:val="auto"/>
          <w:sz w:val="24"/>
          <w:szCs w:val="24"/>
          <w:lang w:eastAsia="zh-CN"/>
        </w:rPr>
        <w:t>地下水环境影响评价行业分类表，本项目属于Ⅲ类项目。对照表评价工作等级分级（见表</w:t>
      </w:r>
      <w:r>
        <w:rPr>
          <w:rFonts w:ascii="Times New Roman" w:hAnsi="Times New Roman" w:cs="Times New Roman"/>
          <w:snapToGrid/>
          <w:color w:val="auto"/>
          <w:sz w:val="24"/>
          <w:szCs w:val="24"/>
          <w:lang w:eastAsia="zh-CN"/>
        </w:rPr>
        <w:t>2.</w:t>
      </w:r>
      <w:r>
        <w:rPr>
          <w:rFonts w:hint="eastAsia" w:ascii="Times New Roman" w:hAnsi="Times New Roman" w:cs="Times New Roman"/>
          <w:snapToGrid/>
          <w:color w:val="auto"/>
          <w:sz w:val="24"/>
          <w:szCs w:val="24"/>
          <w:lang w:eastAsia="zh-CN"/>
        </w:rPr>
        <w:t>5</w:t>
      </w:r>
      <w:r>
        <w:rPr>
          <w:rFonts w:ascii="Times New Roman" w:hAnsi="Times New Roman" w:cs="Times New Roman"/>
          <w:snapToGrid/>
          <w:color w:val="auto"/>
          <w:sz w:val="24"/>
          <w:szCs w:val="24"/>
          <w:lang w:eastAsia="zh-CN"/>
        </w:rPr>
        <w:t>-6</w:t>
      </w:r>
      <w:r>
        <w:rPr>
          <w:rFonts w:ascii="Times New Roman" w:hAnsi="Times New Roman"/>
          <w:snapToGrid/>
          <w:color w:val="auto"/>
          <w:sz w:val="24"/>
          <w:szCs w:val="24"/>
          <w:lang w:eastAsia="zh-CN"/>
        </w:rPr>
        <w:t>），确定本项目评价等级为三级。</w:t>
      </w:r>
    </w:p>
    <w:p w14:paraId="662C565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56" w:name="_Toc31259"/>
      <w:bookmarkStart w:id="257" w:name="_Toc23587"/>
      <w:bookmarkStart w:id="258" w:name="_Toc24941"/>
      <w:bookmarkStart w:id="259" w:name="_Toc30701"/>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）评价范围</w:t>
      </w:r>
      <w:bookmarkEnd w:id="256"/>
      <w:bookmarkEnd w:id="257"/>
      <w:bookmarkEnd w:id="258"/>
      <w:bookmarkEnd w:id="259"/>
    </w:p>
    <w:p w14:paraId="4DF9F8F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 xml:space="preserve">根据《环境影响评价技术导则 </w:t>
      </w:r>
      <w:r>
        <w:rPr>
          <w:rFonts w:hint="eastAsia" w:ascii="Times New Roman" w:hAnsi="Times New Roman"/>
          <w:snapToGrid/>
          <w:color w:val="auto"/>
          <w:sz w:val="24"/>
          <w:szCs w:val="24"/>
          <w:lang w:val="en-US" w:eastAsia="zh-CN"/>
        </w:rPr>
        <w:t xml:space="preserve"> </w:t>
      </w:r>
      <w:r>
        <w:rPr>
          <w:rFonts w:hint="eastAsia" w:ascii="Times New Roman" w:hAnsi="Times New Roman"/>
          <w:snapToGrid/>
          <w:color w:val="auto"/>
          <w:sz w:val="24"/>
          <w:szCs w:val="24"/>
          <w:lang w:eastAsia="zh-CN"/>
        </w:rPr>
        <w:t>地下水环</w:t>
      </w:r>
      <w:r>
        <w:rPr>
          <w:rFonts w:hint="default" w:ascii="Times New Roman" w:hAnsi="Times New Roman"/>
          <w:snapToGrid/>
          <w:color w:val="auto"/>
          <w:sz w:val="24"/>
          <w:szCs w:val="24"/>
          <w:lang w:eastAsia="zh-CN"/>
        </w:rPr>
        <w:t>境》（HJ610-2016），本项目地下水环境影响评价范围为以厂区为中心，</w:t>
      </w:r>
      <w:r>
        <w:rPr>
          <w:rFonts w:hint="eastAsia" w:ascii="Times New Roman" w:hAnsi="Times New Roman"/>
          <w:snapToGrid/>
          <w:color w:val="auto"/>
          <w:sz w:val="24"/>
          <w:szCs w:val="24"/>
          <w:lang w:eastAsia="zh-CN"/>
        </w:rPr>
        <w:t>地下水流向</w:t>
      </w:r>
      <w:r>
        <w:rPr>
          <w:rFonts w:hint="default" w:ascii="Times New Roman" w:hAnsi="Times New Roman"/>
          <w:snapToGrid/>
          <w:color w:val="auto"/>
          <w:sz w:val="24"/>
          <w:szCs w:val="24"/>
          <w:lang w:eastAsia="zh-CN"/>
        </w:rPr>
        <w:t>上游延伸1km</w:t>
      </w:r>
      <w:r>
        <w:rPr>
          <w:rFonts w:hint="eastAsia" w:ascii="Times New Roman" w:hAnsi="Times New Roman"/>
          <w:snapToGrid/>
          <w:color w:val="auto"/>
          <w:sz w:val="24"/>
          <w:szCs w:val="24"/>
          <w:lang w:eastAsia="zh-CN"/>
        </w:rPr>
        <w:t>、</w:t>
      </w:r>
      <w:r>
        <w:rPr>
          <w:rFonts w:hint="default" w:ascii="Times New Roman" w:hAnsi="Times New Roman"/>
          <w:snapToGrid/>
          <w:color w:val="auto"/>
          <w:sz w:val="24"/>
          <w:szCs w:val="24"/>
          <w:lang w:eastAsia="zh-CN"/>
        </w:rPr>
        <w:t>下游延伸2km</w:t>
      </w:r>
      <w:r>
        <w:rPr>
          <w:rFonts w:hint="eastAsia" w:ascii="Times New Roman" w:hAnsi="Times New Roman"/>
          <w:snapToGrid/>
          <w:color w:val="auto"/>
          <w:sz w:val="24"/>
          <w:szCs w:val="24"/>
          <w:lang w:eastAsia="zh-CN"/>
        </w:rPr>
        <w:t>、</w:t>
      </w:r>
      <w:r>
        <w:rPr>
          <w:rFonts w:hint="default" w:ascii="Times New Roman" w:hAnsi="Times New Roman"/>
          <w:snapToGrid/>
          <w:color w:val="auto"/>
          <w:sz w:val="24"/>
          <w:szCs w:val="24"/>
          <w:lang w:eastAsia="zh-CN"/>
        </w:rPr>
        <w:t>两侧各1km的</w:t>
      </w:r>
      <w:r>
        <w:rPr>
          <w:rFonts w:hint="eastAsia" w:ascii="Times New Roman" w:hAnsi="Times New Roman"/>
          <w:snapToGrid/>
          <w:color w:val="auto"/>
          <w:sz w:val="24"/>
          <w:szCs w:val="24"/>
          <w:lang w:eastAsia="zh-CN"/>
        </w:rPr>
        <w:t>矩形区域，总面积</w:t>
      </w:r>
      <w:r>
        <w:rPr>
          <w:rFonts w:hint="eastAsia" w:ascii="Times New Roman" w:hAnsi="Times New Roman"/>
          <w:snapToGrid/>
          <w:color w:val="auto"/>
          <w:sz w:val="24"/>
          <w:szCs w:val="24"/>
          <w:lang w:val="en-US" w:eastAsia="zh-CN"/>
        </w:rPr>
        <w:t>6km</w:t>
      </w:r>
      <w:r>
        <w:rPr>
          <w:rFonts w:hint="eastAsia" w:ascii="Times New Roman" w:hAnsi="Times New Roman"/>
          <w:snapToGrid/>
          <w:color w:val="auto"/>
          <w:sz w:val="24"/>
          <w:szCs w:val="24"/>
          <w:vertAlign w:val="superscript"/>
          <w:lang w:val="en-US" w:eastAsia="zh-CN"/>
        </w:rPr>
        <w:t>2</w:t>
      </w:r>
      <w:r>
        <w:rPr>
          <w:rFonts w:hint="default" w:ascii="Times New Roman" w:hAnsi="Times New Roman"/>
          <w:snapToGrid/>
          <w:color w:val="auto"/>
          <w:sz w:val="24"/>
          <w:szCs w:val="24"/>
          <w:lang w:eastAsia="zh-CN"/>
        </w:rPr>
        <w:t>。</w:t>
      </w:r>
    </w:p>
    <w:p w14:paraId="09CFF026">
      <w:pPr>
        <w:pStyle w:val="2"/>
        <w:widowControl w:val="0"/>
        <w:shd w:val="clear"/>
        <w:kinsoku/>
        <w:autoSpaceDE/>
        <w:autoSpaceDN/>
        <w:adjustRightInd/>
        <w:snapToGrid/>
        <w:spacing w:before="35" w:line="341" w:lineRule="auto"/>
        <w:ind w:left="34" w:right="7008"/>
        <w:textAlignment w:val="auto"/>
        <w:outlineLvl w:val="2"/>
        <w:rPr>
          <w:rFonts w:ascii="Times New Roman" w:hAnsi="Times New Roman" w:cs="Times New Roman"/>
          <w:b/>
          <w:bCs/>
          <w:snapToGrid/>
          <w:color w:val="auto"/>
          <w:sz w:val="28"/>
          <w:szCs w:val="32"/>
          <w:lang w:eastAsia="zh-CN"/>
        </w:rPr>
      </w:pPr>
      <w:bookmarkStart w:id="260" w:name="_Toc30061"/>
      <w:bookmarkStart w:id="261" w:name="_Toc26008"/>
      <w:bookmarkStart w:id="262" w:name="_Toc19835"/>
      <w:r>
        <w:rPr>
          <w:rFonts w:hint="eastAsia" w:ascii="Times New Roman" w:hAnsi="Times New Roman" w:cs="Times New Roman"/>
          <w:b/>
          <w:bCs/>
          <w:snapToGrid/>
          <w:color w:val="auto"/>
          <w:sz w:val="28"/>
          <w:szCs w:val="32"/>
          <w:lang w:eastAsia="zh-CN"/>
        </w:rPr>
        <w:t>2.5.3声环境</w:t>
      </w:r>
      <w:bookmarkEnd w:id="260"/>
      <w:bookmarkEnd w:id="261"/>
      <w:bookmarkEnd w:id="262"/>
    </w:p>
    <w:p w14:paraId="093C96E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63" w:name="_Toc16044"/>
      <w:bookmarkStart w:id="264" w:name="_Toc17670"/>
      <w:bookmarkStart w:id="265" w:name="_Toc8468"/>
      <w:bookmarkStart w:id="266" w:name="_Toc22253"/>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）环境特征</w:t>
      </w:r>
      <w:bookmarkEnd w:id="263"/>
      <w:bookmarkEnd w:id="264"/>
      <w:bookmarkEnd w:id="265"/>
      <w:bookmarkEnd w:id="266"/>
    </w:p>
    <w:p w14:paraId="7476F9F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67" w:name="bookmark62"/>
      <w:bookmarkEnd w:id="267"/>
      <w:r>
        <w:rPr>
          <w:rFonts w:ascii="Times New Roman" w:hAnsi="Times New Roman"/>
          <w:snapToGrid/>
          <w:color w:val="auto"/>
          <w:sz w:val="24"/>
          <w:szCs w:val="24"/>
          <w:lang w:eastAsia="zh-CN"/>
        </w:rPr>
        <w:t>根据《环境影响评价技术导则声环境》（</w:t>
      </w:r>
      <w:r>
        <w:rPr>
          <w:rFonts w:ascii="Times New Roman" w:hAnsi="Times New Roman" w:cs="Times New Roman"/>
          <w:snapToGrid/>
          <w:color w:val="auto"/>
          <w:sz w:val="24"/>
          <w:szCs w:val="24"/>
          <w:lang w:eastAsia="zh-CN"/>
        </w:rPr>
        <w:t>HJ2.4-2021</w:t>
      </w:r>
      <w:r>
        <w:rPr>
          <w:rFonts w:ascii="Times New Roman" w:hAnsi="Times New Roman"/>
          <w:snapToGrid/>
          <w:color w:val="auto"/>
          <w:sz w:val="24"/>
          <w:szCs w:val="24"/>
          <w:lang w:eastAsia="zh-CN"/>
        </w:rPr>
        <w:t>）规定的声环境影响评价工作等级划分原则，项目位于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，声环境功能区为</w:t>
      </w:r>
      <w:r>
        <w:rPr>
          <w:rFonts w:hint="eastAsia"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类地区，且项目投产后</w:t>
      </w:r>
      <w:r>
        <w:rPr>
          <w:rFonts w:ascii="Times New Roman" w:hAnsi="Times New Roman" w:cs="Times New Roman"/>
          <w:snapToGrid/>
          <w:color w:val="auto"/>
          <w:sz w:val="24"/>
          <w:szCs w:val="24"/>
          <w:lang w:eastAsia="zh-CN"/>
        </w:rPr>
        <w:t>200m</w:t>
      </w:r>
      <w:r>
        <w:rPr>
          <w:rFonts w:ascii="Times New Roman" w:hAnsi="Times New Roman"/>
          <w:snapToGrid/>
          <w:color w:val="auto"/>
          <w:sz w:val="24"/>
          <w:szCs w:val="24"/>
          <w:lang w:eastAsia="zh-CN"/>
        </w:rPr>
        <w:t>范围内无</w:t>
      </w:r>
      <w:r>
        <w:rPr>
          <w:rFonts w:hint="eastAsia" w:ascii="Times New Roman" w:hAnsi="Times New Roman"/>
          <w:snapToGrid/>
          <w:color w:val="auto"/>
          <w:sz w:val="24"/>
          <w:szCs w:val="24"/>
          <w:lang w:val="en-US" w:eastAsia="zh-CN"/>
        </w:rPr>
        <w:t>声</w:t>
      </w:r>
      <w:r>
        <w:rPr>
          <w:rFonts w:ascii="Times New Roman" w:hAnsi="Times New Roman"/>
          <w:snapToGrid/>
          <w:color w:val="auto"/>
          <w:sz w:val="24"/>
          <w:szCs w:val="24"/>
          <w:lang w:eastAsia="zh-CN"/>
        </w:rPr>
        <w:t>环境敏感点，根据评价导则要求，确定项目噪声评价工作等级为</w:t>
      </w:r>
      <w:r>
        <w:rPr>
          <w:rFonts w:hint="eastAsia" w:ascii="Times New Roman" w:hAnsi="Times New Roman"/>
          <w:snapToGrid/>
          <w:color w:val="auto"/>
          <w:sz w:val="24"/>
          <w:szCs w:val="24"/>
          <w:lang w:eastAsia="zh-CN"/>
        </w:rPr>
        <w:t>二</w:t>
      </w:r>
      <w:r>
        <w:rPr>
          <w:rFonts w:ascii="Times New Roman" w:hAnsi="Times New Roman"/>
          <w:snapToGrid/>
          <w:color w:val="auto"/>
          <w:sz w:val="24"/>
          <w:szCs w:val="24"/>
          <w:lang w:eastAsia="zh-CN"/>
        </w:rPr>
        <w:t>级。</w:t>
      </w:r>
    </w:p>
    <w:p w14:paraId="1361040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评价分级依据见表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10</w:t>
      </w:r>
      <w:r>
        <w:rPr>
          <w:rFonts w:ascii="Times New Roman" w:hAnsi="Times New Roman"/>
          <w:snapToGrid/>
          <w:color w:val="auto"/>
          <w:sz w:val="24"/>
          <w:szCs w:val="24"/>
          <w:lang w:eastAsia="zh-CN"/>
        </w:rPr>
        <w:t>。</w:t>
      </w:r>
    </w:p>
    <w:p w14:paraId="0BE34A8C">
      <w:pPr>
        <w:pStyle w:val="2"/>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10</w:t>
      </w:r>
      <w:r>
        <w:rPr>
          <w:rFonts w:ascii="Times New Roman" w:hAnsi="Times New Roman"/>
          <w:b/>
          <w:bCs/>
          <w:snapToGrid/>
          <w:color w:val="auto"/>
          <w:sz w:val="24"/>
          <w:lang w:eastAsia="zh-CN"/>
        </w:rPr>
        <w:t>声环境评价级别划分依据</w:t>
      </w:r>
    </w:p>
    <w:p w14:paraId="29AF8878">
      <w:pPr>
        <w:keepNext w:val="0"/>
        <w:keepLines w:val="0"/>
        <w:pageBreakBefore w:val="0"/>
        <w:widowControl w:val="0"/>
        <w:shd w:val="clear"/>
        <w:kinsoku/>
        <w:wordWrap/>
        <w:overflowPunct/>
        <w:topLinePunct w:val="0"/>
        <w:autoSpaceDE/>
        <w:autoSpaceDN/>
        <w:bidi w:val="0"/>
        <w:adjustRightInd/>
        <w:snapToGrid/>
        <w:spacing w:line="25" w:lineRule="exact"/>
        <w:textAlignment w:val="auto"/>
        <w:outlineLvl w:val="9"/>
        <w:rPr>
          <w:rFonts w:ascii="Times New Roman" w:hAnsi="Times New Roman" w:eastAsia="宋体"/>
          <w:snapToGrid/>
          <w:color w:val="auto"/>
          <w:lang w:eastAsia="zh-CN"/>
        </w:rPr>
      </w:pPr>
    </w:p>
    <w:tbl>
      <w:tblPr>
        <w:tblStyle w:val="36"/>
        <w:tblW w:w="8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95"/>
        <w:gridCol w:w="2906"/>
        <w:gridCol w:w="1795"/>
        <w:gridCol w:w="1243"/>
      </w:tblGrid>
      <w:tr w14:paraId="73F35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7296" w:type="dxa"/>
            <w:gridSpan w:val="3"/>
            <w:tcBorders>
              <w:tl2br w:val="nil"/>
              <w:tr2bl w:val="nil"/>
            </w:tcBorders>
            <w:vAlign w:val="center"/>
          </w:tcPr>
          <w:p w14:paraId="4E13327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判断依据</w:t>
            </w:r>
          </w:p>
        </w:tc>
        <w:tc>
          <w:tcPr>
            <w:tcW w:w="1243" w:type="dxa"/>
            <w:tcBorders>
              <w:tl2br w:val="nil"/>
              <w:tr2bl w:val="nil"/>
            </w:tcBorders>
            <w:vAlign w:val="center"/>
          </w:tcPr>
          <w:p w14:paraId="5184EFE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ascii="Times New Roman" w:hAnsi="Times New Roman" w:eastAsia="宋体" w:cs="宋体"/>
                <w:b/>
                <w:bCs/>
                <w:snapToGrid/>
                <w:color w:val="auto"/>
              </w:rPr>
              <w:t>评价级别</w:t>
            </w:r>
          </w:p>
        </w:tc>
      </w:tr>
      <w:tr w14:paraId="67A17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2595" w:type="dxa"/>
            <w:tcBorders>
              <w:tl2br w:val="nil"/>
              <w:tr2bl w:val="nil"/>
            </w:tcBorders>
            <w:vAlign w:val="center"/>
          </w:tcPr>
          <w:p w14:paraId="5983692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项目所处的声环境功能区</w:t>
            </w:r>
            <w:r>
              <w:rPr>
                <w:rFonts w:hint="eastAsia" w:ascii="Times New Roman" w:hAnsi="Times New Roman" w:eastAsia="宋体"/>
                <w:snapToGrid/>
                <w:color w:val="auto"/>
                <w:lang w:eastAsia="zh-CN"/>
              </w:rPr>
              <w:t>2</w:t>
            </w:r>
            <w:r>
              <w:rPr>
                <w:rFonts w:ascii="Times New Roman" w:hAnsi="Times New Roman" w:eastAsia="宋体" w:cs="宋体"/>
                <w:snapToGrid/>
                <w:color w:val="auto"/>
                <w:lang w:eastAsia="zh-CN"/>
              </w:rPr>
              <w:t>类区</w:t>
            </w:r>
          </w:p>
        </w:tc>
        <w:tc>
          <w:tcPr>
            <w:tcW w:w="2906" w:type="dxa"/>
            <w:tcBorders>
              <w:tl2br w:val="nil"/>
              <w:tr2bl w:val="nil"/>
            </w:tcBorders>
            <w:vAlign w:val="center"/>
          </w:tcPr>
          <w:p w14:paraId="21664B9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噪声增量建设项目建设前后评价范围内敏感目标噪声级增高量在</w:t>
            </w:r>
            <w:r>
              <w:rPr>
                <w:rFonts w:ascii="Times New Roman" w:hAnsi="Times New Roman" w:eastAsia="宋体"/>
                <w:snapToGrid/>
                <w:color w:val="auto"/>
                <w:lang w:eastAsia="zh-CN"/>
              </w:rPr>
              <w:t>3dB</w:t>
            </w:r>
            <w:r>
              <w:rPr>
                <w:rFonts w:ascii="Times New Roman" w:hAnsi="Times New Roman" w:eastAsia="宋体" w:cs="宋体"/>
                <w:snapToGrid/>
                <w:color w:val="auto"/>
                <w:lang w:eastAsia="zh-CN"/>
              </w:rPr>
              <w:t>（</w:t>
            </w:r>
            <w:r>
              <w:rPr>
                <w:rFonts w:ascii="Times New Roman" w:hAnsi="Times New Roman" w:eastAsia="宋体"/>
                <w:snapToGrid/>
                <w:color w:val="auto"/>
                <w:lang w:eastAsia="zh-CN"/>
              </w:rPr>
              <w:t>A</w:t>
            </w:r>
            <w:r>
              <w:rPr>
                <w:rFonts w:ascii="Times New Roman" w:hAnsi="Times New Roman" w:eastAsia="宋体" w:cs="宋体"/>
                <w:snapToGrid/>
                <w:color w:val="auto"/>
                <w:lang w:eastAsia="zh-CN"/>
              </w:rPr>
              <w:t>）以下（</w:t>
            </w:r>
            <w:r>
              <w:rPr>
                <w:rFonts w:ascii="Times New Roman" w:hAnsi="Times New Roman" w:eastAsia="宋体"/>
                <w:snapToGrid/>
                <w:color w:val="auto"/>
                <w:lang w:eastAsia="zh-CN"/>
              </w:rPr>
              <w:t>3dB</w:t>
            </w:r>
            <w:r>
              <w:rPr>
                <w:rFonts w:ascii="Times New Roman" w:hAnsi="Times New Roman" w:eastAsia="宋体" w:cs="宋体"/>
                <w:snapToGrid/>
                <w:color w:val="auto"/>
                <w:lang w:eastAsia="zh-CN"/>
              </w:rPr>
              <w:t>（</w:t>
            </w:r>
            <w:r>
              <w:rPr>
                <w:rFonts w:ascii="Times New Roman" w:hAnsi="Times New Roman" w:eastAsia="宋体"/>
                <w:snapToGrid/>
                <w:color w:val="auto"/>
                <w:lang w:eastAsia="zh-CN"/>
              </w:rPr>
              <w:t>A</w:t>
            </w:r>
            <w:r>
              <w:rPr>
                <w:rFonts w:ascii="Times New Roman" w:hAnsi="Times New Roman" w:eastAsia="宋体" w:cs="宋体"/>
                <w:snapToGrid/>
                <w:color w:val="auto"/>
                <w:lang w:eastAsia="zh-CN"/>
              </w:rPr>
              <w:t>））</w:t>
            </w:r>
          </w:p>
        </w:tc>
        <w:tc>
          <w:tcPr>
            <w:tcW w:w="1795" w:type="dxa"/>
            <w:tcBorders>
              <w:tl2br w:val="nil"/>
              <w:tr2bl w:val="nil"/>
            </w:tcBorders>
            <w:vAlign w:val="center"/>
          </w:tcPr>
          <w:p w14:paraId="6C6EF02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受影响人口数</w:t>
            </w:r>
            <w:r>
              <w:rPr>
                <w:rFonts w:hint="eastAsia" w:ascii="Times New Roman" w:hAnsi="Times New Roman" w:eastAsia="宋体" w:cs="宋体"/>
                <w:snapToGrid/>
                <w:color w:val="auto"/>
                <w:lang w:eastAsia="zh-CN"/>
              </w:rPr>
              <w:t>量和</w:t>
            </w:r>
            <w:r>
              <w:rPr>
                <w:rFonts w:ascii="Times New Roman" w:hAnsi="Times New Roman" w:eastAsia="宋体" w:cs="宋体"/>
                <w:snapToGrid/>
                <w:color w:val="auto"/>
                <w:lang w:eastAsia="zh-CN"/>
              </w:rPr>
              <w:t>人口变化不大</w:t>
            </w:r>
          </w:p>
        </w:tc>
        <w:tc>
          <w:tcPr>
            <w:tcW w:w="1243" w:type="dxa"/>
            <w:tcBorders>
              <w:tl2br w:val="nil"/>
              <w:tr2bl w:val="nil"/>
            </w:tcBorders>
            <w:vAlign w:val="center"/>
          </w:tcPr>
          <w:p w14:paraId="770075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宋体"/>
                <w:snapToGrid/>
                <w:color w:val="auto"/>
              </w:rPr>
            </w:pPr>
            <w:r>
              <w:rPr>
                <w:rFonts w:hint="eastAsia" w:ascii="Times New Roman" w:hAnsi="Times New Roman" w:eastAsia="宋体" w:cs="宋体"/>
                <w:snapToGrid/>
                <w:color w:val="auto"/>
                <w:lang w:eastAsia="zh-CN"/>
              </w:rPr>
              <w:t>二</w:t>
            </w:r>
            <w:r>
              <w:rPr>
                <w:rFonts w:ascii="Times New Roman" w:hAnsi="Times New Roman" w:eastAsia="宋体" w:cs="宋体"/>
                <w:snapToGrid/>
                <w:color w:val="auto"/>
              </w:rPr>
              <w:t>级</w:t>
            </w:r>
          </w:p>
        </w:tc>
      </w:tr>
    </w:tbl>
    <w:p w14:paraId="38DA8F6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rPr>
      </w:pPr>
      <w:bookmarkStart w:id="268" w:name="_Toc32531"/>
      <w:bookmarkStart w:id="269" w:name="_Toc11344"/>
      <w:bookmarkStart w:id="270" w:name="_Toc32196"/>
      <w:bookmarkStart w:id="271" w:name="_Toc25560"/>
      <w:r>
        <w:rPr>
          <w:rFonts w:ascii="Times New Roman" w:hAnsi="Times New Roman"/>
          <w:snapToGrid/>
          <w:color w:val="auto"/>
          <w:sz w:val="24"/>
          <w:szCs w:val="24"/>
        </w:rPr>
        <w:t>（</w:t>
      </w:r>
      <w:r>
        <w:rPr>
          <w:rFonts w:ascii="Times New Roman" w:hAnsi="Times New Roman" w:cs="Times New Roman"/>
          <w:snapToGrid/>
          <w:color w:val="auto"/>
          <w:sz w:val="24"/>
          <w:szCs w:val="24"/>
        </w:rPr>
        <w:t>2</w:t>
      </w:r>
      <w:r>
        <w:rPr>
          <w:rFonts w:ascii="Times New Roman" w:hAnsi="Times New Roman"/>
          <w:snapToGrid/>
          <w:color w:val="auto"/>
          <w:sz w:val="24"/>
          <w:szCs w:val="24"/>
        </w:rPr>
        <w:t>）评价范围</w:t>
      </w:r>
      <w:bookmarkEnd w:id="268"/>
      <w:bookmarkEnd w:id="269"/>
      <w:bookmarkEnd w:id="270"/>
      <w:bookmarkEnd w:id="271"/>
    </w:p>
    <w:p w14:paraId="33BD6E0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本项目声环境影响评价工作等级为二级，根据《环境影响评价技术导则  声环境》（HJ2.4-2021），确定本项目声环境影响评价范围为项目厂界外200m以内的区域。</w:t>
      </w:r>
    </w:p>
    <w:p w14:paraId="053351E0">
      <w:pPr>
        <w:pStyle w:val="2"/>
        <w:widowControl w:val="0"/>
        <w:shd w:val="clear"/>
        <w:kinsoku/>
        <w:autoSpaceDE/>
        <w:autoSpaceDN/>
        <w:adjustRightInd/>
        <w:snapToGrid/>
        <w:spacing w:before="35" w:line="341" w:lineRule="auto"/>
        <w:ind w:left="34"/>
        <w:textAlignment w:val="auto"/>
        <w:outlineLvl w:val="2"/>
        <w:rPr>
          <w:rFonts w:ascii="Times New Roman" w:hAnsi="Times New Roman" w:cs="Times New Roman"/>
          <w:b/>
          <w:bCs/>
          <w:snapToGrid/>
          <w:color w:val="auto"/>
          <w:sz w:val="28"/>
          <w:szCs w:val="32"/>
          <w:lang w:eastAsia="zh-CN"/>
        </w:rPr>
      </w:pPr>
      <w:bookmarkStart w:id="272" w:name="_Toc25568"/>
      <w:bookmarkStart w:id="273" w:name="_Toc27886"/>
      <w:bookmarkStart w:id="274" w:name="_Toc14961"/>
      <w:r>
        <w:rPr>
          <w:rFonts w:hint="eastAsia" w:ascii="Times New Roman" w:hAnsi="Times New Roman" w:cs="Times New Roman"/>
          <w:b/>
          <w:bCs/>
          <w:snapToGrid/>
          <w:color w:val="auto"/>
          <w:sz w:val="28"/>
          <w:szCs w:val="32"/>
          <w:lang w:eastAsia="zh-CN"/>
        </w:rPr>
        <w:t>2.5.4土壤环境</w:t>
      </w:r>
      <w:bookmarkEnd w:id="272"/>
      <w:bookmarkEnd w:id="273"/>
      <w:bookmarkEnd w:id="274"/>
    </w:p>
    <w:p w14:paraId="267B6F66">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评价等级</w:t>
      </w:r>
    </w:p>
    <w:p w14:paraId="1CD8A27E">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snapToGrid/>
          <w:color w:val="auto"/>
          <w:sz w:val="24"/>
          <w:szCs w:val="24"/>
          <w:lang w:eastAsia="zh-CN"/>
        </w:rPr>
      </w:pPr>
      <w:r>
        <w:rPr>
          <w:rFonts w:ascii="Times New Roman" w:hAnsi="Times New Roman"/>
          <w:snapToGrid/>
          <w:color w:val="auto"/>
          <w:sz w:val="24"/>
          <w:szCs w:val="24"/>
          <w:lang w:eastAsia="zh-CN"/>
        </w:rPr>
        <w:t>本项目属于废旧资源加工、再利用项目。依据《环境影响评价技术导则</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土壤环境（试行）》（</w:t>
      </w:r>
      <w:r>
        <w:rPr>
          <w:rFonts w:ascii="Times New Roman" w:hAnsi="Times New Roman" w:cs="Times New Roman"/>
          <w:snapToGrid/>
          <w:color w:val="auto"/>
          <w:sz w:val="24"/>
          <w:szCs w:val="24"/>
          <w:lang w:eastAsia="zh-CN"/>
        </w:rPr>
        <w:t>HJ964-2018</w:t>
      </w:r>
      <w:r>
        <w:rPr>
          <w:rFonts w:ascii="Times New Roman" w:hAnsi="Times New Roman"/>
          <w:snapToGrid/>
          <w:color w:val="auto"/>
          <w:sz w:val="24"/>
          <w:szCs w:val="24"/>
          <w:lang w:eastAsia="zh-CN"/>
        </w:rPr>
        <w:t>）附录</w:t>
      </w:r>
      <w:r>
        <w:rPr>
          <w:rFonts w:ascii="Times New Roman" w:hAnsi="Times New Roman" w:cs="Times New Roman"/>
          <w:snapToGrid/>
          <w:color w:val="auto"/>
          <w:sz w:val="24"/>
          <w:szCs w:val="24"/>
          <w:lang w:eastAsia="zh-CN"/>
        </w:rPr>
        <w:t>A</w:t>
      </w:r>
      <w:r>
        <w:rPr>
          <w:rFonts w:ascii="Times New Roman" w:hAnsi="Times New Roman"/>
          <w:snapToGrid/>
          <w:color w:val="auto"/>
          <w:sz w:val="24"/>
          <w:szCs w:val="24"/>
          <w:lang w:eastAsia="zh-CN"/>
        </w:rPr>
        <w:t>土壤环境影响评价项目类别</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环境和公共设施管理业</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废旧资源加工、再利用项目</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。因此本项目为</w:t>
      </w:r>
      <w:r>
        <w:rPr>
          <w:rFonts w:ascii="Times New Roman" w:hAnsi="Times New Roman" w:cs="新宋体"/>
          <w:snapToGrid/>
          <w:color w:val="auto"/>
          <w:sz w:val="24"/>
          <w:szCs w:val="24"/>
          <w:lang w:eastAsia="zh-CN"/>
        </w:rPr>
        <w:t>Ⅲ</w:t>
      </w:r>
      <w:r>
        <w:rPr>
          <w:rFonts w:ascii="Times New Roman" w:hAnsi="Times New Roman"/>
          <w:snapToGrid/>
          <w:color w:val="auto"/>
          <w:sz w:val="24"/>
          <w:szCs w:val="24"/>
          <w:lang w:eastAsia="zh-CN"/>
        </w:rPr>
        <w:t>类项目</w:t>
      </w:r>
      <w:r>
        <w:rPr>
          <w:rFonts w:hint="eastAsia"/>
          <w:color w:val="auto"/>
          <w:lang w:eastAsia="zh-CN"/>
        </w:rPr>
        <w:t>。</w:t>
      </w:r>
    </w:p>
    <w:p w14:paraId="3DDE846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土壤环境（试行）》（</w:t>
      </w:r>
      <w:r>
        <w:rPr>
          <w:rFonts w:ascii="Times New Roman" w:hAnsi="Times New Roman" w:cs="Times New Roman"/>
          <w:snapToGrid/>
          <w:color w:val="auto"/>
          <w:sz w:val="24"/>
          <w:szCs w:val="24"/>
          <w:lang w:eastAsia="zh-CN"/>
        </w:rPr>
        <w:t>HJ964-2018</w:t>
      </w:r>
      <w:r>
        <w:rPr>
          <w:rFonts w:ascii="Times New Roman" w:hAnsi="Times New Roman"/>
          <w:snapToGrid/>
          <w:color w:val="auto"/>
          <w:sz w:val="24"/>
          <w:szCs w:val="24"/>
          <w:lang w:eastAsia="zh-CN"/>
        </w:rPr>
        <w:t>），本项目属于污染影响型项目，项目占地面积为</w:t>
      </w:r>
      <w:r>
        <w:rPr>
          <w:rFonts w:hint="eastAsia" w:ascii="Times New Roman" w:hAnsi="Times New Roman" w:cs="Times New Roman"/>
          <w:snapToGrid/>
          <w:color w:val="auto"/>
          <w:sz w:val="24"/>
          <w:szCs w:val="24"/>
          <w:lang w:eastAsia="zh-CN"/>
        </w:rPr>
        <w:t>9442.97</w:t>
      </w:r>
      <w:r>
        <w:rPr>
          <w:rFonts w:ascii="Times New Roman" w:hAnsi="Times New Roman" w:cs="Times New Roman"/>
          <w:snapToGrid/>
          <w:color w:val="auto"/>
          <w:sz w:val="24"/>
          <w:szCs w:val="24"/>
          <w:lang w:eastAsia="zh-CN"/>
        </w:rPr>
        <w:t>m</w:t>
      </w:r>
      <w:r>
        <w:rPr>
          <w:rFonts w:ascii="Times New Roman" w:hAnsi="Times New Roman" w:cs="Times New Roman"/>
          <w:snapToGrid/>
          <w:color w:val="auto"/>
          <w:sz w:val="24"/>
          <w:szCs w:val="16"/>
          <w:vertAlign w:val="superscript"/>
          <w:lang w:eastAsia="zh-CN"/>
        </w:rPr>
        <w:t>2</w:t>
      </w:r>
      <w:r>
        <w:rPr>
          <w:rFonts w:ascii="Times New Roman" w:hAnsi="Times New Roman"/>
          <w:snapToGrid/>
          <w:color w:val="auto"/>
          <w:sz w:val="24"/>
          <w:szCs w:val="24"/>
          <w:lang w:eastAsia="zh-CN"/>
        </w:rPr>
        <w:t>，占地面积小于</w:t>
      </w:r>
      <w:r>
        <w:rPr>
          <w:rFonts w:ascii="Times New Roman" w:hAnsi="Times New Roman" w:cs="Times New Roman"/>
          <w:snapToGrid/>
          <w:color w:val="auto"/>
          <w:sz w:val="24"/>
          <w:szCs w:val="24"/>
          <w:lang w:eastAsia="zh-CN"/>
        </w:rPr>
        <w:t>5hm</w:t>
      </w:r>
      <w:r>
        <w:rPr>
          <w:rFonts w:ascii="Times New Roman" w:hAnsi="Times New Roman" w:cs="Times New Roman"/>
          <w:snapToGrid/>
          <w:color w:val="auto"/>
          <w:sz w:val="24"/>
          <w:szCs w:val="16"/>
          <w:vertAlign w:val="superscript"/>
          <w:lang w:eastAsia="zh-CN"/>
        </w:rPr>
        <w:t>2</w:t>
      </w:r>
      <w:r>
        <w:rPr>
          <w:rFonts w:ascii="Times New Roman" w:hAnsi="Times New Roman"/>
          <w:snapToGrid/>
          <w:color w:val="auto"/>
          <w:sz w:val="24"/>
          <w:szCs w:val="24"/>
          <w:lang w:eastAsia="zh-CN"/>
        </w:rPr>
        <w:t>，占地规模为小型。</w:t>
      </w:r>
    </w:p>
    <w:p w14:paraId="1C89577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土壤环境敏感程度：项目选址周边</w:t>
      </w:r>
      <w:r>
        <w:rPr>
          <w:rFonts w:hint="eastAsia" w:ascii="Times New Roman" w:hAnsi="Times New Roman"/>
          <w:snapToGrid/>
          <w:color w:val="auto"/>
          <w:sz w:val="24"/>
          <w:szCs w:val="24"/>
          <w:lang w:eastAsia="zh-CN"/>
        </w:rPr>
        <w:t>有居民区</w:t>
      </w:r>
      <w:r>
        <w:rPr>
          <w:rFonts w:ascii="Times New Roman" w:hAnsi="Times New Roman"/>
          <w:snapToGrid/>
          <w:color w:val="auto"/>
          <w:sz w:val="24"/>
          <w:szCs w:val="24"/>
          <w:lang w:eastAsia="zh-CN"/>
        </w:rPr>
        <w:t>等敏感目标，根据土壤导则中表</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11</w:t>
      </w:r>
      <w:r>
        <w:rPr>
          <w:rFonts w:ascii="Times New Roman" w:hAnsi="Times New Roman"/>
          <w:snapToGrid/>
          <w:color w:val="auto"/>
          <w:sz w:val="24"/>
          <w:szCs w:val="24"/>
          <w:lang w:eastAsia="zh-CN"/>
        </w:rPr>
        <w:t>），确定本项目厂区土壤环境敏感程度为</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敏感</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w:t>
      </w:r>
    </w:p>
    <w:p w14:paraId="5BECCB4A">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11</w:t>
      </w:r>
      <w:r>
        <w:rPr>
          <w:rFonts w:ascii="Times New Roman" w:hAnsi="Times New Roman"/>
          <w:b/>
          <w:bCs/>
          <w:snapToGrid/>
          <w:color w:val="auto"/>
          <w:sz w:val="24"/>
          <w:lang w:eastAsia="zh-CN"/>
        </w:rPr>
        <w:t>污染影响型敏感程度分级表</w:t>
      </w:r>
    </w:p>
    <w:tbl>
      <w:tblPr>
        <w:tblStyle w:val="3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22"/>
        <w:gridCol w:w="7271"/>
      </w:tblGrid>
      <w:tr w14:paraId="1C21A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69" w:type="pct"/>
            <w:tcBorders>
              <w:tl2br w:val="nil"/>
              <w:tr2bl w:val="nil"/>
            </w:tcBorders>
          </w:tcPr>
          <w:p w14:paraId="263FC10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敏感程度</w:t>
            </w:r>
          </w:p>
        </w:tc>
        <w:tc>
          <w:tcPr>
            <w:tcW w:w="4230" w:type="pct"/>
            <w:tcBorders>
              <w:tl2br w:val="nil"/>
              <w:tr2bl w:val="nil"/>
            </w:tcBorders>
          </w:tcPr>
          <w:p w14:paraId="76DD20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判别依据</w:t>
            </w:r>
          </w:p>
        </w:tc>
      </w:tr>
      <w:tr w14:paraId="4861DE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69" w:type="pct"/>
            <w:tcBorders>
              <w:tl2br w:val="nil"/>
              <w:tr2bl w:val="nil"/>
            </w:tcBorders>
          </w:tcPr>
          <w:p w14:paraId="520B910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w:t>
            </w:r>
          </w:p>
        </w:tc>
        <w:tc>
          <w:tcPr>
            <w:tcW w:w="4230" w:type="pct"/>
            <w:tcBorders>
              <w:tl2br w:val="nil"/>
              <w:tr2bl w:val="nil"/>
            </w:tcBorders>
          </w:tcPr>
          <w:p w14:paraId="20C889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建设项目周边存在耕地、园地、牧草地、饮用水水源地或居民区、学校、医院、疗养院、养老院等土壤环境敏感目标的</w:t>
            </w:r>
          </w:p>
        </w:tc>
      </w:tr>
      <w:tr w14:paraId="3280B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69" w:type="pct"/>
            <w:tcBorders>
              <w:tl2br w:val="nil"/>
              <w:tr2bl w:val="nil"/>
            </w:tcBorders>
          </w:tcPr>
          <w:p w14:paraId="6DA7E4F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较敏感</w:t>
            </w:r>
          </w:p>
        </w:tc>
        <w:tc>
          <w:tcPr>
            <w:tcW w:w="4230" w:type="pct"/>
            <w:tcBorders>
              <w:tl2br w:val="nil"/>
              <w:tr2bl w:val="nil"/>
            </w:tcBorders>
          </w:tcPr>
          <w:p w14:paraId="5D08B7D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建设项目周边存在其他土壤环境敏感目标的</w:t>
            </w:r>
          </w:p>
        </w:tc>
      </w:tr>
      <w:tr w14:paraId="799AD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9" w:type="pct"/>
            <w:tcBorders>
              <w:tl2br w:val="nil"/>
              <w:tr2bl w:val="nil"/>
            </w:tcBorders>
          </w:tcPr>
          <w:p w14:paraId="0F985B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不敏感</w:t>
            </w:r>
          </w:p>
        </w:tc>
        <w:tc>
          <w:tcPr>
            <w:tcW w:w="4230" w:type="pct"/>
            <w:tcBorders>
              <w:tl2br w:val="nil"/>
              <w:tr2bl w:val="nil"/>
            </w:tcBorders>
          </w:tcPr>
          <w:p w14:paraId="6302B3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其他情况</w:t>
            </w:r>
          </w:p>
        </w:tc>
      </w:tr>
    </w:tbl>
    <w:p w14:paraId="43DA251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根据土壤导则中表</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评价工作等级分级表（见表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eastAsia="zh-CN"/>
        </w:rPr>
        <w:t>1</w:t>
      </w:r>
      <w:r>
        <w:rPr>
          <w:rFonts w:hint="eastAsia" w:ascii="Times New Roman" w:hAnsi="Times New Roman" w:cs="Times New Roman"/>
          <w:snapToGrid/>
          <w:color w:val="auto"/>
          <w:sz w:val="24"/>
          <w:szCs w:val="24"/>
          <w:lang w:val="en-US" w:eastAsia="zh-CN"/>
        </w:rPr>
        <w:t>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本项目土壤等级为三级</w:t>
      </w:r>
      <w:r>
        <w:rPr>
          <w:rFonts w:ascii="Times New Roman" w:hAnsi="Times New Roman"/>
          <w:snapToGrid/>
          <w:color w:val="auto"/>
          <w:sz w:val="24"/>
          <w:szCs w:val="24"/>
          <w:lang w:eastAsia="zh-CN"/>
        </w:rPr>
        <w:t>。</w:t>
      </w:r>
    </w:p>
    <w:p w14:paraId="22CD5F16">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bookmarkStart w:id="275" w:name="bookmark63"/>
      <w:bookmarkEnd w:id="275"/>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eastAsia="zh-CN"/>
        </w:rPr>
        <w:t>1</w:t>
      </w:r>
      <w:r>
        <w:rPr>
          <w:rFonts w:hint="eastAsia" w:ascii="Times New Roman" w:hAnsi="Times New Roman" w:cs="Times New Roman"/>
          <w:b/>
          <w:bCs/>
          <w:snapToGrid/>
          <w:color w:val="auto"/>
          <w:sz w:val="24"/>
          <w:lang w:val="en-US" w:eastAsia="zh-CN"/>
        </w:rPr>
        <w:t>2</w:t>
      </w:r>
      <w:r>
        <w:rPr>
          <w:rFonts w:ascii="Times New Roman" w:hAnsi="Times New Roman"/>
          <w:b/>
          <w:bCs/>
          <w:snapToGrid/>
          <w:color w:val="auto"/>
          <w:sz w:val="24"/>
          <w:lang w:eastAsia="zh-CN"/>
        </w:rPr>
        <w:t>污染影响型评价工作等级划分表</w:t>
      </w:r>
    </w:p>
    <w:tbl>
      <w:tblPr>
        <w:tblStyle w:val="36"/>
        <w:tblW w:w="854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58"/>
        <w:gridCol w:w="708"/>
        <w:gridCol w:w="710"/>
        <w:gridCol w:w="710"/>
        <w:gridCol w:w="710"/>
        <w:gridCol w:w="710"/>
        <w:gridCol w:w="710"/>
        <w:gridCol w:w="711"/>
        <w:gridCol w:w="711"/>
        <w:gridCol w:w="710"/>
      </w:tblGrid>
      <w:tr w14:paraId="410891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158" w:type="dxa"/>
            <w:vMerge w:val="restart"/>
            <w:tcBorders>
              <w:tl2br w:val="nil"/>
              <w:tr2bl w:val="nil"/>
            </w:tcBorders>
          </w:tcPr>
          <w:p w14:paraId="3BC59B4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snapToGrid/>
                <w:color w:val="auto"/>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17780</wp:posOffset>
                      </wp:positionV>
                      <wp:extent cx="1362710" cy="485140"/>
                      <wp:effectExtent l="635" t="5715" r="8255" b="4445"/>
                      <wp:wrapNone/>
                      <wp:docPr id="5" name="AutoShape 4"/>
                      <wp:cNvGraphicFramePr/>
                      <a:graphic xmlns:a="http://schemas.openxmlformats.org/drawingml/2006/main">
                        <a:graphicData uri="http://schemas.microsoft.com/office/word/2010/wordprocessingShape">
                          <wps:wsp>
                            <wps:cNvSpPr>
                              <a:spLocks noChangeArrowheads="1"/>
                            </wps:cNvSpPr>
                            <wps:spPr bwMode="auto">
                              <a:xfrm>
                                <a:off x="0" y="0"/>
                                <a:ext cx="1362710" cy="485140"/>
                              </a:xfrm>
                              <a:custGeom>
                                <a:avLst/>
                                <a:gdLst>
                                  <a:gd name="T0" fmla="*/ 2138 w 2146"/>
                                  <a:gd name="T1" fmla="*/ 717 h 764"/>
                                  <a:gd name="T2" fmla="*/ 40 w 2146"/>
                                  <a:gd name="T3" fmla="*/ 7 h 764"/>
                                  <a:gd name="T4" fmla="*/ 7 w 2146"/>
                                  <a:gd name="T5" fmla="*/ 515 h 764"/>
                                  <a:gd name="T6" fmla="*/ 2135 w 2146"/>
                                  <a:gd name="T7" fmla="*/ 755 h 764"/>
                                </a:gdLst>
                                <a:ahLst/>
                                <a:cxnLst>
                                  <a:cxn ang="0">
                                    <a:pos x="T0" y="T1"/>
                                  </a:cxn>
                                  <a:cxn ang="0">
                                    <a:pos x="T2" y="T3"/>
                                  </a:cxn>
                                  <a:cxn ang="0">
                                    <a:pos x="T4" y="T5"/>
                                  </a:cxn>
                                  <a:cxn ang="0">
                                    <a:pos x="T6" y="T7"/>
                                  </a:cxn>
                                </a:cxnLst>
                                <a:rect l="0" t="0" r="r" b="b"/>
                                <a:pathLst>
                                  <a:path w="2146" h="764">
                                    <a:moveTo>
                                      <a:pt x="2138" y="717"/>
                                    </a:moveTo>
                                    <a:lnTo>
                                      <a:pt x="40" y="7"/>
                                    </a:lnTo>
                                    <a:moveTo>
                                      <a:pt x="7" y="515"/>
                                    </a:moveTo>
                                    <a:lnTo>
                                      <a:pt x="2135" y="75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w:pict>
                    <v:shape id="AutoShape 4" o:spid="_x0000_s1026" o:spt="100" style="position:absolute;left:0pt;margin-left:0pt;margin-top:1.4pt;height:38.2pt;width:107.3pt;z-index:251707392;mso-width-relative:page;mso-height-relative:page;" filled="f" stroked="t" coordsize="2146,764" o:gfxdata="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1&#10;bSWG1QAAAAUBAAAPAAAAAAAAAAEAIAAAACIAAABkcnMvZG93bnJldi54bWxQSwECFAAUAAAACACH&#10;TuJAX4i1dAsDAABIBwAADgAAAAAAAAABACAAAAAkAQAAZHJzL2Uyb0RvYy54bWxQSwUGAAAAAAYA&#10;BgBZAQAAoQYAAAAA&#10;" path="m2138,717l40,7m7,515l2135,755e">
                      <v:path o:connectlocs="1357630,455295;25400,4445;4445,327025;1355725,479425" o:connectangles="0,0,0,0"/>
                      <v:fill on="f" focussize="0,0"/>
                      <v:stroke weight="0.72pt" color="#000000" joinstyle="round" endcap="round"/>
                      <v:imagedata o:title=""/>
                      <o:lock v:ext="edit" aspectratio="f"/>
                    </v:shape>
                  </w:pict>
                </mc:Fallback>
              </mc:AlternateContent>
            </w:r>
            <w:r>
              <w:rPr>
                <w:rFonts w:ascii="Times New Roman" w:hAnsi="Times New Roman" w:eastAsia="宋体"/>
                <w:snapToGrid/>
                <w:color w:val="auto"/>
              </w:rPr>
              <mc:AlternateContent>
                <mc:Choice Requires="wps">
                  <w:drawing>
                    <wp:anchor distT="0" distB="0" distL="114300" distR="114300" simplePos="0" relativeHeight="251706368" behindDoc="0" locked="0" layoutInCell="1" allowOverlap="1">
                      <wp:simplePos x="0" y="0"/>
                      <wp:positionH relativeFrom="page">
                        <wp:posOffset>79375</wp:posOffset>
                      </wp:positionH>
                      <wp:positionV relativeFrom="page">
                        <wp:posOffset>459740</wp:posOffset>
                      </wp:positionV>
                      <wp:extent cx="554990" cy="185420"/>
                      <wp:effectExtent l="3810" t="0" r="3175" b="0"/>
                      <wp:wrapNone/>
                      <wp:docPr id="4" name="Text Box 5"/>
                      <wp:cNvGraphicFramePr/>
                      <a:graphic xmlns:a="http://schemas.openxmlformats.org/drawingml/2006/main">
                        <a:graphicData uri="http://schemas.microsoft.com/office/word/2010/wordprocessingShape">
                          <wps:wsp>
                            <wps:cNvSpPr txBox="1">
                              <a:spLocks noChangeArrowheads="1"/>
                            </wps:cNvSpPr>
                            <wps:spPr bwMode="auto">
                              <a:xfrm>
                                <a:off x="0" y="0"/>
                                <a:ext cx="554990" cy="185420"/>
                              </a:xfrm>
                              <a:prstGeom prst="rect">
                                <a:avLst/>
                              </a:prstGeom>
                              <a:noFill/>
                              <a:ln>
                                <a:noFill/>
                              </a:ln>
                            </wps:spPr>
                            <wps:txbx>
                              <w:txbxContent>
                                <w:p w14:paraId="46124FAB">
                                  <w:pPr>
                                    <w:spacing w:before="20" w:line="221" w:lineRule="auto"/>
                                    <w:ind w:left="20"/>
                                    <w:rPr>
                                      <w:rFonts w:ascii="宋体" w:hAnsi="宋体" w:eastAsia="宋体" w:cs="宋体"/>
                                    </w:rPr>
                                  </w:pPr>
                                  <w:r>
                                    <w:rPr>
                                      <w:rFonts w:ascii="宋体" w:hAnsi="宋体" w:eastAsia="宋体" w:cs="宋体"/>
                                      <w:spacing w:val="-2"/>
                                    </w:rPr>
                                    <w:t>敏感程度</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6.25pt;margin-top:36.2pt;height:14.6pt;width:43.7pt;mso-position-horizontal-relative:page;mso-position-vertical-relative:page;z-index:251706368;mso-width-relative:page;mso-height-relative:page;" filled="f" stroked="f" coordsize="21600,21600" o:gfxdata="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zhVhtYAAAAIAQAADwAAAAAAAAABACAAAAAiAAAAZHJzL2Rvd25yZXYu&#10;eG1sUEsBAhQAFAAAAAgAh07iQGrD4fn9AQAAAwQAAA4AAAAAAAAAAQAgAAAAJQEAAGRycy9lMm9E&#10;b2MueG1sUEsFBgAAAAAGAAYAWQEAAJQFAAAAAA==&#10;">
                      <v:fill on="f" focussize="0,0"/>
                      <v:stroke on="f"/>
                      <v:imagedata o:title=""/>
                      <o:lock v:ext="edit" aspectratio="f"/>
                      <v:textbox inset="0mm,0mm,0mm,0mm">
                        <w:txbxContent>
                          <w:p w14:paraId="46124FAB">
                            <w:pPr>
                              <w:spacing w:before="20" w:line="221" w:lineRule="auto"/>
                              <w:ind w:left="20"/>
                              <w:rPr>
                                <w:rFonts w:ascii="宋体" w:hAnsi="宋体" w:eastAsia="宋体" w:cs="宋体"/>
                              </w:rPr>
                            </w:pPr>
                            <w:r>
                              <w:rPr>
                                <w:rFonts w:ascii="宋体" w:hAnsi="宋体" w:eastAsia="宋体" w:cs="宋体"/>
                                <w:spacing w:val="-2"/>
                              </w:rPr>
                              <w:t>敏感程度</w:t>
                            </w:r>
                          </w:p>
                        </w:txbxContent>
                      </v:textbox>
                    </v:shape>
                  </w:pict>
                </mc:Fallback>
              </mc:AlternateContent>
            </w:r>
            <w:r>
              <w:rPr>
                <w:rFonts w:ascii="Times New Roman" w:hAnsi="Times New Roman" w:eastAsia="宋体" w:cs="宋体"/>
                <w:snapToGrid/>
                <w:color w:val="auto"/>
                <w:lang w:eastAsia="zh-CN"/>
              </w:rPr>
              <w:t>占地规模评价工作等级</w:t>
            </w:r>
          </w:p>
        </w:tc>
        <w:tc>
          <w:tcPr>
            <w:tcW w:w="2128" w:type="dxa"/>
            <w:gridSpan w:val="3"/>
            <w:tcBorders>
              <w:tl2br w:val="nil"/>
              <w:tr2bl w:val="nil"/>
            </w:tcBorders>
          </w:tcPr>
          <w:p w14:paraId="26E27C7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I</w:t>
            </w:r>
            <w:r>
              <w:rPr>
                <w:rFonts w:eastAsia="宋体" w:cs="宋体"/>
                <w:snapToGrid/>
                <w:color w:val="auto"/>
              </w:rPr>
              <w:t>类</w:t>
            </w:r>
          </w:p>
        </w:tc>
        <w:tc>
          <w:tcPr>
            <w:tcW w:w="2130" w:type="dxa"/>
            <w:gridSpan w:val="3"/>
            <w:tcBorders>
              <w:tl2br w:val="nil"/>
              <w:tr2bl w:val="nil"/>
            </w:tcBorders>
          </w:tcPr>
          <w:p w14:paraId="59CD7EE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Ⅱ类</w:t>
            </w:r>
          </w:p>
        </w:tc>
        <w:tc>
          <w:tcPr>
            <w:tcW w:w="2132" w:type="dxa"/>
            <w:gridSpan w:val="3"/>
            <w:tcBorders>
              <w:tl2br w:val="nil"/>
              <w:tr2bl w:val="nil"/>
            </w:tcBorders>
          </w:tcPr>
          <w:p w14:paraId="3B8A3B0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Ⅲ</w:t>
            </w:r>
            <w:r>
              <w:rPr>
                <w:rFonts w:eastAsia="宋体" w:cs="宋体"/>
                <w:snapToGrid/>
                <w:color w:val="auto"/>
              </w:rPr>
              <w:t>类</w:t>
            </w:r>
          </w:p>
        </w:tc>
      </w:tr>
      <w:tr w14:paraId="550A4A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2158" w:type="dxa"/>
            <w:vMerge w:val="continue"/>
            <w:tcBorders>
              <w:tl2br w:val="nil"/>
              <w:tr2bl w:val="nil"/>
            </w:tcBorders>
          </w:tcPr>
          <w:p w14:paraId="00CE602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8" w:type="dxa"/>
            <w:tcBorders>
              <w:tl2br w:val="nil"/>
              <w:tr2bl w:val="nil"/>
            </w:tcBorders>
          </w:tcPr>
          <w:p w14:paraId="084AB9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大</w:t>
            </w:r>
          </w:p>
        </w:tc>
        <w:tc>
          <w:tcPr>
            <w:tcW w:w="710" w:type="dxa"/>
            <w:tcBorders>
              <w:tl2br w:val="nil"/>
              <w:tr2bl w:val="nil"/>
            </w:tcBorders>
          </w:tcPr>
          <w:p w14:paraId="35AB7EC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中</w:t>
            </w:r>
          </w:p>
        </w:tc>
        <w:tc>
          <w:tcPr>
            <w:tcW w:w="710" w:type="dxa"/>
            <w:tcBorders>
              <w:tl2br w:val="nil"/>
              <w:tr2bl w:val="nil"/>
            </w:tcBorders>
          </w:tcPr>
          <w:p w14:paraId="0F2C3C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小</w:t>
            </w:r>
          </w:p>
        </w:tc>
        <w:tc>
          <w:tcPr>
            <w:tcW w:w="710" w:type="dxa"/>
            <w:tcBorders>
              <w:tl2br w:val="nil"/>
              <w:tr2bl w:val="nil"/>
            </w:tcBorders>
          </w:tcPr>
          <w:p w14:paraId="2F18E6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大</w:t>
            </w:r>
          </w:p>
        </w:tc>
        <w:tc>
          <w:tcPr>
            <w:tcW w:w="710" w:type="dxa"/>
            <w:tcBorders>
              <w:tl2br w:val="nil"/>
              <w:tr2bl w:val="nil"/>
            </w:tcBorders>
          </w:tcPr>
          <w:p w14:paraId="6958D9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中</w:t>
            </w:r>
          </w:p>
        </w:tc>
        <w:tc>
          <w:tcPr>
            <w:tcW w:w="710" w:type="dxa"/>
            <w:tcBorders>
              <w:tl2br w:val="nil"/>
              <w:tr2bl w:val="nil"/>
            </w:tcBorders>
          </w:tcPr>
          <w:p w14:paraId="1097DCE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小</w:t>
            </w:r>
          </w:p>
        </w:tc>
        <w:tc>
          <w:tcPr>
            <w:tcW w:w="711" w:type="dxa"/>
            <w:tcBorders>
              <w:tl2br w:val="nil"/>
              <w:tr2bl w:val="nil"/>
            </w:tcBorders>
          </w:tcPr>
          <w:p w14:paraId="2D01E6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大</w:t>
            </w:r>
          </w:p>
        </w:tc>
        <w:tc>
          <w:tcPr>
            <w:tcW w:w="711" w:type="dxa"/>
            <w:tcBorders>
              <w:tl2br w:val="nil"/>
              <w:tr2bl w:val="nil"/>
            </w:tcBorders>
          </w:tcPr>
          <w:p w14:paraId="3CEDF3A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中</w:t>
            </w:r>
          </w:p>
        </w:tc>
        <w:tc>
          <w:tcPr>
            <w:tcW w:w="710" w:type="dxa"/>
            <w:tcBorders>
              <w:tl2br w:val="nil"/>
              <w:tr2bl w:val="nil"/>
            </w:tcBorders>
          </w:tcPr>
          <w:p w14:paraId="0FA8AD3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小</w:t>
            </w:r>
          </w:p>
        </w:tc>
      </w:tr>
      <w:tr w14:paraId="360865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158" w:type="dxa"/>
            <w:tcBorders>
              <w:tl2br w:val="nil"/>
              <w:tr2bl w:val="nil"/>
            </w:tcBorders>
          </w:tcPr>
          <w:p w14:paraId="06EA7E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w:t>
            </w:r>
          </w:p>
        </w:tc>
        <w:tc>
          <w:tcPr>
            <w:tcW w:w="708" w:type="dxa"/>
            <w:tcBorders>
              <w:tl2br w:val="nil"/>
              <w:tr2bl w:val="nil"/>
            </w:tcBorders>
          </w:tcPr>
          <w:p w14:paraId="6CFF46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1835E3A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666A791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1DB567B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535990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2E07A7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1" w:type="dxa"/>
            <w:tcBorders>
              <w:tl2br w:val="nil"/>
              <w:tr2bl w:val="nil"/>
            </w:tcBorders>
          </w:tcPr>
          <w:p w14:paraId="76AB1EA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1" w:type="dxa"/>
            <w:tcBorders>
              <w:tl2br w:val="nil"/>
              <w:tr2bl w:val="nil"/>
            </w:tcBorders>
          </w:tcPr>
          <w:p w14:paraId="1DC3BE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0" w:type="dxa"/>
            <w:tcBorders>
              <w:tl2br w:val="nil"/>
              <w:tr2bl w:val="nil"/>
            </w:tcBorders>
          </w:tcPr>
          <w:p w14:paraId="795E69A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三级</w:t>
            </w:r>
          </w:p>
        </w:tc>
      </w:tr>
      <w:tr w14:paraId="09BB6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158" w:type="dxa"/>
            <w:tcBorders>
              <w:tl2br w:val="nil"/>
              <w:tr2bl w:val="nil"/>
            </w:tcBorders>
          </w:tcPr>
          <w:p w14:paraId="7B1919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较敏感</w:t>
            </w:r>
          </w:p>
        </w:tc>
        <w:tc>
          <w:tcPr>
            <w:tcW w:w="708" w:type="dxa"/>
            <w:tcBorders>
              <w:tl2br w:val="nil"/>
              <w:tr2bl w:val="nil"/>
            </w:tcBorders>
          </w:tcPr>
          <w:p w14:paraId="0CE6FC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14692D9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22071F7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064E429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035D5D1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2FC92B1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1" w:type="dxa"/>
            <w:tcBorders>
              <w:tl2br w:val="nil"/>
              <w:tr2bl w:val="nil"/>
            </w:tcBorders>
          </w:tcPr>
          <w:p w14:paraId="53864B1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1" w:type="dxa"/>
            <w:tcBorders>
              <w:tl2br w:val="nil"/>
              <w:tr2bl w:val="nil"/>
            </w:tcBorders>
          </w:tcPr>
          <w:p w14:paraId="61FAE3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0" w:type="dxa"/>
            <w:tcBorders>
              <w:tl2br w:val="nil"/>
              <w:tr2bl w:val="nil"/>
            </w:tcBorders>
            <w:shd w:val="clear" w:color="auto" w:fill="auto"/>
          </w:tcPr>
          <w:p w14:paraId="70EB30C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b/>
                <w:bCs/>
                <w:snapToGrid/>
                <w:color w:val="auto"/>
              </w:rPr>
              <w:t>-</w:t>
            </w:r>
          </w:p>
        </w:tc>
      </w:tr>
      <w:tr w14:paraId="5CAB2C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2158" w:type="dxa"/>
            <w:tcBorders>
              <w:tl2br w:val="nil"/>
              <w:tr2bl w:val="nil"/>
            </w:tcBorders>
          </w:tcPr>
          <w:p w14:paraId="74B59D0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不敏感</w:t>
            </w:r>
          </w:p>
        </w:tc>
        <w:tc>
          <w:tcPr>
            <w:tcW w:w="708" w:type="dxa"/>
            <w:tcBorders>
              <w:tl2br w:val="nil"/>
              <w:tr2bl w:val="nil"/>
            </w:tcBorders>
          </w:tcPr>
          <w:p w14:paraId="7656C71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一级</w:t>
            </w:r>
          </w:p>
        </w:tc>
        <w:tc>
          <w:tcPr>
            <w:tcW w:w="710" w:type="dxa"/>
            <w:tcBorders>
              <w:tl2br w:val="nil"/>
              <w:tr2bl w:val="nil"/>
            </w:tcBorders>
          </w:tcPr>
          <w:p w14:paraId="7A21001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5F0D75D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226F240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二级</w:t>
            </w:r>
          </w:p>
        </w:tc>
        <w:tc>
          <w:tcPr>
            <w:tcW w:w="710" w:type="dxa"/>
            <w:tcBorders>
              <w:tl2br w:val="nil"/>
              <w:tr2bl w:val="nil"/>
            </w:tcBorders>
          </w:tcPr>
          <w:p w14:paraId="1CC525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0" w:type="dxa"/>
            <w:tcBorders>
              <w:tl2br w:val="nil"/>
              <w:tr2bl w:val="nil"/>
            </w:tcBorders>
          </w:tcPr>
          <w:p w14:paraId="523163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1" w:type="dxa"/>
            <w:tcBorders>
              <w:tl2br w:val="nil"/>
              <w:tr2bl w:val="nil"/>
            </w:tcBorders>
          </w:tcPr>
          <w:p w14:paraId="4BB7B2E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c>
          <w:tcPr>
            <w:tcW w:w="711" w:type="dxa"/>
            <w:tcBorders>
              <w:tl2br w:val="nil"/>
              <w:tr2bl w:val="nil"/>
            </w:tcBorders>
          </w:tcPr>
          <w:p w14:paraId="61565EA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710" w:type="dxa"/>
            <w:tcBorders>
              <w:tl2br w:val="nil"/>
              <w:tr2bl w:val="nil"/>
            </w:tcBorders>
            <w:shd w:val="clear" w:color="auto" w:fill="auto"/>
          </w:tcPr>
          <w:p w14:paraId="4979B1E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2DE6A463">
      <w:pPr>
        <w:pStyle w:val="2"/>
        <w:widowControl w:val="0"/>
        <w:shd w:val="clear"/>
        <w:kinsoku/>
        <w:autoSpaceDE/>
        <w:autoSpaceDN/>
        <w:adjustRightInd/>
        <w:snapToGrid/>
        <w:spacing w:before="44" w:line="277" w:lineRule="exact"/>
        <w:ind w:left="142"/>
        <w:textAlignment w:val="auto"/>
        <w:rPr>
          <w:color w:val="auto"/>
        </w:rPr>
      </w:pPr>
      <w:r>
        <w:rPr>
          <w:rFonts w:ascii="Times New Roman" w:hAnsi="Times New Roman"/>
          <w:snapToGrid/>
          <w:color w:val="auto"/>
          <w:lang w:eastAsia="zh-CN"/>
        </w:rPr>
        <w:t>注</w:t>
      </w:r>
      <w:r>
        <w:rPr>
          <w:rFonts w:hint="eastAsia" w:ascii="Times New Roman" w:hAnsi="Times New Roman"/>
          <w:snapToGrid/>
          <w:color w:val="auto"/>
          <w:lang w:eastAsia="zh-CN"/>
        </w:rPr>
        <w:t>：</w:t>
      </w:r>
      <w:r>
        <w:rPr>
          <w:rFonts w:ascii="Times New Roman" w:hAnsi="Times New Roman" w:cs="Times New Roman"/>
          <w:snapToGrid/>
          <w:color w:val="auto"/>
          <w:lang w:eastAsia="zh-CN"/>
        </w:rPr>
        <w:t>“</w:t>
      </w:r>
      <w:r>
        <w:rPr>
          <w:rFonts w:hint="eastAsia" w:ascii="Times New Roman" w:hAnsi="Times New Roman" w:cs="Times New Roman"/>
          <w:snapToGrid/>
          <w:color w:val="auto"/>
          <w:lang w:eastAsia="zh-CN"/>
        </w:rPr>
        <w:t>－</w:t>
      </w:r>
      <w:r>
        <w:rPr>
          <w:rFonts w:ascii="Times New Roman" w:hAnsi="Times New Roman" w:cs="Times New Roman"/>
          <w:snapToGrid/>
          <w:color w:val="auto"/>
          <w:lang w:eastAsia="zh-CN"/>
        </w:rPr>
        <w:t>”</w:t>
      </w:r>
      <w:r>
        <w:rPr>
          <w:rFonts w:ascii="Times New Roman" w:hAnsi="Times New Roman"/>
          <w:snapToGrid/>
          <w:color w:val="auto"/>
          <w:lang w:eastAsia="zh-CN"/>
        </w:rPr>
        <w:t>表示可不开展土壤环境影响评价工作。</w:t>
      </w:r>
    </w:p>
    <w:p w14:paraId="38435B3B">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eastAsia="宋体" w:cs="宋体"/>
          <w:snapToGrid/>
          <w:color w:val="auto"/>
          <w:sz w:val="24"/>
          <w:szCs w:val="24"/>
          <w:lang w:val="en-US" w:eastAsia="zh-CN"/>
        </w:rPr>
      </w:pPr>
      <w:r>
        <w:rPr>
          <w:rFonts w:hint="eastAsia" w:ascii="Times New Roman" w:hAnsi="Times New Roman" w:eastAsia="宋体" w:cs="宋体"/>
          <w:snapToGrid/>
          <w:color w:val="auto"/>
          <w:sz w:val="24"/>
          <w:szCs w:val="24"/>
          <w:lang w:eastAsia="zh-CN"/>
        </w:rPr>
        <w:t>（</w:t>
      </w:r>
      <w:r>
        <w:rPr>
          <w:rFonts w:hint="eastAsia" w:ascii="Times New Roman" w:hAnsi="Times New Roman" w:eastAsia="宋体" w:cs="宋体"/>
          <w:snapToGrid/>
          <w:color w:val="auto"/>
          <w:sz w:val="24"/>
          <w:szCs w:val="24"/>
          <w:lang w:val="en-US" w:eastAsia="zh-CN"/>
        </w:rPr>
        <w:t>2）评价范围</w:t>
      </w:r>
    </w:p>
    <w:p w14:paraId="01EAAB15">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cs="宋体"/>
          <w:snapToGrid/>
          <w:color w:val="auto"/>
          <w:sz w:val="24"/>
          <w:szCs w:val="24"/>
          <w:lang w:val="en-US" w:eastAsia="zh-CN"/>
        </w:rPr>
      </w:pPr>
      <w:r>
        <w:rPr>
          <w:rFonts w:hint="eastAsia" w:ascii="Times New Roman" w:hAnsi="Times New Roman" w:eastAsia="宋体" w:cs="宋体"/>
          <w:snapToGrid/>
          <w:color w:val="auto"/>
          <w:sz w:val="24"/>
          <w:szCs w:val="24"/>
          <w:lang w:val="en-US" w:eastAsia="zh-CN"/>
        </w:rPr>
        <w:t>本项目土壤环境影响评价工作等级为三级，根据《环境影响评价技术导则  土壤环境（试行）》（HJ964-2018），</w:t>
      </w:r>
      <w:r>
        <w:rPr>
          <w:rFonts w:hint="default" w:ascii="Times New Roman" w:hAnsi="Times New Roman" w:eastAsia="宋体" w:cs="宋体"/>
          <w:snapToGrid/>
          <w:color w:val="auto"/>
          <w:sz w:val="24"/>
          <w:szCs w:val="24"/>
          <w:lang w:eastAsia="zh-CN"/>
        </w:rPr>
        <w:t>项目土壤环境影响现状调查评价范围为本项目占地范围内及厂界外50m范围内的区域</w:t>
      </w:r>
      <w:r>
        <w:rPr>
          <w:rFonts w:hint="eastAsia" w:ascii="Times New Roman" w:hAnsi="Times New Roman" w:eastAsia="宋体" w:cs="宋体"/>
          <w:snapToGrid/>
          <w:color w:val="auto"/>
          <w:sz w:val="24"/>
          <w:szCs w:val="24"/>
          <w:lang w:val="en-US" w:eastAsia="zh-CN"/>
        </w:rPr>
        <w:t>。</w:t>
      </w:r>
    </w:p>
    <w:p w14:paraId="4D21CA4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rPr>
        <w:t>2.5.5生态环境</w:t>
      </w:r>
    </w:p>
    <w:p w14:paraId="2748B907">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1）评价等级</w:t>
      </w:r>
    </w:p>
    <w:p w14:paraId="04E7926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本项目所在区域位于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，项目周边无成片原生植被，无珍稀物种，无自然保护区和风景名胜区等环境敏感点，工程影响范围小于</w:t>
      </w:r>
      <w:r>
        <w:rPr>
          <w:rFonts w:ascii="Times New Roman" w:hAnsi="Times New Roman" w:cs="Times New Roman"/>
          <w:snapToGrid/>
          <w:color w:val="auto"/>
          <w:sz w:val="24"/>
          <w:szCs w:val="24"/>
          <w:lang w:eastAsia="zh-CN"/>
        </w:rPr>
        <w:t>2km</w:t>
      </w:r>
      <w:r>
        <w:rPr>
          <w:rFonts w:hint="eastAsia" w:ascii="Times New Roman" w:hAnsi="Times New Roman" w:cs="Times New Roman"/>
          <w:snapToGrid/>
          <w:color w:val="auto"/>
          <w:sz w:val="24"/>
          <w:szCs w:val="24"/>
          <w:vertAlign w:val="superscript"/>
          <w:lang w:eastAsia="zh-CN"/>
        </w:rPr>
        <w:t>2</w:t>
      </w:r>
      <w:r>
        <w:rPr>
          <w:rFonts w:ascii="Times New Roman" w:hAnsi="Times New Roman"/>
          <w:snapToGrid/>
          <w:color w:val="auto"/>
          <w:sz w:val="24"/>
          <w:szCs w:val="24"/>
          <w:lang w:eastAsia="zh-CN"/>
        </w:rPr>
        <w:t>，根据《环境影响评价技术导则</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生态影响》（</w:t>
      </w:r>
      <w:r>
        <w:rPr>
          <w:rFonts w:ascii="Times New Roman" w:hAnsi="Times New Roman" w:cs="Times New Roman"/>
          <w:snapToGrid/>
          <w:color w:val="auto"/>
          <w:sz w:val="24"/>
          <w:szCs w:val="24"/>
          <w:lang w:eastAsia="zh-CN"/>
        </w:rPr>
        <w:t>HJ/T19-2022</w:t>
      </w:r>
      <w:r>
        <w:rPr>
          <w:rFonts w:ascii="Times New Roman" w:hAnsi="Times New Roman"/>
          <w:snapToGrid/>
          <w:color w:val="auto"/>
          <w:sz w:val="24"/>
          <w:szCs w:val="24"/>
          <w:lang w:eastAsia="zh-CN"/>
        </w:rPr>
        <w:t>）中相关规定</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确定本项目</w:t>
      </w:r>
      <w:r>
        <w:rPr>
          <w:rFonts w:hint="eastAsia" w:ascii="Times New Roman" w:hAnsi="Times New Roman"/>
          <w:snapToGrid/>
          <w:color w:val="auto"/>
          <w:sz w:val="24"/>
          <w:szCs w:val="24"/>
          <w:lang w:val="en-US" w:eastAsia="zh-CN"/>
        </w:rPr>
        <w:t>评价等级为三级</w:t>
      </w:r>
      <w:r>
        <w:rPr>
          <w:rFonts w:ascii="Times New Roman" w:hAnsi="Times New Roman"/>
          <w:snapToGrid/>
          <w:color w:val="auto"/>
          <w:sz w:val="24"/>
          <w:szCs w:val="24"/>
          <w:lang w:eastAsia="zh-CN"/>
        </w:rPr>
        <w:t>。</w:t>
      </w:r>
    </w:p>
    <w:p w14:paraId="446CC616">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2）评价范围</w:t>
      </w:r>
    </w:p>
    <w:p w14:paraId="5D268B2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本项目生态环境影响评价工作等级为三级，根据《环境影响评价技术导则·生态影响》（HJ/T19-2022），项目生态环境影响评价范围为项目占地范围并外延200m内。</w:t>
      </w:r>
    </w:p>
    <w:p w14:paraId="12FD22FA">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276" w:name="_Toc1809"/>
      <w:bookmarkStart w:id="277" w:name="_Toc32623"/>
      <w:bookmarkStart w:id="278" w:name="_Toc10159"/>
      <w:r>
        <w:rPr>
          <w:rFonts w:hint="eastAsia" w:ascii="Times New Roman" w:hAnsi="Times New Roman" w:eastAsia="宋体" w:cs="Times New Roman"/>
          <w:snapToGrid/>
          <w:color w:val="auto"/>
          <w:lang w:eastAsia="zh-CN"/>
        </w:rPr>
        <w:t>2.5.6风险评价</w:t>
      </w:r>
      <w:bookmarkEnd w:id="276"/>
      <w:bookmarkEnd w:id="277"/>
      <w:bookmarkEnd w:id="278"/>
    </w:p>
    <w:p w14:paraId="27E258F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根据《建设项目环境风险评价技术导则》（</w:t>
      </w:r>
      <w:r>
        <w:rPr>
          <w:rFonts w:ascii="Times New Roman" w:hAnsi="Times New Roman" w:cs="Times New Roman"/>
          <w:snapToGrid/>
          <w:color w:val="auto"/>
          <w:sz w:val="24"/>
          <w:szCs w:val="24"/>
          <w:lang w:eastAsia="zh-CN"/>
        </w:rPr>
        <w:t>HJ169-2018</w:t>
      </w:r>
      <w:r>
        <w:rPr>
          <w:rFonts w:ascii="Times New Roman" w:hAnsi="Times New Roman"/>
          <w:snapToGrid/>
          <w:color w:val="auto"/>
          <w:sz w:val="24"/>
          <w:szCs w:val="24"/>
          <w:lang w:eastAsia="zh-CN"/>
        </w:rPr>
        <w:t>）评价等级划分原则。将环境风险评价工作划分为一级、二级和三级。根据建设项目涉及的物质及工艺系统危险性和所在地的环境敏感性确定环境风险潜势确定评价等级，评价工作等级划分见表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13</w:t>
      </w:r>
      <w:r>
        <w:rPr>
          <w:rFonts w:ascii="Times New Roman" w:hAnsi="Times New Roman"/>
          <w:snapToGrid/>
          <w:color w:val="auto"/>
          <w:sz w:val="24"/>
          <w:szCs w:val="24"/>
          <w:lang w:eastAsia="zh-CN"/>
        </w:rPr>
        <w:t>。</w:t>
      </w:r>
    </w:p>
    <w:p w14:paraId="4F99FADA">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2.5-</w:t>
      </w:r>
      <w:r>
        <w:rPr>
          <w:rFonts w:hint="eastAsia" w:ascii="Times New Roman" w:hAnsi="Times New Roman" w:cs="Times New Roman"/>
          <w:b/>
          <w:bCs/>
          <w:snapToGrid/>
          <w:color w:val="auto"/>
          <w:sz w:val="24"/>
          <w:lang w:val="en-US" w:eastAsia="zh-CN"/>
        </w:rPr>
        <w:t>13</w:t>
      </w:r>
      <w:r>
        <w:rPr>
          <w:rFonts w:ascii="Times New Roman" w:hAnsi="Times New Roman"/>
          <w:b/>
          <w:bCs/>
          <w:snapToGrid/>
          <w:color w:val="auto"/>
          <w:sz w:val="24"/>
          <w:lang w:eastAsia="zh-CN"/>
        </w:rPr>
        <w:t>风险评价工作级别划分</w:t>
      </w:r>
    </w:p>
    <w:tbl>
      <w:tblPr>
        <w:tblStyle w:val="36"/>
        <w:tblW w:w="8445" w:type="dxa"/>
        <w:tblInd w:w="12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558"/>
        <w:gridCol w:w="1735"/>
        <w:gridCol w:w="1927"/>
        <w:gridCol w:w="1665"/>
      </w:tblGrid>
      <w:tr w14:paraId="06102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60" w:type="dxa"/>
            <w:tcBorders>
              <w:tl2br w:val="nil"/>
              <w:tr2bl w:val="nil"/>
            </w:tcBorders>
          </w:tcPr>
          <w:p w14:paraId="7D9743C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环境风险潜势</w:t>
            </w:r>
          </w:p>
        </w:tc>
        <w:tc>
          <w:tcPr>
            <w:tcW w:w="1558" w:type="dxa"/>
            <w:tcBorders>
              <w:tl2br w:val="nil"/>
              <w:tr2bl w:val="nil"/>
            </w:tcBorders>
          </w:tcPr>
          <w:p w14:paraId="3E7E722A">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cs="宋体"/>
                <w:snapToGrid/>
                <w:color w:val="auto"/>
              </w:rPr>
              <w:t>Ⅳ、Ⅳ</w:t>
            </w:r>
            <w:r>
              <w:rPr>
                <w:rFonts w:eastAsia="宋体"/>
                <w:snapToGrid/>
                <w:color w:val="auto"/>
                <w:szCs w:val="13"/>
              </w:rPr>
              <w:t>+</w:t>
            </w:r>
          </w:p>
        </w:tc>
        <w:tc>
          <w:tcPr>
            <w:tcW w:w="1735" w:type="dxa"/>
            <w:tcBorders>
              <w:tl2br w:val="nil"/>
              <w:tr2bl w:val="nil"/>
            </w:tcBorders>
          </w:tcPr>
          <w:p w14:paraId="04DC03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Ⅲ</w:t>
            </w:r>
          </w:p>
        </w:tc>
        <w:tc>
          <w:tcPr>
            <w:tcW w:w="1927" w:type="dxa"/>
            <w:tcBorders>
              <w:tl2br w:val="nil"/>
              <w:tr2bl w:val="nil"/>
            </w:tcBorders>
          </w:tcPr>
          <w:p w14:paraId="4006CC6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Ⅱ</w:t>
            </w:r>
          </w:p>
        </w:tc>
        <w:tc>
          <w:tcPr>
            <w:tcW w:w="1665" w:type="dxa"/>
            <w:tcBorders>
              <w:tl2br w:val="nil"/>
              <w:tr2bl w:val="nil"/>
            </w:tcBorders>
          </w:tcPr>
          <w:p w14:paraId="05CD258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Ⅰ</w:t>
            </w:r>
          </w:p>
        </w:tc>
      </w:tr>
      <w:tr w14:paraId="34D11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560" w:type="dxa"/>
            <w:tcBorders>
              <w:tl2br w:val="nil"/>
              <w:tr2bl w:val="nil"/>
            </w:tcBorders>
          </w:tcPr>
          <w:p w14:paraId="181E8E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评价工作等级</w:t>
            </w:r>
          </w:p>
        </w:tc>
        <w:tc>
          <w:tcPr>
            <w:tcW w:w="1558" w:type="dxa"/>
            <w:tcBorders>
              <w:tl2br w:val="nil"/>
              <w:tr2bl w:val="nil"/>
            </w:tcBorders>
          </w:tcPr>
          <w:p w14:paraId="52BC31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w:t>
            </w:r>
          </w:p>
        </w:tc>
        <w:tc>
          <w:tcPr>
            <w:tcW w:w="1735" w:type="dxa"/>
            <w:tcBorders>
              <w:tl2br w:val="nil"/>
              <w:tr2bl w:val="nil"/>
            </w:tcBorders>
          </w:tcPr>
          <w:p w14:paraId="77D070D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w:t>
            </w:r>
          </w:p>
        </w:tc>
        <w:tc>
          <w:tcPr>
            <w:tcW w:w="1927" w:type="dxa"/>
            <w:tcBorders>
              <w:tl2br w:val="nil"/>
              <w:tr2bl w:val="nil"/>
            </w:tcBorders>
          </w:tcPr>
          <w:p w14:paraId="16D70B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w:t>
            </w:r>
          </w:p>
        </w:tc>
        <w:tc>
          <w:tcPr>
            <w:tcW w:w="1665" w:type="dxa"/>
            <w:tcBorders>
              <w:tl2br w:val="nil"/>
              <w:tr2bl w:val="nil"/>
            </w:tcBorders>
          </w:tcPr>
          <w:p w14:paraId="7F123EDE">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cs="宋体"/>
                <w:snapToGrid/>
                <w:color w:val="auto"/>
              </w:rPr>
              <w:t>简单分析</w:t>
            </w:r>
            <w:r>
              <w:rPr>
                <w:rFonts w:eastAsia="宋体"/>
                <w:snapToGrid/>
                <w:color w:val="auto"/>
                <w:szCs w:val="13"/>
              </w:rPr>
              <w:t>a</w:t>
            </w:r>
          </w:p>
        </w:tc>
      </w:tr>
    </w:tbl>
    <w:p w14:paraId="4F9A8255">
      <w:pPr>
        <w:pStyle w:val="2"/>
        <w:widowControl w:val="0"/>
        <w:shd w:val="clear"/>
        <w:kinsoku/>
        <w:autoSpaceDE/>
        <w:autoSpaceDN/>
        <w:adjustRightInd/>
        <w:snapToGrid/>
        <w:spacing w:before="31" w:line="223" w:lineRule="auto"/>
        <w:ind w:left="137" w:right="71" w:hanging="8"/>
        <w:textAlignment w:val="auto"/>
        <w:rPr>
          <w:rFonts w:ascii="Times New Roman" w:hAnsi="Times New Roman"/>
          <w:snapToGrid/>
          <w:color w:val="auto"/>
          <w:lang w:eastAsia="zh-CN"/>
        </w:rPr>
      </w:pPr>
      <w:r>
        <w:rPr>
          <w:rFonts w:ascii="Times New Roman" w:hAnsi="Times New Roman" w:cs="Times New Roman"/>
          <w:snapToGrid/>
          <w:color w:val="auto"/>
          <w:sz w:val="13"/>
          <w:szCs w:val="13"/>
          <w:lang w:eastAsia="zh-CN"/>
        </w:rPr>
        <w:t>a</w:t>
      </w:r>
      <w:r>
        <w:rPr>
          <w:rFonts w:ascii="Times New Roman" w:hAnsi="Times New Roman"/>
          <w:snapToGrid/>
          <w:color w:val="auto"/>
          <w:lang w:eastAsia="zh-CN"/>
        </w:rPr>
        <w:t>是相对于详细评价工作内容而言，在描述危险物质、环境影响途径、环境危害后果、风险防范措施等方面给出定性的说明。</w:t>
      </w:r>
    </w:p>
    <w:p w14:paraId="7438152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本项目在生产过程中使用的原材料为废旧滴灌带（主要成分为聚乙烯），未被列入《危险化学品重大危险源辨识》（</w:t>
      </w:r>
      <w:r>
        <w:rPr>
          <w:rFonts w:ascii="Times New Roman" w:hAnsi="Times New Roman" w:cs="Times New Roman"/>
          <w:snapToGrid/>
          <w:color w:val="auto"/>
          <w:sz w:val="24"/>
          <w:szCs w:val="24"/>
          <w:lang w:eastAsia="zh-CN"/>
        </w:rPr>
        <w:t>GB18218-2018</w:t>
      </w:r>
      <w:r>
        <w:rPr>
          <w:rFonts w:ascii="Times New Roman" w:hAnsi="Times New Roman"/>
          <w:snapToGrid/>
          <w:color w:val="auto"/>
          <w:sz w:val="24"/>
          <w:szCs w:val="24"/>
          <w:lang w:eastAsia="zh-CN"/>
        </w:rPr>
        <w:t>）监控目录，本项目生产过程中不使用有毒物质，但为可燃物质，属非重大危险源，危险物质数量与临界量比值</w:t>
      </w:r>
      <w:r>
        <w:rPr>
          <w:rFonts w:ascii="Times New Roman" w:hAnsi="Times New Roman" w:cs="Times New Roman"/>
          <w:snapToGrid/>
          <w:color w:val="auto"/>
          <w:sz w:val="24"/>
          <w:szCs w:val="24"/>
          <w:lang w:eastAsia="zh-CN"/>
        </w:rPr>
        <w:t>Q</w:t>
      </w: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，本项目环境风险潜势为Ⅰ</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无评价等级及评价范围，仅对本项目环境风险评价工作做简单分析。</w:t>
      </w:r>
    </w:p>
    <w:p w14:paraId="3EFDB56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w:t>
      </w:r>
      <w:r>
        <w:rPr>
          <w:rFonts w:hint="eastAsia" w:ascii="Times New Roman" w:hAnsi="Times New Roman"/>
          <w:snapToGrid/>
          <w:color w:val="auto"/>
          <w:sz w:val="24"/>
          <w:szCs w:val="24"/>
          <w:lang w:eastAsia="zh-CN"/>
        </w:rPr>
        <w:t>环境影响评价</w:t>
      </w:r>
      <w:r>
        <w:rPr>
          <w:rFonts w:ascii="Times New Roman" w:hAnsi="Times New Roman"/>
          <w:snapToGrid/>
          <w:color w:val="auto"/>
          <w:sz w:val="24"/>
          <w:szCs w:val="24"/>
          <w:lang w:eastAsia="zh-CN"/>
        </w:rPr>
        <w:t>等级见表</w:t>
      </w:r>
      <w:r>
        <w:rPr>
          <w:rFonts w:ascii="Times New Roman" w:hAnsi="Times New Roman" w:cs="Times New Roman"/>
          <w:snapToGrid/>
          <w:color w:val="auto"/>
          <w:sz w:val="24"/>
          <w:szCs w:val="24"/>
          <w:lang w:eastAsia="zh-CN"/>
        </w:rPr>
        <w:t>2.5-</w:t>
      </w:r>
      <w:r>
        <w:rPr>
          <w:rFonts w:hint="eastAsia" w:ascii="Times New Roman" w:hAnsi="Times New Roman" w:cs="Times New Roman"/>
          <w:snapToGrid/>
          <w:color w:val="auto"/>
          <w:sz w:val="24"/>
          <w:szCs w:val="24"/>
          <w:lang w:val="en-US" w:eastAsia="zh-CN"/>
        </w:rPr>
        <w:t>14</w:t>
      </w:r>
      <w:r>
        <w:rPr>
          <w:rFonts w:ascii="Times New Roman" w:hAnsi="Times New Roman"/>
          <w:snapToGrid/>
          <w:color w:val="auto"/>
          <w:sz w:val="24"/>
          <w:szCs w:val="24"/>
          <w:lang w:eastAsia="zh-CN"/>
        </w:rPr>
        <w:t>。</w:t>
      </w:r>
    </w:p>
    <w:p w14:paraId="43476A79">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w:t>
      </w:r>
      <w:r>
        <w:rPr>
          <w:rFonts w:ascii="Times New Roman" w:hAnsi="Times New Roman" w:cs="Times New Roman"/>
          <w:b/>
          <w:bCs/>
          <w:snapToGrid/>
          <w:color w:val="auto"/>
          <w:sz w:val="24"/>
        </w:rPr>
        <w:t>2.5-</w:t>
      </w:r>
      <w:r>
        <w:rPr>
          <w:rFonts w:hint="eastAsia" w:ascii="Times New Roman" w:hAnsi="Times New Roman" w:cs="Times New Roman"/>
          <w:b/>
          <w:bCs/>
          <w:snapToGrid/>
          <w:color w:val="auto"/>
          <w:sz w:val="24"/>
          <w:lang w:val="en-US" w:eastAsia="zh-CN"/>
        </w:rPr>
        <w:t>14</w:t>
      </w:r>
      <w:r>
        <w:rPr>
          <w:rFonts w:ascii="Times New Roman" w:hAnsi="Times New Roman"/>
          <w:b/>
          <w:bCs/>
          <w:snapToGrid/>
          <w:color w:val="auto"/>
          <w:sz w:val="24"/>
        </w:rPr>
        <w:t>环境影响评价等级表</w:t>
      </w:r>
    </w:p>
    <w:tbl>
      <w:tblPr>
        <w:tblStyle w:val="36"/>
        <w:tblW w:w="8447" w:type="dxa"/>
        <w:tblInd w:w="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1"/>
        <w:gridCol w:w="3259"/>
        <w:gridCol w:w="3120"/>
        <w:gridCol w:w="1197"/>
      </w:tblGrid>
      <w:tr w14:paraId="31F7B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871" w:type="dxa"/>
            <w:tcBorders>
              <w:tl2br w:val="nil"/>
              <w:tr2bl w:val="nil"/>
            </w:tcBorders>
          </w:tcPr>
          <w:p w14:paraId="34DB1E8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专题</w:t>
            </w:r>
          </w:p>
        </w:tc>
        <w:tc>
          <w:tcPr>
            <w:tcW w:w="6379" w:type="dxa"/>
            <w:gridSpan w:val="2"/>
            <w:tcBorders>
              <w:tl2br w:val="nil"/>
              <w:tr2bl w:val="nil"/>
            </w:tcBorders>
          </w:tcPr>
          <w:p w14:paraId="43C223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等级的判据</w:t>
            </w:r>
          </w:p>
        </w:tc>
        <w:tc>
          <w:tcPr>
            <w:tcW w:w="1197" w:type="dxa"/>
            <w:tcBorders>
              <w:tl2br w:val="nil"/>
              <w:tr2bl w:val="nil"/>
            </w:tcBorders>
          </w:tcPr>
          <w:p w14:paraId="38EB32A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评价等级</w:t>
            </w:r>
          </w:p>
        </w:tc>
      </w:tr>
      <w:tr w14:paraId="5A3E8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71" w:type="dxa"/>
            <w:vMerge w:val="restart"/>
            <w:tcBorders>
              <w:tl2br w:val="nil"/>
              <w:tr2bl w:val="nil"/>
            </w:tcBorders>
          </w:tcPr>
          <w:p w14:paraId="208B60D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环境空气</w:t>
            </w:r>
          </w:p>
        </w:tc>
        <w:tc>
          <w:tcPr>
            <w:tcW w:w="3259" w:type="dxa"/>
            <w:tcBorders>
              <w:tl2br w:val="nil"/>
              <w:tr2bl w:val="nil"/>
            </w:tcBorders>
          </w:tcPr>
          <w:p w14:paraId="7C17EF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污染物最大地面质量浓度占标率</w:t>
            </w:r>
          </w:p>
        </w:tc>
        <w:tc>
          <w:tcPr>
            <w:tcW w:w="3120" w:type="dxa"/>
            <w:tcBorders>
              <w:tl2br w:val="nil"/>
              <w:tr2bl w:val="nil"/>
            </w:tcBorders>
          </w:tcPr>
          <w:p w14:paraId="411BF8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详见表</w:t>
            </w:r>
            <w:r>
              <w:rPr>
                <w:rFonts w:eastAsia="宋体"/>
                <w:snapToGrid/>
                <w:color w:val="auto"/>
              </w:rPr>
              <w:t>2.4-3</w:t>
            </w:r>
            <w:r>
              <w:rPr>
                <w:rFonts w:eastAsia="宋体" w:cs="宋体"/>
                <w:snapToGrid/>
                <w:color w:val="auto"/>
              </w:rPr>
              <w:t>分析</w:t>
            </w:r>
          </w:p>
        </w:tc>
        <w:tc>
          <w:tcPr>
            <w:tcW w:w="1197" w:type="dxa"/>
            <w:vMerge w:val="restart"/>
            <w:tcBorders>
              <w:tl2br w:val="nil"/>
              <w:tr2bl w:val="nil"/>
            </w:tcBorders>
          </w:tcPr>
          <w:p w14:paraId="59548E8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二</w:t>
            </w:r>
            <w:r>
              <w:rPr>
                <w:rFonts w:ascii="Times New Roman" w:hAnsi="Times New Roman" w:eastAsia="宋体" w:cs="宋体"/>
                <w:snapToGrid/>
                <w:color w:val="auto"/>
              </w:rPr>
              <w:t>级</w:t>
            </w:r>
          </w:p>
        </w:tc>
      </w:tr>
      <w:tr w14:paraId="36BB8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3728E0E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3832C6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主要评价因子的环境质量现状</w:t>
            </w:r>
          </w:p>
        </w:tc>
        <w:tc>
          <w:tcPr>
            <w:tcW w:w="3120" w:type="dxa"/>
            <w:tcBorders>
              <w:tl2br w:val="nil"/>
              <w:tr2bl w:val="nil"/>
            </w:tcBorders>
          </w:tcPr>
          <w:p w14:paraId="0DB52546">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满足（</w:t>
            </w:r>
            <w:r>
              <w:rPr>
                <w:rFonts w:eastAsia="宋体"/>
                <w:snapToGrid/>
                <w:color w:val="auto"/>
                <w:lang w:eastAsia="zh-CN"/>
              </w:rPr>
              <w:t>GB3095-2012</w:t>
            </w:r>
            <w:r>
              <w:rPr>
                <w:rFonts w:eastAsia="宋体" w:cs="宋体"/>
                <w:snapToGrid/>
                <w:color w:val="auto"/>
                <w:lang w:eastAsia="zh-CN"/>
              </w:rPr>
              <w:t>）二级标准</w:t>
            </w:r>
          </w:p>
        </w:tc>
        <w:tc>
          <w:tcPr>
            <w:tcW w:w="1197" w:type="dxa"/>
            <w:vMerge w:val="continue"/>
            <w:tcBorders>
              <w:tl2br w:val="nil"/>
              <w:tr2bl w:val="nil"/>
            </w:tcBorders>
          </w:tcPr>
          <w:p w14:paraId="2E1A7F0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482685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66E37EBB">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3259" w:type="dxa"/>
            <w:tcBorders>
              <w:tl2br w:val="nil"/>
              <w:tr2bl w:val="nil"/>
            </w:tcBorders>
          </w:tcPr>
          <w:p w14:paraId="409E0CF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当地环境空气质量功能类别</w:t>
            </w:r>
          </w:p>
        </w:tc>
        <w:tc>
          <w:tcPr>
            <w:tcW w:w="3120" w:type="dxa"/>
            <w:tcBorders>
              <w:tl2br w:val="nil"/>
              <w:tr2bl w:val="nil"/>
            </w:tcBorders>
          </w:tcPr>
          <w:p w14:paraId="4FAF7E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二类</w:t>
            </w:r>
          </w:p>
        </w:tc>
        <w:tc>
          <w:tcPr>
            <w:tcW w:w="1197" w:type="dxa"/>
            <w:vMerge w:val="continue"/>
            <w:tcBorders>
              <w:tl2br w:val="nil"/>
              <w:tr2bl w:val="nil"/>
            </w:tcBorders>
          </w:tcPr>
          <w:p w14:paraId="54CEA2A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25AE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71" w:type="dxa"/>
            <w:vMerge w:val="continue"/>
            <w:tcBorders>
              <w:tl2br w:val="nil"/>
              <w:tr2bl w:val="nil"/>
            </w:tcBorders>
          </w:tcPr>
          <w:p w14:paraId="4188E8A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3221A86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区域空气环境敏感程度</w:t>
            </w:r>
          </w:p>
        </w:tc>
        <w:tc>
          <w:tcPr>
            <w:tcW w:w="3120" w:type="dxa"/>
            <w:tcBorders>
              <w:tl2br w:val="nil"/>
              <w:tr2bl w:val="nil"/>
            </w:tcBorders>
          </w:tcPr>
          <w:p w14:paraId="3E0D6A4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w:t>
            </w:r>
          </w:p>
        </w:tc>
        <w:tc>
          <w:tcPr>
            <w:tcW w:w="1197" w:type="dxa"/>
            <w:vMerge w:val="continue"/>
            <w:tcBorders>
              <w:tl2br w:val="nil"/>
              <w:tr2bl w:val="nil"/>
            </w:tcBorders>
          </w:tcPr>
          <w:p w14:paraId="4F429F1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96EF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restart"/>
            <w:tcBorders>
              <w:tl2br w:val="nil"/>
              <w:tr2bl w:val="nil"/>
            </w:tcBorders>
          </w:tcPr>
          <w:p w14:paraId="148BBD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地下水</w:t>
            </w:r>
          </w:p>
        </w:tc>
        <w:tc>
          <w:tcPr>
            <w:tcW w:w="3259" w:type="dxa"/>
            <w:tcBorders>
              <w:tl2br w:val="nil"/>
              <w:tr2bl w:val="nil"/>
            </w:tcBorders>
          </w:tcPr>
          <w:p w14:paraId="3AC57B0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建设项目行业分类</w:t>
            </w:r>
          </w:p>
        </w:tc>
        <w:tc>
          <w:tcPr>
            <w:tcW w:w="3120" w:type="dxa"/>
            <w:tcBorders>
              <w:tl2br w:val="nil"/>
              <w:tr2bl w:val="nil"/>
            </w:tcBorders>
          </w:tcPr>
          <w:p w14:paraId="363DD7E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Ⅲ类行业</w:t>
            </w:r>
          </w:p>
        </w:tc>
        <w:tc>
          <w:tcPr>
            <w:tcW w:w="1197" w:type="dxa"/>
            <w:vMerge w:val="restart"/>
            <w:tcBorders>
              <w:tl2br w:val="nil"/>
              <w:tr2bl w:val="nil"/>
            </w:tcBorders>
          </w:tcPr>
          <w:p w14:paraId="6FCDB8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w:t>
            </w:r>
          </w:p>
        </w:tc>
      </w:tr>
      <w:tr w14:paraId="7AB62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6831071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798D196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区域地下水敏感程度分级</w:t>
            </w:r>
          </w:p>
        </w:tc>
        <w:tc>
          <w:tcPr>
            <w:tcW w:w="3120" w:type="dxa"/>
            <w:tcBorders>
              <w:tl2br w:val="nil"/>
              <w:tr2bl w:val="nil"/>
            </w:tcBorders>
          </w:tcPr>
          <w:p w14:paraId="5ADD5BE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不敏感</w:t>
            </w:r>
          </w:p>
        </w:tc>
        <w:tc>
          <w:tcPr>
            <w:tcW w:w="1197" w:type="dxa"/>
            <w:vMerge w:val="continue"/>
            <w:tcBorders>
              <w:tl2br w:val="nil"/>
              <w:tr2bl w:val="nil"/>
            </w:tcBorders>
          </w:tcPr>
          <w:p w14:paraId="57DE9B7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9209A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restart"/>
            <w:tcBorders>
              <w:tl2br w:val="nil"/>
              <w:tr2bl w:val="nil"/>
            </w:tcBorders>
          </w:tcPr>
          <w:p w14:paraId="173A5A3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声环境</w:t>
            </w:r>
          </w:p>
        </w:tc>
        <w:tc>
          <w:tcPr>
            <w:tcW w:w="3259" w:type="dxa"/>
            <w:tcBorders>
              <w:tl2br w:val="nil"/>
              <w:tr2bl w:val="nil"/>
            </w:tcBorders>
          </w:tcPr>
          <w:p w14:paraId="55CB382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项目所在地声环境功能区类别</w:t>
            </w:r>
          </w:p>
        </w:tc>
        <w:tc>
          <w:tcPr>
            <w:tcW w:w="3120" w:type="dxa"/>
            <w:tcBorders>
              <w:tl2br w:val="nil"/>
              <w:tr2bl w:val="nil"/>
            </w:tcBorders>
          </w:tcPr>
          <w:p w14:paraId="00BFED4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2</w:t>
            </w:r>
            <w:r>
              <w:rPr>
                <w:rFonts w:eastAsia="宋体" w:cs="宋体"/>
                <w:snapToGrid/>
                <w:color w:val="auto"/>
              </w:rPr>
              <w:t>类</w:t>
            </w:r>
          </w:p>
        </w:tc>
        <w:tc>
          <w:tcPr>
            <w:tcW w:w="1197" w:type="dxa"/>
            <w:vMerge w:val="restart"/>
            <w:tcBorders>
              <w:tl2br w:val="nil"/>
              <w:tr2bl w:val="nil"/>
            </w:tcBorders>
          </w:tcPr>
          <w:p w14:paraId="611369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二</w:t>
            </w:r>
            <w:r>
              <w:rPr>
                <w:rFonts w:ascii="Times New Roman" w:hAnsi="Times New Roman" w:eastAsia="宋体" w:cs="宋体"/>
                <w:snapToGrid/>
                <w:color w:val="auto"/>
              </w:rPr>
              <w:t>级</w:t>
            </w:r>
          </w:p>
        </w:tc>
      </w:tr>
      <w:tr w14:paraId="21E84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66BE8A7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08CB17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区域声环境敏感程度</w:t>
            </w:r>
          </w:p>
        </w:tc>
        <w:tc>
          <w:tcPr>
            <w:tcW w:w="3120" w:type="dxa"/>
            <w:tcBorders>
              <w:tl2br w:val="nil"/>
              <w:tr2bl w:val="nil"/>
            </w:tcBorders>
          </w:tcPr>
          <w:p w14:paraId="5D5ADBF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一般区域</w:t>
            </w:r>
          </w:p>
        </w:tc>
        <w:tc>
          <w:tcPr>
            <w:tcW w:w="1197" w:type="dxa"/>
            <w:vMerge w:val="continue"/>
            <w:tcBorders>
              <w:tl2br w:val="nil"/>
              <w:tr2bl w:val="nil"/>
            </w:tcBorders>
          </w:tcPr>
          <w:p w14:paraId="01C4456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7EB4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871" w:type="dxa"/>
            <w:vMerge w:val="continue"/>
            <w:tcBorders>
              <w:tl2br w:val="nil"/>
              <w:tr2bl w:val="nil"/>
            </w:tcBorders>
          </w:tcPr>
          <w:p w14:paraId="572EE48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505385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项目建设前后敏感目标噪声级的变化程度</w:t>
            </w:r>
          </w:p>
        </w:tc>
        <w:tc>
          <w:tcPr>
            <w:tcW w:w="3120" w:type="dxa"/>
            <w:tcBorders>
              <w:tl2br w:val="nil"/>
              <w:tr2bl w:val="nil"/>
            </w:tcBorders>
          </w:tcPr>
          <w:p w14:paraId="3150C33C">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噪声级增高量在</w:t>
            </w:r>
            <w:r>
              <w:rPr>
                <w:rFonts w:eastAsia="宋体"/>
                <w:snapToGrid/>
                <w:color w:val="auto"/>
                <w:lang w:eastAsia="zh-CN"/>
              </w:rPr>
              <w:t>3dB</w:t>
            </w:r>
            <w:r>
              <w:rPr>
                <w:rFonts w:eastAsia="宋体" w:cs="宋体"/>
                <w:snapToGrid/>
                <w:color w:val="auto"/>
                <w:lang w:eastAsia="zh-CN"/>
              </w:rPr>
              <w:t>（</w:t>
            </w:r>
            <w:r>
              <w:rPr>
                <w:rFonts w:eastAsia="宋体"/>
                <w:snapToGrid/>
                <w:color w:val="auto"/>
                <w:lang w:eastAsia="zh-CN"/>
              </w:rPr>
              <w:t>A</w:t>
            </w:r>
            <w:r>
              <w:rPr>
                <w:rFonts w:eastAsia="宋体" w:cs="宋体"/>
                <w:snapToGrid/>
                <w:color w:val="auto"/>
                <w:lang w:eastAsia="zh-CN"/>
              </w:rPr>
              <w:t>）以下（</w:t>
            </w:r>
            <w:r>
              <w:rPr>
                <w:rFonts w:eastAsia="宋体"/>
                <w:snapToGrid/>
                <w:color w:val="auto"/>
                <w:lang w:eastAsia="zh-CN"/>
              </w:rPr>
              <w:t>3dB</w:t>
            </w:r>
            <w:r>
              <w:rPr>
                <w:rFonts w:eastAsia="宋体" w:cs="宋体"/>
                <w:snapToGrid/>
                <w:color w:val="auto"/>
                <w:lang w:eastAsia="zh-CN"/>
              </w:rPr>
              <w:t>（</w:t>
            </w:r>
            <w:r>
              <w:rPr>
                <w:rFonts w:eastAsia="宋体"/>
                <w:snapToGrid/>
                <w:color w:val="auto"/>
                <w:lang w:eastAsia="zh-CN"/>
              </w:rPr>
              <w:t>A</w:t>
            </w:r>
            <w:r>
              <w:rPr>
                <w:rFonts w:eastAsia="宋体" w:cs="宋体"/>
                <w:snapToGrid/>
                <w:color w:val="auto"/>
                <w:lang w:eastAsia="zh-CN"/>
              </w:rPr>
              <w:t>））</w:t>
            </w:r>
          </w:p>
        </w:tc>
        <w:tc>
          <w:tcPr>
            <w:tcW w:w="1197" w:type="dxa"/>
            <w:vMerge w:val="continue"/>
            <w:tcBorders>
              <w:tl2br w:val="nil"/>
              <w:tr2bl w:val="nil"/>
            </w:tcBorders>
          </w:tcPr>
          <w:p w14:paraId="6352377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4B7C2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restart"/>
            <w:tcBorders>
              <w:tl2br w:val="nil"/>
              <w:tr2bl w:val="nil"/>
            </w:tcBorders>
          </w:tcPr>
          <w:p w14:paraId="702972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生态环境</w:t>
            </w:r>
          </w:p>
        </w:tc>
        <w:tc>
          <w:tcPr>
            <w:tcW w:w="3259" w:type="dxa"/>
            <w:tcBorders>
              <w:tl2br w:val="nil"/>
              <w:tr2bl w:val="nil"/>
            </w:tcBorders>
          </w:tcPr>
          <w:p w14:paraId="167E76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区域生态环境敏感程度</w:t>
            </w:r>
          </w:p>
        </w:tc>
        <w:tc>
          <w:tcPr>
            <w:tcW w:w="3120" w:type="dxa"/>
            <w:tcBorders>
              <w:tl2br w:val="nil"/>
              <w:tr2bl w:val="nil"/>
            </w:tcBorders>
          </w:tcPr>
          <w:p w14:paraId="0E2E4F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一般区域</w:t>
            </w:r>
          </w:p>
        </w:tc>
        <w:tc>
          <w:tcPr>
            <w:tcW w:w="1197" w:type="dxa"/>
            <w:vMerge w:val="restart"/>
            <w:tcBorders>
              <w:tl2br w:val="nil"/>
              <w:tr2bl w:val="nil"/>
            </w:tcBorders>
          </w:tcPr>
          <w:p w14:paraId="60932AED">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eastAsia="zh-CN"/>
              </w:rPr>
            </w:pPr>
            <w:r>
              <w:rPr>
                <w:rFonts w:hint="eastAsia" w:ascii="Times New Roman" w:hAnsi="Times New Roman" w:eastAsia="宋体" w:cs="宋体"/>
                <w:snapToGrid/>
                <w:color w:val="auto"/>
                <w:lang w:val="en-US" w:eastAsia="zh-CN"/>
              </w:rPr>
              <w:t>三级</w:t>
            </w:r>
          </w:p>
        </w:tc>
      </w:tr>
      <w:tr w14:paraId="0860E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3A8D989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086267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工程占地范围</w:t>
            </w:r>
          </w:p>
        </w:tc>
        <w:tc>
          <w:tcPr>
            <w:tcW w:w="3120" w:type="dxa"/>
            <w:tcBorders>
              <w:tl2br w:val="nil"/>
              <w:tr2bl w:val="nil"/>
            </w:tcBorders>
          </w:tcPr>
          <w:p w14:paraId="59AF54DE">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cs="宋体"/>
                <w:snapToGrid/>
                <w:color w:val="auto"/>
              </w:rPr>
              <w:t>厂区占地面积</w:t>
            </w:r>
            <w:r>
              <w:rPr>
                <w:rFonts w:hint="eastAsia" w:eastAsia="宋体"/>
                <w:snapToGrid/>
                <w:color w:val="auto"/>
                <w:lang w:eastAsia="zh-CN"/>
              </w:rPr>
              <w:t>9442.97</w:t>
            </w:r>
            <w:r>
              <w:rPr>
                <w:rFonts w:eastAsia="宋体"/>
                <w:snapToGrid/>
                <w:color w:val="auto"/>
              </w:rPr>
              <w:t>m</w:t>
            </w:r>
            <w:r>
              <w:rPr>
                <w:rFonts w:eastAsia="宋体"/>
                <w:snapToGrid/>
                <w:color w:val="auto"/>
                <w:szCs w:val="13"/>
                <w:vertAlign w:val="superscript"/>
              </w:rPr>
              <w:t>2</w:t>
            </w:r>
          </w:p>
        </w:tc>
        <w:tc>
          <w:tcPr>
            <w:tcW w:w="1197" w:type="dxa"/>
            <w:vMerge w:val="continue"/>
            <w:tcBorders>
              <w:tl2br w:val="nil"/>
              <w:tr2bl w:val="nil"/>
            </w:tcBorders>
          </w:tcPr>
          <w:p w14:paraId="00849E5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0D1C8B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restart"/>
            <w:tcBorders>
              <w:tl2br w:val="nil"/>
              <w:tr2bl w:val="nil"/>
            </w:tcBorders>
          </w:tcPr>
          <w:p w14:paraId="779A54D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土壤环境</w:t>
            </w:r>
          </w:p>
        </w:tc>
        <w:tc>
          <w:tcPr>
            <w:tcW w:w="3259" w:type="dxa"/>
            <w:tcBorders>
              <w:tl2br w:val="nil"/>
              <w:tr2bl w:val="nil"/>
            </w:tcBorders>
          </w:tcPr>
          <w:p w14:paraId="0F5BD05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行业分类</w:t>
            </w:r>
          </w:p>
        </w:tc>
        <w:tc>
          <w:tcPr>
            <w:tcW w:w="3120" w:type="dxa"/>
            <w:tcBorders>
              <w:tl2br w:val="nil"/>
              <w:tr2bl w:val="nil"/>
            </w:tcBorders>
          </w:tcPr>
          <w:p w14:paraId="108C20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废旧资源加工、再生利用</w:t>
            </w:r>
          </w:p>
        </w:tc>
        <w:tc>
          <w:tcPr>
            <w:tcW w:w="1197" w:type="dxa"/>
            <w:vMerge w:val="restart"/>
            <w:tcBorders>
              <w:tl2br w:val="nil"/>
              <w:tr2bl w:val="nil"/>
            </w:tcBorders>
          </w:tcPr>
          <w:p w14:paraId="5114E4C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三级</w:t>
            </w:r>
          </w:p>
        </w:tc>
      </w:tr>
      <w:tr w14:paraId="7B12B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3CE8437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0AB1BD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占地面积</w:t>
            </w:r>
          </w:p>
        </w:tc>
        <w:tc>
          <w:tcPr>
            <w:tcW w:w="3120" w:type="dxa"/>
            <w:tcBorders>
              <w:tl2br w:val="nil"/>
              <w:tr2bl w:val="nil"/>
            </w:tcBorders>
          </w:tcPr>
          <w:p w14:paraId="63AE284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小型</w:t>
            </w:r>
          </w:p>
        </w:tc>
        <w:tc>
          <w:tcPr>
            <w:tcW w:w="1197" w:type="dxa"/>
            <w:vMerge w:val="continue"/>
            <w:tcBorders>
              <w:tl2br w:val="nil"/>
              <w:tr2bl w:val="nil"/>
            </w:tcBorders>
          </w:tcPr>
          <w:p w14:paraId="75F949F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38CA7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1" w:type="dxa"/>
            <w:vMerge w:val="continue"/>
            <w:tcBorders>
              <w:tl2br w:val="nil"/>
              <w:tr2bl w:val="nil"/>
            </w:tcBorders>
          </w:tcPr>
          <w:p w14:paraId="01489DE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259" w:type="dxa"/>
            <w:tcBorders>
              <w:tl2br w:val="nil"/>
              <w:tr2bl w:val="nil"/>
            </w:tcBorders>
          </w:tcPr>
          <w:p w14:paraId="2EB891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区域土壤敏感程度</w:t>
            </w:r>
          </w:p>
        </w:tc>
        <w:tc>
          <w:tcPr>
            <w:tcW w:w="3120" w:type="dxa"/>
            <w:tcBorders>
              <w:tl2br w:val="nil"/>
              <w:tr2bl w:val="nil"/>
            </w:tcBorders>
          </w:tcPr>
          <w:p w14:paraId="2316E4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w:t>
            </w:r>
          </w:p>
        </w:tc>
        <w:tc>
          <w:tcPr>
            <w:tcW w:w="1197" w:type="dxa"/>
            <w:vMerge w:val="continue"/>
            <w:tcBorders>
              <w:tl2br w:val="nil"/>
              <w:tr2bl w:val="nil"/>
            </w:tcBorders>
          </w:tcPr>
          <w:p w14:paraId="18175EA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F807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71" w:type="dxa"/>
            <w:tcBorders>
              <w:tl2br w:val="nil"/>
              <w:tr2bl w:val="nil"/>
            </w:tcBorders>
          </w:tcPr>
          <w:p w14:paraId="1D1461B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环境风险评价</w:t>
            </w:r>
          </w:p>
        </w:tc>
        <w:tc>
          <w:tcPr>
            <w:tcW w:w="3259" w:type="dxa"/>
            <w:tcBorders>
              <w:tl2br w:val="nil"/>
              <w:tr2bl w:val="nil"/>
            </w:tcBorders>
          </w:tcPr>
          <w:p w14:paraId="4C9813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危险物质数量与临界量比值</w:t>
            </w:r>
          </w:p>
        </w:tc>
        <w:tc>
          <w:tcPr>
            <w:tcW w:w="3120" w:type="dxa"/>
            <w:tcBorders>
              <w:tl2br w:val="nil"/>
              <w:tr2bl w:val="nil"/>
            </w:tcBorders>
          </w:tcPr>
          <w:p w14:paraId="7C0A5BA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cs="宋体"/>
                <w:snapToGrid/>
                <w:color w:val="auto"/>
                <w:lang w:eastAsia="zh-CN"/>
              </w:rPr>
              <w:t>可燃物质，不构成重大危险源，</w:t>
            </w:r>
            <w:r>
              <w:rPr>
                <w:rFonts w:eastAsia="宋体"/>
                <w:snapToGrid/>
                <w:color w:val="auto"/>
                <w:lang w:eastAsia="zh-CN"/>
              </w:rPr>
              <w:t>Q</w:t>
            </w:r>
            <w:r>
              <w:rPr>
                <w:rFonts w:eastAsia="宋体" w:cs="宋体"/>
                <w:snapToGrid/>
                <w:color w:val="auto"/>
                <w:lang w:eastAsia="zh-CN"/>
              </w:rPr>
              <w:t>＜</w:t>
            </w:r>
            <w:r>
              <w:rPr>
                <w:rFonts w:eastAsia="宋体"/>
                <w:snapToGrid/>
                <w:color w:val="auto"/>
                <w:lang w:eastAsia="zh-CN"/>
              </w:rPr>
              <w:t>1</w:t>
            </w:r>
          </w:p>
        </w:tc>
        <w:tc>
          <w:tcPr>
            <w:tcW w:w="1197" w:type="dxa"/>
            <w:tcBorders>
              <w:tl2br w:val="nil"/>
              <w:tr2bl w:val="nil"/>
            </w:tcBorders>
          </w:tcPr>
          <w:p w14:paraId="44B79C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简单分析</w:t>
            </w:r>
          </w:p>
        </w:tc>
      </w:tr>
    </w:tbl>
    <w:p w14:paraId="0C208A58">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w:t>
      </w:r>
      <w:r>
        <w:rPr>
          <w:rFonts w:ascii="Times New Roman" w:hAnsi="Times New Roman" w:cs="Times New Roman"/>
          <w:b/>
          <w:bCs/>
          <w:snapToGrid/>
          <w:color w:val="auto"/>
          <w:sz w:val="24"/>
        </w:rPr>
        <w:t>2.5-</w:t>
      </w:r>
      <w:r>
        <w:rPr>
          <w:rFonts w:hint="eastAsia" w:ascii="Times New Roman" w:hAnsi="Times New Roman" w:cs="Times New Roman"/>
          <w:b/>
          <w:bCs/>
          <w:snapToGrid/>
          <w:color w:val="auto"/>
          <w:sz w:val="24"/>
          <w:lang w:val="en-US" w:eastAsia="zh-CN"/>
        </w:rPr>
        <w:t>15</w:t>
      </w:r>
      <w:r>
        <w:rPr>
          <w:rFonts w:ascii="Times New Roman" w:hAnsi="Times New Roman"/>
          <w:b/>
          <w:bCs/>
          <w:snapToGrid/>
          <w:color w:val="auto"/>
          <w:sz w:val="24"/>
        </w:rPr>
        <w:t>评价范围一览表</w:t>
      </w:r>
    </w:p>
    <w:tbl>
      <w:tblPr>
        <w:tblStyle w:val="36"/>
        <w:tblW w:w="8390" w:type="dxa"/>
        <w:tblInd w:w="3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4075"/>
        <w:gridCol w:w="3225"/>
      </w:tblGrid>
      <w:tr w14:paraId="28647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090" w:type="dxa"/>
            <w:tcBorders>
              <w:tl2br w:val="nil"/>
              <w:tr2bl w:val="nil"/>
            </w:tcBorders>
          </w:tcPr>
          <w:p w14:paraId="6AAE3AA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4075" w:type="dxa"/>
            <w:tcBorders>
              <w:tl2br w:val="nil"/>
              <w:tr2bl w:val="nil"/>
            </w:tcBorders>
          </w:tcPr>
          <w:p w14:paraId="6AA323B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评价范围</w:t>
            </w:r>
          </w:p>
        </w:tc>
        <w:tc>
          <w:tcPr>
            <w:tcW w:w="3225" w:type="dxa"/>
            <w:tcBorders>
              <w:tl2br w:val="nil"/>
              <w:tr2bl w:val="nil"/>
            </w:tcBorders>
          </w:tcPr>
          <w:p w14:paraId="7F5A54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备注</w:t>
            </w:r>
          </w:p>
        </w:tc>
      </w:tr>
      <w:tr w14:paraId="3CDE3E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090" w:type="dxa"/>
            <w:tcBorders>
              <w:tl2br w:val="nil"/>
              <w:tr2bl w:val="nil"/>
            </w:tcBorders>
          </w:tcPr>
          <w:p w14:paraId="03D050F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环境空气</w:t>
            </w:r>
          </w:p>
        </w:tc>
        <w:tc>
          <w:tcPr>
            <w:tcW w:w="4075" w:type="dxa"/>
            <w:tcBorders>
              <w:tl2br w:val="nil"/>
              <w:tr2bl w:val="nil"/>
            </w:tcBorders>
          </w:tcPr>
          <w:p w14:paraId="566F783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以项目厂址为中心，边长为</w:t>
            </w:r>
            <w:r>
              <w:rPr>
                <w:rFonts w:eastAsia="宋体"/>
                <w:snapToGrid/>
                <w:color w:val="auto"/>
                <w:lang w:eastAsia="zh-CN"/>
              </w:rPr>
              <w:t>5km</w:t>
            </w:r>
            <w:r>
              <w:rPr>
                <w:rFonts w:eastAsia="宋体" w:cs="宋体"/>
                <w:snapToGrid/>
                <w:color w:val="auto"/>
                <w:lang w:eastAsia="zh-CN"/>
              </w:rPr>
              <w:t>矩形区域。</w:t>
            </w:r>
          </w:p>
        </w:tc>
        <w:tc>
          <w:tcPr>
            <w:tcW w:w="3225" w:type="dxa"/>
            <w:tcBorders>
              <w:tl2br w:val="nil"/>
              <w:tr2bl w:val="nil"/>
            </w:tcBorders>
          </w:tcPr>
          <w:p w14:paraId="3BB4C1F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5929E9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90" w:type="dxa"/>
            <w:tcBorders>
              <w:tl2br w:val="nil"/>
              <w:tr2bl w:val="nil"/>
            </w:tcBorders>
          </w:tcPr>
          <w:p w14:paraId="18FAF4E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地下水</w:t>
            </w:r>
          </w:p>
        </w:tc>
        <w:tc>
          <w:tcPr>
            <w:tcW w:w="4075" w:type="dxa"/>
            <w:tcBorders>
              <w:tl2br w:val="nil"/>
              <w:tr2bl w:val="nil"/>
            </w:tcBorders>
          </w:tcPr>
          <w:p w14:paraId="721C12BE">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default" w:eastAsia="宋体" w:cs="宋体"/>
                <w:snapToGrid/>
                <w:color w:val="auto"/>
                <w:lang w:eastAsia="zh-CN"/>
              </w:rPr>
              <w:t>以厂区为中心，</w:t>
            </w:r>
            <w:r>
              <w:rPr>
                <w:rFonts w:hint="eastAsia" w:eastAsia="宋体" w:cs="宋体"/>
                <w:snapToGrid/>
                <w:color w:val="auto"/>
                <w:lang w:eastAsia="zh-CN"/>
              </w:rPr>
              <w:t>地下水流向</w:t>
            </w:r>
            <w:r>
              <w:rPr>
                <w:rFonts w:hint="default" w:eastAsia="宋体" w:cs="宋体"/>
                <w:snapToGrid/>
                <w:color w:val="auto"/>
                <w:lang w:eastAsia="zh-CN"/>
              </w:rPr>
              <w:t>上游延伸1km</w:t>
            </w:r>
            <w:r>
              <w:rPr>
                <w:rFonts w:hint="eastAsia" w:eastAsia="宋体" w:cs="宋体"/>
                <w:snapToGrid/>
                <w:color w:val="auto"/>
                <w:lang w:eastAsia="zh-CN"/>
              </w:rPr>
              <w:t>、</w:t>
            </w:r>
            <w:r>
              <w:rPr>
                <w:rFonts w:hint="default" w:eastAsia="宋体" w:cs="宋体"/>
                <w:snapToGrid/>
                <w:color w:val="auto"/>
                <w:lang w:eastAsia="zh-CN"/>
              </w:rPr>
              <w:t>下游延伸2km</w:t>
            </w:r>
            <w:r>
              <w:rPr>
                <w:rFonts w:hint="eastAsia" w:eastAsia="宋体" w:cs="宋体"/>
                <w:snapToGrid/>
                <w:color w:val="auto"/>
                <w:lang w:eastAsia="zh-CN"/>
              </w:rPr>
              <w:t>、</w:t>
            </w:r>
            <w:r>
              <w:rPr>
                <w:rFonts w:hint="default" w:eastAsia="宋体" w:cs="宋体"/>
                <w:snapToGrid/>
                <w:color w:val="auto"/>
                <w:lang w:eastAsia="zh-CN"/>
              </w:rPr>
              <w:t>两侧各1km的</w:t>
            </w:r>
            <w:r>
              <w:rPr>
                <w:rFonts w:hint="eastAsia" w:eastAsia="宋体" w:cs="宋体"/>
                <w:snapToGrid/>
                <w:color w:val="auto"/>
                <w:lang w:eastAsia="zh-CN"/>
              </w:rPr>
              <w:t>矩形区域，总面积</w:t>
            </w:r>
            <w:r>
              <w:rPr>
                <w:rFonts w:hint="eastAsia" w:eastAsia="宋体" w:cs="宋体"/>
                <w:snapToGrid/>
                <w:color w:val="auto"/>
                <w:lang w:val="en-US" w:eastAsia="zh-CN"/>
              </w:rPr>
              <w:t>6km</w:t>
            </w:r>
            <w:r>
              <w:rPr>
                <w:rFonts w:hint="eastAsia" w:eastAsia="宋体" w:cs="宋体"/>
                <w:snapToGrid/>
                <w:color w:val="auto"/>
                <w:vertAlign w:val="superscript"/>
                <w:lang w:val="en-US" w:eastAsia="zh-CN"/>
              </w:rPr>
              <w:t>2</w:t>
            </w:r>
            <w:r>
              <w:rPr>
                <w:rFonts w:eastAsia="宋体" w:cs="宋体"/>
                <w:snapToGrid/>
                <w:color w:val="auto"/>
                <w:lang w:eastAsia="zh-CN"/>
              </w:rPr>
              <w:t>。</w:t>
            </w:r>
          </w:p>
        </w:tc>
        <w:tc>
          <w:tcPr>
            <w:tcW w:w="3225" w:type="dxa"/>
            <w:tcBorders>
              <w:tl2br w:val="nil"/>
              <w:tr2bl w:val="nil"/>
            </w:tcBorders>
          </w:tcPr>
          <w:p w14:paraId="79FA1F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对区域地下水的影响</w:t>
            </w:r>
          </w:p>
        </w:tc>
      </w:tr>
      <w:tr w14:paraId="32BE2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090" w:type="dxa"/>
            <w:tcBorders>
              <w:tl2br w:val="nil"/>
              <w:tr2bl w:val="nil"/>
            </w:tcBorders>
          </w:tcPr>
          <w:p w14:paraId="1B42BCD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4075" w:type="dxa"/>
            <w:tcBorders>
              <w:tl2br w:val="nil"/>
              <w:tr2bl w:val="nil"/>
            </w:tcBorders>
          </w:tcPr>
          <w:p w14:paraId="54120E11">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项目噪声评价范围为厂区周围</w:t>
            </w:r>
            <w:r>
              <w:rPr>
                <w:rFonts w:eastAsia="宋体"/>
                <w:snapToGrid/>
                <w:color w:val="auto"/>
                <w:lang w:eastAsia="zh-CN"/>
              </w:rPr>
              <w:t>200m</w:t>
            </w:r>
            <w:r>
              <w:rPr>
                <w:rFonts w:eastAsia="宋体" w:cs="宋体"/>
                <w:snapToGrid/>
                <w:color w:val="auto"/>
                <w:lang w:eastAsia="zh-CN"/>
              </w:rPr>
              <w:t>区域</w:t>
            </w:r>
          </w:p>
        </w:tc>
        <w:tc>
          <w:tcPr>
            <w:tcW w:w="3225" w:type="dxa"/>
            <w:tcBorders>
              <w:tl2br w:val="nil"/>
              <w:tr2bl w:val="nil"/>
            </w:tcBorders>
          </w:tcPr>
          <w:p w14:paraId="5BF0783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20950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090" w:type="dxa"/>
            <w:tcBorders>
              <w:tl2br w:val="nil"/>
              <w:tr2bl w:val="nil"/>
            </w:tcBorders>
          </w:tcPr>
          <w:p w14:paraId="2B1A7D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生态环境</w:t>
            </w:r>
          </w:p>
        </w:tc>
        <w:tc>
          <w:tcPr>
            <w:tcW w:w="4075" w:type="dxa"/>
            <w:tcBorders>
              <w:tl2br w:val="nil"/>
              <w:tr2bl w:val="nil"/>
            </w:tcBorders>
          </w:tcPr>
          <w:p w14:paraId="653106E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项目占地范围并外延200m内</w:t>
            </w:r>
          </w:p>
        </w:tc>
        <w:tc>
          <w:tcPr>
            <w:tcW w:w="3225" w:type="dxa"/>
            <w:tcBorders>
              <w:tl2br w:val="nil"/>
              <w:tr2bl w:val="nil"/>
            </w:tcBorders>
          </w:tcPr>
          <w:p w14:paraId="2B61611F">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三级</w:t>
            </w:r>
          </w:p>
        </w:tc>
      </w:tr>
      <w:tr w14:paraId="6C8E6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90" w:type="dxa"/>
            <w:tcBorders>
              <w:tl2br w:val="nil"/>
              <w:tr2bl w:val="nil"/>
            </w:tcBorders>
          </w:tcPr>
          <w:p w14:paraId="57691D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w:t>
            </w:r>
          </w:p>
        </w:tc>
        <w:tc>
          <w:tcPr>
            <w:tcW w:w="4075" w:type="dxa"/>
            <w:tcBorders>
              <w:tl2br w:val="nil"/>
              <w:tr2bl w:val="nil"/>
            </w:tcBorders>
          </w:tcPr>
          <w:p w14:paraId="3A80A7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w:t>
            </w:r>
          </w:p>
        </w:tc>
        <w:tc>
          <w:tcPr>
            <w:tcW w:w="3225" w:type="dxa"/>
            <w:tcBorders>
              <w:tl2br w:val="nil"/>
              <w:tr2bl w:val="nil"/>
            </w:tcBorders>
          </w:tcPr>
          <w:p w14:paraId="182B19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简单分析</w:t>
            </w:r>
          </w:p>
        </w:tc>
      </w:tr>
      <w:tr w14:paraId="10DA2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90" w:type="dxa"/>
            <w:tcBorders>
              <w:tl2br w:val="nil"/>
              <w:tr2bl w:val="nil"/>
            </w:tcBorders>
          </w:tcPr>
          <w:p w14:paraId="7BC2C5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土壤环境</w:t>
            </w:r>
          </w:p>
        </w:tc>
        <w:tc>
          <w:tcPr>
            <w:tcW w:w="4075" w:type="dxa"/>
            <w:tcBorders>
              <w:tl2br w:val="nil"/>
              <w:tr2bl w:val="nil"/>
            </w:tcBorders>
          </w:tcPr>
          <w:p w14:paraId="5FA864D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占地范围外50m范围内</w:t>
            </w:r>
          </w:p>
        </w:tc>
        <w:tc>
          <w:tcPr>
            <w:tcW w:w="3225" w:type="dxa"/>
            <w:tcBorders>
              <w:tl2br w:val="nil"/>
              <w:tr2bl w:val="nil"/>
            </w:tcBorders>
          </w:tcPr>
          <w:p w14:paraId="65DF51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w:t>
            </w:r>
          </w:p>
        </w:tc>
      </w:tr>
    </w:tbl>
    <w:p w14:paraId="5C5AB86F">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279" w:name="_Toc19058"/>
      <w:bookmarkStart w:id="280" w:name="_Toc24419"/>
      <w:bookmarkStart w:id="281" w:name="_Toc32662"/>
      <w:bookmarkStart w:id="282" w:name="_Toc12124"/>
      <w:bookmarkStart w:id="283" w:name="_Toc25425"/>
      <w:bookmarkStart w:id="284" w:name="_Toc13368"/>
      <w:r>
        <w:rPr>
          <w:rFonts w:hint="eastAsia" w:ascii="Times New Roman" w:hAnsi="Times New Roman" w:eastAsia="宋体"/>
          <w:snapToGrid/>
          <w:color w:val="auto"/>
          <w:lang w:eastAsia="zh-CN"/>
        </w:rPr>
        <w:t>2.6环境保护目标及污染控制目标</w:t>
      </w:r>
      <w:bookmarkEnd w:id="279"/>
      <w:bookmarkEnd w:id="280"/>
      <w:bookmarkEnd w:id="281"/>
    </w:p>
    <w:p w14:paraId="03EA4E3C">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285" w:name="_Toc30573"/>
      <w:bookmarkStart w:id="286" w:name="_Toc8007"/>
      <w:bookmarkStart w:id="287" w:name="_Toc20046"/>
      <w:r>
        <w:rPr>
          <w:rFonts w:hint="eastAsia" w:ascii="Times New Roman" w:hAnsi="Times New Roman" w:eastAsia="宋体" w:cs="Times New Roman"/>
          <w:snapToGrid/>
          <w:color w:val="auto"/>
          <w:lang w:eastAsia="zh-CN"/>
        </w:rPr>
        <w:t>2.6.1主要环境保护目标</w:t>
      </w:r>
      <w:bookmarkEnd w:id="285"/>
      <w:bookmarkEnd w:id="286"/>
      <w:bookmarkEnd w:id="287"/>
    </w:p>
    <w:p w14:paraId="5D06888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，根据厂址周围环境状况和敏感点具体分布情况，确定本项目环境空气、地下水的环境保护目标，本项目环境空气、环境风险以及声环境评价范围内没有环境敏感目标，项目周围最近的环境保护目标情况详见表</w:t>
      </w:r>
      <w:r>
        <w:rPr>
          <w:rFonts w:ascii="Times New Roman" w:hAnsi="Times New Roman" w:cs="Times New Roman"/>
          <w:snapToGrid/>
          <w:color w:val="auto"/>
          <w:sz w:val="24"/>
          <w:szCs w:val="24"/>
          <w:lang w:eastAsia="zh-CN"/>
        </w:rPr>
        <w:t>2.6-1</w:t>
      </w:r>
      <w:r>
        <w:rPr>
          <w:rFonts w:ascii="Times New Roman" w:hAnsi="Times New Roman"/>
          <w:snapToGrid/>
          <w:color w:val="auto"/>
          <w:sz w:val="24"/>
          <w:szCs w:val="24"/>
          <w:lang w:eastAsia="zh-CN"/>
        </w:rPr>
        <w:t>。评价范围及保护目标图见图</w:t>
      </w:r>
      <w:r>
        <w:rPr>
          <w:rFonts w:ascii="Times New Roman" w:hAnsi="Times New Roman" w:cs="Times New Roman"/>
          <w:snapToGrid/>
          <w:color w:val="auto"/>
          <w:sz w:val="24"/>
          <w:szCs w:val="24"/>
          <w:lang w:eastAsia="zh-CN"/>
        </w:rPr>
        <w:t>2.6-1</w:t>
      </w:r>
      <w:r>
        <w:rPr>
          <w:rFonts w:ascii="Times New Roman" w:hAnsi="Times New Roman"/>
          <w:snapToGrid/>
          <w:color w:val="auto"/>
          <w:sz w:val="24"/>
          <w:szCs w:val="24"/>
          <w:lang w:eastAsia="zh-CN"/>
        </w:rPr>
        <w:t>。</w:t>
      </w:r>
    </w:p>
    <w:p w14:paraId="32E66F93">
      <w:pPr>
        <w:pStyle w:val="2"/>
        <w:widowControl w:val="0"/>
        <w:shd w:val="clear"/>
        <w:kinsoku/>
        <w:autoSpaceDE/>
        <w:autoSpaceDN/>
        <w:adjustRightInd/>
        <w:snapToGrid/>
        <w:spacing w:line="360" w:lineRule="auto"/>
        <w:jc w:val="center"/>
        <w:textAlignment w:val="auto"/>
        <w:rPr>
          <w:rFonts w:ascii="Times New Roman" w:hAnsi="Times New Roman"/>
          <w:b/>
          <w:snapToGrid/>
          <w:color w:val="auto"/>
          <w:sz w:val="24"/>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2.6-1</w:t>
      </w:r>
      <w:r>
        <w:rPr>
          <w:rFonts w:ascii="Times New Roman" w:hAnsi="Times New Roman"/>
          <w:b/>
          <w:bCs/>
          <w:snapToGrid/>
          <w:color w:val="auto"/>
          <w:sz w:val="24"/>
          <w:lang w:eastAsia="zh-CN"/>
        </w:rPr>
        <w:t>本项目环境保护目标</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449"/>
        <w:gridCol w:w="1456"/>
        <w:gridCol w:w="638"/>
        <w:gridCol w:w="638"/>
        <w:gridCol w:w="2277"/>
        <w:gridCol w:w="773"/>
        <w:gridCol w:w="922"/>
      </w:tblGrid>
      <w:tr w14:paraId="3B96A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restart"/>
            <w:tcBorders>
              <w:tl2br w:val="nil"/>
              <w:tr2bl w:val="nil"/>
            </w:tcBorders>
            <w:vAlign w:val="center"/>
          </w:tcPr>
          <w:p w14:paraId="07DE267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名称</w:t>
            </w:r>
          </w:p>
        </w:tc>
        <w:tc>
          <w:tcPr>
            <w:tcW w:w="1654" w:type="pct"/>
            <w:gridSpan w:val="2"/>
            <w:tcBorders>
              <w:tl2br w:val="nil"/>
              <w:tr2bl w:val="nil"/>
            </w:tcBorders>
            <w:vAlign w:val="center"/>
          </w:tcPr>
          <w:p w14:paraId="324E874D">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snapToGrid/>
                <w:color w:val="auto"/>
                <w:sz w:val="21"/>
                <w:szCs w:val="32"/>
                <w:vertAlign w:val="baseline"/>
                <w:lang w:eastAsia="zh-CN"/>
              </w:rPr>
            </w:pPr>
            <w:r>
              <w:rPr>
                <w:rFonts w:hint="eastAsia" w:ascii="Times New Roman" w:hAnsi="Times New Roman" w:eastAsia="宋体" w:cs="Times New Roman"/>
                <w:b/>
                <w:bCs w:val="0"/>
                <w:snapToGrid/>
                <w:color w:val="auto"/>
                <w:sz w:val="21"/>
                <w:szCs w:val="32"/>
                <w:vertAlign w:val="baseline"/>
                <w:lang w:val="en-US" w:eastAsia="zh-CN"/>
              </w:rPr>
              <w:t>坐标</w:t>
            </w:r>
          </w:p>
        </w:tc>
        <w:tc>
          <w:tcPr>
            <w:tcW w:w="363" w:type="pct"/>
            <w:vMerge w:val="restart"/>
            <w:tcBorders>
              <w:tl2br w:val="nil"/>
              <w:tr2bl w:val="nil"/>
            </w:tcBorders>
            <w:vAlign w:val="center"/>
          </w:tcPr>
          <w:p w14:paraId="7296AFD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保护对象</w:t>
            </w:r>
          </w:p>
        </w:tc>
        <w:tc>
          <w:tcPr>
            <w:tcW w:w="363" w:type="pct"/>
            <w:vMerge w:val="restart"/>
            <w:tcBorders>
              <w:tl2br w:val="nil"/>
              <w:tr2bl w:val="nil"/>
            </w:tcBorders>
            <w:vAlign w:val="center"/>
          </w:tcPr>
          <w:p w14:paraId="5AAB3D8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保护内容</w:t>
            </w:r>
          </w:p>
        </w:tc>
        <w:tc>
          <w:tcPr>
            <w:tcW w:w="1296" w:type="pct"/>
            <w:vMerge w:val="restart"/>
            <w:tcBorders>
              <w:tl2br w:val="nil"/>
              <w:tr2bl w:val="nil"/>
            </w:tcBorders>
            <w:vAlign w:val="center"/>
          </w:tcPr>
          <w:p w14:paraId="799E3AF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环境功能区</w:t>
            </w:r>
          </w:p>
        </w:tc>
        <w:tc>
          <w:tcPr>
            <w:tcW w:w="440" w:type="pct"/>
            <w:vMerge w:val="restart"/>
            <w:tcBorders>
              <w:tl2br w:val="nil"/>
              <w:tr2bl w:val="nil"/>
            </w:tcBorders>
            <w:vAlign w:val="center"/>
          </w:tcPr>
          <w:p w14:paraId="3F4F7F9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相对厂址方位</w:t>
            </w:r>
          </w:p>
        </w:tc>
        <w:tc>
          <w:tcPr>
            <w:tcW w:w="523" w:type="pct"/>
            <w:vMerge w:val="restart"/>
            <w:tcBorders>
              <w:tl2br w:val="nil"/>
              <w:tr2bl w:val="nil"/>
            </w:tcBorders>
            <w:vAlign w:val="center"/>
          </w:tcPr>
          <w:p w14:paraId="4F11B2B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相对厂界距离/m</w:t>
            </w:r>
          </w:p>
        </w:tc>
      </w:tr>
      <w:tr w14:paraId="08668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tcBorders>
              <w:tl2br w:val="nil"/>
              <w:tr2bl w:val="nil"/>
            </w:tcBorders>
            <w:vAlign w:val="center"/>
          </w:tcPr>
          <w:p w14:paraId="45FE179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snapToGrid/>
                <w:color w:val="auto"/>
                <w:sz w:val="21"/>
                <w:szCs w:val="32"/>
                <w:vertAlign w:val="baseline"/>
                <w:lang w:eastAsia="zh-CN"/>
              </w:rPr>
            </w:pPr>
          </w:p>
        </w:tc>
        <w:tc>
          <w:tcPr>
            <w:tcW w:w="825" w:type="pct"/>
            <w:tcBorders>
              <w:tl2br w:val="nil"/>
              <w:tr2bl w:val="nil"/>
            </w:tcBorders>
            <w:vAlign w:val="center"/>
          </w:tcPr>
          <w:p w14:paraId="7C110B4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X</w:t>
            </w:r>
          </w:p>
        </w:tc>
        <w:tc>
          <w:tcPr>
            <w:tcW w:w="829" w:type="pct"/>
            <w:tcBorders>
              <w:tl2br w:val="nil"/>
              <w:tr2bl w:val="nil"/>
            </w:tcBorders>
            <w:vAlign w:val="center"/>
          </w:tcPr>
          <w:p w14:paraId="040CD94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Y</w:t>
            </w:r>
          </w:p>
        </w:tc>
        <w:tc>
          <w:tcPr>
            <w:tcW w:w="363" w:type="pct"/>
            <w:vMerge w:val="continue"/>
            <w:tcBorders>
              <w:tl2br w:val="nil"/>
              <w:tr2bl w:val="nil"/>
            </w:tcBorders>
            <w:vAlign w:val="center"/>
          </w:tcPr>
          <w:p w14:paraId="6F9BD74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363" w:type="pct"/>
            <w:vMerge w:val="continue"/>
            <w:tcBorders>
              <w:tl2br w:val="nil"/>
              <w:tr2bl w:val="nil"/>
            </w:tcBorders>
            <w:vAlign w:val="center"/>
          </w:tcPr>
          <w:p w14:paraId="4ED8543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1296" w:type="pct"/>
            <w:vMerge w:val="continue"/>
            <w:tcBorders>
              <w:tl2br w:val="nil"/>
              <w:tr2bl w:val="nil"/>
            </w:tcBorders>
            <w:vAlign w:val="center"/>
          </w:tcPr>
          <w:p w14:paraId="25F8C77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440" w:type="pct"/>
            <w:vMerge w:val="continue"/>
            <w:tcBorders>
              <w:tl2br w:val="nil"/>
              <w:tr2bl w:val="nil"/>
            </w:tcBorders>
            <w:vAlign w:val="center"/>
          </w:tcPr>
          <w:p w14:paraId="600511C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523" w:type="pct"/>
            <w:vMerge w:val="continue"/>
            <w:tcBorders>
              <w:tl2br w:val="nil"/>
              <w:tr2bl w:val="nil"/>
            </w:tcBorders>
            <w:vAlign w:val="center"/>
          </w:tcPr>
          <w:p w14:paraId="434BC0C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r>
      <w:tr w14:paraId="5014B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restart"/>
            <w:tcBorders>
              <w:tl2br w:val="nil"/>
              <w:tr2bl w:val="nil"/>
            </w:tcBorders>
            <w:vAlign w:val="center"/>
          </w:tcPr>
          <w:p w14:paraId="37E2927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环境空气</w:t>
            </w:r>
          </w:p>
        </w:tc>
        <w:tc>
          <w:tcPr>
            <w:tcW w:w="825" w:type="pct"/>
            <w:tcBorders>
              <w:tl2br w:val="nil"/>
              <w:tr2bl w:val="nil"/>
            </w:tcBorders>
            <w:vAlign w:val="center"/>
          </w:tcPr>
          <w:p w14:paraId="178F4C38">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90.073075756</w:t>
            </w:r>
          </w:p>
        </w:tc>
        <w:tc>
          <w:tcPr>
            <w:tcW w:w="829" w:type="pct"/>
            <w:tcBorders>
              <w:tl2br w:val="nil"/>
              <w:tr2bl w:val="nil"/>
            </w:tcBorders>
            <w:vAlign w:val="center"/>
          </w:tcPr>
          <w:p w14:paraId="0F6C90E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44.060482305</w:t>
            </w:r>
          </w:p>
        </w:tc>
        <w:tc>
          <w:tcPr>
            <w:tcW w:w="363" w:type="pct"/>
            <w:tcBorders>
              <w:tl2br w:val="nil"/>
              <w:tr2bl w:val="nil"/>
            </w:tcBorders>
            <w:vAlign w:val="center"/>
          </w:tcPr>
          <w:p w14:paraId="6F5A093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河东村</w:t>
            </w:r>
          </w:p>
        </w:tc>
        <w:tc>
          <w:tcPr>
            <w:tcW w:w="363" w:type="pct"/>
            <w:tcBorders>
              <w:tl2br w:val="nil"/>
              <w:tr2bl w:val="nil"/>
            </w:tcBorders>
            <w:vAlign w:val="center"/>
          </w:tcPr>
          <w:p w14:paraId="1C440FC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居民</w:t>
            </w:r>
          </w:p>
        </w:tc>
        <w:tc>
          <w:tcPr>
            <w:tcW w:w="1296" w:type="pct"/>
            <w:vMerge w:val="restart"/>
            <w:tcBorders>
              <w:tl2br w:val="nil"/>
              <w:tr2bl w:val="nil"/>
            </w:tcBorders>
            <w:vAlign w:val="center"/>
          </w:tcPr>
          <w:p w14:paraId="744A3AE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default" w:ascii="Times New Roman" w:hAnsi="Times New Roman" w:eastAsia="宋体" w:cs="Times New Roman"/>
                <w:b w:val="0"/>
                <w:bCs/>
                <w:snapToGrid/>
                <w:color w:val="auto"/>
                <w:sz w:val="21"/>
                <w:szCs w:val="32"/>
                <w:vertAlign w:val="baseline"/>
                <w:lang w:val="en-US" w:eastAsia="zh-CN"/>
              </w:rPr>
              <w:t>《环境空气质量标准》（GB3095-2012，含2018年修改单）二类环境功能区</w:t>
            </w:r>
          </w:p>
        </w:tc>
        <w:tc>
          <w:tcPr>
            <w:tcW w:w="440" w:type="pct"/>
            <w:tcBorders>
              <w:tl2br w:val="nil"/>
              <w:tr2bl w:val="nil"/>
            </w:tcBorders>
            <w:vAlign w:val="center"/>
          </w:tcPr>
          <w:p w14:paraId="4FF214F0">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东南侧</w:t>
            </w:r>
          </w:p>
        </w:tc>
        <w:tc>
          <w:tcPr>
            <w:tcW w:w="523" w:type="pct"/>
            <w:tcBorders>
              <w:tl2br w:val="nil"/>
              <w:tr2bl w:val="nil"/>
            </w:tcBorders>
            <w:vAlign w:val="center"/>
          </w:tcPr>
          <w:p w14:paraId="0178211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393</w:t>
            </w:r>
          </w:p>
        </w:tc>
      </w:tr>
      <w:tr w14:paraId="33F49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tcBorders>
              <w:tl2br w:val="nil"/>
              <w:tr2bl w:val="nil"/>
            </w:tcBorders>
            <w:vAlign w:val="center"/>
          </w:tcPr>
          <w:p w14:paraId="1C833F3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val="en-US" w:eastAsia="zh-CN"/>
              </w:rPr>
            </w:pPr>
          </w:p>
        </w:tc>
        <w:tc>
          <w:tcPr>
            <w:tcW w:w="825" w:type="pct"/>
            <w:tcBorders>
              <w:tl2br w:val="nil"/>
              <w:tr2bl w:val="nil"/>
            </w:tcBorders>
            <w:vAlign w:val="center"/>
          </w:tcPr>
          <w:p w14:paraId="0D21B92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90.075218009</w:t>
            </w:r>
          </w:p>
        </w:tc>
        <w:tc>
          <w:tcPr>
            <w:tcW w:w="829" w:type="pct"/>
            <w:tcBorders>
              <w:tl2br w:val="nil"/>
              <w:tr2bl w:val="nil"/>
            </w:tcBorders>
            <w:vAlign w:val="center"/>
          </w:tcPr>
          <w:p w14:paraId="2B94714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44.074871786</w:t>
            </w:r>
          </w:p>
        </w:tc>
        <w:tc>
          <w:tcPr>
            <w:tcW w:w="363" w:type="pct"/>
            <w:tcBorders>
              <w:tl2br w:val="nil"/>
              <w:tr2bl w:val="nil"/>
            </w:tcBorders>
            <w:vAlign w:val="center"/>
          </w:tcPr>
          <w:p w14:paraId="639D8F0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雀仁乡</w:t>
            </w:r>
          </w:p>
        </w:tc>
        <w:tc>
          <w:tcPr>
            <w:tcW w:w="363" w:type="pct"/>
            <w:tcBorders>
              <w:tl2br w:val="nil"/>
              <w:tr2bl w:val="nil"/>
            </w:tcBorders>
            <w:vAlign w:val="center"/>
          </w:tcPr>
          <w:p w14:paraId="700F75E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居民</w:t>
            </w:r>
          </w:p>
        </w:tc>
        <w:tc>
          <w:tcPr>
            <w:tcW w:w="1296" w:type="pct"/>
            <w:vMerge w:val="continue"/>
            <w:tcBorders>
              <w:tl2br w:val="nil"/>
              <w:tr2bl w:val="nil"/>
            </w:tcBorders>
            <w:vAlign w:val="center"/>
          </w:tcPr>
          <w:p w14:paraId="7B344F2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p>
        </w:tc>
        <w:tc>
          <w:tcPr>
            <w:tcW w:w="440" w:type="pct"/>
            <w:tcBorders>
              <w:tl2br w:val="nil"/>
              <w:tr2bl w:val="nil"/>
            </w:tcBorders>
            <w:vAlign w:val="center"/>
          </w:tcPr>
          <w:p w14:paraId="64BE4058">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北</w:t>
            </w:r>
          </w:p>
        </w:tc>
        <w:tc>
          <w:tcPr>
            <w:tcW w:w="523" w:type="pct"/>
            <w:tcBorders>
              <w:tl2br w:val="nil"/>
              <w:tr2bl w:val="nil"/>
            </w:tcBorders>
            <w:vAlign w:val="center"/>
          </w:tcPr>
          <w:p w14:paraId="14879A1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2830</w:t>
            </w:r>
          </w:p>
        </w:tc>
      </w:tr>
      <w:tr w14:paraId="3074F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5ED1077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声环境</w:t>
            </w:r>
          </w:p>
        </w:tc>
        <w:tc>
          <w:tcPr>
            <w:tcW w:w="825" w:type="pct"/>
            <w:tcBorders>
              <w:tl2br w:val="nil"/>
              <w:tr2bl w:val="nil"/>
            </w:tcBorders>
            <w:vAlign w:val="center"/>
          </w:tcPr>
          <w:p w14:paraId="0B0555A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90.071476731</w:t>
            </w:r>
          </w:p>
        </w:tc>
        <w:tc>
          <w:tcPr>
            <w:tcW w:w="829" w:type="pct"/>
            <w:tcBorders>
              <w:tl2br w:val="nil"/>
              <w:tr2bl w:val="nil"/>
            </w:tcBorders>
            <w:vAlign w:val="center"/>
          </w:tcPr>
          <w:p w14:paraId="3A6FB29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44.061725992</w:t>
            </w:r>
          </w:p>
        </w:tc>
        <w:tc>
          <w:tcPr>
            <w:tcW w:w="363" w:type="pct"/>
            <w:tcBorders>
              <w:tl2br w:val="nil"/>
              <w:tr2bl w:val="nil"/>
            </w:tcBorders>
            <w:vAlign w:val="center"/>
          </w:tcPr>
          <w:p w14:paraId="564C5F6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厂界</w:t>
            </w:r>
          </w:p>
        </w:tc>
        <w:tc>
          <w:tcPr>
            <w:tcW w:w="363" w:type="pct"/>
            <w:tcBorders>
              <w:tl2br w:val="nil"/>
              <w:tr2bl w:val="nil"/>
            </w:tcBorders>
            <w:vAlign w:val="center"/>
          </w:tcPr>
          <w:p w14:paraId="43C6A61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声环境</w:t>
            </w:r>
          </w:p>
        </w:tc>
        <w:tc>
          <w:tcPr>
            <w:tcW w:w="1296" w:type="pct"/>
            <w:tcBorders>
              <w:tl2br w:val="nil"/>
              <w:tr2bl w:val="nil"/>
            </w:tcBorders>
            <w:vAlign w:val="center"/>
          </w:tcPr>
          <w:p w14:paraId="28E6CA2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《声环境质量标准》（GB3096-2008）中</w:t>
            </w:r>
            <w:r>
              <w:rPr>
                <w:rFonts w:hint="eastAsia" w:ascii="Times New Roman" w:hAnsi="Times New Roman" w:eastAsia="宋体" w:cs="Times New Roman"/>
                <w:b w:val="0"/>
                <w:bCs/>
                <w:snapToGrid/>
                <w:color w:val="auto"/>
                <w:sz w:val="21"/>
                <w:szCs w:val="32"/>
                <w:vertAlign w:val="baseline"/>
                <w:lang w:val="en-US" w:eastAsia="zh-CN"/>
              </w:rPr>
              <w:t>2类声环境功能区</w:t>
            </w:r>
          </w:p>
        </w:tc>
        <w:tc>
          <w:tcPr>
            <w:tcW w:w="440" w:type="pct"/>
            <w:tcBorders>
              <w:tl2br w:val="nil"/>
              <w:tr2bl w:val="nil"/>
            </w:tcBorders>
            <w:vAlign w:val="center"/>
          </w:tcPr>
          <w:p w14:paraId="6711BCF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厂界周围</w:t>
            </w:r>
          </w:p>
        </w:tc>
        <w:tc>
          <w:tcPr>
            <w:tcW w:w="523" w:type="pct"/>
            <w:tcBorders>
              <w:tl2br w:val="nil"/>
              <w:tr2bl w:val="nil"/>
            </w:tcBorders>
            <w:vAlign w:val="center"/>
          </w:tcPr>
          <w:p w14:paraId="4F28D28B">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200</w:t>
            </w:r>
          </w:p>
        </w:tc>
      </w:tr>
      <w:tr w14:paraId="7997D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39784D3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地下水环境</w:t>
            </w:r>
          </w:p>
        </w:tc>
        <w:tc>
          <w:tcPr>
            <w:tcW w:w="2380" w:type="pct"/>
            <w:gridSpan w:val="4"/>
            <w:tcBorders>
              <w:tl2br w:val="nil"/>
              <w:tr2bl w:val="nil"/>
            </w:tcBorders>
            <w:vAlign w:val="center"/>
          </w:tcPr>
          <w:p w14:paraId="02C5C75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厂区地下水区域约</w:t>
            </w:r>
            <w:r>
              <w:rPr>
                <w:rFonts w:hint="eastAsia" w:ascii="Times New Roman" w:hAnsi="Times New Roman" w:eastAsia="宋体"/>
                <w:snapToGrid/>
                <w:color w:val="auto"/>
                <w:sz w:val="21"/>
                <w:lang w:val="en-US" w:eastAsia="zh-CN"/>
              </w:rPr>
              <w:t>6km</w:t>
            </w:r>
            <w:r>
              <w:rPr>
                <w:rFonts w:hint="eastAsia" w:ascii="Times New Roman" w:hAnsi="Times New Roman" w:eastAsia="宋体"/>
                <w:snapToGrid/>
                <w:color w:val="auto"/>
                <w:sz w:val="21"/>
                <w:vertAlign w:val="superscript"/>
                <w:lang w:val="en-US" w:eastAsia="zh-CN"/>
              </w:rPr>
              <w:t>2</w:t>
            </w:r>
            <w:r>
              <w:rPr>
                <w:rFonts w:ascii="Times New Roman" w:hAnsi="Times New Roman" w:eastAsia="宋体" w:cs="宋体"/>
                <w:snapToGrid/>
                <w:color w:val="auto"/>
                <w:sz w:val="21"/>
                <w:lang w:eastAsia="zh-CN"/>
              </w:rPr>
              <w:t>的区域</w:t>
            </w:r>
          </w:p>
        </w:tc>
        <w:tc>
          <w:tcPr>
            <w:tcW w:w="2260" w:type="pct"/>
            <w:gridSpan w:val="3"/>
            <w:tcBorders>
              <w:tl2br w:val="nil"/>
              <w:tr2bl w:val="nil"/>
            </w:tcBorders>
            <w:vAlign w:val="center"/>
          </w:tcPr>
          <w:p w14:paraId="45DC0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《地下水质量标准》（</w:t>
            </w:r>
            <w:r>
              <w:rPr>
                <w:rFonts w:ascii="Times New Roman" w:hAnsi="Times New Roman" w:eastAsia="宋体"/>
                <w:snapToGrid/>
                <w:color w:val="auto"/>
                <w:sz w:val="21"/>
                <w:lang w:eastAsia="zh-CN"/>
              </w:rPr>
              <w:t>GB/T14848-2017</w:t>
            </w:r>
            <w:r>
              <w:rPr>
                <w:rFonts w:ascii="Times New Roman" w:hAnsi="Times New Roman" w:eastAsia="宋体" w:cs="宋体"/>
                <w:snapToGrid/>
                <w:color w:val="auto"/>
                <w:sz w:val="21"/>
                <w:lang w:eastAsia="zh-CN"/>
              </w:rPr>
              <w:t>）Ⅲ类</w:t>
            </w:r>
          </w:p>
        </w:tc>
      </w:tr>
      <w:tr w14:paraId="00AE6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2F2F477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生态环境</w:t>
            </w:r>
          </w:p>
        </w:tc>
        <w:tc>
          <w:tcPr>
            <w:tcW w:w="4641" w:type="pct"/>
            <w:gridSpan w:val="7"/>
            <w:tcBorders>
              <w:tl2br w:val="nil"/>
              <w:tr2bl w:val="nil"/>
            </w:tcBorders>
            <w:vAlign w:val="center"/>
          </w:tcPr>
          <w:p w14:paraId="7821F09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对周边生态不构成显著的影响，不影响项目区周边的生态系统类型</w:t>
            </w:r>
          </w:p>
        </w:tc>
      </w:tr>
      <w:tr w14:paraId="24392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7FA8780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环境风险</w:t>
            </w:r>
          </w:p>
        </w:tc>
        <w:tc>
          <w:tcPr>
            <w:tcW w:w="825" w:type="pct"/>
            <w:tcBorders>
              <w:tl2br w:val="nil"/>
              <w:tr2bl w:val="nil"/>
            </w:tcBorders>
            <w:vAlign w:val="center"/>
          </w:tcPr>
          <w:p w14:paraId="3AC18D1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90.071457419</w:t>
            </w:r>
          </w:p>
        </w:tc>
        <w:tc>
          <w:tcPr>
            <w:tcW w:w="829" w:type="pct"/>
            <w:tcBorders>
              <w:tl2br w:val="nil"/>
              <w:tr2bl w:val="nil"/>
            </w:tcBorders>
            <w:vAlign w:val="center"/>
          </w:tcPr>
          <w:p w14:paraId="2F88C13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44.061150497</w:t>
            </w:r>
          </w:p>
        </w:tc>
        <w:tc>
          <w:tcPr>
            <w:tcW w:w="363" w:type="pct"/>
            <w:tcBorders>
              <w:tl2br w:val="nil"/>
              <w:tr2bl w:val="nil"/>
            </w:tcBorders>
            <w:vAlign w:val="center"/>
          </w:tcPr>
          <w:p w14:paraId="0E604FF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农田</w:t>
            </w:r>
          </w:p>
        </w:tc>
        <w:tc>
          <w:tcPr>
            <w:tcW w:w="363" w:type="pct"/>
            <w:tcBorders>
              <w:tl2br w:val="nil"/>
              <w:tr2bl w:val="nil"/>
            </w:tcBorders>
            <w:vAlign w:val="center"/>
          </w:tcPr>
          <w:p w14:paraId="7A50BAE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一般</w:t>
            </w:r>
            <w:r>
              <w:rPr>
                <w:rFonts w:hint="eastAsia" w:ascii="Times New Roman" w:hAnsi="Times New Roman" w:eastAsia="宋体" w:cs="Times New Roman"/>
                <w:b w:val="0"/>
                <w:bCs/>
                <w:snapToGrid/>
                <w:color w:val="auto"/>
                <w:sz w:val="21"/>
                <w:szCs w:val="32"/>
                <w:vertAlign w:val="baseline"/>
                <w:lang w:val="en-US" w:eastAsia="zh-CN"/>
              </w:rPr>
              <w:t>农田</w:t>
            </w:r>
          </w:p>
        </w:tc>
        <w:tc>
          <w:tcPr>
            <w:tcW w:w="1296" w:type="pct"/>
            <w:tcBorders>
              <w:tl2br w:val="nil"/>
              <w:tr2bl w:val="nil"/>
            </w:tcBorders>
            <w:vAlign w:val="center"/>
          </w:tcPr>
          <w:p w14:paraId="55A73830">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w:t>
            </w:r>
          </w:p>
        </w:tc>
        <w:tc>
          <w:tcPr>
            <w:tcW w:w="440" w:type="pct"/>
            <w:tcBorders>
              <w:tl2br w:val="nil"/>
              <w:tr2bl w:val="nil"/>
            </w:tcBorders>
            <w:vAlign w:val="center"/>
          </w:tcPr>
          <w:p w14:paraId="2E1CA54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南</w:t>
            </w:r>
          </w:p>
        </w:tc>
        <w:tc>
          <w:tcPr>
            <w:tcW w:w="523" w:type="pct"/>
            <w:tcBorders>
              <w:tl2br w:val="nil"/>
              <w:tr2bl w:val="nil"/>
            </w:tcBorders>
            <w:vAlign w:val="center"/>
          </w:tcPr>
          <w:p w14:paraId="5CA0718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50</w:t>
            </w:r>
          </w:p>
        </w:tc>
      </w:tr>
    </w:tbl>
    <w:p w14:paraId="70AB763A">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288" w:name="_Toc5979"/>
      <w:bookmarkStart w:id="289" w:name="_Toc3569"/>
      <w:bookmarkStart w:id="290" w:name="_Toc862"/>
      <w:r>
        <w:rPr>
          <w:rFonts w:hint="eastAsia" w:ascii="Times New Roman" w:hAnsi="Times New Roman" w:eastAsia="宋体" w:cs="Times New Roman"/>
          <w:snapToGrid/>
          <w:color w:val="auto"/>
          <w:lang w:eastAsia="zh-CN"/>
        </w:rPr>
        <w:t>2.6.2污染物控制目标</w:t>
      </w:r>
      <w:bookmarkEnd w:id="288"/>
      <w:bookmarkEnd w:id="289"/>
      <w:bookmarkEnd w:id="290"/>
    </w:p>
    <w:bookmarkEnd w:id="282"/>
    <w:bookmarkEnd w:id="283"/>
    <w:bookmarkEnd w:id="284"/>
    <w:p w14:paraId="47044D7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91" w:name="bookmark14"/>
      <w:bookmarkEnd w:id="291"/>
      <w:bookmarkStart w:id="292" w:name="_Toc17016"/>
      <w:bookmarkStart w:id="293" w:name="_Toc21616"/>
      <w:bookmarkStart w:id="294" w:name="_Toc23418"/>
      <w:bookmarkStart w:id="295" w:name="_Toc8580"/>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）废气控制目标</w:t>
      </w:r>
      <w:bookmarkEnd w:id="292"/>
      <w:bookmarkEnd w:id="293"/>
      <w:bookmarkEnd w:id="294"/>
      <w:bookmarkEnd w:id="295"/>
    </w:p>
    <w:p w14:paraId="0B1DAA9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保证项目废气达标排放，主要污染物排放总量能够满足国家和地方总量控制要求。区域环境空气质量不因本项目的建设运行产生明显影响。</w:t>
      </w:r>
    </w:p>
    <w:p w14:paraId="0C258E0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296" w:name="_Toc20798"/>
      <w:bookmarkStart w:id="297" w:name="_Toc5953"/>
      <w:bookmarkStart w:id="298" w:name="_Toc24082"/>
      <w:bookmarkStart w:id="299" w:name="_Toc23722"/>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）废水控制目标</w:t>
      </w:r>
      <w:bookmarkEnd w:id="296"/>
      <w:bookmarkEnd w:id="297"/>
      <w:bookmarkEnd w:id="298"/>
      <w:bookmarkEnd w:id="299"/>
    </w:p>
    <w:p w14:paraId="17C6D7C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本项目生产废水全部回用不外排，</w:t>
      </w:r>
      <w:r>
        <w:rPr>
          <w:rFonts w:hint="eastAsia" w:ascii="Times New Roman" w:hAnsi="Times New Roman"/>
          <w:snapToGrid/>
          <w:color w:val="auto"/>
          <w:sz w:val="24"/>
          <w:szCs w:val="24"/>
          <w:lang w:val="en-US" w:eastAsia="zh-CN"/>
        </w:rPr>
        <w:t>生活</w:t>
      </w:r>
      <w:r>
        <w:rPr>
          <w:rFonts w:ascii="Times New Roman" w:hAnsi="Times New Roman"/>
          <w:snapToGrid/>
          <w:color w:val="auto"/>
          <w:sz w:val="24"/>
          <w:szCs w:val="24"/>
          <w:lang w:eastAsia="zh-CN"/>
        </w:rPr>
        <w:t>污水排入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定期</w:t>
      </w:r>
      <w:r>
        <w:rPr>
          <w:rFonts w:hint="eastAsia" w:ascii="Times New Roman" w:hAnsi="Times New Roman"/>
          <w:snapToGrid/>
          <w:color w:val="auto"/>
          <w:sz w:val="24"/>
          <w:szCs w:val="24"/>
          <w:lang w:val="en-US" w:eastAsia="zh-CN"/>
        </w:rPr>
        <w:t>抽</w:t>
      </w:r>
      <w:r>
        <w:rPr>
          <w:rFonts w:hint="eastAsia" w:ascii="Times New Roman" w:hAnsi="Times New Roman"/>
          <w:snapToGrid/>
          <w:color w:val="auto"/>
          <w:sz w:val="24"/>
          <w:szCs w:val="24"/>
          <w:lang w:eastAsia="zh-CN"/>
        </w:rPr>
        <w:t>运至木垒哈萨克自治县污水处理厂处理</w:t>
      </w:r>
    </w:p>
    <w:p w14:paraId="42516F7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00" w:name="_Toc10041"/>
      <w:bookmarkStart w:id="301" w:name="_Toc31077"/>
      <w:bookmarkStart w:id="302" w:name="_Toc7097"/>
      <w:bookmarkStart w:id="303" w:name="_Toc29317"/>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3</w:t>
      </w:r>
      <w:r>
        <w:rPr>
          <w:rFonts w:ascii="Times New Roman" w:hAnsi="Times New Roman"/>
          <w:snapToGrid/>
          <w:color w:val="auto"/>
          <w:sz w:val="24"/>
          <w:szCs w:val="24"/>
          <w:lang w:eastAsia="zh-CN"/>
        </w:rPr>
        <w:t>）噪声控制目标</w:t>
      </w:r>
      <w:bookmarkEnd w:id="300"/>
      <w:bookmarkEnd w:id="301"/>
      <w:bookmarkEnd w:id="302"/>
      <w:bookmarkEnd w:id="303"/>
    </w:p>
    <w:p w14:paraId="492F326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厂界噪声达到《工业企业厂界环境噪声排放标准》（</w:t>
      </w:r>
      <w:r>
        <w:rPr>
          <w:rFonts w:ascii="Times New Roman" w:hAnsi="Times New Roman" w:cs="Times New Roman"/>
          <w:snapToGrid/>
          <w:color w:val="auto"/>
          <w:sz w:val="24"/>
          <w:szCs w:val="24"/>
          <w:lang w:eastAsia="zh-CN"/>
        </w:rPr>
        <w:t>GB12348-2008</w:t>
      </w:r>
      <w:r>
        <w:rPr>
          <w:rFonts w:ascii="Times New Roman" w:hAnsi="Times New Roman"/>
          <w:snapToGrid/>
          <w:color w:val="auto"/>
          <w:sz w:val="24"/>
          <w:szCs w:val="24"/>
          <w:lang w:eastAsia="zh-CN"/>
        </w:rPr>
        <w:t>）中的</w:t>
      </w:r>
      <w:r>
        <w:rPr>
          <w:rFonts w:hint="eastAsia"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类标准。</w:t>
      </w:r>
    </w:p>
    <w:p w14:paraId="32AE70E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04" w:name="_Toc10943"/>
      <w:bookmarkStart w:id="305" w:name="_Toc13900"/>
      <w:bookmarkStart w:id="306" w:name="_Toc20489"/>
      <w:bookmarkStart w:id="307" w:name="_Toc29132"/>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4</w:t>
      </w:r>
      <w:r>
        <w:rPr>
          <w:rFonts w:ascii="Times New Roman" w:hAnsi="Times New Roman"/>
          <w:snapToGrid/>
          <w:color w:val="auto"/>
          <w:sz w:val="24"/>
          <w:szCs w:val="24"/>
          <w:lang w:eastAsia="zh-CN"/>
        </w:rPr>
        <w:t>）固废控制目标</w:t>
      </w:r>
      <w:bookmarkEnd w:id="304"/>
      <w:bookmarkEnd w:id="305"/>
      <w:bookmarkEnd w:id="306"/>
      <w:bookmarkEnd w:id="307"/>
    </w:p>
    <w:p w14:paraId="692DA6E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所有固体废弃物均能得到妥善处</w:t>
      </w:r>
      <w:r>
        <w:rPr>
          <w:rFonts w:hint="eastAsia" w:ascii="Times New Roman" w:hAnsi="Times New Roman"/>
          <w:snapToGrid/>
          <w:color w:val="auto"/>
          <w:sz w:val="24"/>
          <w:szCs w:val="24"/>
          <w:lang w:val="en-US" w:eastAsia="zh-CN"/>
        </w:rPr>
        <w:t>置</w:t>
      </w:r>
      <w:r>
        <w:rPr>
          <w:rFonts w:ascii="Times New Roman" w:hAnsi="Times New Roman"/>
          <w:snapToGrid/>
          <w:color w:val="auto"/>
          <w:sz w:val="24"/>
          <w:szCs w:val="24"/>
          <w:lang w:eastAsia="zh-CN"/>
        </w:rPr>
        <w:t>，不产生二次污染。</w:t>
      </w:r>
    </w:p>
    <w:p w14:paraId="1767ED97">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308" w:name="bookmark15"/>
      <w:bookmarkEnd w:id="308"/>
      <w:bookmarkStart w:id="309" w:name="_Toc12538"/>
      <w:bookmarkStart w:id="310" w:name="_Toc7502"/>
      <w:bookmarkStart w:id="311" w:name="_Toc23671"/>
      <w:r>
        <w:rPr>
          <w:rFonts w:hint="eastAsia" w:ascii="Times New Roman" w:hAnsi="Times New Roman" w:eastAsia="宋体"/>
          <w:snapToGrid/>
          <w:color w:val="auto"/>
          <w:lang w:eastAsia="zh-CN"/>
        </w:rPr>
        <w:t>2.7产业政策和规划相符性分析</w:t>
      </w:r>
      <w:bookmarkEnd w:id="309"/>
      <w:bookmarkEnd w:id="310"/>
      <w:bookmarkEnd w:id="311"/>
    </w:p>
    <w:p w14:paraId="09128A42">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12" w:name="_Toc30725"/>
      <w:r>
        <w:rPr>
          <w:rFonts w:hint="eastAsia" w:ascii="Times New Roman" w:hAnsi="Times New Roman" w:eastAsia="宋体" w:cs="Times New Roman"/>
          <w:snapToGrid/>
          <w:color w:val="auto"/>
          <w:lang w:eastAsia="zh-CN"/>
        </w:rPr>
        <w:t>2.7.1产业政策</w:t>
      </w:r>
      <w:r>
        <w:rPr>
          <w:rFonts w:hint="eastAsia" w:ascii="Times New Roman" w:hAnsi="Times New Roman" w:eastAsia="宋体" w:cs="Times New Roman"/>
          <w:snapToGrid/>
          <w:color w:val="auto"/>
          <w:lang w:val="en-US" w:eastAsia="zh-CN"/>
        </w:rPr>
        <w:t>和技术政策</w:t>
      </w:r>
      <w:r>
        <w:rPr>
          <w:rFonts w:hint="eastAsia" w:ascii="Times New Roman" w:hAnsi="Times New Roman" w:eastAsia="宋体" w:cs="Times New Roman"/>
          <w:snapToGrid/>
          <w:color w:val="auto"/>
          <w:lang w:eastAsia="zh-CN"/>
        </w:rPr>
        <w:t>相符性分析</w:t>
      </w:r>
      <w:bookmarkEnd w:id="312"/>
    </w:p>
    <w:p w14:paraId="274EB5A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13" w:name="_Toc10127"/>
      <w:bookmarkStart w:id="314" w:name="_Toc18515"/>
      <w:bookmarkStart w:id="315" w:name="_Toc23773"/>
      <w:bookmarkStart w:id="316" w:name="_Toc3106"/>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）与《产业结构调整指导目录》（</w:t>
      </w:r>
      <w:r>
        <w:rPr>
          <w:rFonts w:hint="eastAsia" w:ascii="Times New Roman" w:hAnsi="Times New Roman" w:cs="Times New Roman"/>
          <w:snapToGrid/>
          <w:color w:val="auto"/>
          <w:sz w:val="24"/>
          <w:szCs w:val="24"/>
          <w:lang w:eastAsia="zh-CN"/>
        </w:rPr>
        <w:t>2024年本</w:t>
      </w:r>
      <w:r>
        <w:rPr>
          <w:rFonts w:ascii="Times New Roman" w:hAnsi="Times New Roman"/>
          <w:snapToGrid/>
          <w:color w:val="auto"/>
          <w:sz w:val="24"/>
          <w:szCs w:val="24"/>
          <w:lang w:eastAsia="zh-CN"/>
        </w:rPr>
        <w:t>）相符性分析</w:t>
      </w:r>
      <w:bookmarkEnd w:id="313"/>
      <w:bookmarkEnd w:id="314"/>
      <w:bookmarkEnd w:id="315"/>
      <w:bookmarkEnd w:id="316"/>
    </w:p>
    <w:p w14:paraId="119ACF6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本项目属于废旧资源回收利用及塑料制品生产项目，对照《产业结构调整指导目录（</w:t>
      </w:r>
      <w:r>
        <w:rPr>
          <w:rFonts w:hint="eastAsia" w:ascii="Times New Roman" w:hAnsi="Times New Roman" w:cs="Times New Roman"/>
          <w:snapToGrid/>
          <w:color w:val="auto"/>
          <w:sz w:val="24"/>
          <w:szCs w:val="24"/>
          <w:lang w:eastAsia="zh-CN"/>
        </w:rPr>
        <w:t>2024年本</w:t>
      </w:r>
      <w:r>
        <w:rPr>
          <w:rFonts w:ascii="Times New Roman" w:hAnsi="Times New Roman"/>
          <w:snapToGrid/>
          <w:color w:val="auto"/>
          <w:sz w:val="24"/>
          <w:szCs w:val="24"/>
          <w:lang w:eastAsia="zh-CN"/>
        </w:rPr>
        <w:t>）》及其修改决定，本项目属于“鼓励类”中第</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四十</w:t>
      </w:r>
      <w:r>
        <w:rPr>
          <w:rFonts w:hint="eastAsia" w:ascii="Times New Roman" w:hAnsi="Times New Roman"/>
          <w:snapToGrid/>
          <w:color w:val="auto"/>
          <w:sz w:val="24"/>
          <w:szCs w:val="24"/>
          <w:lang w:eastAsia="zh-CN"/>
        </w:rPr>
        <w:t>二</w:t>
      </w:r>
      <w:r>
        <w:rPr>
          <w:rFonts w:ascii="Times New Roman" w:hAnsi="Times New Roman"/>
          <w:snapToGrid/>
          <w:color w:val="auto"/>
          <w:sz w:val="24"/>
          <w:szCs w:val="24"/>
          <w:lang w:eastAsia="zh-CN"/>
        </w:rPr>
        <w:t>、环境保护与资源节约综合利用</w:t>
      </w:r>
      <w:r>
        <w:rPr>
          <w:rFonts w:hint="eastAsia"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废橡胶资源循环再利用技术、设备开发及应用”，符合国家产业政策。</w:t>
      </w:r>
      <w:r>
        <w:rPr>
          <w:rFonts w:hint="eastAsia" w:ascii="Times New Roman" w:hAnsi="Times New Roman"/>
          <w:snapToGrid/>
          <w:color w:val="auto"/>
          <w:sz w:val="24"/>
          <w:szCs w:val="24"/>
          <w:lang w:val="en-US" w:eastAsia="zh-CN"/>
        </w:rPr>
        <w:t>本项目用地为建设用地。</w:t>
      </w:r>
      <w:r>
        <w:rPr>
          <w:rFonts w:ascii="Times New Roman" w:hAnsi="Times New Roman"/>
          <w:snapToGrid/>
          <w:color w:val="auto"/>
          <w:sz w:val="24"/>
          <w:szCs w:val="24"/>
          <w:lang w:eastAsia="zh-CN"/>
        </w:rPr>
        <w:t>不属于</w:t>
      </w:r>
      <w:r>
        <w:rPr>
          <w:rFonts w:hint="eastAsia" w:ascii="Times New Roman" w:hAnsi="Times New Roman"/>
          <w:snapToGrid/>
          <w:color w:val="auto"/>
          <w:sz w:val="24"/>
          <w:szCs w:val="24"/>
          <w:lang w:eastAsia="zh-CN"/>
        </w:rPr>
        <w:t>自然资源部</w:t>
      </w:r>
      <w:r>
        <w:rPr>
          <w:rFonts w:ascii="Times New Roman" w:hAnsi="Times New Roman"/>
          <w:snapToGrid/>
          <w:color w:val="auto"/>
          <w:sz w:val="24"/>
          <w:szCs w:val="24"/>
          <w:lang w:eastAsia="zh-CN"/>
        </w:rPr>
        <w:t>国家发展和改革委员会关于发布实施《限制用地项目目录（</w:t>
      </w:r>
      <w:r>
        <w:rPr>
          <w:rFonts w:ascii="Times New Roman" w:hAnsi="Times New Roman" w:cs="Times New Roman"/>
          <w:snapToGrid/>
          <w:color w:val="auto"/>
          <w:sz w:val="24"/>
          <w:szCs w:val="24"/>
          <w:lang w:eastAsia="zh-CN"/>
        </w:rPr>
        <w:t>2012</w:t>
      </w:r>
      <w:r>
        <w:rPr>
          <w:rFonts w:ascii="Times New Roman" w:hAnsi="Times New Roman"/>
          <w:snapToGrid/>
          <w:color w:val="auto"/>
          <w:sz w:val="24"/>
          <w:szCs w:val="24"/>
          <w:lang w:eastAsia="zh-CN"/>
        </w:rPr>
        <w:t>年本）》和《禁止用地项目目录（</w:t>
      </w:r>
      <w:r>
        <w:rPr>
          <w:rFonts w:ascii="Times New Roman" w:hAnsi="Times New Roman" w:cs="Times New Roman"/>
          <w:snapToGrid/>
          <w:color w:val="auto"/>
          <w:sz w:val="24"/>
          <w:szCs w:val="24"/>
          <w:lang w:eastAsia="zh-CN"/>
        </w:rPr>
        <w:t>2012</w:t>
      </w:r>
      <w:r>
        <w:rPr>
          <w:rFonts w:ascii="Times New Roman" w:hAnsi="Times New Roman"/>
          <w:snapToGrid/>
          <w:color w:val="auto"/>
          <w:sz w:val="24"/>
          <w:szCs w:val="24"/>
          <w:lang w:eastAsia="zh-CN"/>
        </w:rPr>
        <w:t>年本）</w:t>
      </w:r>
      <w:r>
        <w:rPr>
          <w:rFonts w:hint="eastAsia" w:ascii="Times New Roman" w:hAnsi="Times New Roman"/>
          <w:snapToGrid/>
          <w:color w:val="auto"/>
          <w:sz w:val="24"/>
          <w:szCs w:val="24"/>
          <w:lang w:eastAsia="zh-CN"/>
        </w:rPr>
        <w:t>》的</w:t>
      </w:r>
      <w:r>
        <w:rPr>
          <w:rFonts w:ascii="Times New Roman" w:hAnsi="Times New Roman"/>
          <w:snapToGrid/>
          <w:color w:val="auto"/>
          <w:sz w:val="24"/>
          <w:szCs w:val="24"/>
          <w:lang w:eastAsia="zh-CN"/>
        </w:rPr>
        <w:t>通知中的“限制类”和“禁止类”。本项目所采用的工艺和设备均不属于《部分工业行业淘汰落后生产工艺设备和产品指导目录（</w:t>
      </w:r>
      <w:r>
        <w:rPr>
          <w:rFonts w:ascii="Times New Roman" w:hAnsi="Times New Roman" w:cs="Times New Roman"/>
          <w:snapToGrid/>
          <w:color w:val="auto"/>
          <w:sz w:val="24"/>
          <w:szCs w:val="24"/>
          <w:lang w:eastAsia="zh-CN"/>
        </w:rPr>
        <w:t>2010</w:t>
      </w:r>
      <w:r>
        <w:rPr>
          <w:rFonts w:ascii="Times New Roman" w:hAnsi="Times New Roman"/>
          <w:snapToGrid/>
          <w:color w:val="auto"/>
          <w:sz w:val="24"/>
          <w:szCs w:val="24"/>
          <w:lang w:eastAsia="zh-CN"/>
        </w:rPr>
        <w:t>年本）》（工产业</w:t>
      </w:r>
      <w:r>
        <w:rPr>
          <w:rFonts w:hint="eastAsia" w:ascii="Times New Roman" w:hAnsi="Times New Roman"/>
          <w:snapToGrid/>
          <w:color w:val="auto"/>
          <w:sz w:val="24"/>
          <w:szCs w:val="24"/>
          <w:lang w:eastAsia="zh-CN"/>
        </w:rPr>
        <w:t>〔2010〕122号</w:t>
      </w:r>
      <w:r>
        <w:rPr>
          <w:rFonts w:ascii="Times New Roman" w:hAnsi="Times New Roman"/>
          <w:snapToGrid/>
          <w:color w:val="auto"/>
          <w:sz w:val="24"/>
          <w:szCs w:val="24"/>
          <w:lang w:eastAsia="zh-CN"/>
        </w:rPr>
        <w:t>）中限制和淘汰类之列。</w:t>
      </w:r>
    </w:p>
    <w:p w14:paraId="18D3E4B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（2）</w:t>
      </w:r>
      <w:r>
        <w:rPr>
          <w:rFonts w:ascii="Times New Roman" w:hAnsi="Times New Roman"/>
          <w:snapToGrid/>
          <w:color w:val="auto"/>
          <w:sz w:val="24"/>
          <w:szCs w:val="24"/>
          <w:lang w:val="en-US" w:eastAsia="zh-CN"/>
        </w:rPr>
        <w:t>与“国务院关于印发《空气质量持续改善行</w:t>
      </w:r>
      <w:r>
        <w:rPr>
          <w:rFonts w:hint="eastAsia" w:ascii="Times New Roman" w:hAnsi="Times New Roman"/>
          <w:snapToGrid/>
          <w:color w:val="auto"/>
          <w:sz w:val="24"/>
          <w:szCs w:val="24"/>
          <w:lang w:val="en-US" w:eastAsia="zh-CN"/>
        </w:rPr>
        <w:t>动计划》的通知（国发〔</w:t>
      </w:r>
      <w:r>
        <w:rPr>
          <w:rFonts w:hint="default" w:ascii="Times New Roman" w:hAnsi="Times New Roman"/>
          <w:snapToGrid/>
          <w:color w:val="auto"/>
          <w:sz w:val="24"/>
          <w:szCs w:val="24"/>
          <w:lang w:val="en-US" w:eastAsia="zh-CN"/>
        </w:rPr>
        <w:t>2023</w:t>
      </w:r>
      <w:r>
        <w:rPr>
          <w:rFonts w:hint="eastAsia" w:ascii="Times New Roman" w:hAnsi="Times New Roman"/>
          <w:snapToGrid/>
          <w:color w:val="auto"/>
          <w:sz w:val="24"/>
          <w:szCs w:val="24"/>
          <w:lang w:val="en-US" w:eastAsia="zh-CN"/>
        </w:rPr>
        <w:t>〕</w:t>
      </w:r>
      <w:r>
        <w:rPr>
          <w:rFonts w:hint="default" w:ascii="Times New Roman" w:hAnsi="Times New Roman"/>
          <w:snapToGrid/>
          <w:color w:val="auto"/>
          <w:sz w:val="24"/>
          <w:szCs w:val="24"/>
          <w:lang w:val="en-US" w:eastAsia="zh-CN"/>
        </w:rPr>
        <w:t>24</w:t>
      </w:r>
      <w:r>
        <w:rPr>
          <w:rFonts w:hint="eastAsia" w:ascii="Times New Roman" w:hAnsi="Times New Roman"/>
          <w:snapToGrid/>
          <w:color w:val="auto"/>
          <w:sz w:val="24"/>
          <w:szCs w:val="24"/>
          <w:lang w:val="en-US" w:eastAsia="zh-CN"/>
        </w:rPr>
        <w:t>号）”的符合性分析</w:t>
      </w:r>
    </w:p>
    <w:p w14:paraId="53D4304C">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根据《空气质量持续改善行动计划》（国发〔2023〕24号）要求；</w:t>
      </w:r>
    </w:p>
    <w:p w14:paraId="7742CD11">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default" w:ascii="Times New Roman" w:hAnsi="Times New Roman"/>
          <w:snapToGrid/>
          <w:color w:val="auto"/>
          <w:sz w:val="24"/>
          <w:szCs w:val="24"/>
          <w:lang w:val="en-US"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5158061B">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default" w:ascii="Times New Roman" w:hAnsi="Times New Roman"/>
          <w:snapToGrid/>
          <w:color w:val="auto"/>
          <w:sz w:val="24"/>
          <w:szCs w:val="24"/>
          <w:lang w:val="en-US" w:eastAsia="zh-CN"/>
        </w:rPr>
        <w:t>（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ascii="Times New Roman" w:hAnsi="Times New Roman"/>
          <w:snapToGrid/>
          <w:color w:val="auto"/>
          <w:sz w:val="24"/>
          <w:szCs w:val="24"/>
          <w:vertAlign w:val="subscript"/>
          <w:lang w:val="en-US" w:eastAsia="zh-CN"/>
        </w:rPr>
        <w:t>2.5</w:t>
      </w:r>
      <w:r>
        <w:rPr>
          <w:rFonts w:hint="default" w:ascii="Times New Roman" w:hAnsi="Times New Roman"/>
          <w:snapToGrid/>
          <w:color w:val="auto"/>
          <w:sz w:val="24"/>
          <w:szCs w:val="24"/>
          <w:lang w:val="en-US" w:eastAsia="zh-CN"/>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p w14:paraId="57974EC7">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（七）优化含V0Cs原辅材料和产品结构。严格控制生产和使用高VOCs含量涂料、油墨、胶黏剂、清洗剂等建设项目，提高低（无）VOCs 含量产品比重。实施源头替代工程，加大工业涂装、包装印刷和电子行业低（无）VOCs 含量原辅材料替代力度。室外构筑物防护和城市道路交通标志推广使用低（无）VOCs含量涂料。在生产、销售、进口、使用等环节严格执行 VOCs 含量限值标准。</w:t>
      </w:r>
    </w:p>
    <w:p w14:paraId="48E4399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本项目为滴灌带回收项目，不涉及高能耗、高排放项目，本项目VOCs采用活性炭吸附+蓄热式催化燃烧处理，处理达标后经15m排气筒排出。本项目供暖采用电采暖，因此符合要求。</w:t>
      </w:r>
    </w:p>
    <w:p w14:paraId="516518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1"/>
          <w:lang w:eastAsia="zh-CN"/>
        </w:rPr>
      </w:pPr>
      <w:r>
        <w:rPr>
          <w:rFonts w:ascii="Times New Roman" w:hAnsi="Times New Roman"/>
          <w:snapToGrid/>
          <w:color w:val="auto"/>
          <w:sz w:val="24"/>
          <w:szCs w:val="21"/>
          <w:lang w:eastAsia="zh-CN"/>
        </w:rPr>
        <w:t>（</w:t>
      </w:r>
      <w:r>
        <w:rPr>
          <w:rFonts w:hint="eastAsia" w:ascii="Times New Roman" w:hAnsi="Times New Roman"/>
          <w:snapToGrid/>
          <w:color w:val="auto"/>
          <w:sz w:val="24"/>
          <w:szCs w:val="21"/>
          <w:lang w:val="en-US" w:eastAsia="zh-CN"/>
        </w:rPr>
        <w:t>3</w:t>
      </w:r>
      <w:r>
        <w:rPr>
          <w:rFonts w:ascii="Times New Roman" w:hAnsi="Times New Roman"/>
          <w:snapToGrid/>
          <w:color w:val="auto"/>
          <w:sz w:val="24"/>
          <w:szCs w:val="21"/>
          <w:lang w:eastAsia="zh-CN"/>
        </w:rPr>
        <w:t>）与《重点行业挥发性有机物综合治理方案》的符合性分析</w:t>
      </w:r>
    </w:p>
    <w:p w14:paraId="22C6977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1"/>
          <w:lang w:eastAsia="zh-CN"/>
        </w:rPr>
        <w:t>根据生态环境部2019年6月26日发布的《关于印发</w:t>
      </w:r>
      <w:r>
        <w:rPr>
          <w:rFonts w:hint="eastAsia" w:ascii="Times New Roman" w:hAnsi="Times New Roman"/>
          <w:snapToGrid/>
          <w:color w:val="auto"/>
          <w:sz w:val="24"/>
          <w:szCs w:val="21"/>
          <w:lang w:eastAsia="zh-CN"/>
        </w:rPr>
        <w:t>〈</w:t>
      </w:r>
      <w:r>
        <w:rPr>
          <w:rFonts w:ascii="Times New Roman" w:hAnsi="Times New Roman"/>
          <w:snapToGrid/>
          <w:color w:val="auto"/>
          <w:sz w:val="24"/>
          <w:szCs w:val="21"/>
          <w:lang w:eastAsia="zh-CN"/>
        </w:rPr>
        <w:t>重点行业挥发性有机物综合治理方案</w:t>
      </w:r>
      <w:r>
        <w:rPr>
          <w:rFonts w:hint="eastAsia" w:ascii="Times New Roman" w:hAnsi="Times New Roman"/>
          <w:snapToGrid/>
          <w:color w:val="auto"/>
          <w:sz w:val="24"/>
          <w:szCs w:val="21"/>
          <w:lang w:eastAsia="zh-CN"/>
        </w:rPr>
        <w:t>〉</w:t>
      </w:r>
      <w:r>
        <w:rPr>
          <w:rFonts w:ascii="Times New Roman" w:hAnsi="Times New Roman"/>
          <w:snapToGrid/>
          <w:color w:val="auto"/>
          <w:sz w:val="24"/>
          <w:szCs w:val="21"/>
          <w:lang w:eastAsia="zh-CN"/>
        </w:rPr>
        <w:t>的通知》（环大气</w:t>
      </w:r>
      <w:r>
        <w:rPr>
          <w:rFonts w:hint="eastAsia" w:ascii="Times New Roman" w:hAnsi="Times New Roman"/>
          <w:snapToGrid/>
          <w:color w:val="auto"/>
          <w:sz w:val="24"/>
          <w:szCs w:val="21"/>
          <w:lang w:eastAsia="zh-CN"/>
        </w:rPr>
        <w:t>〔2019〕53号</w:t>
      </w:r>
      <w:r>
        <w:rPr>
          <w:rFonts w:ascii="Times New Roman" w:hAnsi="Times New Roman"/>
          <w:snapToGrid/>
          <w:color w:val="auto"/>
          <w:sz w:val="24"/>
          <w:szCs w:val="21"/>
          <w:lang w:eastAsia="zh-CN"/>
        </w:rPr>
        <w:t>）中针对挥发性有机物提出的各项防治要求，本项目建设与方案的符合性分析如下</w:t>
      </w:r>
      <w:r>
        <w:rPr>
          <w:rFonts w:ascii="Times New Roman" w:hAnsi="Times New Roman"/>
          <w:snapToGrid/>
          <w:color w:val="auto"/>
          <w:sz w:val="24"/>
          <w:szCs w:val="24"/>
          <w:lang w:eastAsia="zh-CN"/>
        </w:rPr>
        <w:t>。</w:t>
      </w:r>
    </w:p>
    <w:p w14:paraId="04D8AD60">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与《重点行业挥发性有机物综合治理方案》的符合性分析一览表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70"/>
        <w:gridCol w:w="5168"/>
        <w:gridCol w:w="2805"/>
        <w:gridCol w:w="349"/>
      </w:tblGrid>
      <w:tr w14:paraId="6FA4AB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57" w:type="pct"/>
            <w:tcBorders>
              <w:tl2br w:val="nil"/>
              <w:tr2bl w:val="nil"/>
            </w:tcBorders>
            <w:vAlign w:val="center"/>
          </w:tcPr>
          <w:p w14:paraId="1AE06C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3007" w:type="pct"/>
            <w:tcBorders>
              <w:tl2br w:val="nil"/>
              <w:tr2bl w:val="nil"/>
            </w:tcBorders>
            <w:vAlign w:val="center"/>
          </w:tcPr>
          <w:p w14:paraId="5DCD66E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方案要求</w:t>
            </w:r>
          </w:p>
        </w:tc>
        <w:tc>
          <w:tcPr>
            <w:tcW w:w="1632" w:type="pct"/>
            <w:tcBorders>
              <w:tl2br w:val="nil"/>
              <w:tr2bl w:val="nil"/>
            </w:tcBorders>
            <w:vAlign w:val="center"/>
          </w:tcPr>
          <w:p w14:paraId="119754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本项目情况</w:t>
            </w:r>
          </w:p>
        </w:tc>
        <w:tc>
          <w:tcPr>
            <w:tcW w:w="203" w:type="pct"/>
            <w:tcBorders>
              <w:tl2br w:val="nil"/>
              <w:tr2bl w:val="nil"/>
            </w:tcBorders>
            <w:vAlign w:val="center"/>
          </w:tcPr>
          <w:p w14:paraId="3B3479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是否符合</w:t>
            </w:r>
          </w:p>
        </w:tc>
      </w:tr>
      <w:tr w14:paraId="61291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62" w:hRule="atLeast"/>
          <w:jc w:val="center"/>
        </w:trPr>
        <w:tc>
          <w:tcPr>
            <w:tcW w:w="157" w:type="pct"/>
            <w:tcBorders>
              <w:tl2br w:val="nil"/>
              <w:tr2bl w:val="nil"/>
            </w:tcBorders>
            <w:vAlign w:val="center"/>
          </w:tcPr>
          <w:p w14:paraId="48ADFB8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3007" w:type="pct"/>
            <w:tcBorders>
              <w:tl2br w:val="nil"/>
              <w:tr2bl w:val="nil"/>
            </w:tcBorders>
            <w:vAlign w:val="center"/>
          </w:tcPr>
          <w:p w14:paraId="24D2680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重点对含</w:t>
            </w:r>
            <w:r>
              <w:rPr>
                <w:rFonts w:eastAsia="宋体"/>
                <w:snapToGrid/>
                <w:color w:val="auto"/>
                <w:lang w:eastAsia="zh-CN"/>
              </w:rPr>
              <w:t>VOCs</w:t>
            </w:r>
            <w:r>
              <w:rPr>
                <w:rFonts w:eastAsia="宋体" w:cs="宋体"/>
                <w:snapToGrid/>
                <w:color w:val="auto"/>
                <w:lang w:eastAsia="zh-CN"/>
              </w:rPr>
              <w:t>物料（包括含</w:t>
            </w:r>
            <w:r>
              <w:rPr>
                <w:rFonts w:eastAsia="宋体"/>
                <w:snapToGrid/>
                <w:color w:val="auto"/>
                <w:lang w:eastAsia="zh-CN"/>
              </w:rPr>
              <w:t>VOCs</w:t>
            </w:r>
            <w:r>
              <w:rPr>
                <w:rFonts w:eastAsia="宋体" w:cs="宋体"/>
                <w:snapToGrid/>
                <w:color w:val="auto"/>
                <w:lang w:eastAsia="zh-CN"/>
              </w:rPr>
              <w:t>原辅材料、含</w:t>
            </w:r>
            <w:r>
              <w:rPr>
                <w:rFonts w:eastAsia="宋体"/>
                <w:snapToGrid/>
                <w:color w:val="auto"/>
                <w:lang w:eastAsia="zh-CN"/>
              </w:rPr>
              <w:t>VOCs</w:t>
            </w:r>
            <w:r>
              <w:rPr>
                <w:rFonts w:eastAsia="宋体" w:cs="宋体"/>
                <w:snapToGrid/>
                <w:color w:val="auto"/>
                <w:lang w:eastAsia="zh-CN"/>
              </w:rPr>
              <w:t>产品、含</w:t>
            </w:r>
            <w:r>
              <w:rPr>
                <w:rFonts w:eastAsia="宋体"/>
                <w:snapToGrid/>
                <w:color w:val="auto"/>
                <w:lang w:eastAsia="zh-CN"/>
              </w:rPr>
              <w:t>VOCs</w:t>
            </w:r>
            <w:r>
              <w:rPr>
                <w:rFonts w:eastAsia="宋体" w:cs="宋体"/>
                <w:snapToGrid/>
                <w:color w:val="auto"/>
                <w:lang w:eastAsia="zh-CN"/>
              </w:rPr>
              <w:t>废料以及有机聚合物材料等）储存、转移和输送、设备与管线组件泄漏、敞开液面逸散以及工艺过程等五类排放源实施管控，通过采取设备与场所密闭、工艺改进、废气有效收集等措施，削减</w:t>
            </w:r>
            <w:r>
              <w:rPr>
                <w:rFonts w:eastAsia="宋体"/>
                <w:snapToGrid/>
                <w:color w:val="auto"/>
                <w:lang w:eastAsia="zh-CN"/>
              </w:rPr>
              <w:t>VOCs</w:t>
            </w:r>
            <w:r>
              <w:rPr>
                <w:rFonts w:eastAsia="宋体" w:cs="宋体"/>
                <w:snapToGrid/>
                <w:color w:val="auto"/>
                <w:lang w:eastAsia="zh-CN"/>
              </w:rPr>
              <w:t>无组织排放</w:t>
            </w:r>
          </w:p>
        </w:tc>
        <w:tc>
          <w:tcPr>
            <w:tcW w:w="1632" w:type="pct"/>
            <w:vMerge w:val="restart"/>
            <w:tcBorders>
              <w:tl2br w:val="nil"/>
              <w:tr2bl w:val="nil"/>
            </w:tcBorders>
            <w:vAlign w:val="center"/>
          </w:tcPr>
          <w:p w14:paraId="11FF25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本项目原料采用半封闭堆棚中暂存；针对各工序有机废气产生节点设置了集气罩，收集的废气经“</w:t>
            </w:r>
            <w:r>
              <w:rPr>
                <w:rFonts w:hint="eastAsia" w:ascii="Times New Roman" w:hAnsi="Times New Roman" w:eastAsia="宋体" w:cs="宋体"/>
                <w:snapToGrid/>
                <w:color w:val="auto"/>
                <w:lang w:eastAsia="zh-CN"/>
              </w:rPr>
              <w:t>活性炭吸附+蓄热式催化燃烧</w:t>
            </w:r>
            <w:r>
              <w:rPr>
                <w:rFonts w:ascii="Times New Roman" w:hAnsi="Times New Roman" w:eastAsia="宋体" w:cs="宋体"/>
                <w:snapToGrid/>
                <w:color w:val="auto"/>
                <w:lang w:eastAsia="zh-CN"/>
              </w:rPr>
              <w:t>”装置处理后由</w:t>
            </w:r>
            <w:r>
              <w:rPr>
                <w:rFonts w:ascii="Times New Roman" w:hAnsi="Times New Roman" w:eastAsia="宋体"/>
                <w:snapToGrid/>
                <w:color w:val="auto"/>
                <w:lang w:eastAsia="zh-CN"/>
              </w:rPr>
              <w:t>15m</w:t>
            </w:r>
            <w:r>
              <w:rPr>
                <w:rFonts w:ascii="Times New Roman" w:hAnsi="Times New Roman" w:eastAsia="宋体" w:cs="宋体"/>
                <w:snapToGrid/>
                <w:color w:val="auto"/>
                <w:lang w:eastAsia="zh-CN"/>
              </w:rPr>
              <w:t>高排气筒排放</w:t>
            </w:r>
          </w:p>
        </w:tc>
        <w:tc>
          <w:tcPr>
            <w:tcW w:w="203" w:type="pct"/>
            <w:tcBorders>
              <w:tl2br w:val="nil"/>
              <w:tr2bl w:val="nil"/>
            </w:tcBorders>
            <w:vAlign w:val="center"/>
          </w:tcPr>
          <w:p w14:paraId="43E8D1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576D71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57" w:type="pct"/>
            <w:tcBorders>
              <w:tl2br w:val="nil"/>
              <w:tr2bl w:val="nil"/>
            </w:tcBorders>
            <w:vAlign w:val="center"/>
          </w:tcPr>
          <w:p w14:paraId="4717CBF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3007" w:type="pct"/>
            <w:tcBorders>
              <w:tl2br w:val="nil"/>
              <w:tr2bl w:val="nil"/>
            </w:tcBorders>
            <w:vAlign w:val="center"/>
          </w:tcPr>
          <w:p w14:paraId="63DF89E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加强设备与场所密闭管理。含</w:t>
            </w:r>
            <w:r>
              <w:rPr>
                <w:rFonts w:eastAsia="宋体"/>
                <w:snapToGrid/>
                <w:color w:val="auto"/>
                <w:lang w:eastAsia="zh-CN"/>
              </w:rPr>
              <w:t>VOCs</w:t>
            </w:r>
            <w:r>
              <w:rPr>
                <w:rFonts w:eastAsia="宋体" w:cs="宋体"/>
                <w:snapToGrid/>
                <w:color w:val="auto"/>
                <w:lang w:eastAsia="zh-CN"/>
              </w:rPr>
              <w:t>物料应储存于密闭容器、包装袋，高效密封储罐，封闭式储库、料仓等。含</w:t>
            </w:r>
            <w:r>
              <w:rPr>
                <w:rFonts w:eastAsia="宋体"/>
                <w:snapToGrid/>
                <w:color w:val="auto"/>
                <w:lang w:eastAsia="zh-CN"/>
              </w:rPr>
              <w:t>VOCs</w:t>
            </w:r>
            <w:r>
              <w:rPr>
                <w:rFonts w:eastAsia="宋体" w:cs="宋体"/>
                <w:snapToGrid/>
                <w:color w:val="auto"/>
                <w:lang w:eastAsia="zh-CN"/>
              </w:rPr>
              <w:t>物料转移和输送，应采用密闭管道或密闭容器、罐车等</w:t>
            </w:r>
          </w:p>
        </w:tc>
        <w:tc>
          <w:tcPr>
            <w:tcW w:w="1632" w:type="pct"/>
            <w:vMerge w:val="continue"/>
            <w:tcBorders>
              <w:tl2br w:val="nil"/>
              <w:tr2bl w:val="nil"/>
            </w:tcBorders>
            <w:vAlign w:val="center"/>
          </w:tcPr>
          <w:p w14:paraId="253D4AF9">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3" w:type="pct"/>
            <w:tcBorders>
              <w:tl2br w:val="nil"/>
              <w:tr2bl w:val="nil"/>
            </w:tcBorders>
            <w:vAlign w:val="center"/>
          </w:tcPr>
          <w:p w14:paraId="2DD3D52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C8C0D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157" w:type="pct"/>
            <w:tcBorders>
              <w:tl2br w:val="nil"/>
              <w:tr2bl w:val="nil"/>
            </w:tcBorders>
            <w:vAlign w:val="center"/>
          </w:tcPr>
          <w:p w14:paraId="6A0E915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3007" w:type="pct"/>
            <w:tcBorders>
              <w:tl2br w:val="nil"/>
              <w:tr2bl w:val="nil"/>
            </w:tcBorders>
            <w:vAlign w:val="center"/>
          </w:tcPr>
          <w:p w14:paraId="6C4E7280">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鼓励企业采用多种技术的组合工艺，提高</w:t>
            </w:r>
            <w:r>
              <w:rPr>
                <w:rFonts w:eastAsia="宋体"/>
                <w:snapToGrid/>
                <w:color w:val="auto"/>
                <w:lang w:eastAsia="zh-CN"/>
              </w:rPr>
              <w:t>VOCs</w:t>
            </w:r>
            <w:r>
              <w:rPr>
                <w:rFonts w:eastAsia="宋体" w:cs="宋体"/>
                <w:snapToGrid/>
                <w:color w:val="auto"/>
                <w:lang w:eastAsia="zh-CN"/>
              </w:rPr>
              <w:t>治理效率</w:t>
            </w:r>
          </w:p>
        </w:tc>
        <w:tc>
          <w:tcPr>
            <w:tcW w:w="1632" w:type="pct"/>
            <w:vMerge w:val="continue"/>
            <w:tcBorders>
              <w:tl2br w:val="nil"/>
              <w:tr2bl w:val="nil"/>
            </w:tcBorders>
            <w:vAlign w:val="center"/>
          </w:tcPr>
          <w:p w14:paraId="4799681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3" w:type="pct"/>
            <w:tcBorders>
              <w:tl2br w:val="nil"/>
              <w:tr2bl w:val="nil"/>
            </w:tcBorders>
            <w:vAlign w:val="center"/>
          </w:tcPr>
          <w:p w14:paraId="5384D80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1C28D6C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根据上述分析，本项目建设符合《关于印发</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重点行业挥发性有机物综合治理方案</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的通知》（环大气</w:t>
      </w:r>
      <w:r>
        <w:rPr>
          <w:rFonts w:hint="eastAsia" w:ascii="Times New Roman" w:hAnsi="Times New Roman"/>
          <w:snapToGrid/>
          <w:color w:val="auto"/>
          <w:sz w:val="24"/>
          <w:szCs w:val="24"/>
          <w:lang w:eastAsia="zh-CN"/>
        </w:rPr>
        <w:t>〔2019〕53号</w:t>
      </w:r>
      <w:r>
        <w:rPr>
          <w:rFonts w:ascii="Times New Roman" w:hAnsi="Times New Roman"/>
          <w:snapToGrid/>
          <w:color w:val="auto"/>
          <w:sz w:val="24"/>
          <w:szCs w:val="24"/>
          <w:lang w:eastAsia="zh-CN"/>
        </w:rPr>
        <w:t>）中的相关规定。</w:t>
      </w:r>
    </w:p>
    <w:p w14:paraId="3E49A5F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4</w:t>
      </w:r>
      <w:r>
        <w:rPr>
          <w:rFonts w:ascii="Times New Roman" w:hAnsi="Times New Roman"/>
          <w:snapToGrid/>
          <w:color w:val="auto"/>
          <w:sz w:val="24"/>
          <w:szCs w:val="24"/>
          <w:lang w:eastAsia="zh-CN"/>
        </w:rPr>
        <w:t>）与《挥发性有机物无组织排放控制标准》（GB37822-2019）相符性分析见表2.7-</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w:t>
      </w:r>
    </w:p>
    <w:p w14:paraId="07C0AAD3">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2</w:t>
      </w:r>
      <w:r>
        <w:rPr>
          <w:rFonts w:ascii="Times New Roman" w:hAnsi="Times New Roman"/>
          <w:b/>
          <w:bCs/>
          <w:snapToGrid/>
          <w:color w:val="auto"/>
          <w:sz w:val="24"/>
          <w:lang w:eastAsia="zh-CN"/>
        </w:rPr>
        <w:t>与《挥发性有机物无组织排放控制标准》符合性分析</w:t>
      </w:r>
    </w:p>
    <w:tbl>
      <w:tblPr>
        <w:tblStyle w:val="36"/>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8"/>
        <w:gridCol w:w="977"/>
        <w:gridCol w:w="2995"/>
        <w:gridCol w:w="2834"/>
        <w:gridCol w:w="886"/>
      </w:tblGrid>
      <w:tr w14:paraId="53D783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98" w:type="dxa"/>
            <w:tcBorders>
              <w:tl2br w:val="nil"/>
              <w:tr2bl w:val="nil"/>
            </w:tcBorders>
            <w:vAlign w:val="center"/>
          </w:tcPr>
          <w:p w14:paraId="2384BCA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977" w:type="dxa"/>
            <w:tcBorders>
              <w:tl2br w:val="nil"/>
              <w:tr2bl w:val="nil"/>
            </w:tcBorders>
            <w:vAlign w:val="center"/>
          </w:tcPr>
          <w:p w14:paraId="557108C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995" w:type="dxa"/>
            <w:tcBorders>
              <w:tl2br w:val="nil"/>
              <w:tr2bl w:val="nil"/>
            </w:tcBorders>
            <w:vAlign w:val="center"/>
          </w:tcPr>
          <w:p w14:paraId="1C1F7E6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要求</w:t>
            </w:r>
          </w:p>
        </w:tc>
        <w:tc>
          <w:tcPr>
            <w:tcW w:w="2834" w:type="dxa"/>
            <w:tcBorders>
              <w:tl2br w:val="nil"/>
              <w:tr2bl w:val="nil"/>
            </w:tcBorders>
            <w:vAlign w:val="center"/>
          </w:tcPr>
          <w:p w14:paraId="7415D9F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本项目情况</w:t>
            </w:r>
          </w:p>
        </w:tc>
        <w:tc>
          <w:tcPr>
            <w:tcW w:w="886" w:type="dxa"/>
            <w:tcBorders>
              <w:tl2br w:val="nil"/>
              <w:tr2bl w:val="nil"/>
            </w:tcBorders>
            <w:vAlign w:val="center"/>
          </w:tcPr>
          <w:p w14:paraId="1C3252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606F3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31" w:hRule="atLeast"/>
          <w:jc w:val="center"/>
        </w:trPr>
        <w:tc>
          <w:tcPr>
            <w:tcW w:w="698" w:type="dxa"/>
            <w:tcBorders>
              <w:tl2br w:val="nil"/>
              <w:tr2bl w:val="nil"/>
            </w:tcBorders>
            <w:vAlign w:val="center"/>
          </w:tcPr>
          <w:p w14:paraId="4CA8511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977" w:type="dxa"/>
            <w:tcBorders>
              <w:tl2br w:val="nil"/>
              <w:tr2bl w:val="nil"/>
            </w:tcBorders>
            <w:vAlign w:val="center"/>
          </w:tcPr>
          <w:p w14:paraId="4B6DFE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（一）涉</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物料的化工生产过程</w:t>
            </w:r>
          </w:p>
        </w:tc>
        <w:tc>
          <w:tcPr>
            <w:tcW w:w="2995" w:type="dxa"/>
            <w:tcBorders>
              <w:tl2br w:val="nil"/>
              <w:tr2bl w:val="nil"/>
            </w:tcBorders>
            <w:vAlign w:val="center"/>
          </w:tcPr>
          <w:p w14:paraId="13A555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物料投加和卸放①液态</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物料应采用密闭管道输送方式或采用高位槽（罐）、桶泵给料方式密闭投加。无法密闭投加的，应在密闭空间内操作，或进行局部气体收集，废气应排至</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废气收集处理系统；②粉状、粒状</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物料应采用气力输送方式或采用密闭固体投料器等给料方式密闭投加。无法密闭投加的，应在密闭空间内操作，或进行局部气体收集，废气应排至除尘设施、</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废气收集处理系统。③</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物料卸（出、放）料过程应密闭，卸料废气应排至</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废气收集处理系统；无法密闭的，应采取局部气体收集措施，废气应排至</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废气收集处理系统。</w:t>
            </w:r>
          </w:p>
        </w:tc>
        <w:tc>
          <w:tcPr>
            <w:tcW w:w="2834" w:type="dxa"/>
            <w:tcBorders>
              <w:tl2br w:val="nil"/>
              <w:tr2bl w:val="nil"/>
            </w:tcBorders>
            <w:vAlign w:val="center"/>
          </w:tcPr>
          <w:p w14:paraId="110C23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本项目有机废气设置“</w:t>
            </w:r>
            <w:r>
              <w:rPr>
                <w:rFonts w:hint="eastAsia" w:ascii="Times New Roman" w:hAnsi="Times New Roman" w:eastAsia="宋体" w:cs="宋体"/>
                <w:snapToGrid/>
                <w:color w:val="auto"/>
                <w:lang w:eastAsia="zh-CN"/>
              </w:rPr>
              <w:t>活性炭吸附+蓄热式催化燃烧</w:t>
            </w:r>
            <w:r>
              <w:rPr>
                <w:rFonts w:ascii="Times New Roman" w:hAnsi="Times New Roman" w:eastAsia="宋体" w:cs="宋体"/>
                <w:snapToGrid/>
                <w:color w:val="auto"/>
                <w:lang w:eastAsia="zh-CN"/>
              </w:rPr>
              <w:t>”处理，与生产工艺设备同步进行；当废气处理系统发生故障或检修时，对应的生产工艺设备停止运行</w:t>
            </w:r>
          </w:p>
        </w:tc>
        <w:tc>
          <w:tcPr>
            <w:tcW w:w="886" w:type="dxa"/>
            <w:tcBorders>
              <w:tl2br w:val="nil"/>
              <w:tr2bl w:val="nil"/>
            </w:tcBorders>
            <w:vAlign w:val="center"/>
          </w:tcPr>
          <w:p w14:paraId="592EFA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2A61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2" w:hRule="atLeast"/>
          <w:jc w:val="center"/>
        </w:trPr>
        <w:tc>
          <w:tcPr>
            <w:tcW w:w="698" w:type="dxa"/>
            <w:tcBorders>
              <w:tl2br w:val="nil"/>
              <w:tr2bl w:val="nil"/>
            </w:tcBorders>
            <w:vAlign w:val="center"/>
          </w:tcPr>
          <w:p w14:paraId="00B7421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977" w:type="dxa"/>
            <w:tcBorders>
              <w:tl2br w:val="nil"/>
              <w:tr2bl w:val="nil"/>
            </w:tcBorders>
            <w:vAlign w:val="center"/>
          </w:tcPr>
          <w:p w14:paraId="6B995D3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（二）配料加工和含</w:t>
            </w:r>
            <w:r>
              <w:rPr>
                <w:rFonts w:ascii="Times New Roman" w:hAnsi="Times New Roman" w:eastAsia="宋体"/>
                <w:snapToGrid/>
                <w:color w:val="auto"/>
                <w:lang w:eastAsia="zh-CN"/>
              </w:rPr>
              <w:t>VOCs</w:t>
            </w:r>
            <w:r>
              <w:rPr>
                <w:rFonts w:ascii="Times New Roman" w:hAnsi="Times New Roman" w:eastAsia="宋体" w:cs="宋体"/>
                <w:snapToGrid/>
                <w:color w:val="auto"/>
                <w:lang w:eastAsia="zh-CN"/>
              </w:rPr>
              <w:t>产品的包装</w:t>
            </w:r>
          </w:p>
        </w:tc>
        <w:tc>
          <w:tcPr>
            <w:tcW w:w="2995" w:type="dxa"/>
            <w:tcBorders>
              <w:tl2br w:val="nil"/>
              <w:tr2bl w:val="nil"/>
            </w:tcBorders>
            <w:vAlign w:val="center"/>
          </w:tcPr>
          <w:p w14:paraId="7164A5F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VOCs</w:t>
            </w:r>
            <w:r>
              <w:rPr>
                <w:rFonts w:eastAsia="宋体" w:cs="宋体"/>
                <w:snapToGrid/>
                <w:color w:val="auto"/>
                <w:lang w:eastAsia="zh-CN"/>
              </w:rPr>
              <w:t>物料混合、搅拌、研磨、造粒、切片、压块等配料加工过程，以及含</w:t>
            </w:r>
            <w:r>
              <w:rPr>
                <w:rFonts w:eastAsia="宋体"/>
                <w:snapToGrid/>
                <w:color w:val="auto"/>
                <w:lang w:eastAsia="zh-CN"/>
              </w:rPr>
              <w:t>VOCs</w:t>
            </w:r>
            <w:r>
              <w:rPr>
                <w:rFonts w:eastAsia="宋体" w:cs="宋体"/>
                <w:snapToGrid/>
                <w:color w:val="auto"/>
                <w:lang w:eastAsia="zh-CN"/>
              </w:rPr>
              <w:t>产品的包装（灌装、分装）过程应采用密闭设备或在密闭空间内操作，废气应排至</w:t>
            </w:r>
            <w:r>
              <w:rPr>
                <w:rFonts w:eastAsia="宋体"/>
                <w:snapToGrid/>
                <w:color w:val="auto"/>
                <w:lang w:eastAsia="zh-CN"/>
              </w:rPr>
              <w:t>VOCs</w:t>
            </w:r>
            <w:r>
              <w:rPr>
                <w:rFonts w:eastAsia="宋体" w:cs="宋体"/>
                <w:snapToGrid/>
                <w:color w:val="auto"/>
                <w:lang w:eastAsia="zh-CN"/>
              </w:rPr>
              <w:t>废气收集处理系统；无法密闭的，应采取局部气体收集措施，废气应排至</w:t>
            </w:r>
            <w:r>
              <w:rPr>
                <w:rFonts w:eastAsia="宋体"/>
                <w:snapToGrid/>
                <w:color w:val="auto"/>
                <w:lang w:eastAsia="zh-CN"/>
              </w:rPr>
              <w:t>VOCs</w:t>
            </w:r>
            <w:r>
              <w:rPr>
                <w:rFonts w:eastAsia="宋体" w:cs="宋体"/>
                <w:snapToGrid/>
                <w:color w:val="auto"/>
                <w:lang w:eastAsia="zh-CN"/>
              </w:rPr>
              <w:t>废气收集处理系统</w:t>
            </w:r>
          </w:p>
        </w:tc>
        <w:tc>
          <w:tcPr>
            <w:tcW w:w="2834" w:type="dxa"/>
            <w:tcBorders>
              <w:tl2br w:val="nil"/>
              <w:tr2bl w:val="nil"/>
            </w:tcBorders>
            <w:vAlign w:val="center"/>
          </w:tcPr>
          <w:p w14:paraId="6398BAA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本项目生产设备均在密闭厂房内，产生的VOCs废气经活性炭吸附+蓄热式催化燃烧后排放，因此</w:t>
            </w:r>
            <w:r>
              <w:rPr>
                <w:rFonts w:ascii="Times New Roman" w:hAnsi="Times New Roman" w:eastAsia="宋体" w:cs="宋体"/>
                <w:snapToGrid/>
                <w:color w:val="auto"/>
              </w:rPr>
              <w:t>符合相关要求</w:t>
            </w:r>
          </w:p>
        </w:tc>
        <w:tc>
          <w:tcPr>
            <w:tcW w:w="886" w:type="dxa"/>
            <w:tcBorders>
              <w:tl2br w:val="nil"/>
              <w:tr2bl w:val="nil"/>
            </w:tcBorders>
            <w:vAlign w:val="center"/>
          </w:tcPr>
          <w:p w14:paraId="0DF2C4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79A79D8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17" w:name="_Toc3711"/>
      <w:bookmarkStart w:id="318" w:name="_Toc2192"/>
      <w:bookmarkStart w:id="319" w:name="_Toc19727"/>
      <w:bookmarkStart w:id="320" w:name="_Toc10675"/>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5</w:t>
      </w:r>
      <w:r>
        <w:rPr>
          <w:rFonts w:ascii="Times New Roman" w:hAnsi="Times New Roman"/>
          <w:snapToGrid/>
          <w:color w:val="auto"/>
          <w:sz w:val="24"/>
          <w:szCs w:val="24"/>
          <w:lang w:eastAsia="zh-CN"/>
        </w:rPr>
        <w:t>）《挥发性有机物（VOCs）污染防治技术政策》的符合性</w:t>
      </w:r>
      <w:bookmarkEnd w:id="317"/>
      <w:bookmarkEnd w:id="318"/>
      <w:bookmarkEnd w:id="319"/>
      <w:bookmarkEnd w:id="320"/>
    </w:p>
    <w:p w14:paraId="630E0FF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本项目建设与《挥发性有机物（VOCs）污染防治技术政策》符合性分析详见表2.7-</w:t>
      </w:r>
      <w:r>
        <w:rPr>
          <w:rFonts w:hint="eastAsia" w:ascii="Times New Roman" w:hAnsi="Times New Roman"/>
          <w:snapToGrid/>
          <w:color w:val="auto"/>
          <w:sz w:val="24"/>
          <w:szCs w:val="24"/>
          <w:lang w:eastAsia="zh-CN"/>
        </w:rPr>
        <w:t>3</w:t>
      </w:r>
      <w:r>
        <w:rPr>
          <w:rFonts w:ascii="Times New Roman" w:hAnsi="Times New Roman"/>
          <w:snapToGrid/>
          <w:color w:val="auto"/>
          <w:sz w:val="24"/>
          <w:szCs w:val="24"/>
          <w:lang w:eastAsia="zh-CN"/>
        </w:rPr>
        <w:t>。</w:t>
      </w:r>
    </w:p>
    <w:p w14:paraId="2121570D">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3</w:t>
      </w:r>
      <w:r>
        <w:rPr>
          <w:rFonts w:ascii="Times New Roman" w:hAnsi="Times New Roman"/>
          <w:b/>
          <w:bCs/>
          <w:snapToGrid/>
          <w:color w:val="auto"/>
          <w:sz w:val="24"/>
          <w:lang w:eastAsia="zh-CN"/>
        </w:rPr>
        <w:t>与《挥发性有机物（VOCs）污染防治技术政策》符合性分析</w:t>
      </w:r>
    </w:p>
    <w:tbl>
      <w:tblPr>
        <w:tblStyle w:val="36"/>
        <w:tblW w:w="8390" w:type="dxa"/>
        <w:tblInd w:w="3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2988"/>
        <w:gridCol w:w="3108"/>
        <w:gridCol w:w="885"/>
      </w:tblGrid>
      <w:tr w14:paraId="6E5FE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4397" w:type="dxa"/>
            <w:gridSpan w:val="2"/>
            <w:tcBorders>
              <w:tl2br w:val="nil"/>
              <w:tr2bl w:val="nil"/>
            </w:tcBorders>
          </w:tcPr>
          <w:p w14:paraId="753CFED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要求</w:t>
            </w:r>
          </w:p>
        </w:tc>
        <w:tc>
          <w:tcPr>
            <w:tcW w:w="3108" w:type="dxa"/>
            <w:tcBorders>
              <w:tl2br w:val="nil"/>
              <w:tr2bl w:val="nil"/>
            </w:tcBorders>
          </w:tcPr>
          <w:p w14:paraId="2DFBEB5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本项目情况</w:t>
            </w:r>
          </w:p>
        </w:tc>
        <w:tc>
          <w:tcPr>
            <w:tcW w:w="885" w:type="dxa"/>
            <w:tcBorders>
              <w:tl2br w:val="nil"/>
              <w:tr2bl w:val="nil"/>
            </w:tcBorders>
          </w:tcPr>
          <w:p w14:paraId="4CD6CB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30EE5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409" w:type="dxa"/>
            <w:tcBorders>
              <w:tl2br w:val="nil"/>
              <w:tr2bl w:val="nil"/>
            </w:tcBorders>
          </w:tcPr>
          <w:p w14:paraId="265DCA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三、末端治理与综合利用</w:t>
            </w:r>
          </w:p>
        </w:tc>
        <w:tc>
          <w:tcPr>
            <w:tcW w:w="2988" w:type="dxa"/>
            <w:tcBorders>
              <w:tl2br w:val="nil"/>
              <w:tr2bl w:val="nil"/>
            </w:tcBorders>
          </w:tcPr>
          <w:p w14:paraId="2184A90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对于含低浓度</w:t>
            </w:r>
            <w:r>
              <w:rPr>
                <w:rFonts w:eastAsia="宋体"/>
                <w:snapToGrid/>
                <w:color w:val="auto"/>
                <w:lang w:eastAsia="zh-CN"/>
              </w:rPr>
              <w:t>VOCs</w:t>
            </w:r>
            <w:r>
              <w:rPr>
                <w:rFonts w:eastAsia="宋体" w:cs="宋体"/>
                <w:snapToGrid/>
                <w:color w:val="auto"/>
                <w:lang w:eastAsia="zh-CN"/>
              </w:rPr>
              <w:t>的废气，有回收价值时可采用吸附技术、吸收技术对有机溶剂回收后达标排放；不宜回收时，可采用吸附浓缩燃烧技术、生物技术、吸收技术、等离子体技术或紫外光高级氧化技术等净化后达标排放。</w:t>
            </w:r>
          </w:p>
        </w:tc>
        <w:tc>
          <w:tcPr>
            <w:tcW w:w="3108" w:type="dxa"/>
            <w:tcBorders>
              <w:tl2br w:val="nil"/>
              <w:tr2bl w:val="nil"/>
            </w:tcBorders>
          </w:tcPr>
          <w:p w14:paraId="6186621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本项目生产活动均在车间内进行，本环评提出对废旧塑料颗粒加工生产过程造粒工序和滴灌带生产过程挤出成型工序中产生的有机废气处理设施设置为</w:t>
            </w:r>
            <w:r>
              <w:rPr>
                <w:rFonts w:eastAsia="宋体"/>
                <w:snapToGrid/>
                <w:color w:val="auto"/>
                <w:lang w:eastAsia="zh-CN"/>
              </w:rPr>
              <w:t>“</w:t>
            </w:r>
            <w:r>
              <w:rPr>
                <w:rFonts w:hint="eastAsia" w:eastAsia="宋体" w:cs="宋体"/>
                <w:snapToGrid/>
                <w:color w:val="auto"/>
                <w:lang w:eastAsia="zh-CN"/>
              </w:rPr>
              <w:t>活性炭吸附+蓄热式催化燃烧</w:t>
            </w:r>
            <w:r>
              <w:rPr>
                <w:rFonts w:eastAsia="宋体"/>
                <w:snapToGrid/>
                <w:color w:val="auto"/>
                <w:lang w:eastAsia="zh-CN"/>
              </w:rPr>
              <w:t>”</w:t>
            </w:r>
            <w:r>
              <w:rPr>
                <w:rFonts w:eastAsia="宋体" w:cs="宋体"/>
                <w:snapToGrid/>
                <w:color w:val="auto"/>
                <w:lang w:eastAsia="zh-CN"/>
              </w:rPr>
              <w:t>处理后，经由</w:t>
            </w:r>
            <w:r>
              <w:rPr>
                <w:rFonts w:eastAsia="宋体"/>
                <w:snapToGrid/>
                <w:color w:val="auto"/>
                <w:lang w:eastAsia="zh-CN"/>
              </w:rPr>
              <w:t>15m</w:t>
            </w:r>
            <w:r>
              <w:rPr>
                <w:rFonts w:eastAsia="宋体" w:cs="宋体"/>
                <w:snapToGrid/>
                <w:color w:val="auto"/>
                <w:lang w:eastAsia="zh-CN"/>
              </w:rPr>
              <w:t>排气筒排放。</w:t>
            </w:r>
          </w:p>
        </w:tc>
        <w:tc>
          <w:tcPr>
            <w:tcW w:w="885" w:type="dxa"/>
            <w:tcBorders>
              <w:tl2br w:val="nil"/>
              <w:tr2bl w:val="nil"/>
            </w:tcBorders>
          </w:tcPr>
          <w:p w14:paraId="15D3A6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7EF67ED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6</w:t>
      </w:r>
      <w:r>
        <w:rPr>
          <w:rFonts w:ascii="Times New Roman" w:hAnsi="Times New Roman"/>
          <w:snapToGrid/>
          <w:color w:val="auto"/>
          <w:sz w:val="24"/>
          <w:szCs w:val="24"/>
          <w:lang w:eastAsia="zh-CN"/>
        </w:rPr>
        <w:t>）与《关于加快解决当前挥发性有机物治理突出问题的通知》符合性</w:t>
      </w:r>
    </w:p>
    <w:p w14:paraId="2D03E4F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本项目建设与《关于加快解决当前挥发性有机物治理突出问题的通知》符合性分析详见表2.7-</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w:t>
      </w:r>
    </w:p>
    <w:p w14:paraId="4F57A5DF">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与《关于加快解决当前挥发性有机物治理突出问题的通知》符合性分析</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51"/>
        <w:gridCol w:w="3352"/>
        <w:gridCol w:w="3183"/>
        <w:gridCol w:w="906"/>
      </w:tblGrid>
      <w:tr w14:paraId="2B7872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2620" w:type="pct"/>
            <w:gridSpan w:val="2"/>
            <w:tcBorders>
              <w:tl2br w:val="nil"/>
              <w:tr2bl w:val="nil"/>
            </w:tcBorders>
            <w:vAlign w:val="center"/>
          </w:tcPr>
          <w:p w14:paraId="091206C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要求</w:t>
            </w:r>
          </w:p>
        </w:tc>
        <w:tc>
          <w:tcPr>
            <w:tcW w:w="1852" w:type="pct"/>
            <w:tcBorders>
              <w:tl2br w:val="nil"/>
              <w:tr2bl w:val="nil"/>
            </w:tcBorders>
            <w:vAlign w:val="center"/>
          </w:tcPr>
          <w:p w14:paraId="4972B3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本项目情况</w:t>
            </w:r>
          </w:p>
        </w:tc>
        <w:tc>
          <w:tcPr>
            <w:tcW w:w="527" w:type="pct"/>
            <w:tcBorders>
              <w:tl2br w:val="nil"/>
              <w:tr2bl w:val="nil"/>
            </w:tcBorders>
            <w:vAlign w:val="center"/>
          </w:tcPr>
          <w:p w14:paraId="541B20D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5D124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33" w:hRule="atLeast"/>
          <w:jc w:val="center"/>
        </w:trPr>
        <w:tc>
          <w:tcPr>
            <w:tcW w:w="670" w:type="pct"/>
            <w:tcBorders>
              <w:tl2br w:val="nil"/>
              <w:tr2bl w:val="nil"/>
            </w:tcBorders>
            <w:vAlign w:val="center"/>
          </w:tcPr>
          <w:p w14:paraId="2A158B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废气收集设施</w:t>
            </w:r>
          </w:p>
        </w:tc>
        <w:tc>
          <w:tcPr>
            <w:tcW w:w="1949" w:type="pct"/>
            <w:tcBorders>
              <w:tl2br w:val="nil"/>
              <w:tr2bl w:val="nil"/>
            </w:tcBorders>
            <w:vAlign w:val="center"/>
          </w:tcPr>
          <w:p w14:paraId="4A860D9C">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产生</w:t>
            </w:r>
            <w:r>
              <w:rPr>
                <w:rFonts w:eastAsia="宋体"/>
                <w:snapToGrid/>
                <w:color w:val="auto"/>
                <w:lang w:eastAsia="zh-CN"/>
              </w:rPr>
              <w:t>VOCs</w:t>
            </w:r>
            <w:r>
              <w:rPr>
                <w:rFonts w:eastAsia="宋体" w:cs="宋体"/>
                <w:snapToGrid/>
                <w:color w:val="auto"/>
                <w:lang w:eastAsia="zh-CN"/>
              </w:rPr>
              <w:t>的生产环节优先采用密闭设备，在密闭空间中操作或采用全密闭集气罩收集方式，并保持负压运行。对采用局部收集方式的企业，距废气收集系统排风罩开口面最远处的</w:t>
            </w:r>
            <w:r>
              <w:rPr>
                <w:rFonts w:eastAsia="宋体"/>
                <w:snapToGrid/>
                <w:color w:val="auto"/>
                <w:lang w:eastAsia="zh-CN"/>
              </w:rPr>
              <w:t>VOCs</w:t>
            </w:r>
            <w:r>
              <w:rPr>
                <w:rFonts w:eastAsia="宋体" w:cs="宋体"/>
                <w:snapToGrid/>
                <w:color w:val="auto"/>
                <w:lang w:eastAsia="zh-CN"/>
              </w:rPr>
              <w:t>无组织排放位置控制风速不低于</w:t>
            </w:r>
            <w:r>
              <w:rPr>
                <w:rFonts w:eastAsia="宋体"/>
                <w:snapToGrid/>
                <w:color w:val="auto"/>
                <w:lang w:eastAsia="zh-CN"/>
              </w:rPr>
              <w:t>0.3m/s</w:t>
            </w:r>
            <w:r>
              <w:rPr>
                <w:rFonts w:eastAsia="宋体" w:cs="宋体"/>
                <w:snapToGrid/>
                <w:color w:val="auto"/>
                <w:lang w:eastAsia="zh-CN"/>
              </w:rPr>
              <w:t>；推广以生产线或设备为单位设置隔间，收集风量应确保隔间保持微负压。</w:t>
            </w:r>
          </w:p>
        </w:tc>
        <w:tc>
          <w:tcPr>
            <w:tcW w:w="1852" w:type="pct"/>
            <w:tcBorders>
              <w:tl2br w:val="nil"/>
              <w:tr2bl w:val="nil"/>
            </w:tcBorders>
            <w:vAlign w:val="center"/>
          </w:tcPr>
          <w:p w14:paraId="6347379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w:t>
            </w:r>
            <w:r>
              <w:rPr>
                <w:rFonts w:eastAsia="宋体"/>
                <w:snapToGrid/>
                <w:color w:val="auto"/>
                <w:lang w:eastAsia="zh-CN"/>
              </w:rPr>
              <w:t>VOCs</w:t>
            </w:r>
            <w:r>
              <w:rPr>
                <w:rFonts w:eastAsia="宋体" w:cs="宋体"/>
                <w:snapToGrid/>
                <w:color w:val="auto"/>
                <w:lang w:eastAsia="zh-CN"/>
              </w:rPr>
              <w:t>采用局部负压收集方式。</w:t>
            </w:r>
          </w:p>
        </w:tc>
        <w:tc>
          <w:tcPr>
            <w:tcW w:w="527" w:type="pct"/>
            <w:tcBorders>
              <w:tl2br w:val="nil"/>
              <w:tr2bl w:val="nil"/>
            </w:tcBorders>
            <w:vAlign w:val="center"/>
          </w:tcPr>
          <w:p w14:paraId="5D3791C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3097D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02" w:hRule="atLeast"/>
          <w:jc w:val="center"/>
        </w:trPr>
        <w:tc>
          <w:tcPr>
            <w:tcW w:w="670" w:type="pct"/>
            <w:tcBorders>
              <w:tl2br w:val="nil"/>
              <w:tr2bl w:val="nil"/>
            </w:tcBorders>
            <w:vAlign w:val="center"/>
          </w:tcPr>
          <w:p w14:paraId="1BCAF2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有机废气治理设施</w:t>
            </w:r>
          </w:p>
        </w:tc>
        <w:tc>
          <w:tcPr>
            <w:tcW w:w="1949" w:type="pct"/>
            <w:tcBorders>
              <w:tl2br w:val="nil"/>
              <w:tr2bl w:val="nil"/>
            </w:tcBorders>
            <w:vAlign w:val="center"/>
          </w:tcPr>
          <w:p w14:paraId="0B1E7EC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新建治理设施或对治理设施实施改造，应依据排放废气特征、</w:t>
            </w:r>
            <w:r>
              <w:rPr>
                <w:rFonts w:eastAsia="宋体"/>
                <w:snapToGrid/>
                <w:color w:val="auto"/>
                <w:lang w:eastAsia="zh-CN"/>
              </w:rPr>
              <w:t>VOCs</w:t>
            </w:r>
            <w:r>
              <w:rPr>
                <w:rFonts w:eastAsia="宋体" w:cs="宋体"/>
                <w:snapToGrid/>
                <w:color w:val="auto"/>
                <w:lang w:eastAsia="zh-CN"/>
              </w:rPr>
              <w:t>组分及浓度、生产工况等，合理选择治理技术；对治理难度大、单一治理工艺难以稳定达标的，宜采用多种技术的组合工艺；除恶臭异味治理外，一般不使用低温等离子、光催化、光氧化等技术。</w:t>
            </w:r>
          </w:p>
        </w:tc>
        <w:tc>
          <w:tcPr>
            <w:tcW w:w="1852" w:type="pct"/>
            <w:tcBorders>
              <w:tl2br w:val="nil"/>
              <w:tr2bl w:val="nil"/>
            </w:tcBorders>
            <w:vAlign w:val="center"/>
          </w:tcPr>
          <w:p w14:paraId="25CD61B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本环评提出对废旧塑料颗粒加工生产过程造粒工序和滴灌带生产过程挤出成型工序中产生的有机废气处理设施设置为</w:t>
            </w:r>
            <w:r>
              <w:rPr>
                <w:rFonts w:eastAsia="宋体"/>
                <w:snapToGrid/>
                <w:color w:val="auto"/>
                <w:lang w:eastAsia="zh-CN"/>
              </w:rPr>
              <w:t>“</w:t>
            </w:r>
            <w:r>
              <w:rPr>
                <w:rFonts w:hint="eastAsia" w:eastAsia="宋体" w:cs="宋体"/>
                <w:snapToGrid/>
                <w:color w:val="auto"/>
                <w:lang w:eastAsia="zh-CN"/>
              </w:rPr>
              <w:t>活性炭吸附+蓄热式催化燃烧</w:t>
            </w:r>
            <w:r>
              <w:rPr>
                <w:rFonts w:eastAsia="宋体"/>
                <w:snapToGrid/>
                <w:color w:val="auto"/>
                <w:lang w:eastAsia="zh-CN"/>
              </w:rPr>
              <w:t>”</w:t>
            </w:r>
            <w:r>
              <w:rPr>
                <w:rFonts w:eastAsia="宋体" w:cs="宋体"/>
                <w:snapToGrid/>
                <w:color w:val="auto"/>
                <w:lang w:eastAsia="zh-CN"/>
              </w:rPr>
              <w:t>处理后，经由</w:t>
            </w:r>
            <w:r>
              <w:rPr>
                <w:rFonts w:eastAsia="宋体"/>
                <w:snapToGrid/>
                <w:color w:val="auto"/>
                <w:lang w:eastAsia="zh-CN"/>
              </w:rPr>
              <w:t>15m</w:t>
            </w:r>
            <w:r>
              <w:rPr>
                <w:rFonts w:eastAsia="宋体" w:cs="宋体"/>
                <w:snapToGrid/>
                <w:color w:val="auto"/>
                <w:lang w:eastAsia="zh-CN"/>
              </w:rPr>
              <w:t>排气筒排放。</w:t>
            </w:r>
          </w:p>
        </w:tc>
        <w:tc>
          <w:tcPr>
            <w:tcW w:w="527" w:type="pct"/>
            <w:tcBorders>
              <w:tl2br w:val="nil"/>
              <w:tr2bl w:val="nil"/>
            </w:tcBorders>
            <w:vAlign w:val="center"/>
          </w:tcPr>
          <w:p w14:paraId="0AB87F0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5FB48B84">
      <w:pPr>
        <w:pStyle w:val="6"/>
        <w:keepNext/>
        <w:keepLines/>
        <w:pageBreakBefore w:val="0"/>
        <w:widowControl w:val="0"/>
        <w:shd w:val="clear"/>
        <w:kinsoku/>
        <w:wordWrap/>
        <w:overflowPunct/>
        <w:topLinePunct w:val="0"/>
        <w:autoSpaceDE/>
        <w:autoSpaceDN/>
        <w:bidi w:val="0"/>
        <w:adjustRightInd/>
        <w:snapToGrid/>
        <w:spacing w:line="360" w:lineRule="auto"/>
        <w:ind w:firstLine="562" w:firstLineChars="200"/>
        <w:jc w:val="both"/>
        <w:textAlignment w:val="auto"/>
        <w:outlineLvl w:val="2"/>
        <w:rPr>
          <w:rFonts w:hint="eastAsia" w:ascii="Times New Roman" w:hAnsi="Times New Roman" w:eastAsia="宋体" w:cs="Times New Roman"/>
          <w:b/>
          <w:bCs/>
          <w:snapToGrid/>
          <w:color w:val="auto"/>
          <w:sz w:val="28"/>
          <w:szCs w:val="32"/>
          <w:lang w:val="en-US" w:eastAsia="zh-CN" w:bidi="ar-SA"/>
        </w:rPr>
      </w:pPr>
      <w:bookmarkStart w:id="321" w:name="_Toc19248"/>
      <w:bookmarkStart w:id="322" w:name="_Toc20896"/>
      <w:r>
        <w:rPr>
          <w:rFonts w:hint="eastAsia" w:ascii="Times New Roman" w:hAnsi="Times New Roman" w:eastAsia="宋体" w:cs="Times New Roman"/>
          <w:b/>
          <w:bCs/>
          <w:snapToGrid/>
          <w:color w:val="auto"/>
          <w:sz w:val="28"/>
          <w:szCs w:val="32"/>
          <w:lang w:val="en-US" w:eastAsia="zh-CN" w:bidi="ar-SA"/>
        </w:rPr>
        <w:t>2.7.2行业技术规范的规划的符合性分析</w:t>
      </w:r>
      <w:bookmarkEnd w:id="321"/>
      <w:bookmarkEnd w:id="322"/>
    </w:p>
    <w:p w14:paraId="4E8F258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（1）与《废塑料综合利用行业规范条件》符合性分析见表2.7-</w:t>
      </w:r>
      <w:r>
        <w:rPr>
          <w:rFonts w:hint="eastAsia" w:ascii="Times New Roman" w:hAnsi="Times New Roman"/>
          <w:snapToGrid/>
          <w:color w:val="auto"/>
          <w:sz w:val="24"/>
          <w:szCs w:val="24"/>
          <w:lang w:eastAsia="zh-CN"/>
        </w:rPr>
        <w:t>5</w:t>
      </w:r>
      <w:r>
        <w:rPr>
          <w:rFonts w:ascii="Times New Roman" w:hAnsi="Times New Roman"/>
          <w:snapToGrid/>
          <w:color w:val="auto"/>
          <w:sz w:val="24"/>
          <w:szCs w:val="24"/>
          <w:lang w:eastAsia="zh-CN"/>
        </w:rPr>
        <w:t>。</w:t>
      </w:r>
    </w:p>
    <w:p w14:paraId="6CF3FBB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（2）与《废塑料污染控制技术规范》（HJ/T364-2022）符合性分析见表2.7-</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w:t>
      </w:r>
    </w:p>
    <w:p w14:paraId="7F9CE37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（3）与《废塑料综合利用行业规范条件公告管理暂行办法》紧密相关的内容具体分析内容见表2.7-</w:t>
      </w:r>
      <w:r>
        <w:rPr>
          <w:rFonts w:hint="eastAsia" w:ascii="Times New Roman" w:hAnsi="Times New Roman"/>
          <w:snapToGrid/>
          <w:color w:val="auto"/>
          <w:sz w:val="24"/>
          <w:szCs w:val="24"/>
          <w:lang w:eastAsia="zh-CN"/>
        </w:rPr>
        <w:t>7</w:t>
      </w:r>
      <w:r>
        <w:rPr>
          <w:rFonts w:ascii="Times New Roman" w:hAnsi="Times New Roman"/>
          <w:snapToGrid/>
          <w:color w:val="auto"/>
          <w:sz w:val="24"/>
          <w:szCs w:val="24"/>
          <w:lang w:eastAsia="zh-CN"/>
        </w:rPr>
        <w:t>。</w:t>
      </w:r>
    </w:p>
    <w:p w14:paraId="7321B7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（4）与《关于进一步加强塑料污染治理的意见》符合性分析见表2.7-</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w:t>
      </w:r>
    </w:p>
    <w:p w14:paraId="16BCF85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（5）与《关于促进全区废旧塑料再生利用行业有序发展的指导意见》（新环环评发〔2020〕5号）符合性分析见表2.7-</w:t>
      </w:r>
      <w:r>
        <w:rPr>
          <w:rFonts w:hint="eastAsia" w:ascii="Times New Roman" w:hAnsi="Times New Roman"/>
          <w:snapToGrid/>
          <w:color w:val="auto"/>
          <w:sz w:val="24"/>
          <w:szCs w:val="24"/>
          <w:lang w:eastAsia="zh-CN"/>
        </w:rPr>
        <w:t>9</w:t>
      </w:r>
      <w:r>
        <w:rPr>
          <w:rFonts w:ascii="Times New Roman" w:hAnsi="Times New Roman"/>
          <w:snapToGrid/>
          <w:color w:val="auto"/>
          <w:sz w:val="24"/>
          <w:szCs w:val="24"/>
          <w:lang w:eastAsia="zh-CN"/>
        </w:rPr>
        <w:t>。</w:t>
      </w:r>
    </w:p>
    <w:p w14:paraId="55AFF05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（6）与《废塑料再生利用技术规范》（GB/T37821-2019）符合性分析见表2.7-1</w:t>
      </w:r>
      <w:r>
        <w:rPr>
          <w:rFonts w:hint="eastAsia" w:ascii="Times New Roman" w:hAnsi="Times New Roman"/>
          <w:snapToGrid/>
          <w:color w:val="auto"/>
          <w:sz w:val="24"/>
          <w:szCs w:val="24"/>
          <w:lang w:eastAsia="zh-CN"/>
        </w:rPr>
        <w:t>0</w:t>
      </w:r>
      <w:r>
        <w:rPr>
          <w:rFonts w:ascii="Times New Roman" w:hAnsi="Times New Roman"/>
          <w:snapToGrid/>
          <w:color w:val="auto"/>
          <w:sz w:val="24"/>
          <w:szCs w:val="24"/>
          <w:lang w:eastAsia="zh-CN"/>
        </w:rPr>
        <w:t>。</w:t>
      </w:r>
    </w:p>
    <w:p w14:paraId="600D1A8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（7）与《废塑料回收技术规范》（GB/T39171-2020）符合性分析见表2.7-1</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w:t>
      </w:r>
    </w:p>
    <w:p w14:paraId="28C959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9" w:type="default"/>
          <w:footerReference r:id="rId10" w:type="default"/>
          <w:pgSz w:w="11906" w:h="16838"/>
          <w:pgMar w:top="1136" w:right="1630" w:bottom="1157" w:left="1711" w:header="868" w:footer="994" w:gutter="0"/>
          <w:pgBorders>
            <w:top w:val="none" w:sz="0" w:space="0"/>
            <w:left w:val="none" w:sz="0" w:space="0"/>
            <w:bottom w:val="none" w:sz="0" w:space="0"/>
            <w:right w:val="none" w:sz="0" w:space="0"/>
          </w:pgBorders>
          <w:cols w:space="720" w:num="1"/>
        </w:sectPr>
      </w:pPr>
    </w:p>
    <w:p w14:paraId="3C516F29">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5</w:t>
      </w:r>
      <w:r>
        <w:rPr>
          <w:rFonts w:ascii="Times New Roman" w:hAnsi="Times New Roman"/>
          <w:b/>
          <w:bCs/>
          <w:snapToGrid/>
          <w:color w:val="auto"/>
          <w:sz w:val="24"/>
          <w:lang w:eastAsia="zh-CN"/>
        </w:rPr>
        <w:t>与《废塑料综合利用行业规范条件》符合性分析</w:t>
      </w:r>
    </w:p>
    <w:tbl>
      <w:tblPr>
        <w:tblStyle w:val="36"/>
        <w:tblW w:w="139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0"/>
        <w:gridCol w:w="710"/>
        <w:gridCol w:w="7066"/>
        <w:gridCol w:w="4617"/>
        <w:gridCol w:w="869"/>
      </w:tblGrid>
      <w:tr w14:paraId="660F3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720" w:type="dxa"/>
            <w:tcBorders>
              <w:tl2br w:val="nil"/>
              <w:tr2bl w:val="nil"/>
            </w:tcBorders>
            <w:vAlign w:val="center"/>
          </w:tcPr>
          <w:p w14:paraId="222732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710" w:type="dxa"/>
            <w:tcBorders>
              <w:tl2br w:val="nil"/>
              <w:tr2bl w:val="nil"/>
            </w:tcBorders>
            <w:vAlign w:val="center"/>
          </w:tcPr>
          <w:p w14:paraId="6538249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7066" w:type="dxa"/>
            <w:tcBorders>
              <w:tl2br w:val="nil"/>
              <w:tr2bl w:val="nil"/>
            </w:tcBorders>
            <w:vAlign w:val="center"/>
          </w:tcPr>
          <w:p w14:paraId="734A3C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4617" w:type="dxa"/>
            <w:tcBorders>
              <w:tl2br w:val="nil"/>
              <w:tr2bl w:val="nil"/>
            </w:tcBorders>
            <w:vAlign w:val="center"/>
          </w:tcPr>
          <w:p w14:paraId="3115043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项目建设情况</w:t>
            </w:r>
          </w:p>
        </w:tc>
        <w:tc>
          <w:tcPr>
            <w:tcW w:w="869" w:type="dxa"/>
            <w:tcBorders>
              <w:tl2br w:val="nil"/>
              <w:tr2bl w:val="nil"/>
            </w:tcBorders>
            <w:vAlign w:val="center"/>
          </w:tcPr>
          <w:p w14:paraId="6F2F2FD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符合性分析</w:t>
            </w:r>
          </w:p>
        </w:tc>
      </w:tr>
      <w:tr w14:paraId="343210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720" w:type="dxa"/>
            <w:vMerge w:val="restart"/>
            <w:tcBorders>
              <w:tl2br w:val="nil"/>
              <w:tr2bl w:val="nil"/>
            </w:tcBorders>
            <w:vAlign w:val="center"/>
          </w:tcPr>
          <w:p w14:paraId="30AF5C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710" w:type="dxa"/>
            <w:vMerge w:val="restart"/>
            <w:tcBorders>
              <w:tl2br w:val="nil"/>
              <w:tr2bl w:val="nil"/>
            </w:tcBorders>
            <w:vAlign w:val="center"/>
          </w:tcPr>
          <w:p w14:paraId="7502B6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企业的设立和布局</w:t>
            </w:r>
          </w:p>
        </w:tc>
        <w:tc>
          <w:tcPr>
            <w:tcW w:w="7066" w:type="dxa"/>
            <w:tcBorders>
              <w:tl2br w:val="nil"/>
              <w:tr2bl w:val="nil"/>
            </w:tcBorders>
            <w:vAlign w:val="center"/>
          </w:tcPr>
          <w:p w14:paraId="415F993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废塑料综合利用企业是指采用物理机械法对热塑性废塑料进行再生加工的企业，企业类型主要包括</w:t>
            </w:r>
            <w:r>
              <w:rPr>
                <w:rFonts w:eastAsia="宋体"/>
                <w:snapToGrid/>
                <w:color w:val="auto"/>
                <w:lang w:eastAsia="zh-CN"/>
              </w:rPr>
              <w:t>PET</w:t>
            </w:r>
            <w:r>
              <w:rPr>
                <w:rFonts w:eastAsia="宋体" w:cs="宋体"/>
                <w:snapToGrid/>
                <w:color w:val="auto"/>
                <w:lang w:eastAsia="zh-CN"/>
              </w:rPr>
              <w:t>再生瓶片类企业、废塑料破碎清洗分选类企业以及塑料再生造粒类企业</w:t>
            </w:r>
          </w:p>
        </w:tc>
        <w:tc>
          <w:tcPr>
            <w:tcW w:w="4617" w:type="dxa"/>
            <w:tcBorders>
              <w:tl2br w:val="nil"/>
              <w:tr2bl w:val="nil"/>
            </w:tcBorders>
            <w:vAlign w:val="center"/>
          </w:tcPr>
          <w:p w14:paraId="7ABD42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本项目采用物理机械对热塑性废塑料进行再生加工，企业类型为塑料再生造粒类企业</w:t>
            </w:r>
          </w:p>
        </w:tc>
        <w:tc>
          <w:tcPr>
            <w:tcW w:w="869" w:type="dxa"/>
            <w:tcBorders>
              <w:tl2br w:val="nil"/>
              <w:tr2bl w:val="nil"/>
            </w:tcBorders>
            <w:vAlign w:val="center"/>
          </w:tcPr>
          <w:p w14:paraId="39DDCA7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3C06D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720" w:type="dxa"/>
            <w:vMerge w:val="continue"/>
            <w:tcBorders>
              <w:tl2br w:val="nil"/>
              <w:tr2bl w:val="nil"/>
            </w:tcBorders>
            <w:vAlign w:val="center"/>
          </w:tcPr>
          <w:p w14:paraId="689BCD3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2C957A8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12D1EA5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废塑料综合利用企业所涉及的热塑性废塑料原料，不包括受到危险化学品、农药等污染的废弃塑料包装物、废弃一次性医疗用塑料制品等塑料类危险废物，以及氟塑料等特种工程塑料</w:t>
            </w:r>
          </w:p>
        </w:tc>
        <w:tc>
          <w:tcPr>
            <w:tcW w:w="4617" w:type="dxa"/>
            <w:tcBorders>
              <w:tl2br w:val="nil"/>
              <w:tr2bl w:val="nil"/>
            </w:tcBorders>
            <w:vAlign w:val="center"/>
          </w:tcPr>
          <w:p w14:paraId="51AC6B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本项目原料为回收的废旧滴灌带，不包括受到危险化学品、农药等污染的废弃塑料包装物、废弃一次性医疗用品等塑料类危险废物</w:t>
            </w:r>
          </w:p>
        </w:tc>
        <w:tc>
          <w:tcPr>
            <w:tcW w:w="869" w:type="dxa"/>
            <w:tcBorders>
              <w:tl2br w:val="nil"/>
              <w:tr2bl w:val="nil"/>
            </w:tcBorders>
            <w:vAlign w:val="center"/>
          </w:tcPr>
          <w:p w14:paraId="61EA66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9CF3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34" w:hRule="atLeast"/>
          <w:jc w:val="center"/>
        </w:trPr>
        <w:tc>
          <w:tcPr>
            <w:tcW w:w="720" w:type="dxa"/>
            <w:vMerge w:val="continue"/>
            <w:tcBorders>
              <w:tl2br w:val="nil"/>
              <w:tr2bl w:val="nil"/>
            </w:tcBorders>
            <w:vAlign w:val="center"/>
          </w:tcPr>
          <w:p w14:paraId="1B29507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76E951D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690103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新建及改造、扩建废塑料加工企业应符合国家产业政策及所在地区土地利用总体规划、城乡建设规划、环境保护、污染防治规划。企业建设应有规范化设计要求，采用节能环保技术及生产装备</w:t>
            </w:r>
          </w:p>
        </w:tc>
        <w:tc>
          <w:tcPr>
            <w:tcW w:w="4617" w:type="dxa"/>
            <w:tcBorders>
              <w:tl2br w:val="nil"/>
              <w:tr2bl w:val="nil"/>
            </w:tcBorders>
            <w:vAlign w:val="center"/>
          </w:tcPr>
          <w:p w14:paraId="3DCE420E">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本项目废旧塑料再生利用新建项目，符合《产业结构调整指导目录（</w:t>
            </w:r>
            <w:r>
              <w:rPr>
                <w:rFonts w:hint="eastAsia" w:eastAsia="宋体"/>
                <w:snapToGrid/>
                <w:color w:val="auto"/>
                <w:lang w:eastAsia="zh-CN"/>
              </w:rPr>
              <w:t>2024年本</w:t>
            </w:r>
            <w:r>
              <w:rPr>
                <w:rFonts w:eastAsia="宋体" w:cs="宋体"/>
                <w:snapToGrid/>
                <w:color w:val="auto"/>
                <w:lang w:eastAsia="zh-CN"/>
              </w:rPr>
              <w:t>）》中“鼓励类”环境保护与资源节约综合利用类第</w:t>
            </w:r>
            <w:r>
              <w:rPr>
                <w:rFonts w:hint="eastAsia" w:eastAsia="宋体"/>
                <w:snapToGrid/>
                <w:color w:val="auto"/>
                <w:lang w:eastAsia="zh-CN"/>
              </w:rPr>
              <w:t>8</w:t>
            </w:r>
            <w:r>
              <w:rPr>
                <w:rFonts w:eastAsia="宋体" w:cs="宋体"/>
                <w:snapToGrid/>
                <w:color w:val="auto"/>
                <w:lang w:eastAsia="zh-CN"/>
              </w:rPr>
              <w:t>条“废塑料等资源循环再利用技术、设备开发及应用”</w:t>
            </w:r>
            <w:r>
              <w:rPr>
                <w:rFonts w:hint="eastAsia" w:eastAsia="宋体"/>
                <w:color w:val="auto"/>
                <w:lang w:eastAsia="zh-CN"/>
              </w:rPr>
              <w:t>，</w:t>
            </w:r>
            <w:r>
              <w:rPr>
                <w:rFonts w:eastAsia="宋体" w:cs="宋体"/>
                <w:snapToGrid/>
                <w:color w:val="auto"/>
                <w:lang w:eastAsia="zh-CN"/>
              </w:rPr>
              <w:t>项目位于</w:t>
            </w:r>
            <w:r>
              <w:rPr>
                <w:rFonts w:hint="eastAsia" w:eastAsia="宋体" w:cs="宋体"/>
                <w:snapToGrid/>
                <w:color w:val="auto"/>
                <w:lang w:eastAsia="zh-CN"/>
              </w:rPr>
              <w:t>木垒哈萨克自治县雀仁乡河中村</w:t>
            </w:r>
            <w:r>
              <w:rPr>
                <w:rFonts w:eastAsia="宋体" w:cs="宋体"/>
                <w:snapToGrid/>
                <w:color w:val="auto"/>
                <w:lang w:eastAsia="zh-CN"/>
              </w:rPr>
              <w:t>，符合</w:t>
            </w:r>
            <w:r>
              <w:rPr>
                <w:rFonts w:hint="eastAsia" w:eastAsia="宋体" w:cs="宋体"/>
                <w:snapToGrid/>
                <w:color w:val="auto"/>
                <w:lang w:eastAsia="zh-CN"/>
              </w:rPr>
              <w:t>木垒哈萨克自治县</w:t>
            </w:r>
            <w:r>
              <w:rPr>
                <w:rFonts w:hint="eastAsia" w:eastAsia="宋体" w:cs="宋体"/>
                <w:snapToGrid/>
                <w:color w:val="auto"/>
                <w:lang w:val="en-US" w:eastAsia="zh-CN"/>
              </w:rPr>
              <w:t>总体规划</w:t>
            </w:r>
            <w:r>
              <w:rPr>
                <w:rFonts w:eastAsia="宋体" w:cs="宋体"/>
                <w:snapToGrid/>
                <w:color w:val="auto"/>
                <w:lang w:eastAsia="zh-CN"/>
              </w:rPr>
              <w:t>要求。</w:t>
            </w:r>
          </w:p>
        </w:tc>
        <w:tc>
          <w:tcPr>
            <w:tcW w:w="869" w:type="dxa"/>
            <w:tcBorders>
              <w:tl2br w:val="nil"/>
              <w:tr2bl w:val="nil"/>
            </w:tcBorders>
            <w:vAlign w:val="center"/>
          </w:tcPr>
          <w:p w14:paraId="485326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01B1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720" w:type="dxa"/>
            <w:vMerge w:val="continue"/>
            <w:tcBorders>
              <w:tl2br w:val="nil"/>
              <w:tr2bl w:val="nil"/>
            </w:tcBorders>
            <w:vAlign w:val="center"/>
          </w:tcPr>
          <w:p w14:paraId="468C50F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1A2F809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785E03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4617" w:type="dxa"/>
            <w:tcBorders>
              <w:tl2br w:val="nil"/>
              <w:tr2bl w:val="nil"/>
            </w:tcBorders>
            <w:vAlign w:val="center"/>
          </w:tcPr>
          <w:p w14:paraId="254A9CC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本项目建设地不涉及自然保护区、风景名胜区、饮用水源保护区、基本农田保护区和其他需要特别保护的区域</w:t>
            </w:r>
          </w:p>
        </w:tc>
        <w:tc>
          <w:tcPr>
            <w:tcW w:w="869" w:type="dxa"/>
            <w:tcBorders>
              <w:tl2br w:val="nil"/>
              <w:tr2bl w:val="nil"/>
            </w:tcBorders>
            <w:vAlign w:val="center"/>
          </w:tcPr>
          <w:p w14:paraId="2EA846E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ED77C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720" w:type="dxa"/>
            <w:tcBorders>
              <w:tl2br w:val="nil"/>
              <w:tr2bl w:val="nil"/>
            </w:tcBorders>
            <w:vAlign w:val="center"/>
          </w:tcPr>
          <w:p w14:paraId="471027A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357A8EC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710" w:type="dxa"/>
            <w:tcBorders>
              <w:tl2br w:val="nil"/>
              <w:tr2bl w:val="nil"/>
            </w:tcBorders>
            <w:vAlign w:val="center"/>
          </w:tcPr>
          <w:p w14:paraId="0C9E3ED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生产经营规模</w:t>
            </w:r>
          </w:p>
        </w:tc>
        <w:tc>
          <w:tcPr>
            <w:tcW w:w="7066" w:type="dxa"/>
            <w:tcBorders>
              <w:tl2br w:val="nil"/>
              <w:tr2bl w:val="nil"/>
            </w:tcBorders>
            <w:vAlign w:val="center"/>
          </w:tcPr>
          <w:p w14:paraId="37AE70D7">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塑料再生造粒类企业：新建企业年废塑料处理能力不低于</w:t>
            </w:r>
            <w:r>
              <w:rPr>
                <w:rFonts w:eastAsia="宋体"/>
                <w:snapToGrid/>
                <w:color w:val="auto"/>
                <w:lang w:eastAsia="zh-CN"/>
              </w:rPr>
              <w:t>5000</w:t>
            </w:r>
            <w:r>
              <w:rPr>
                <w:rFonts w:eastAsia="宋体" w:cs="宋体"/>
                <w:snapToGrid/>
                <w:color w:val="auto"/>
                <w:lang w:eastAsia="zh-CN"/>
              </w:rPr>
              <w:t>吨；</w:t>
            </w:r>
            <w:r>
              <w:rPr>
                <w:rFonts w:hint="eastAsia" w:eastAsia="宋体" w:cs="宋体"/>
                <w:snapToGrid/>
                <w:color w:val="auto"/>
                <w:lang w:eastAsia="zh-CN"/>
              </w:rPr>
              <w:t>新建</w:t>
            </w:r>
            <w:r>
              <w:rPr>
                <w:rFonts w:eastAsia="宋体" w:cs="宋体"/>
                <w:snapToGrid/>
                <w:color w:val="auto"/>
                <w:lang w:eastAsia="zh-CN"/>
              </w:rPr>
              <w:t>企业年废塑料处理能力不低于</w:t>
            </w:r>
            <w:r>
              <w:rPr>
                <w:rFonts w:eastAsia="宋体"/>
                <w:snapToGrid/>
                <w:color w:val="auto"/>
                <w:lang w:eastAsia="zh-CN"/>
              </w:rPr>
              <w:t>3000</w:t>
            </w:r>
            <w:r>
              <w:rPr>
                <w:rFonts w:eastAsia="宋体" w:cs="宋体"/>
                <w:snapToGrid/>
                <w:color w:val="auto"/>
                <w:lang w:eastAsia="zh-CN"/>
              </w:rPr>
              <w:t>吨。企业应具有与生产能力相匹配的厂区作业场地面积</w:t>
            </w:r>
          </w:p>
        </w:tc>
        <w:tc>
          <w:tcPr>
            <w:tcW w:w="4617" w:type="dxa"/>
            <w:tcBorders>
              <w:tl2br w:val="nil"/>
              <w:tr2bl w:val="nil"/>
            </w:tcBorders>
            <w:vAlign w:val="center"/>
          </w:tcPr>
          <w:p w14:paraId="5C1449EC">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项目建成后年产回收处理废旧塑料</w:t>
            </w:r>
            <w:r>
              <w:rPr>
                <w:rFonts w:hint="eastAsia" w:eastAsia="宋体"/>
                <w:snapToGrid/>
                <w:color w:val="auto"/>
                <w:lang w:eastAsia="zh-CN"/>
              </w:rPr>
              <w:t>5000t</w:t>
            </w:r>
            <w:r>
              <w:rPr>
                <w:rFonts w:eastAsia="宋体" w:cs="宋体"/>
                <w:snapToGrid/>
                <w:color w:val="auto"/>
                <w:lang w:eastAsia="zh-CN"/>
              </w:rPr>
              <w:t>；厂区建设生产车间、原料与产品堆棚等，满足生产能力要求</w:t>
            </w:r>
          </w:p>
        </w:tc>
        <w:tc>
          <w:tcPr>
            <w:tcW w:w="869" w:type="dxa"/>
            <w:tcBorders>
              <w:tl2br w:val="nil"/>
              <w:tr2bl w:val="nil"/>
            </w:tcBorders>
            <w:vAlign w:val="center"/>
          </w:tcPr>
          <w:p w14:paraId="3A1A302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2A20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720" w:type="dxa"/>
            <w:vMerge w:val="restart"/>
            <w:tcBorders>
              <w:tl2br w:val="nil"/>
              <w:tr2bl w:val="nil"/>
            </w:tcBorders>
            <w:vAlign w:val="center"/>
          </w:tcPr>
          <w:p w14:paraId="6E14626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7609E16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075B69F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710" w:type="dxa"/>
            <w:vMerge w:val="restart"/>
            <w:tcBorders>
              <w:tl2br w:val="nil"/>
              <w:tr2bl w:val="nil"/>
            </w:tcBorders>
            <w:vAlign w:val="center"/>
          </w:tcPr>
          <w:p w14:paraId="3633AE0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资源综合利用及能耗</w:t>
            </w:r>
          </w:p>
        </w:tc>
        <w:tc>
          <w:tcPr>
            <w:tcW w:w="7066" w:type="dxa"/>
            <w:tcBorders>
              <w:tl2br w:val="nil"/>
              <w:tr2bl w:val="nil"/>
            </w:tcBorders>
            <w:vAlign w:val="center"/>
          </w:tcPr>
          <w:p w14:paraId="33BDFD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企业应对收集的废塑料进行充分利用，提高资源回收利用效率，不得倾倒、焚烧与填埋</w:t>
            </w:r>
          </w:p>
        </w:tc>
        <w:tc>
          <w:tcPr>
            <w:tcW w:w="4617" w:type="dxa"/>
            <w:tcBorders>
              <w:tl2br w:val="nil"/>
              <w:tr2bl w:val="nil"/>
            </w:tcBorders>
            <w:vAlign w:val="center"/>
          </w:tcPr>
          <w:p w14:paraId="38B7A0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本项目对回收的废旧塑料进行</w:t>
            </w:r>
            <w:r>
              <w:rPr>
                <w:rFonts w:hint="eastAsia" w:ascii="Times New Roman" w:hAnsi="Times New Roman" w:eastAsia="宋体" w:cs="宋体"/>
                <w:snapToGrid/>
                <w:color w:val="auto"/>
                <w:lang w:val="en-US" w:eastAsia="zh-CN"/>
              </w:rPr>
              <w:t>回收</w:t>
            </w:r>
            <w:r>
              <w:rPr>
                <w:rFonts w:ascii="Times New Roman" w:hAnsi="Times New Roman" w:eastAsia="宋体" w:cs="宋体"/>
                <w:snapToGrid/>
                <w:color w:val="auto"/>
                <w:lang w:eastAsia="zh-CN"/>
              </w:rPr>
              <w:t>加工利用</w:t>
            </w:r>
          </w:p>
        </w:tc>
        <w:tc>
          <w:tcPr>
            <w:tcW w:w="869" w:type="dxa"/>
            <w:tcBorders>
              <w:tl2br w:val="nil"/>
              <w:tr2bl w:val="nil"/>
            </w:tcBorders>
            <w:vAlign w:val="center"/>
          </w:tcPr>
          <w:p w14:paraId="007F32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587E1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720" w:type="dxa"/>
            <w:vMerge w:val="continue"/>
            <w:tcBorders>
              <w:tl2br w:val="nil"/>
              <w:tr2bl w:val="nil"/>
            </w:tcBorders>
            <w:vAlign w:val="center"/>
          </w:tcPr>
          <w:p w14:paraId="4BD9D02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29285C8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76F68F05">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塑料再生加工相关生产环节的综合电耗低于</w:t>
            </w:r>
            <w:r>
              <w:rPr>
                <w:rFonts w:eastAsia="宋体"/>
                <w:snapToGrid/>
                <w:color w:val="auto"/>
                <w:lang w:eastAsia="zh-CN"/>
              </w:rPr>
              <w:t>500</w:t>
            </w:r>
            <w:r>
              <w:rPr>
                <w:rFonts w:eastAsia="宋体" w:cs="宋体"/>
                <w:snapToGrid/>
                <w:color w:val="auto"/>
                <w:lang w:eastAsia="zh-CN"/>
              </w:rPr>
              <w:t>千瓦时</w:t>
            </w:r>
            <w:r>
              <w:rPr>
                <w:rFonts w:eastAsia="宋体"/>
                <w:snapToGrid/>
                <w:color w:val="auto"/>
                <w:lang w:eastAsia="zh-CN"/>
              </w:rPr>
              <w:t>/</w:t>
            </w:r>
            <w:r>
              <w:rPr>
                <w:rFonts w:eastAsia="宋体" w:cs="宋体"/>
                <w:snapToGrid/>
                <w:color w:val="auto"/>
                <w:lang w:eastAsia="zh-CN"/>
              </w:rPr>
              <w:t>吨废塑料</w:t>
            </w:r>
          </w:p>
        </w:tc>
        <w:tc>
          <w:tcPr>
            <w:tcW w:w="4617" w:type="dxa"/>
            <w:tcBorders>
              <w:tl2br w:val="nil"/>
              <w:tr2bl w:val="nil"/>
            </w:tcBorders>
            <w:vAlign w:val="center"/>
          </w:tcPr>
          <w:p w14:paraId="12585D3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本项目综合电耗低为</w:t>
            </w:r>
            <w:r>
              <w:rPr>
                <w:rFonts w:hint="eastAsia" w:eastAsia="宋体"/>
                <w:snapToGrid/>
                <w:color w:val="auto"/>
                <w:lang w:val="en-US" w:eastAsia="zh-CN"/>
              </w:rPr>
              <w:t>37.38</w:t>
            </w:r>
            <w:r>
              <w:rPr>
                <w:rFonts w:eastAsia="宋体" w:cs="宋体"/>
                <w:snapToGrid/>
                <w:color w:val="auto"/>
                <w:lang w:eastAsia="zh-CN"/>
              </w:rPr>
              <w:t>千瓦时</w:t>
            </w:r>
            <w:r>
              <w:rPr>
                <w:rFonts w:eastAsia="宋体"/>
                <w:snapToGrid/>
                <w:color w:val="auto"/>
                <w:lang w:eastAsia="zh-CN"/>
              </w:rPr>
              <w:t>/</w:t>
            </w:r>
            <w:r>
              <w:rPr>
                <w:rFonts w:eastAsia="宋体" w:cs="宋体"/>
                <w:snapToGrid/>
                <w:color w:val="auto"/>
                <w:lang w:eastAsia="zh-CN"/>
              </w:rPr>
              <w:t>吨废塑料</w:t>
            </w:r>
          </w:p>
        </w:tc>
        <w:tc>
          <w:tcPr>
            <w:tcW w:w="869" w:type="dxa"/>
            <w:tcBorders>
              <w:tl2br w:val="nil"/>
              <w:tr2bl w:val="nil"/>
            </w:tcBorders>
            <w:vAlign w:val="center"/>
          </w:tcPr>
          <w:p w14:paraId="32CD54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0682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720" w:type="dxa"/>
            <w:vMerge w:val="continue"/>
            <w:tcBorders>
              <w:tl2br w:val="nil"/>
              <w:tr2bl w:val="nil"/>
            </w:tcBorders>
            <w:vAlign w:val="center"/>
          </w:tcPr>
          <w:p w14:paraId="1982562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20DD690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6CCC0237">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PET</w:t>
            </w:r>
            <w:r>
              <w:rPr>
                <w:rFonts w:eastAsia="宋体" w:cs="宋体"/>
                <w:snapToGrid/>
                <w:color w:val="auto"/>
                <w:lang w:eastAsia="zh-CN"/>
              </w:rPr>
              <w:t>再生瓶片类企业与废塑料破碎、清洗、分选类企业的综合新水消耗低于</w:t>
            </w:r>
          </w:p>
          <w:p w14:paraId="47A9C1D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1.5</w:t>
            </w:r>
            <w:r>
              <w:rPr>
                <w:rFonts w:eastAsia="宋体" w:cs="宋体"/>
                <w:snapToGrid/>
                <w:color w:val="auto"/>
                <w:lang w:eastAsia="zh-CN"/>
              </w:rPr>
              <w:t>吨</w:t>
            </w:r>
            <w:r>
              <w:rPr>
                <w:rFonts w:eastAsia="宋体"/>
                <w:snapToGrid/>
                <w:color w:val="auto"/>
                <w:lang w:eastAsia="zh-CN"/>
              </w:rPr>
              <w:t>/</w:t>
            </w:r>
            <w:r>
              <w:rPr>
                <w:rFonts w:eastAsia="宋体" w:cs="宋体"/>
                <w:snapToGrid/>
                <w:color w:val="auto"/>
                <w:lang w:eastAsia="zh-CN"/>
              </w:rPr>
              <w:t>吨废塑料。塑料再生造粒类企业的综合新水消耗低于</w:t>
            </w:r>
            <w:r>
              <w:rPr>
                <w:rFonts w:eastAsia="宋体"/>
                <w:snapToGrid/>
                <w:color w:val="auto"/>
                <w:lang w:eastAsia="zh-CN"/>
              </w:rPr>
              <w:t>0.2</w:t>
            </w:r>
            <w:r>
              <w:rPr>
                <w:rFonts w:eastAsia="宋体" w:cs="宋体"/>
                <w:snapToGrid/>
                <w:color w:val="auto"/>
                <w:lang w:eastAsia="zh-CN"/>
              </w:rPr>
              <w:t>吨</w:t>
            </w:r>
            <w:r>
              <w:rPr>
                <w:rFonts w:eastAsia="宋体"/>
                <w:snapToGrid/>
                <w:color w:val="auto"/>
                <w:lang w:eastAsia="zh-CN"/>
              </w:rPr>
              <w:t>/</w:t>
            </w:r>
            <w:r>
              <w:rPr>
                <w:rFonts w:eastAsia="宋体" w:cs="宋体"/>
                <w:snapToGrid/>
                <w:color w:val="auto"/>
                <w:lang w:eastAsia="zh-CN"/>
              </w:rPr>
              <w:t>吨废塑料</w:t>
            </w:r>
          </w:p>
        </w:tc>
        <w:tc>
          <w:tcPr>
            <w:tcW w:w="4617" w:type="dxa"/>
            <w:tcBorders>
              <w:tl2br w:val="nil"/>
              <w:tr2bl w:val="nil"/>
            </w:tcBorders>
            <w:vAlign w:val="center"/>
          </w:tcPr>
          <w:p w14:paraId="58852AD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FF0000"/>
                <w:lang w:eastAsia="zh-CN"/>
              </w:rPr>
              <w:t>本项目综合新水消耗为</w:t>
            </w:r>
            <w:r>
              <w:rPr>
                <w:rFonts w:hint="eastAsia" w:eastAsia="宋体"/>
                <w:snapToGrid/>
                <w:color w:val="FF0000"/>
                <w:lang w:val="en-US" w:eastAsia="zh-CN"/>
              </w:rPr>
              <w:t>0.63</w:t>
            </w:r>
            <w:r>
              <w:rPr>
                <w:rFonts w:eastAsia="宋体" w:cs="宋体"/>
                <w:snapToGrid/>
                <w:color w:val="FF0000"/>
                <w:lang w:eastAsia="zh-CN"/>
              </w:rPr>
              <w:t>吨</w:t>
            </w:r>
            <w:r>
              <w:rPr>
                <w:rFonts w:eastAsia="宋体"/>
                <w:snapToGrid/>
                <w:color w:val="FF0000"/>
                <w:lang w:eastAsia="zh-CN"/>
              </w:rPr>
              <w:t>/</w:t>
            </w:r>
            <w:r>
              <w:rPr>
                <w:rFonts w:eastAsia="宋体" w:cs="宋体"/>
                <w:snapToGrid/>
                <w:color w:val="FF0000"/>
                <w:lang w:eastAsia="zh-CN"/>
              </w:rPr>
              <w:t>吨废塑料</w:t>
            </w:r>
            <w:r>
              <w:rPr>
                <w:rFonts w:hint="eastAsia" w:eastAsia="宋体" w:cs="宋体"/>
                <w:snapToGrid/>
                <w:color w:val="FF0000"/>
                <w:lang w:eastAsia="zh-CN"/>
              </w:rPr>
              <w:t>。塑料再生造粒冷却循环水消耗新水0.1152吨/吨废塑料</w:t>
            </w:r>
          </w:p>
        </w:tc>
        <w:tc>
          <w:tcPr>
            <w:tcW w:w="869" w:type="dxa"/>
            <w:tcBorders>
              <w:tl2br w:val="nil"/>
              <w:tr2bl w:val="nil"/>
            </w:tcBorders>
            <w:vAlign w:val="center"/>
          </w:tcPr>
          <w:p w14:paraId="5629EC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0C15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720" w:type="dxa"/>
            <w:vMerge w:val="continue"/>
            <w:tcBorders>
              <w:tl2br w:val="nil"/>
              <w:tr2bl w:val="nil"/>
            </w:tcBorders>
            <w:vAlign w:val="center"/>
          </w:tcPr>
          <w:p w14:paraId="43B78F2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2B613E0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1A30A3B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其他生产单耗需满足国家相关标准</w:t>
            </w:r>
          </w:p>
        </w:tc>
        <w:tc>
          <w:tcPr>
            <w:tcW w:w="4617" w:type="dxa"/>
            <w:tcBorders>
              <w:tl2br w:val="nil"/>
              <w:tr2bl w:val="nil"/>
            </w:tcBorders>
            <w:vAlign w:val="center"/>
          </w:tcPr>
          <w:p w14:paraId="7E61454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本项目其他生产单耗满足国家相关标准</w:t>
            </w:r>
          </w:p>
        </w:tc>
        <w:tc>
          <w:tcPr>
            <w:tcW w:w="869" w:type="dxa"/>
            <w:tcBorders>
              <w:tl2br w:val="nil"/>
              <w:tr2bl w:val="nil"/>
            </w:tcBorders>
            <w:vAlign w:val="center"/>
          </w:tcPr>
          <w:p w14:paraId="0FE4783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DAE64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720" w:type="dxa"/>
            <w:tcBorders>
              <w:tl2br w:val="nil"/>
              <w:tr2bl w:val="nil"/>
            </w:tcBorders>
            <w:vAlign w:val="center"/>
          </w:tcPr>
          <w:p w14:paraId="6C1510B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710" w:type="dxa"/>
            <w:tcBorders>
              <w:tl2br w:val="nil"/>
              <w:tr2bl w:val="nil"/>
            </w:tcBorders>
            <w:vAlign w:val="center"/>
          </w:tcPr>
          <w:p w14:paraId="03CC91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工艺与装备</w:t>
            </w:r>
          </w:p>
        </w:tc>
        <w:tc>
          <w:tcPr>
            <w:tcW w:w="7066" w:type="dxa"/>
            <w:tcBorders>
              <w:tl2br w:val="nil"/>
              <w:tr2bl w:val="nil"/>
            </w:tcBorders>
            <w:vAlign w:val="center"/>
          </w:tcPr>
          <w:p w14:paraId="0FC8279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新建及改造、扩建废塑料综合利用企业应采用先进技术、工艺和装备，提高废塑料再生加工过程的自动化水平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4617" w:type="dxa"/>
            <w:tcBorders>
              <w:tl2br w:val="nil"/>
              <w:tr2bl w:val="nil"/>
            </w:tcBorders>
            <w:vAlign w:val="center"/>
          </w:tcPr>
          <w:p w14:paraId="3830671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本项目造粒设备具有强制排气系统，产生的有机废气经“</w:t>
            </w:r>
            <w:r>
              <w:rPr>
                <w:rFonts w:hint="eastAsia" w:eastAsia="宋体" w:cs="宋体"/>
                <w:snapToGrid/>
                <w:color w:val="auto"/>
                <w:lang w:eastAsia="zh-CN"/>
              </w:rPr>
              <w:t>活性炭吸附+蓄热式催化燃烧</w:t>
            </w:r>
            <w:r>
              <w:rPr>
                <w:rFonts w:eastAsia="宋体" w:cs="宋体"/>
                <w:snapToGrid/>
                <w:color w:val="auto"/>
                <w:lang w:eastAsia="zh-CN"/>
              </w:rPr>
              <w:t>”处理后，经由</w:t>
            </w:r>
            <w:r>
              <w:rPr>
                <w:rFonts w:eastAsia="宋体"/>
                <w:snapToGrid/>
                <w:color w:val="auto"/>
                <w:lang w:eastAsia="zh-CN"/>
              </w:rPr>
              <w:t>15m</w:t>
            </w:r>
            <w:r>
              <w:rPr>
                <w:rFonts w:eastAsia="宋体" w:cs="宋体"/>
                <w:snapToGrid/>
                <w:color w:val="auto"/>
                <w:lang w:eastAsia="zh-CN"/>
              </w:rPr>
              <w:t>排气筒排放。废弃过滤网经收集后由厂家回收</w:t>
            </w:r>
          </w:p>
        </w:tc>
        <w:tc>
          <w:tcPr>
            <w:tcW w:w="869" w:type="dxa"/>
            <w:tcBorders>
              <w:tl2br w:val="nil"/>
              <w:tr2bl w:val="nil"/>
            </w:tcBorders>
            <w:vAlign w:val="center"/>
          </w:tcPr>
          <w:p w14:paraId="26EF84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8C8E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79" w:hRule="atLeast"/>
          <w:jc w:val="center"/>
        </w:trPr>
        <w:tc>
          <w:tcPr>
            <w:tcW w:w="720" w:type="dxa"/>
            <w:vMerge w:val="restart"/>
            <w:tcBorders>
              <w:tl2br w:val="nil"/>
              <w:tr2bl w:val="nil"/>
            </w:tcBorders>
            <w:vAlign w:val="center"/>
          </w:tcPr>
          <w:p w14:paraId="6F9F4F3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710" w:type="dxa"/>
            <w:vMerge w:val="restart"/>
            <w:tcBorders>
              <w:tl2br w:val="nil"/>
              <w:tr2bl w:val="nil"/>
            </w:tcBorders>
            <w:vAlign w:val="center"/>
          </w:tcPr>
          <w:p w14:paraId="69368EA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环境保护</w:t>
            </w:r>
          </w:p>
        </w:tc>
        <w:tc>
          <w:tcPr>
            <w:tcW w:w="7066" w:type="dxa"/>
            <w:tcBorders>
              <w:tl2br w:val="nil"/>
              <w:tr2bl w:val="nil"/>
            </w:tcBorders>
            <w:vAlign w:val="center"/>
          </w:tcPr>
          <w:p w14:paraId="03011565">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废塑料综合利用企业应严格执行《中华人民共和国环境影响评价法》，按照相关规定报批环境影响评价文件。按照环境保护</w:t>
            </w:r>
            <w:r>
              <w:rPr>
                <w:rFonts w:eastAsia="宋体"/>
                <w:snapToGrid/>
                <w:color w:val="auto"/>
                <w:lang w:eastAsia="zh-CN"/>
              </w:rPr>
              <w:t>“</w:t>
            </w:r>
            <w:r>
              <w:rPr>
                <w:rFonts w:eastAsia="宋体" w:cs="宋体"/>
                <w:snapToGrid/>
                <w:color w:val="auto"/>
                <w:lang w:eastAsia="zh-CN"/>
              </w:rPr>
              <w:t>三同时</w:t>
            </w:r>
            <w:r>
              <w:rPr>
                <w:rFonts w:eastAsia="宋体"/>
                <w:snapToGrid/>
                <w:color w:val="auto"/>
                <w:lang w:eastAsia="zh-CN"/>
              </w:rPr>
              <w:t>”</w:t>
            </w:r>
            <w:r>
              <w:rPr>
                <w:rFonts w:eastAsia="宋体" w:cs="宋体"/>
                <w:snapToGrid/>
                <w:color w:val="auto"/>
                <w:lang w:eastAsia="zh-CN"/>
              </w:rPr>
              <w:t>的要求建设配套的环境保护设施，编制环境风险应急预案，并依法申请项目竣工环境保护验收</w:t>
            </w:r>
          </w:p>
        </w:tc>
        <w:tc>
          <w:tcPr>
            <w:tcW w:w="4617" w:type="dxa"/>
            <w:tcBorders>
              <w:tl2br w:val="nil"/>
              <w:tr2bl w:val="nil"/>
            </w:tcBorders>
            <w:vAlign w:val="center"/>
          </w:tcPr>
          <w:p w14:paraId="3D258710">
            <w:pPr>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ascii="Times New Roman" w:hAnsi="Times New Roman" w:eastAsia="宋体" w:cs="宋体"/>
                <w:snapToGrid/>
                <w:color w:val="auto"/>
                <w:lang w:eastAsia="zh-CN"/>
              </w:rPr>
              <w:t>项目严格执行《中华人民共和国环境影响评价</w:t>
            </w:r>
            <w:r>
              <w:rPr>
                <w:rFonts w:eastAsia="宋体" w:cs="宋体"/>
                <w:snapToGrid/>
                <w:color w:val="auto"/>
                <w:lang w:eastAsia="zh-CN"/>
              </w:rPr>
              <w:t>法》，</w:t>
            </w:r>
            <w:r>
              <w:rPr>
                <w:rFonts w:eastAsia="宋体"/>
                <w:snapToGrid/>
                <w:color w:val="auto"/>
                <w:lang w:eastAsia="zh-CN"/>
              </w:rPr>
              <w:t>“</w:t>
            </w:r>
            <w:r>
              <w:rPr>
                <w:rFonts w:eastAsia="宋体" w:cs="宋体"/>
                <w:snapToGrid/>
                <w:color w:val="auto"/>
                <w:lang w:eastAsia="zh-CN"/>
              </w:rPr>
              <w:t>三同时</w:t>
            </w:r>
            <w:r>
              <w:rPr>
                <w:rFonts w:eastAsia="宋体"/>
                <w:snapToGrid/>
                <w:color w:val="auto"/>
                <w:lang w:eastAsia="zh-CN"/>
              </w:rPr>
              <w:t>”</w:t>
            </w:r>
            <w:r>
              <w:rPr>
                <w:rFonts w:eastAsia="宋体" w:cs="宋体"/>
                <w:snapToGrid/>
                <w:color w:val="auto"/>
                <w:lang w:eastAsia="zh-CN"/>
              </w:rPr>
              <w:t>要求配套环境保护设施，编制环境风险应急预案，并依法申请项目竣工环境保护验收。</w:t>
            </w:r>
          </w:p>
        </w:tc>
        <w:tc>
          <w:tcPr>
            <w:tcW w:w="869" w:type="dxa"/>
            <w:tcBorders>
              <w:tl2br w:val="nil"/>
              <w:tr2bl w:val="nil"/>
            </w:tcBorders>
            <w:vAlign w:val="center"/>
          </w:tcPr>
          <w:p w14:paraId="41738DE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4FF9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20" w:type="dxa"/>
            <w:vMerge w:val="continue"/>
            <w:tcBorders>
              <w:tl2br w:val="nil"/>
              <w:tr2bl w:val="nil"/>
            </w:tcBorders>
            <w:vAlign w:val="center"/>
          </w:tcPr>
          <w:p w14:paraId="0DCBA47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74AA8BE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00FC3F0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企业加工存储场地应建有围墙，在内的企业可为单独厂房，地面全部硬化且无明显破损现象</w:t>
            </w:r>
          </w:p>
        </w:tc>
        <w:tc>
          <w:tcPr>
            <w:tcW w:w="4617" w:type="dxa"/>
            <w:tcBorders>
              <w:tl2br w:val="nil"/>
              <w:tr2bl w:val="nil"/>
            </w:tcBorders>
            <w:vAlign w:val="center"/>
          </w:tcPr>
          <w:p w14:paraId="057D90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项目造粒、滴灌带生产建设封闭生产车间，厂区建有围墙，地面均硬化，满足要求</w:t>
            </w:r>
          </w:p>
        </w:tc>
        <w:tc>
          <w:tcPr>
            <w:tcW w:w="869" w:type="dxa"/>
            <w:tcBorders>
              <w:tl2br w:val="nil"/>
              <w:tr2bl w:val="nil"/>
            </w:tcBorders>
            <w:vAlign w:val="center"/>
          </w:tcPr>
          <w:p w14:paraId="365A70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20962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1" w:hRule="atLeast"/>
          <w:jc w:val="center"/>
        </w:trPr>
        <w:tc>
          <w:tcPr>
            <w:tcW w:w="720" w:type="dxa"/>
            <w:vMerge w:val="continue"/>
            <w:tcBorders>
              <w:tl2br w:val="nil"/>
              <w:tr2bl w:val="nil"/>
            </w:tcBorders>
            <w:vAlign w:val="center"/>
          </w:tcPr>
          <w:p w14:paraId="3F9B3D8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30A1AE8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055252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企业对收集的废塑料中的金属、橡胶、纤维、渣土、油脂、添加物等夹杂物，应采取相应的处理措施。如企业不具备处理条件，应委托其他具有处理能力的企业处理，不得擅自丢弃、倾倒、焚烧与填埋</w:t>
            </w:r>
          </w:p>
        </w:tc>
        <w:tc>
          <w:tcPr>
            <w:tcW w:w="4617" w:type="dxa"/>
            <w:tcBorders>
              <w:tl2br w:val="nil"/>
              <w:tr2bl w:val="nil"/>
            </w:tcBorders>
            <w:vAlign w:val="center"/>
          </w:tcPr>
          <w:p w14:paraId="40DDDF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企业对原料堆场分拣废物集中收集，交由环卫部门统一处理；本项目分拣废物基本为泥土，不含金属、橡胶、纤维、渣土、油脂、添加物等夹杂物。</w:t>
            </w:r>
          </w:p>
        </w:tc>
        <w:tc>
          <w:tcPr>
            <w:tcW w:w="869" w:type="dxa"/>
            <w:tcBorders>
              <w:tl2br w:val="nil"/>
              <w:tr2bl w:val="nil"/>
            </w:tcBorders>
            <w:vAlign w:val="center"/>
          </w:tcPr>
          <w:p w14:paraId="003420D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0B7F2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31" w:hRule="atLeast"/>
          <w:jc w:val="center"/>
        </w:trPr>
        <w:tc>
          <w:tcPr>
            <w:tcW w:w="720" w:type="dxa"/>
            <w:vMerge w:val="continue"/>
            <w:tcBorders>
              <w:tl2br w:val="nil"/>
              <w:tr2bl w:val="nil"/>
            </w:tcBorders>
            <w:vAlign w:val="center"/>
          </w:tcPr>
          <w:p w14:paraId="383B196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7FD3870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24B3ED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tc>
        <w:tc>
          <w:tcPr>
            <w:tcW w:w="4617" w:type="dxa"/>
            <w:tcBorders>
              <w:tl2br w:val="nil"/>
              <w:tr2bl w:val="nil"/>
            </w:tcBorders>
            <w:vAlign w:val="center"/>
          </w:tcPr>
          <w:p w14:paraId="51630DD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项目破碎</w:t>
            </w:r>
            <w:r>
              <w:rPr>
                <w:rFonts w:hint="eastAsia" w:ascii="Times New Roman" w:hAnsi="Times New Roman" w:eastAsia="宋体" w:cs="宋体"/>
                <w:snapToGrid/>
                <w:color w:val="auto"/>
                <w:lang w:val="en-US" w:eastAsia="zh-CN"/>
              </w:rPr>
              <w:t>清洗</w:t>
            </w:r>
            <w:r>
              <w:rPr>
                <w:rFonts w:ascii="Times New Roman" w:hAnsi="Times New Roman" w:eastAsia="宋体" w:cs="宋体"/>
                <w:snapToGrid/>
                <w:color w:val="auto"/>
                <w:lang w:eastAsia="zh-CN"/>
              </w:rPr>
              <w:t>废水经沉淀处理后回用于生产工艺；冷却水全部</w:t>
            </w:r>
            <w:r>
              <w:rPr>
                <w:rFonts w:hint="eastAsia" w:ascii="Times New Roman" w:hAnsi="Times New Roman" w:eastAsia="宋体" w:cs="宋体"/>
                <w:snapToGrid/>
                <w:color w:val="auto"/>
                <w:lang w:eastAsia="zh-CN"/>
              </w:rPr>
              <w:t>回用</w:t>
            </w:r>
            <w:r>
              <w:rPr>
                <w:rFonts w:ascii="Times New Roman" w:hAnsi="Times New Roman" w:eastAsia="宋体" w:cs="宋体"/>
                <w:snapToGrid/>
                <w:color w:val="auto"/>
                <w:lang w:eastAsia="zh-CN"/>
              </w:rPr>
              <w:t>；生活污水排入</w:t>
            </w:r>
            <w:r>
              <w:rPr>
                <w:rFonts w:hint="eastAsia" w:ascii="Times New Roman" w:hAnsi="Times New Roman" w:eastAsia="宋体" w:cs="宋体"/>
                <w:snapToGrid/>
                <w:color w:val="auto"/>
                <w:lang w:val="en-US" w:eastAsia="zh-CN"/>
              </w:rPr>
              <w:t>防渗</w:t>
            </w:r>
            <w:r>
              <w:rPr>
                <w:rFonts w:hint="eastAsia" w:ascii="Times New Roman" w:hAnsi="Times New Roman" w:eastAsia="宋体" w:cs="宋体"/>
                <w:snapToGrid/>
                <w:color w:val="auto"/>
                <w:lang w:eastAsia="zh-CN"/>
              </w:rPr>
              <w:t>化粪池</w:t>
            </w:r>
            <w:r>
              <w:rPr>
                <w:rFonts w:ascii="Times New Roman" w:hAnsi="Times New Roman" w:eastAsia="宋体" w:cs="宋体"/>
                <w:snapToGrid/>
                <w:color w:val="auto"/>
                <w:lang w:eastAsia="zh-CN"/>
              </w:rPr>
              <w:t>，</w:t>
            </w:r>
            <w:r>
              <w:rPr>
                <w:rFonts w:hint="eastAsia" w:ascii="Times New Roman" w:hAnsi="Times New Roman" w:eastAsia="宋体" w:cs="宋体"/>
                <w:snapToGrid/>
                <w:color w:val="auto"/>
                <w:lang w:eastAsia="zh-CN"/>
              </w:rPr>
              <w:t>定期</w:t>
            </w:r>
            <w:r>
              <w:rPr>
                <w:rFonts w:hint="eastAsia" w:ascii="Times New Roman" w:hAnsi="Times New Roman" w:eastAsia="宋体" w:cs="宋体"/>
                <w:snapToGrid/>
                <w:color w:val="auto"/>
                <w:lang w:val="en-US" w:eastAsia="zh-CN"/>
              </w:rPr>
              <w:t>抽</w:t>
            </w:r>
            <w:r>
              <w:rPr>
                <w:rFonts w:hint="eastAsia" w:ascii="Times New Roman" w:hAnsi="Times New Roman" w:eastAsia="宋体" w:cs="宋体"/>
                <w:snapToGrid/>
                <w:color w:val="auto"/>
                <w:lang w:eastAsia="zh-CN"/>
              </w:rPr>
              <w:t>运至木垒哈萨克自治县污水处理厂处理</w:t>
            </w:r>
          </w:p>
        </w:tc>
        <w:tc>
          <w:tcPr>
            <w:tcW w:w="869" w:type="dxa"/>
            <w:tcBorders>
              <w:tl2br w:val="nil"/>
              <w:tr2bl w:val="nil"/>
            </w:tcBorders>
            <w:vAlign w:val="center"/>
          </w:tcPr>
          <w:p w14:paraId="0B4022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0437F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720" w:type="dxa"/>
            <w:vMerge w:val="continue"/>
            <w:tcBorders>
              <w:tl2br w:val="nil"/>
              <w:tr2bl w:val="nil"/>
            </w:tcBorders>
            <w:vAlign w:val="center"/>
          </w:tcPr>
          <w:p w14:paraId="2277453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448168E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06FB09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再生加工过程中产生废气、粉尘的加工车间应设置废气、粉尘收集处理设施，通过净化处理，达标后排放</w:t>
            </w:r>
          </w:p>
        </w:tc>
        <w:tc>
          <w:tcPr>
            <w:tcW w:w="4617" w:type="dxa"/>
            <w:tcBorders>
              <w:tl2br w:val="nil"/>
              <w:tr2bl w:val="nil"/>
            </w:tcBorders>
            <w:vAlign w:val="center"/>
          </w:tcPr>
          <w:p w14:paraId="72F49F9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有机废气经“</w:t>
            </w:r>
            <w:r>
              <w:rPr>
                <w:rFonts w:hint="eastAsia" w:eastAsia="宋体" w:cs="宋体"/>
                <w:snapToGrid/>
                <w:color w:val="auto"/>
                <w:lang w:eastAsia="zh-CN"/>
              </w:rPr>
              <w:t>活性炭吸附+蓄热式催化燃烧</w:t>
            </w:r>
            <w:r>
              <w:rPr>
                <w:rFonts w:eastAsia="宋体" w:cs="宋体"/>
                <w:snapToGrid/>
                <w:color w:val="auto"/>
                <w:lang w:eastAsia="zh-CN"/>
              </w:rPr>
              <w:t>”处理后，经由</w:t>
            </w:r>
            <w:r>
              <w:rPr>
                <w:rFonts w:eastAsia="宋体"/>
                <w:snapToGrid/>
                <w:color w:val="auto"/>
                <w:lang w:eastAsia="zh-CN"/>
              </w:rPr>
              <w:t>15m</w:t>
            </w:r>
            <w:r>
              <w:rPr>
                <w:rFonts w:eastAsia="宋体" w:cs="宋体"/>
                <w:snapToGrid/>
                <w:color w:val="auto"/>
                <w:lang w:eastAsia="zh-CN"/>
              </w:rPr>
              <w:t>排气筒排放。可实现达标排放，符合规范要求。</w:t>
            </w:r>
          </w:p>
        </w:tc>
        <w:tc>
          <w:tcPr>
            <w:tcW w:w="869" w:type="dxa"/>
            <w:tcBorders>
              <w:tl2br w:val="nil"/>
              <w:tr2bl w:val="nil"/>
            </w:tcBorders>
            <w:vAlign w:val="center"/>
          </w:tcPr>
          <w:p w14:paraId="1A8C203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p w14:paraId="4BB24E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3CB4D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720" w:type="dxa"/>
            <w:vMerge w:val="continue"/>
            <w:tcBorders>
              <w:tl2br w:val="nil"/>
              <w:tr2bl w:val="nil"/>
            </w:tcBorders>
            <w:vAlign w:val="center"/>
          </w:tcPr>
          <w:p w14:paraId="2886A86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0" w:type="dxa"/>
            <w:vMerge w:val="continue"/>
            <w:tcBorders>
              <w:tl2br w:val="nil"/>
              <w:tr2bl w:val="nil"/>
            </w:tcBorders>
            <w:vAlign w:val="center"/>
          </w:tcPr>
          <w:p w14:paraId="14E58B9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066" w:type="dxa"/>
            <w:tcBorders>
              <w:tl2br w:val="nil"/>
              <w:tr2bl w:val="nil"/>
            </w:tcBorders>
            <w:vAlign w:val="center"/>
          </w:tcPr>
          <w:p w14:paraId="4EB9D7A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对于加工过程中噪音污染大的设备，必须采取降噪和隔音措施，企业噪声应达到《工业企业厂界环境噪声排放标准》</w:t>
            </w:r>
          </w:p>
        </w:tc>
        <w:tc>
          <w:tcPr>
            <w:tcW w:w="4617" w:type="dxa"/>
            <w:tcBorders>
              <w:tl2br w:val="nil"/>
              <w:tr2bl w:val="nil"/>
            </w:tcBorders>
            <w:vAlign w:val="center"/>
          </w:tcPr>
          <w:p w14:paraId="5567CF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根据预测，项目厂界噪声符合《工业企业厂界环境噪声排放标准》</w:t>
            </w:r>
            <w:r>
              <w:rPr>
                <w:rFonts w:hint="default"/>
                <w:color w:val="auto"/>
              </w:rPr>
              <w:t>（GB12348-2008）中的</w:t>
            </w:r>
            <w:r>
              <w:rPr>
                <w:rFonts w:hint="eastAsia"/>
                <w:color w:val="auto"/>
                <w:lang w:val="en-US" w:eastAsia="zh-CN"/>
              </w:rPr>
              <w:t>2类</w:t>
            </w:r>
            <w:r>
              <w:rPr>
                <w:rFonts w:hint="default"/>
                <w:color w:val="auto"/>
              </w:rPr>
              <w:t>区标准要求。</w:t>
            </w:r>
          </w:p>
        </w:tc>
        <w:tc>
          <w:tcPr>
            <w:tcW w:w="869" w:type="dxa"/>
            <w:tcBorders>
              <w:tl2br w:val="nil"/>
              <w:tr2bl w:val="nil"/>
            </w:tcBorders>
            <w:vAlign w:val="center"/>
          </w:tcPr>
          <w:p w14:paraId="4A0798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3C5FA3A5">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6</w:t>
      </w:r>
      <w:r>
        <w:rPr>
          <w:rFonts w:ascii="Times New Roman" w:hAnsi="Times New Roman"/>
          <w:b/>
          <w:bCs/>
          <w:snapToGrid/>
          <w:color w:val="auto"/>
          <w:sz w:val="24"/>
          <w:lang w:eastAsia="zh-CN"/>
        </w:rPr>
        <w:t>与《废塑料污染控制技术规范》符合性分析</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0"/>
        <w:gridCol w:w="1189"/>
        <w:gridCol w:w="7282"/>
        <w:gridCol w:w="3999"/>
        <w:gridCol w:w="914"/>
      </w:tblGrid>
      <w:tr w14:paraId="0377D4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235" w:type="pct"/>
            <w:tcBorders>
              <w:tl2br w:val="nil"/>
              <w:tr2bl w:val="nil"/>
            </w:tcBorders>
            <w:vAlign w:val="center"/>
          </w:tcPr>
          <w:p w14:paraId="52A38C2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423" w:type="pct"/>
            <w:tcBorders>
              <w:tl2br w:val="nil"/>
              <w:tr2bl w:val="nil"/>
            </w:tcBorders>
            <w:vAlign w:val="center"/>
          </w:tcPr>
          <w:p w14:paraId="55283AF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2591" w:type="pct"/>
            <w:tcBorders>
              <w:tl2br w:val="nil"/>
              <w:tr2bl w:val="nil"/>
            </w:tcBorders>
            <w:vAlign w:val="center"/>
          </w:tcPr>
          <w:p w14:paraId="6BCEB7F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1423" w:type="pct"/>
            <w:tcBorders>
              <w:tl2br w:val="nil"/>
              <w:tr2bl w:val="nil"/>
            </w:tcBorders>
            <w:vAlign w:val="center"/>
          </w:tcPr>
          <w:p w14:paraId="0F20AEA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本项目建设情况</w:t>
            </w:r>
          </w:p>
        </w:tc>
        <w:tc>
          <w:tcPr>
            <w:tcW w:w="325" w:type="pct"/>
            <w:tcBorders>
              <w:tl2br w:val="nil"/>
              <w:tr2bl w:val="nil"/>
            </w:tcBorders>
            <w:vAlign w:val="center"/>
          </w:tcPr>
          <w:p w14:paraId="360E78A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7FCEBE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235" w:type="pct"/>
            <w:vMerge w:val="restart"/>
            <w:tcBorders>
              <w:tl2br w:val="nil"/>
              <w:tr2bl w:val="nil"/>
            </w:tcBorders>
            <w:vAlign w:val="center"/>
          </w:tcPr>
          <w:p w14:paraId="30F3431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423" w:type="pct"/>
            <w:vMerge w:val="restart"/>
            <w:tcBorders>
              <w:tl2br w:val="nil"/>
              <w:tr2bl w:val="nil"/>
            </w:tcBorders>
            <w:vAlign w:val="center"/>
          </w:tcPr>
          <w:p w14:paraId="6933E6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产生环节</w:t>
            </w:r>
          </w:p>
          <w:p w14:paraId="45DAD3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污染控制</w:t>
            </w:r>
          </w:p>
          <w:p w14:paraId="1C91AE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要求</w:t>
            </w:r>
          </w:p>
        </w:tc>
        <w:tc>
          <w:tcPr>
            <w:tcW w:w="2591" w:type="pct"/>
            <w:tcBorders>
              <w:tl2br w:val="nil"/>
              <w:tr2bl w:val="nil"/>
            </w:tcBorders>
            <w:vAlign w:val="center"/>
          </w:tcPr>
          <w:p w14:paraId="0404ACC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农业源废塑料污染控制要求：废弃的非全生物降解塑料农膜，应进行回收，不得丢弃、掩埋或者露天焚烧</w:t>
            </w:r>
          </w:p>
        </w:tc>
        <w:tc>
          <w:tcPr>
            <w:tcW w:w="1423" w:type="pct"/>
            <w:tcBorders>
              <w:tl2br w:val="nil"/>
              <w:tr2bl w:val="nil"/>
            </w:tcBorders>
            <w:vAlign w:val="center"/>
          </w:tcPr>
          <w:p w14:paraId="5A5015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本项目原料为废旧滴灌带，对废旧</w:t>
            </w:r>
            <w:r>
              <w:rPr>
                <w:rFonts w:hint="eastAsia" w:ascii="Times New Roman" w:hAnsi="Times New Roman" w:eastAsia="宋体" w:cs="宋体"/>
                <w:snapToGrid/>
                <w:color w:val="auto"/>
                <w:lang w:eastAsia="zh-CN"/>
              </w:rPr>
              <w:t>滴灌</w:t>
            </w:r>
            <w:r>
              <w:rPr>
                <w:rFonts w:ascii="Times New Roman" w:hAnsi="Times New Roman" w:eastAsia="宋体" w:cs="宋体"/>
                <w:snapToGrid/>
                <w:color w:val="auto"/>
                <w:lang w:eastAsia="zh-CN"/>
              </w:rPr>
              <w:t>带进行回收进行再生加工</w:t>
            </w:r>
          </w:p>
        </w:tc>
        <w:tc>
          <w:tcPr>
            <w:tcW w:w="325" w:type="pct"/>
            <w:tcBorders>
              <w:tl2br w:val="nil"/>
              <w:tr2bl w:val="nil"/>
            </w:tcBorders>
            <w:vAlign w:val="center"/>
          </w:tcPr>
          <w:p w14:paraId="182C06D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CAFF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235" w:type="pct"/>
            <w:vMerge w:val="continue"/>
            <w:tcBorders>
              <w:tl2br w:val="nil"/>
              <w:tr2bl w:val="nil"/>
            </w:tcBorders>
            <w:vAlign w:val="center"/>
          </w:tcPr>
          <w:p w14:paraId="4ADBB51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5CE59CA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05A5E94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产生企业应根据材质特性以及再生利用和处置方式，对下脚料、边角料、残次品、废弃塑料制品、废弃塑料包装物等进行分类收集、贮存，并建立废塑料管理台账，内容包括废塑料的种类、数量、去向等，相关台账应保存至少</w:t>
            </w:r>
            <w:r>
              <w:rPr>
                <w:rFonts w:eastAsia="宋体"/>
                <w:snapToGrid/>
                <w:color w:val="auto"/>
                <w:lang w:eastAsia="zh-CN"/>
              </w:rPr>
              <w:t>3</w:t>
            </w:r>
            <w:r>
              <w:rPr>
                <w:rFonts w:eastAsia="宋体" w:cs="宋体"/>
                <w:snapToGrid/>
                <w:color w:val="auto"/>
                <w:lang w:eastAsia="zh-CN"/>
              </w:rPr>
              <w:t>年。</w:t>
            </w:r>
          </w:p>
        </w:tc>
        <w:tc>
          <w:tcPr>
            <w:tcW w:w="1423" w:type="pct"/>
            <w:tcBorders>
              <w:tl2br w:val="nil"/>
              <w:tr2bl w:val="nil"/>
            </w:tcBorders>
            <w:vAlign w:val="center"/>
          </w:tcPr>
          <w:p w14:paraId="29886D4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本次环评提出建立废塑料管理台账，内容包括废塑料的来源、种类、数量、去向等，相关台账至少保存</w:t>
            </w:r>
            <w:r>
              <w:rPr>
                <w:rFonts w:ascii="Times New Roman" w:hAnsi="Times New Roman" w:eastAsia="宋体"/>
                <w:snapToGrid/>
                <w:color w:val="auto"/>
                <w:lang w:eastAsia="zh-CN"/>
              </w:rPr>
              <w:t>5</w:t>
            </w:r>
            <w:r>
              <w:rPr>
                <w:rFonts w:ascii="Times New Roman" w:hAnsi="Times New Roman" w:eastAsia="宋体" w:cs="宋体"/>
                <w:snapToGrid/>
                <w:color w:val="auto"/>
                <w:lang w:eastAsia="zh-CN"/>
              </w:rPr>
              <w:t>年</w:t>
            </w:r>
          </w:p>
        </w:tc>
        <w:tc>
          <w:tcPr>
            <w:tcW w:w="325" w:type="pct"/>
            <w:tcBorders>
              <w:tl2br w:val="nil"/>
              <w:tr2bl w:val="nil"/>
            </w:tcBorders>
            <w:vAlign w:val="center"/>
          </w:tcPr>
          <w:p w14:paraId="0899C9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B028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235" w:type="pct"/>
            <w:vMerge w:val="restart"/>
            <w:tcBorders>
              <w:tl2br w:val="nil"/>
              <w:tr2bl w:val="nil"/>
            </w:tcBorders>
            <w:vAlign w:val="center"/>
          </w:tcPr>
          <w:p w14:paraId="0A37D41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423" w:type="pct"/>
            <w:vMerge w:val="restart"/>
            <w:tcBorders>
              <w:tl2br w:val="nil"/>
              <w:tr2bl w:val="nil"/>
            </w:tcBorders>
            <w:vAlign w:val="center"/>
          </w:tcPr>
          <w:p w14:paraId="4FCA086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收集和运输污染控制要求</w:t>
            </w:r>
          </w:p>
        </w:tc>
        <w:tc>
          <w:tcPr>
            <w:tcW w:w="2591" w:type="pct"/>
            <w:tcBorders>
              <w:tl2br w:val="nil"/>
              <w:tr2bl w:val="nil"/>
            </w:tcBorders>
            <w:vAlign w:val="center"/>
          </w:tcPr>
          <w:p w14:paraId="108F34D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废塑料收集企业应参照</w:t>
            </w:r>
            <w:r>
              <w:rPr>
                <w:rFonts w:eastAsia="宋体"/>
                <w:snapToGrid/>
                <w:color w:val="auto"/>
                <w:lang w:eastAsia="zh-CN"/>
              </w:rPr>
              <w:t>GB/T37547</w:t>
            </w:r>
            <w:r>
              <w:rPr>
                <w:rFonts w:eastAsia="宋体" w:cs="宋体"/>
                <w:snapToGrid/>
                <w:color w:val="auto"/>
                <w:lang w:eastAsia="zh-CN"/>
              </w:rPr>
              <w:t>，根据废塑料来源、特性及使用过程对废塑料进行分类收集。</w:t>
            </w:r>
          </w:p>
        </w:tc>
        <w:tc>
          <w:tcPr>
            <w:tcW w:w="1423" w:type="pct"/>
            <w:tcBorders>
              <w:tl2br w:val="nil"/>
              <w:tr2bl w:val="nil"/>
            </w:tcBorders>
            <w:vAlign w:val="center"/>
          </w:tcPr>
          <w:p w14:paraId="399679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本项目原料</w:t>
            </w:r>
            <w:r>
              <w:rPr>
                <w:rFonts w:hint="eastAsia" w:ascii="Times New Roman" w:hAnsi="Times New Roman" w:eastAsia="宋体" w:cs="宋体"/>
                <w:snapToGrid/>
                <w:color w:val="auto"/>
                <w:lang w:eastAsia="zh-CN"/>
              </w:rPr>
              <w:t>为</w:t>
            </w:r>
            <w:r>
              <w:rPr>
                <w:rFonts w:ascii="Times New Roman" w:hAnsi="Times New Roman" w:eastAsia="宋体" w:cs="宋体"/>
                <w:snapToGrid/>
                <w:color w:val="auto"/>
                <w:lang w:eastAsia="zh-CN"/>
              </w:rPr>
              <w:t>废旧滴灌带，单独堆放</w:t>
            </w:r>
          </w:p>
        </w:tc>
        <w:tc>
          <w:tcPr>
            <w:tcW w:w="325" w:type="pct"/>
            <w:tcBorders>
              <w:tl2br w:val="nil"/>
              <w:tr2bl w:val="nil"/>
            </w:tcBorders>
            <w:vAlign w:val="center"/>
          </w:tcPr>
          <w:p w14:paraId="174EFE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2C0A5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235" w:type="pct"/>
            <w:vMerge w:val="continue"/>
            <w:tcBorders>
              <w:tl2br w:val="nil"/>
              <w:tr2bl w:val="nil"/>
            </w:tcBorders>
            <w:vAlign w:val="center"/>
          </w:tcPr>
          <w:p w14:paraId="6847C94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3786B71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2572BFF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废塑料收集过程中应避免扬散，不得随意倾倒残液及清洗。</w:t>
            </w:r>
          </w:p>
        </w:tc>
        <w:tc>
          <w:tcPr>
            <w:tcW w:w="1423" w:type="pct"/>
            <w:tcBorders>
              <w:tl2br w:val="nil"/>
              <w:tr2bl w:val="nil"/>
            </w:tcBorders>
            <w:vAlign w:val="center"/>
          </w:tcPr>
          <w:p w14:paraId="157906F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本项目回收滴灌带运至厂区内，不随意倾倒</w:t>
            </w:r>
          </w:p>
        </w:tc>
        <w:tc>
          <w:tcPr>
            <w:tcW w:w="325" w:type="pct"/>
            <w:tcBorders>
              <w:tl2br w:val="nil"/>
              <w:tr2bl w:val="nil"/>
            </w:tcBorders>
            <w:vAlign w:val="center"/>
          </w:tcPr>
          <w:p w14:paraId="446383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0EBE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235" w:type="pct"/>
            <w:vMerge w:val="continue"/>
            <w:tcBorders>
              <w:tl2br w:val="nil"/>
              <w:tr2bl w:val="nil"/>
            </w:tcBorders>
            <w:vAlign w:val="center"/>
          </w:tcPr>
          <w:p w14:paraId="2F6F409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0FC01FA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0939B0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废塑料及其预处理产物的装卸及运输过程中，应采取必要的防扬散、防渗漏措施，应保持运输车辆的洁净，避免二次污染</w:t>
            </w:r>
          </w:p>
        </w:tc>
        <w:tc>
          <w:tcPr>
            <w:tcW w:w="1423" w:type="pct"/>
            <w:tcBorders>
              <w:tl2br w:val="nil"/>
              <w:tr2bl w:val="nil"/>
            </w:tcBorders>
            <w:vAlign w:val="center"/>
          </w:tcPr>
          <w:p w14:paraId="5CF04E8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项目回收采用运输车辆，并用篷布等遮盖，避免遗洒</w:t>
            </w:r>
          </w:p>
        </w:tc>
        <w:tc>
          <w:tcPr>
            <w:tcW w:w="325" w:type="pct"/>
            <w:tcBorders>
              <w:tl2br w:val="nil"/>
              <w:tr2bl w:val="nil"/>
            </w:tcBorders>
            <w:vAlign w:val="center"/>
          </w:tcPr>
          <w:p w14:paraId="061A7A6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3DA612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235" w:type="pct"/>
            <w:vMerge w:val="restart"/>
            <w:tcBorders>
              <w:tl2br w:val="nil"/>
              <w:tr2bl w:val="nil"/>
            </w:tcBorders>
            <w:vAlign w:val="center"/>
          </w:tcPr>
          <w:p w14:paraId="70D4C13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423" w:type="pct"/>
            <w:vMerge w:val="restart"/>
            <w:tcBorders>
              <w:tl2br w:val="nil"/>
              <w:tr2bl w:val="nil"/>
            </w:tcBorders>
            <w:vAlign w:val="center"/>
          </w:tcPr>
          <w:p w14:paraId="3BC997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预处理污</w:t>
            </w:r>
          </w:p>
          <w:p w14:paraId="3E73E65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染控制要</w:t>
            </w:r>
          </w:p>
          <w:p w14:paraId="1D99290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求</w:t>
            </w:r>
          </w:p>
        </w:tc>
        <w:tc>
          <w:tcPr>
            <w:tcW w:w="2591" w:type="pct"/>
            <w:tcBorders>
              <w:tl2br w:val="nil"/>
              <w:tr2bl w:val="nil"/>
            </w:tcBorders>
            <w:vAlign w:val="center"/>
          </w:tcPr>
          <w:p w14:paraId="59066C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应采用预分选工艺，将废塑料与其他废物分开，提高下游自动化分选的效率。</w:t>
            </w:r>
          </w:p>
        </w:tc>
        <w:tc>
          <w:tcPr>
            <w:tcW w:w="1423" w:type="pct"/>
            <w:tcBorders>
              <w:tl2br w:val="nil"/>
              <w:tr2bl w:val="nil"/>
            </w:tcBorders>
            <w:vAlign w:val="center"/>
          </w:tcPr>
          <w:p w14:paraId="599E89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本项目原料</w:t>
            </w:r>
            <w:r>
              <w:rPr>
                <w:rFonts w:hint="eastAsia" w:ascii="Times New Roman" w:hAnsi="Times New Roman" w:eastAsia="宋体" w:cs="宋体"/>
                <w:snapToGrid/>
                <w:color w:val="auto"/>
                <w:lang w:eastAsia="zh-CN"/>
              </w:rPr>
              <w:t>为</w:t>
            </w:r>
            <w:r>
              <w:rPr>
                <w:rFonts w:ascii="Times New Roman" w:hAnsi="Times New Roman" w:eastAsia="宋体" w:cs="宋体"/>
                <w:snapToGrid/>
                <w:color w:val="auto"/>
                <w:lang w:eastAsia="zh-CN"/>
              </w:rPr>
              <w:t>废旧滴灌带</w:t>
            </w:r>
          </w:p>
        </w:tc>
        <w:tc>
          <w:tcPr>
            <w:tcW w:w="325" w:type="pct"/>
            <w:tcBorders>
              <w:tl2br w:val="nil"/>
              <w:tr2bl w:val="nil"/>
            </w:tcBorders>
            <w:vAlign w:val="center"/>
          </w:tcPr>
          <w:p w14:paraId="5D8DF8D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02EFB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235" w:type="pct"/>
            <w:vMerge w:val="continue"/>
            <w:tcBorders>
              <w:tl2br w:val="nil"/>
              <w:tr2bl w:val="nil"/>
            </w:tcBorders>
            <w:vAlign w:val="center"/>
          </w:tcPr>
          <w:p w14:paraId="235809A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13A9CEB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45A6BE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废塑料的破碎方法可分为干法破碎和湿法破碎。使用干法破碎时，应配备相应的防尘、防噪声设备。使用湿法破碎时，应有配套的污水收集和处理设施。</w:t>
            </w:r>
          </w:p>
        </w:tc>
        <w:tc>
          <w:tcPr>
            <w:tcW w:w="1423" w:type="pct"/>
            <w:tcBorders>
              <w:tl2br w:val="nil"/>
              <w:tr2bl w:val="nil"/>
            </w:tcBorders>
            <w:vAlign w:val="center"/>
          </w:tcPr>
          <w:p w14:paraId="44EB66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本项目采用加水湿法破碎，避免粉尘污染；设备采取减震垫等降噪措施，并在全封闭生产车间内</w:t>
            </w:r>
          </w:p>
        </w:tc>
        <w:tc>
          <w:tcPr>
            <w:tcW w:w="325" w:type="pct"/>
            <w:tcBorders>
              <w:tl2br w:val="nil"/>
              <w:tr2bl w:val="nil"/>
            </w:tcBorders>
            <w:vAlign w:val="center"/>
          </w:tcPr>
          <w:p w14:paraId="2BFCE6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D875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1" w:hRule="atLeast"/>
          <w:jc w:val="center"/>
        </w:trPr>
        <w:tc>
          <w:tcPr>
            <w:tcW w:w="235" w:type="pct"/>
            <w:vMerge w:val="continue"/>
            <w:tcBorders>
              <w:tl2br w:val="nil"/>
              <w:tr2bl w:val="nil"/>
            </w:tcBorders>
            <w:vAlign w:val="center"/>
          </w:tcPr>
          <w:p w14:paraId="233A82D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20A8492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503CF2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宜采用节水的自动化清洗技术，宜采用无磷清洗剂或其他绿色清洗剂，不得使用有毒有害的清洗剂。</w:t>
            </w:r>
          </w:p>
          <w:p w14:paraId="6FBA4A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应根据清洗废水中污染物的种类和浓度，配备相应的废水收集和处理设施，清洗废水处理后宜循环使用。</w:t>
            </w:r>
          </w:p>
        </w:tc>
        <w:tc>
          <w:tcPr>
            <w:tcW w:w="1423" w:type="pct"/>
            <w:tcBorders>
              <w:tl2br w:val="nil"/>
              <w:tr2bl w:val="nil"/>
            </w:tcBorders>
            <w:vAlign w:val="center"/>
          </w:tcPr>
          <w:p w14:paraId="0CE64D1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本项目根据原料来源特性采用物理清洗方式，不使用任何清洗剂，</w:t>
            </w:r>
            <w:r>
              <w:rPr>
                <w:rFonts w:hint="eastAsia" w:ascii="Times New Roman" w:hAnsi="Times New Roman" w:eastAsia="宋体" w:cs="宋体"/>
                <w:snapToGrid/>
                <w:color w:val="auto"/>
                <w:lang w:eastAsia="zh-CN"/>
              </w:rPr>
              <w:t>生产废水</w:t>
            </w:r>
            <w:r>
              <w:rPr>
                <w:rFonts w:ascii="Times New Roman" w:hAnsi="Times New Roman" w:eastAsia="宋体" w:cs="宋体"/>
                <w:snapToGrid/>
                <w:color w:val="auto"/>
                <w:lang w:eastAsia="zh-CN"/>
              </w:rPr>
              <w:t>处理后循环回用。</w:t>
            </w:r>
          </w:p>
        </w:tc>
        <w:tc>
          <w:tcPr>
            <w:tcW w:w="325" w:type="pct"/>
            <w:tcBorders>
              <w:tl2br w:val="nil"/>
              <w:tr2bl w:val="nil"/>
            </w:tcBorders>
            <w:vAlign w:val="center"/>
          </w:tcPr>
          <w:p w14:paraId="265AC62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FF44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35" w:type="pct"/>
            <w:vMerge w:val="continue"/>
            <w:tcBorders>
              <w:tl2br w:val="nil"/>
              <w:tr2bl w:val="nil"/>
            </w:tcBorders>
            <w:vAlign w:val="center"/>
          </w:tcPr>
          <w:p w14:paraId="67D6F4D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5DD3BF6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3BE432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宜选择闭路循环式干燥设备。干燥环节应配备废气收集和处理设施，防止二次污染。</w:t>
            </w:r>
          </w:p>
        </w:tc>
        <w:tc>
          <w:tcPr>
            <w:tcW w:w="1423" w:type="pct"/>
            <w:tcBorders>
              <w:tl2br w:val="nil"/>
              <w:tr2bl w:val="nil"/>
            </w:tcBorders>
            <w:vAlign w:val="center"/>
          </w:tcPr>
          <w:p w14:paraId="4100127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废塑料清洗后采用甩干方式</w:t>
            </w:r>
            <w:r>
              <w:rPr>
                <w:rFonts w:hint="eastAsia" w:ascii="Times New Roman" w:hAnsi="Times New Roman" w:eastAsia="宋体" w:cs="宋体"/>
                <w:snapToGrid/>
                <w:color w:val="auto"/>
                <w:lang w:val="en-US" w:eastAsia="zh-CN"/>
              </w:rPr>
              <w:t>去除多余水分</w:t>
            </w:r>
            <w:r>
              <w:rPr>
                <w:rFonts w:hint="eastAsia" w:ascii="Times New Roman" w:hAnsi="Times New Roman" w:eastAsia="宋体" w:cs="宋体"/>
                <w:snapToGrid/>
                <w:color w:val="auto"/>
                <w:lang w:eastAsia="zh-CN"/>
              </w:rPr>
              <w:t>，不涉及第二次污染。</w:t>
            </w:r>
          </w:p>
        </w:tc>
        <w:tc>
          <w:tcPr>
            <w:tcW w:w="325" w:type="pct"/>
            <w:tcBorders>
              <w:tl2br w:val="nil"/>
              <w:tr2bl w:val="nil"/>
            </w:tcBorders>
            <w:vAlign w:val="center"/>
          </w:tcPr>
          <w:p w14:paraId="64F76B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2CBE95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89" w:hRule="atLeast"/>
          <w:jc w:val="center"/>
        </w:trPr>
        <w:tc>
          <w:tcPr>
            <w:tcW w:w="235" w:type="pct"/>
            <w:vMerge w:val="restart"/>
            <w:tcBorders>
              <w:tl2br w:val="nil"/>
              <w:tr2bl w:val="nil"/>
            </w:tcBorders>
            <w:vAlign w:val="center"/>
          </w:tcPr>
          <w:p w14:paraId="77F4ED5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423" w:type="pct"/>
            <w:vMerge w:val="restart"/>
            <w:tcBorders>
              <w:tl2br w:val="nil"/>
              <w:tr2bl w:val="nil"/>
            </w:tcBorders>
            <w:vAlign w:val="center"/>
          </w:tcPr>
          <w:p w14:paraId="392E86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再生利用</w:t>
            </w:r>
          </w:p>
          <w:p w14:paraId="67BC78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和处置污</w:t>
            </w:r>
          </w:p>
          <w:p w14:paraId="7EDD2DF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染控制要</w:t>
            </w:r>
          </w:p>
          <w:p w14:paraId="0F0E2CF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求</w:t>
            </w:r>
          </w:p>
        </w:tc>
        <w:tc>
          <w:tcPr>
            <w:tcW w:w="2591" w:type="pct"/>
            <w:tcBorders>
              <w:tl2br w:val="nil"/>
              <w:tr2bl w:val="nil"/>
            </w:tcBorders>
            <w:vAlign w:val="center"/>
          </w:tcPr>
          <w:p w14:paraId="79FC9DF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应根据废塑料再生利用过程产生的废水中污染物种类和浓度，配备相应的废水收集和处理设施，处理后的废水宜进行循环使用，排放的废水应根据出水受纳水体功能要求或纳管要求，执行国家和地方相关排放标准，重点控制的污染物指标包括化学需氧量、悬浮物、</w:t>
            </w:r>
            <w:r>
              <w:rPr>
                <w:rFonts w:eastAsia="宋体"/>
                <w:snapToGrid/>
                <w:color w:val="auto"/>
                <w:lang w:eastAsia="zh-CN"/>
              </w:rPr>
              <w:t>pH</w:t>
            </w:r>
            <w:r>
              <w:rPr>
                <w:rFonts w:eastAsia="宋体" w:cs="宋体"/>
                <w:snapToGrid/>
                <w:color w:val="auto"/>
                <w:lang w:eastAsia="zh-CN"/>
              </w:rPr>
              <w:t>值、色度、石油类、可吸附有机卤化物等。</w:t>
            </w:r>
          </w:p>
        </w:tc>
        <w:tc>
          <w:tcPr>
            <w:tcW w:w="1423" w:type="pct"/>
            <w:tcBorders>
              <w:tl2br w:val="nil"/>
              <w:tr2bl w:val="nil"/>
            </w:tcBorders>
            <w:vAlign w:val="center"/>
          </w:tcPr>
          <w:p w14:paraId="3BBE01B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项目清洗废水采用沉淀池处理后回用，不外排</w:t>
            </w:r>
          </w:p>
        </w:tc>
        <w:tc>
          <w:tcPr>
            <w:tcW w:w="325" w:type="pct"/>
            <w:tcBorders>
              <w:tl2br w:val="nil"/>
              <w:tr2bl w:val="nil"/>
            </w:tcBorders>
            <w:vAlign w:val="center"/>
          </w:tcPr>
          <w:p w14:paraId="57ABFB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AE31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0" w:hRule="atLeast"/>
          <w:jc w:val="center"/>
        </w:trPr>
        <w:tc>
          <w:tcPr>
            <w:tcW w:w="235" w:type="pct"/>
            <w:vMerge w:val="continue"/>
            <w:tcBorders>
              <w:tl2br w:val="nil"/>
              <w:tr2bl w:val="nil"/>
            </w:tcBorders>
            <w:vAlign w:val="center"/>
          </w:tcPr>
          <w:p w14:paraId="02F433A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4FE2EF4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633B4D0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废</w:t>
            </w:r>
            <w:r>
              <w:rPr>
                <w:rFonts w:ascii="Times New Roman" w:hAnsi="Times New Roman" w:eastAsia="宋体" w:cs="宋体"/>
                <w:snapToGrid/>
                <w:color w:val="auto"/>
                <w:lang w:eastAsia="zh-CN"/>
              </w:rPr>
              <w:t>塑料的物理再生工艺中，熔融造粒车间应安装废气收集及处理装置，挤出工艺的冷却废水宜循环使用。</w:t>
            </w:r>
          </w:p>
        </w:tc>
        <w:tc>
          <w:tcPr>
            <w:tcW w:w="1423" w:type="pct"/>
            <w:tcBorders>
              <w:tl2br w:val="nil"/>
              <w:tr2bl w:val="nil"/>
            </w:tcBorders>
            <w:vAlign w:val="center"/>
          </w:tcPr>
          <w:p w14:paraId="637C3447">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本项目产生的挥发性有机气体，经“</w:t>
            </w:r>
            <w:r>
              <w:rPr>
                <w:rFonts w:hint="eastAsia" w:eastAsia="宋体" w:cs="宋体"/>
                <w:snapToGrid/>
                <w:color w:val="auto"/>
                <w:lang w:eastAsia="zh-CN"/>
              </w:rPr>
              <w:t>活性炭吸附+蓄热式催化燃烧</w:t>
            </w:r>
            <w:r>
              <w:rPr>
                <w:rFonts w:eastAsia="宋体" w:cs="宋体"/>
                <w:snapToGrid/>
                <w:color w:val="auto"/>
                <w:lang w:eastAsia="zh-CN"/>
              </w:rPr>
              <w:t>”处理后，经由</w:t>
            </w:r>
            <w:r>
              <w:rPr>
                <w:rFonts w:eastAsia="宋体"/>
                <w:snapToGrid/>
                <w:color w:val="auto"/>
                <w:lang w:eastAsia="zh-CN"/>
              </w:rPr>
              <w:t>15m</w:t>
            </w:r>
            <w:r>
              <w:rPr>
                <w:rFonts w:eastAsia="宋体" w:cs="宋体"/>
                <w:snapToGrid/>
                <w:color w:val="auto"/>
                <w:lang w:eastAsia="zh-CN"/>
              </w:rPr>
              <w:t>排气筒排放。可实现达标排放，符合规范要求</w:t>
            </w:r>
          </w:p>
        </w:tc>
        <w:tc>
          <w:tcPr>
            <w:tcW w:w="325" w:type="pct"/>
            <w:tcBorders>
              <w:tl2br w:val="nil"/>
              <w:tr2bl w:val="nil"/>
            </w:tcBorders>
            <w:vAlign w:val="center"/>
          </w:tcPr>
          <w:p w14:paraId="6D5A752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364D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235" w:type="pct"/>
            <w:vMerge w:val="restart"/>
            <w:tcBorders>
              <w:tl2br w:val="nil"/>
              <w:tr2bl w:val="nil"/>
            </w:tcBorders>
            <w:vAlign w:val="center"/>
          </w:tcPr>
          <w:p w14:paraId="51D1F0A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423" w:type="pct"/>
            <w:vMerge w:val="restart"/>
            <w:tcBorders>
              <w:tl2br w:val="nil"/>
              <w:tr2bl w:val="nil"/>
            </w:tcBorders>
            <w:vAlign w:val="center"/>
          </w:tcPr>
          <w:p w14:paraId="646F97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运行环境管理要求</w:t>
            </w:r>
          </w:p>
        </w:tc>
        <w:tc>
          <w:tcPr>
            <w:tcW w:w="2591" w:type="pct"/>
            <w:tcBorders>
              <w:tl2br w:val="nil"/>
              <w:tr2bl w:val="nil"/>
            </w:tcBorders>
            <w:vAlign w:val="center"/>
          </w:tcPr>
          <w:p w14:paraId="564A8FF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废塑料的产生和再生利用企业，应按照排污许可证规定严格控制污染物排放。</w:t>
            </w:r>
          </w:p>
        </w:tc>
        <w:tc>
          <w:tcPr>
            <w:tcW w:w="1423" w:type="pct"/>
            <w:tcBorders>
              <w:tl2br w:val="nil"/>
              <w:tr2bl w:val="nil"/>
            </w:tcBorders>
            <w:vAlign w:val="center"/>
          </w:tcPr>
          <w:p w14:paraId="7D9564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本次环评要求本项目待运行前应当取得排污许可</w:t>
            </w:r>
          </w:p>
        </w:tc>
        <w:tc>
          <w:tcPr>
            <w:tcW w:w="325" w:type="pct"/>
            <w:tcBorders>
              <w:tl2br w:val="nil"/>
              <w:tr2bl w:val="nil"/>
            </w:tcBorders>
            <w:vAlign w:val="center"/>
          </w:tcPr>
          <w:p w14:paraId="642834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3511B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235" w:type="pct"/>
            <w:vMerge w:val="continue"/>
            <w:tcBorders>
              <w:tl2br w:val="nil"/>
              <w:tr2bl w:val="nil"/>
            </w:tcBorders>
            <w:vAlign w:val="center"/>
          </w:tcPr>
          <w:p w14:paraId="1D9DD26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7217955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76D8484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废塑料再生利用项目应按功能划分厂区，包括管理区、原料贮存区、生产区、产品贮存区、不可利用废物的贮存和处理区等，各功能区应有明显的界线或标识。</w:t>
            </w:r>
          </w:p>
        </w:tc>
        <w:tc>
          <w:tcPr>
            <w:tcW w:w="1423" w:type="pct"/>
            <w:tcBorders>
              <w:tl2br w:val="nil"/>
              <w:tr2bl w:val="nil"/>
            </w:tcBorders>
            <w:vAlign w:val="center"/>
          </w:tcPr>
          <w:p w14:paraId="7C0F54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本项目平面布置各功能区应有明显的界线或标识。</w:t>
            </w:r>
          </w:p>
        </w:tc>
        <w:tc>
          <w:tcPr>
            <w:tcW w:w="325" w:type="pct"/>
            <w:tcBorders>
              <w:tl2br w:val="nil"/>
              <w:tr2bl w:val="nil"/>
            </w:tcBorders>
            <w:vAlign w:val="center"/>
          </w:tcPr>
          <w:p w14:paraId="4CD0CC9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9125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235" w:type="pct"/>
            <w:vMerge w:val="continue"/>
            <w:tcBorders>
              <w:tl2br w:val="nil"/>
              <w:tr2bl w:val="nil"/>
            </w:tcBorders>
            <w:vAlign w:val="center"/>
          </w:tcPr>
          <w:p w14:paraId="737A767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48FDB06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4143D9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w:t>
            </w:r>
          </w:p>
        </w:tc>
        <w:tc>
          <w:tcPr>
            <w:tcW w:w="1423" w:type="pct"/>
            <w:tcBorders>
              <w:tl2br w:val="nil"/>
              <w:tr2bl w:val="nil"/>
            </w:tcBorders>
            <w:vAlign w:val="center"/>
          </w:tcPr>
          <w:p w14:paraId="014066B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本项目生产工艺及设备指标、资源和能源消耗指标、资源综合利用指标、产品特征指标、污染物产生指标（末端处理前）、清洁生产管理指标均符合国家清洁生</w:t>
            </w:r>
            <w:r>
              <w:rPr>
                <w:rFonts w:hint="eastAsia" w:ascii="Times New Roman" w:hAnsi="Times New Roman" w:eastAsia="宋体" w:cs="宋体"/>
                <w:snapToGrid/>
                <w:color w:val="auto"/>
                <w:lang w:eastAsia="zh-CN"/>
              </w:rPr>
              <w:t>产的</w:t>
            </w:r>
            <w:r>
              <w:rPr>
                <w:rFonts w:ascii="Times New Roman" w:hAnsi="Times New Roman" w:eastAsia="宋体" w:cs="宋体"/>
                <w:snapToGrid/>
                <w:color w:val="auto"/>
                <w:lang w:eastAsia="zh-CN"/>
              </w:rPr>
              <w:t>相关规定</w:t>
            </w:r>
          </w:p>
        </w:tc>
        <w:tc>
          <w:tcPr>
            <w:tcW w:w="325" w:type="pct"/>
            <w:tcBorders>
              <w:tl2br w:val="nil"/>
              <w:tr2bl w:val="nil"/>
            </w:tcBorders>
            <w:vAlign w:val="center"/>
          </w:tcPr>
          <w:p w14:paraId="3FD480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3C48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4" w:hRule="atLeast"/>
          <w:jc w:val="center"/>
        </w:trPr>
        <w:tc>
          <w:tcPr>
            <w:tcW w:w="235" w:type="pct"/>
            <w:vMerge w:val="continue"/>
            <w:tcBorders>
              <w:tl2br w:val="nil"/>
              <w:tr2bl w:val="nil"/>
            </w:tcBorders>
            <w:vAlign w:val="center"/>
          </w:tcPr>
          <w:p w14:paraId="2532C99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3" w:type="pct"/>
            <w:vMerge w:val="continue"/>
            <w:tcBorders>
              <w:tl2br w:val="nil"/>
              <w:tr2bl w:val="nil"/>
            </w:tcBorders>
            <w:vAlign w:val="center"/>
          </w:tcPr>
          <w:p w14:paraId="6EBD9B3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591" w:type="pct"/>
            <w:tcBorders>
              <w:tl2br w:val="nil"/>
              <w:tr2bl w:val="nil"/>
            </w:tcBorders>
            <w:vAlign w:val="center"/>
          </w:tcPr>
          <w:p w14:paraId="51FB851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废塑料的再生利用和处置企业，应按照排污许可证、</w:t>
            </w:r>
            <w:r>
              <w:rPr>
                <w:rFonts w:eastAsia="宋体"/>
                <w:snapToGrid/>
                <w:color w:val="auto"/>
                <w:lang w:eastAsia="zh-CN"/>
              </w:rPr>
              <w:t>HJ819</w:t>
            </w:r>
            <w:r>
              <w:rPr>
                <w:rFonts w:eastAsia="宋体" w:cs="宋体"/>
                <w:snapToGrid/>
                <w:color w:val="auto"/>
                <w:lang w:eastAsia="zh-CN"/>
              </w:rPr>
              <w:t>以及本标准的要求，制定自行监测方案，对废塑料的利用处置过程污染物排放状况及周边环境质量的影响开展自行监测，保存原始监测记录，并依规进行信息公开</w:t>
            </w:r>
          </w:p>
        </w:tc>
        <w:tc>
          <w:tcPr>
            <w:tcW w:w="1423" w:type="pct"/>
            <w:tcBorders>
              <w:tl2br w:val="nil"/>
              <w:tr2bl w:val="nil"/>
            </w:tcBorders>
            <w:vAlign w:val="center"/>
          </w:tcPr>
          <w:p w14:paraId="701D01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本次环评提出本项</w:t>
            </w:r>
            <w:r>
              <w:rPr>
                <w:rFonts w:hint="eastAsia" w:ascii="Times New Roman" w:hAnsi="Times New Roman" w:eastAsia="宋体" w:cs="宋体"/>
                <w:snapToGrid/>
                <w:color w:val="auto"/>
                <w:lang w:eastAsia="zh-CN"/>
              </w:rPr>
              <w:t>目自</w:t>
            </w:r>
            <w:r>
              <w:rPr>
                <w:rFonts w:ascii="Times New Roman" w:hAnsi="Times New Roman" w:eastAsia="宋体" w:cs="宋体"/>
                <w:snapToGrid/>
                <w:color w:val="auto"/>
                <w:lang w:eastAsia="zh-CN"/>
              </w:rPr>
              <w:t>行监测方案，对废塑料的利用处置过程污染物排放状况及周边环境质量的影响开展自行监测</w:t>
            </w:r>
          </w:p>
        </w:tc>
        <w:tc>
          <w:tcPr>
            <w:tcW w:w="325" w:type="pct"/>
            <w:tcBorders>
              <w:tl2br w:val="nil"/>
              <w:tr2bl w:val="nil"/>
            </w:tcBorders>
            <w:vAlign w:val="center"/>
          </w:tcPr>
          <w:p w14:paraId="6E0CDCE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54020873">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7</w:t>
      </w:r>
      <w:r>
        <w:rPr>
          <w:rFonts w:ascii="Times New Roman" w:hAnsi="Times New Roman"/>
          <w:b/>
          <w:bCs/>
          <w:snapToGrid/>
          <w:color w:val="auto"/>
          <w:sz w:val="24"/>
          <w:lang w:eastAsia="zh-CN"/>
        </w:rPr>
        <w:t>《废塑料综合利用行业规范条件公告管理暂行办法》符合性分析</w:t>
      </w:r>
    </w:p>
    <w:tbl>
      <w:tblPr>
        <w:tblStyle w:val="36"/>
        <w:tblW w:w="141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1"/>
        <w:gridCol w:w="7593"/>
        <w:gridCol w:w="5820"/>
      </w:tblGrid>
      <w:tr w14:paraId="6C0E9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91" w:type="dxa"/>
            <w:tcBorders>
              <w:tl2br w:val="nil"/>
              <w:tr2bl w:val="nil"/>
            </w:tcBorders>
            <w:vAlign w:val="center"/>
          </w:tcPr>
          <w:p w14:paraId="1BE86C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7593" w:type="dxa"/>
            <w:tcBorders>
              <w:tl2br w:val="nil"/>
              <w:tr2bl w:val="nil"/>
            </w:tcBorders>
            <w:vAlign w:val="center"/>
          </w:tcPr>
          <w:p w14:paraId="5A66831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5820" w:type="dxa"/>
            <w:tcBorders>
              <w:tl2br w:val="nil"/>
              <w:tr2bl w:val="nil"/>
            </w:tcBorders>
            <w:vAlign w:val="center"/>
          </w:tcPr>
          <w:p w14:paraId="6A00191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本项目符合性</w:t>
            </w:r>
          </w:p>
        </w:tc>
      </w:tr>
      <w:tr w14:paraId="01914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79" w:hRule="atLeast"/>
          <w:jc w:val="center"/>
        </w:trPr>
        <w:tc>
          <w:tcPr>
            <w:tcW w:w="691" w:type="dxa"/>
            <w:tcBorders>
              <w:tl2br w:val="nil"/>
              <w:tr2bl w:val="nil"/>
            </w:tcBorders>
            <w:vAlign w:val="center"/>
          </w:tcPr>
          <w:p w14:paraId="3FFF926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7593" w:type="dxa"/>
            <w:tcBorders>
              <w:tl2br w:val="nil"/>
              <w:tr2bl w:val="nil"/>
            </w:tcBorders>
            <w:vAlign w:val="center"/>
          </w:tcPr>
          <w:p w14:paraId="2422EC9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废塑料加工利用必须符合国家相关产业政策规定及《废塑料回收与再生利用污染控制技术规范》，防止二次污染。禁止在居民区加工利用废塑料。禁止利用废塑料生产厚度小于</w:t>
            </w:r>
            <w:r>
              <w:rPr>
                <w:rFonts w:eastAsia="宋体"/>
                <w:snapToGrid/>
                <w:color w:val="auto"/>
                <w:lang w:eastAsia="zh-CN"/>
              </w:rPr>
              <w:t>0.025mm</w:t>
            </w:r>
            <w:r>
              <w:rPr>
                <w:rFonts w:eastAsia="宋体" w:cs="宋体"/>
                <w:snapToGrid/>
                <w:color w:val="auto"/>
                <w:lang w:eastAsia="zh-CN"/>
              </w:rPr>
              <w:t>的超薄塑料购物袋和厚度小于</w:t>
            </w:r>
            <w:r>
              <w:rPr>
                <w:rFonts w:eastAsia="宋体"/>
                <w:snapToGrid/>
                <w:color w:val="auto"/>
                <w:lang w:eastAsia="zh-CN"/>
              </w:rPr>
              <w:t>0.015mm</w:t>
            </w:r>
            <w:r>
              <w:rPr>
                <w:rFonts w:eastAsia="宋体" w:cs="宋体"/>
                <w:snapToGrid/>
                <w:color w:val="auto"/>
                <w:lang w:eastAsia="zh-CN"/>
              </w:rPr>
              <w:t>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5820" w:type="dxa"/>
            <w:tcBorders>
              <w:tl2br w:val="nil"/>
              <w:tr2bl w:val="nil"/>
            </w:tcBorders>
            <w:vAlign w:val="center"/>
          </w:tcPr>
          <w:p w14:paraId="4199AFD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本项目废塑料加工利用符合国家相关产业政策规定及《废塑料回收与再生利用污染控制技术规范》；项目位于</w:t>
            </w:r>
            <w:r>
              <w:rPr>
                <w:rFonts w:hint="eastAsia" w:eastAsia="宋体" w:cs="宋体"/>
                <w:snapToGrid/>
                <w:color w:val="auto"/>
                <w:lang w:eastAsia="zh-CN"/>
              </w:rPr>
              <w:t>木垒哈萨克自治县雀仁乡</w:t>
            </w:r>
            <w:r>
              <w:rPr>
                <w:rFonts w:eastAsia="宋体" w:cs="宋体"/>
                <w:snapToGrid/>
                <w:color w:val="auto"/>
                <w:lang w:eastAsia="zh-CN"/>
              </w:rPr>
              <w:t>；生产产品滴灌带壁厚</w:t>
            </w:r>
            <w:r>
              <w:rPr>
                <w:rFonts w:eastAsia="宋体"/>
                <w:snapToGrid/>
                <w:color w:val="auto"/>
                <w:lang w:eastAsia="zh-CN"/>
              </w:rPr>
              <w:t>0.2mm</w:t>
            </w:r>
            <w:r>
              <w:rPr>
                <w:rFonts w:eastAsia="宋体" w:cs="宋体"/>
                <w:snapToGrid/>
                <w:color w:val="auto"/>
                <w:lang w:eastAsia="zh-CN"/>
              </w:rPr>
              <w:t>以上；利用废塑料颗粒生产农用滴灌带；生产废水循环使用，不外排。</w:t>
            </w:r>
          </w:p>
        </w:tc>
      </w:tr>
      <w:tr w14:paraId="4252F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3" w:hRule="atLeast"/>
          <w:jc w:val="center"/>
        </w:trPr>
        <w:tc>
          <w:tcPr>
            <w:tcW w:w="691" w:type="dxa"/>
            <w:tcBorders>
              <w:tl2br w:val="nil"/>
              <w:tr2bl w:val="nil"/>
            </w:tcBorders>
            <w:vAlign w:val="center"/>
          </w:tcPr>
          <w:p w14:paraId="56DA488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7593" w:type="dxa"/>
            <w:tcBorders>
              <w:tl2br w:val="nil"/>
              <w:tr2bl w:val="nil"/>
            </w:tcBorders>
            <w:vAlign w:val="center"/>
          </w:tcPr>
          <w:p w14:paraId="6154641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废塑料加工利用单位应当以环境无害化方式处理废塑料加工利用过程产生的残余</w:t>
            </w:r>
          </w:p>
          <w:p w14:paraId="5DD6223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垃圾、滤网；禁止交不符合环保要求的单位或个人处置。禁止露天焚烧废塑料及加工利用过程产生的残余垃圾、滤网。</w:t>
            </w:r>
          </w:p>
        </w:tc>
        <w:tc>
          <w:tcPr>
            <w:tcW w:w="5820" w:type="dxa"/>
            <w:tcBorders>
              <w:tl2br w:val="nil"/>
              <w:tr2bl w:val="nil"/>
            </w:tcBorders>
            <w:vAlign w:val="center"/>
          </w:tcPr>
          <w:p w14:paraId="5E3BA7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本项目废塑料加工利用过程中，废滤网定期由厂家回收，残次品经切割后回用生产。</w:t>
            </w:r>
          </w:p>
        </w:tc>
      </w:tr>
      <w:tr w14:paraId="55C296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691" w:type="dxa"/>
            <w:tcBorders>
              <w:tl2br w:val="nil"/>
              <w:tr2bl w:val="nil"/>
            </w:tcBorders>
            <w:vAlign w:val="center"/>
          </w:tcPr>
          <w:p w14:paraId="215BB13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7593" w:type="dxa"/>
            <w:tcBorders>
              <w:tl2br w:val="nil"/>
              <w:tr2bl w:val="nil"/>
            </w:tcBorders>
            <w:vAlign w:val="center"/>
          </w:tcPr>
          <w:p w14:paraId="117C9B3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鼓励废塑料加工利用集散地对废塑料加工利用散户实行集中化管理，集中处理废塑料加工利用产生的废水、废气和固体废物。</w:t>
            </w:r>
          </w:p>
        </w:tc>
        <w:tc>
          <w:tcPr>
            <w:tcW w:w="5820" w:type="dxa"/>
            <w:tcBorders>
              <w:tl2br w:val="nil"/>
              <w:tr2bl w:val="nil"/>
            </w:tcBorders>
            <w:vAlign w:val="center"/>
          </w:tcPr>
          <w:p w14:paraId="7C892E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项目为</w:t>
            </w:r>
            <w:r>
              <w:rPr>
                <w:rFonts w:hint="eastAsia" w:ascii="Times New Roman" w:hAnsi="Times New Roman" w:eastAsia="宋体" w:cs="宋体"/>
                <w:snapToGrid/>
                <w:color w:val="auto"/>
                <w:lang w:eastAsia="zh-CN"/>
              </w:rPr>
              <w:t>新建项目</w:t>
            </w:r>
            <w:r>
              <w:rPr>
                <w:rFonts w:ascii="Times New Roman" w:hAnsi="Times New Roman" w:eastAsia="宋体" w:cs="宋体"/>
                <w:snapToGrid/>
                <w:color w:val="auto"/>
                <w:lang w:eastAsia="zh-CN"/>
              </w:rPr>
              <w:t>，选址位于</w:t>
            </w:r>
            <w:r>
              <w:rPr>
                <w:rFonts w:hint="eastAsia" w:ascii="Times New Roman" w:hAnsi="Times New Roman" w:eastAsia="宋体" w:cs="宋体"/>
                <w:snapToGrid/>
                <w:color w:val="auto"/>
                <w:lang w:eastAsia="zh-CN"/>
              </w:rPr>
              <w:t>木垒哈萨克自治县雀仁乡河中村</w:t>
            </w:r>
            <w:r>
              <w:rPr>
                <w:rFonts w:ascii="Times New Roman" w:hAnsi="Times New Roman" w:eastAsia="宋体" w:cs="宋体"/>
                <w:snapToGrid/>
                <w:color w:val="auto"/>
                <w:lang w:eastAsia="zh-CN"/>
              </w:rPr>
              <w:t>；冷却废水循环使用，不外排；废滤网定期由厂家回收，残次品经切割后回用生产。</w:t>
            </w:r>
          </w:p>
        </w:tc>
      </w:tr>
    </w:tbl>
    <w:p w14:paraId="776F4A50">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8</w:t>
      </w:r>
      <w:r>
        <w:rPr>
          <w:rFonts w:ascii="Times New Roman" w:hAnsi="Times New Roman"/>
          <w:b/>
          <w:bCs/>
          <w:snapToGrid/>
          <w:color w:val="auto"/>
          <w:sz w:val="24"/>
          <w:lang w:eastAsia="zh-CN"/>
        </w:rPr>
        <w:t>《关于进一步加强塑料污染治理的意见》符合性分析</w:t>
      </w:r>
    </w:p>
    <w:tbl>
      <w:tblPr>
        <w:tblStyle w:val="36"/>
        <w:tblW w:w="1417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257"/>
        <w:gridCol w:w="6862"/>
        <w:gridCol w:w="4490"/>
        <w:gridCol w:w="881"/>
      </w:tblGrid>
      <w:tr w14:paraId="2F04C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86" w:type="dxa"/>
            <w:tcBorders>
              <w:tl2br w:val="nil"/>
              <w:tr2bl w:val="nil"/>
            </w:tcBorders>
            <w:vAlign w:val="center"/>
          </w:tcPr>
          <w:p w14:paraId="53CA262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257" w:type="dxa"/>
            <w:tcBorders>
              <w:tl2br w:val="nil"/>
              <w:tr2bl w:val="nil"/>
            </w:tcBorders>
            <w:vAlign w:val="center"/>
          </w:tcPr>
          <w:p w14:paraId="481EB9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6862" w:type="dxa"/>
            <w:tcBorders>
              <w:tl2br w:val="nil"/>
              <w:tr2bl w:val="nil"/>
            </w:tcBorders>
            <w:vAlign w:val="center"/>
          </w:tcPr>
          <w:p w14:paraId="29B0F9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4490" w:type="dxa"/>
            <w:tcBorders>
              <w:tl2br w:val="nil"/>
              <w:tr2bl w:val="nil"/>
            </w:tcBorders>
            <w:vAlign w:val="center"/>
          </w:tcPr>
          <w:p w14:paraId="313C6ED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本项目建设情况</w:t>
            </w:r>
          </w:p>
        </w:tc>
        <w:tc>
          <w:tcPr>
            <w:tcW w:w="881" w:type="dxa"/>
            <w:tcBorders>
              <w:tl2br w:val="nil"/>
              <w:tr2bl w:val="nil"/>
            </w:tcBorders>
            <w:vAlign w:val="center"/>
          </w:tcPr>
          <w:p w14:paraId="32C082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68B78F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4" w:hRule="atLeast"/>
          <w:jc w:val="center"/>
        </w:trPr>
        <w:tc>
          <w:tcPr>
            <w:tcW w:w="686" w:type="dxa"/>
            <w:tcBorders>
              <w:tl2br w:val="nil"/>
              <w:tr2bl w:val="nil"/>
            </w:tcBorders>
            <w:vAlign w:val="center"/>
          </w:tcPr>
          <w:p w14:paraId="489707B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257" w:type="dxa"/>
            <w:tcBorders>
              <w:tl2br w:val="nil"/>
              <w:tr2bl w:val="nil"/>
            </w:tcBorders>
            <w:vAlign w:val="center"/>
          </w:tcPr>
          <w:p w14:paraId="2D28F8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禁止生产、销售的塑料制品</w:t>
            </w:r>
          </w:p>
        </w:tc>
        <w:tc>
          <w:tcPr>
            <w:tcW w:w="6862" w:type="dxa"/>
            <w:tcBorders>
              <w:tl2br w:val="nil"/>
              <w:tr2bl w:val="nil"/>
            </w:tcBorders>
            <w:vAlign w:val="center"/>
          </w:tcPr>
          <w:p w14:paraId="74827EF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lang w:eastAsia="zh-CN"/>
              </w:rPr>
              <w:t>禁止生产和销售厚度小于</w:t>
            </w:r>
            <w:r>
              <w:rPr>
                <w:rFonts w:eastAsia="宋体"/>
                <w:snapToGrid/>
                <w:color w:val="auto"/>
                <w:lang w:eastAsia="zh-CN"/>
              </w:rPr>
              <w:t>0.025</w:t>
            </w:r>
            <w:r>
              <w:rPr>
                <w:rFonts w:eastAsia="宋体" w:cs="宋体"/>
                <w:snapToGrid/>
                <w:color w:val="auto"/>
                <w:lang w:eastAsia="zh-CN"/>
              </w:rPr>
              <w:t>毫米的超薄塑料购物袋、厚度小于</w:t>
            </w:r>
            <w:r>
              <w:rPr>
                <w:rFonts w:eastAsia="宋体"/>
                <w:snapToGrid/>
                <w:color w:val="auto"/>
                <w:lang w:eastAsia="zh-CN"/>
              </w:rPr>
              <w:t>0.01</w:t>
            </w:r>
            <w:r>
              <w:rPr>
                <w:rFonts w:eastAsia="宋体" w:cs="宋体"/>
                <w:snapToGrid/>
                <w:color w:val="auto"/>
                <w:lang w:eastAsia="zh-CN"/>
              </w:rPr>
              <w:t>毫米的聚乙烯农用地膜。禁止以医疗废物为原料制造塑料制品。全面禁止废塑料进口。到</w:t>
            </w:r>
            <w:r>
              <w:rPr>
                <w:rFonts w:eastAsia="宋体"/>
                <w:snapToGrid/>
                <w:color w:val="auto"/>
                <w:lang w:eastAsia="zh-CN"/>
              </w:rPr>
              <w:t>2020</w:t>
            </w:r>
            <w:r>
              <w:rPr>
                <w:rFonts w:eastAsia="宋体" w:cs="宋体"/>
                <w:snapToGrid/>
                <w:color w:val="auto"/>
                <w:lang w:eastAsia="zh-CN"/>
              </w:rPr>
              <w:t>年底，禁止生产和销售一次性发泡塑料餐具、一次性塑料棉签；禁止生产含塑料微珠的日化产品。</w:t>
            </w:r>
            <w:r>
              <w:rPr>
                <w:rFonts w:eastAsia="宋体" w:cs="宋体"/>
                <w:snapToGrid/>
                <w:color w:val="auto"/>
              </w:rPr>
              <w:t>到</w:t>
            </w:r>
            <w:r>
              <w:rPr>
                <w:rFonts w:eastAsia="宋体"/>
                <w:snapToGrid/>
                <w:color w:val="auto"/>
              </w:rPr>
              <w:t>2022</w:t>
            </w:r>
            <w:r>
              <w:rPr>
                <w:rFonts w:eastAsia="宋体" w:cs="宋体"/>
                <w:snapToGrid/>
                <w:color w:val="auto"/>
              </w:rPr>
              <w:t>年底，禁止销售含塑料微珠的日化产品。</w:t>
            </w:r>
          </w:p>
        </w:tc>
        <w:tc>
          <w:tcPr>
            <w:tcW w:w="4490" w:type="dxa"/>
            <w:vMerge w:val="restart"/>
            <w:tcBorders>
              <w:tl2br w:val="nil"/>
              <w:tr2bl w:val="nil"/>
            </w:tcBorders>
            <w:vAlign w:val="center"/>
          </w:tcPr>
          <w:p w14:paraId="6BCF53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利用当地农户生产产生的废旧滴灌带经造粒后生产滴灌带产品。项目所用废塑料仅为废旧滴灌带，不含医疗废物及进口废塑料。</w:t>
            </w:r>
          </w:p>
          <w:p w14:paraId="7232404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生产的产品均符合相关产品质量标准要求，生产过程中不添加对人体、环境有害的添加剂。项目的建设可有效减少区域农业生产过程中产生的废旧塑料堆放对环境造成的污染，提高塑料废弃物资源化利用水平。</w:t>
            </w:r>
          </w:p>
        </w:tc>
        <w:tc>
          <w:tcPr>
            <w:tcW w:w="881" w:type="dxa"/>
            <w:tcBorders>
              <w:tl2br w:val="nil"/>
              <w:tr2bl w:val="nil"/>
            </w:tcBorders>
            <w:vAlign w:val="center"/>
          </w:tcPr>
          <w:p w14:paraId="3478B60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EBF6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98" w:hRule="atLeast"/>
          <w:jc w:val="center"/>
        </w:trPr>
        <w:tc>
          <w:tcPr>
            <w:tcW w:w="686" w:type="dxa"/>
            <w:tcBorders>
              <w:tl2br w:val="nil"/>
              <w:tr2bl w:val="nil"/>
            </w:tcBorders>
            <w:vAlign w:val="center"/>
          </w:tcPr>
          <w:p w14:paraId="3C4A99E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257" w:type="dxa"/>
            <w:tcBorders>
              <w:tl2br w:val="nil"/>
              <w:tr2bl w:val="nil"/>
            </w:tcBorders>
            <w:vAlign w:val="center"/>
          </w:tcPr>
          <w:p w14:paraId="515DA7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加强塑料废弃物回收和清运</w:t>
            </w:r>
          </w:p>
        </w:tc>
        <w:tc>
          <w:tcPr>
            <w:tcW w:w="6862" w:type="dxa"/>
            <w:tcBorders>
              <w:tl2br w:val="nil"/>
              <w:tr2bl w:val="nil"/>
            </w:tcBorders>
            <w:vAlign w:val="center"/>
          </w:tcPr>
          <w:p w14:paraId="2ACFC19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结合实施垃圾分类，加大塑料废弃物等可回收物分类收集和处理力度，禁止随意堆放、倾倒造成塑料垃圾污染。在写字楼、机场、车站、港口码头等塑料废弃物产生量大的场所，要增加投放设施，提高清运频次。推动电商外卖平台、环卫部门、回收企业等开展多方合作，在重点区域投放快递包装、外卖餐盒等回收设施。建立健全废旧农膜回收体系；规范废旧渔网渔具回收处置。</w:t>
            </w:r>
          </w:p>
        </w:tc>
        <w:tc>
          <w:tcPr>
            <w:tcW w:w="4490" w:type="dxa"/>
            <w:vMerge w:val="continue"/>
            <w:tcBorders>
              <w:tl2br w:val="nil"/>
              <w:tr2bl w:val="nil"/>
            </w:tcBorders>
            <w:vAlign w:val="center"/>
          </w:tcPr>
          <w:p w14:paraId="48253968">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881" w:type="dxa"/>
            <w:tcBorders>
              <w:tl2br w:val="nil"/>
              <w:tr2bl w:val="nil"/>
            </w:tcBorders>
            <w:vAlign w:val="center"/>
          </w:tcPr>
          <w:p w14:paraId="18E864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3DD37D10">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w:t>
      </w:r>
      <w:r>
        <w:rPr>
          <w:rFonts w:hint="eastAsia" w:ascii="Times New Roman" w:hAnsi="Times New Roman"/>
          <w:b/>
          <w:bCs/>
          <w:snapToGrid/>
          <w:color w:val="auto"/>
          <w:sz w:val="24"/>
          <w:lang w:eastAsia="zh-CN"/>
        </w:rPr>
        <w:t>9</w:t>
      </w:r>
      <w:r>
        <w:rPr>
          <w:rFonts w:ascii="Times New Roman" w:hAnsi="Times New Roman"/>
          <w:b/>
          <w:bCs/>
          <w:snapToGrid/>
          <w:color w:val="auto"/>
          <w:sz w:val="24"/>
          <w:lang w:eastAsia="zh-CN"/>
        </w:rPr>
        <w:t>与《关于促进全区废旧塑料再生利用行业有序发展的指导意见》符合性分析</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6"/>
        <w:gridCol w:w="1225"/>
        <w:gridCol w:w="6516"/>
        <w:gridCol w:w="4656"/>
        <w:gridCol w:w="961"/>
      </w:tblGrid>
      <w:tr w14:paraId="2074C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244" w:type="pct"/>
            <w:tcBorders>
              <w:tl2br w:val="nil"/>
              <w:tr2bl w:val="nil"/>
            </w:tcBorders>
            <w:vAlign w:val="center"/>
          </w:tcPr>
          <w:p w14:paraId="605D79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436" w:type="pct"/>
            <w:tcBorders>
              <w:tl2br w:val="nil"/>
              <w:tr2bl w:val="nil"/>
            </w:tcBorders>
            <w:vAlign w:val="center"/>
          </w:tcPr>
          <w:p w14:paraId="7E7C060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产业政策</w:t>
            </w:r>
          </w:p>
        </w:tc>
        <w:tc>
          <w:tcPr>
            <w:tcW w:w="2319" w:type="pct"/>
            <w:tcBorders>
              <w:tl2br w:val="nil"/>
              <w:tr2bl w:val="nil"/>
            </w:tcBorders>
            <w:vAlign w:val="center"/>
          </w:tcPr>
          <w:p w14:paraId="481E16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指导意见</w:t>
            </w:r>
          </w:p>
        </w:tc>
        <w:tc>
          <w:tcPr>
            <w:tcW w:w="1657" w:type="pct"/>
            <w:tcBorders>
              <w:tl2br w:val="nil"/>
              <w:tr2bl w:val="nil"/>
            </w:tcBorders>
            <w:vAlign w:val="center"/>
          </w:tcPr>
          <w:p w14:paraId="26F3E4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本项目情况</w:t>
            </w:r>
          </w:p>
        </w:tc>
        <w:tc>
          <w:tcPr>
            <w:tcW w:w="342" w:type="pct"/>
            <w:tcBorders>
              <w:tl2br w:val="nil"/>
              <w:tr2bl w:val="nil"/>
            </w:tcBorders>
            <w:vAlign w:val="center"/>
          </w:tcPr>
          <w:p w14:paraId="3003EE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4BDD9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6" w:hRule="atLeast"/>
          <w:jc w:val="center"/>
        </w:trPr>
        <w:tc>
          <w:tcPr>
            <w:tcW w:w="244" w:type="pct"/>
            <w:vMerge w:val="restart"/>
            <w:tcBorders>
              <w:tl2br w:val="nil"/>
              <w:tr2bl w:val="nil"/>
            </w:tcBorders>
            <w:vAlign w:val="center"/>
          </w:tcPr>
          <w:p w14:paraId="2531D5E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436" w:type="pct"/>
            <w:vMerge w:val="restart"/>
            <w:tcBorders>
              <w:tl2br w:val="nil"/>
              <w:tr2bl w:val="nil"/>
            </w:tcBorders>
            <w:vAlign w:val="center"/>
          </w:tcPr>
          <w:p w14:paraId="13C3DD0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选址要求</w:t>
            </w:r>
          </w:p>
        </w:tc>
        <w:tc>
          <w:tcPr>
            <w:tcW w:w="2319" w:type="pct"/>
            <w:tcBorders>
              <w:tl2br w:val="nil"/>
              <w:tr2bl w:val="nil"/>
            </w:tcBorders>
            <w:vAlign w:val="center"/>
          </w:tcPr>
          <w:p w14:paraId="0EC5B0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新建和改扩建废塑料再生利用项目必须严格执行生态环境保护法律法规和环境影响评价制度，未经有审批</w:t>
            </w:r>
            <w:r>
              <w:rPr>
                <w:rFonts w:hint="eastAsia" w:ascii="Times New Roman" w:hAnsi="Times New Roman" w:eastAsia="宋体" w:cs="宋体"/>
                <w:snapToGrid/>
                <w:color w:val="auto"/>
                <w:lang w:eastAsia="zh-CN"/>
              </w:rPr>
              <w:t>权的</w:t>
            </w:r>
            <w:r>
              <w:rPr>
                <w:rFonts w:ascii="Times New Roman" w:hAnsi="Times New Roman" w:eastAsia="宋体" w:cs="宋体"/>
                <w:snapToGrid/>
                <w:color w:val="auto"/>
                <w:lang w:eastAsia="zh-CN"/>
              </w:rPr>
              <w:t>生态环境行政主管部门审批，</w:t>
            </w:r>
          </w:p>
          <w:p w14:paraId="79FD2A1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不得建设和组织生产</w:t>
            </w:r>
          </w:p>
        </w:tc>
        <w:tc>
          <w:tcPr>
            <w:tcW w:w="1657" w:type="pct"/>
            <w:tcBorders>
              <w:tl2br w:val="nil"/>
              <w:tr2bl w:val="nil"/>
            </w:tcBorders>
            <w:vAlign w:val="center"/>
          </w:tcPr>
          <w:p w14:paraId="0242C1A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本次按照相关要求编制环评</w:t>
            </w:r>
          </w:p>
        </w:tc>
        <w:tc>
          <w:tcPr>
            <w:tcW w:w="342" w:type="pct"/>
            <w:tcBorders>
              <w:tl2br w:val="nil"/>
              <w:tr2bl w:val="nil"/>
            </w:tcBorders>
            <w:vAlign w:val="center"/>
          </w:tcPr>
          <w:p w14:paraId="40177B3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5DBC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244" w:type="pct"/>
            <w:vMerge w:val="continue"/>
            <w:tcBorders>
              <w:tl2br w:val="nil"/>
              <w:tr2bl w:val="nil"/>
            </w:tcBorders>
            <w:vAlign w:val="center"/>
          </w:tcPr>
          <w:p w14:paraId="2161231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36" w:type="pct"/>
            <w:vMerge w:val="continue"/>
            <w:tcBorders>
              <w:tl2br w:val="nil"/>
              <w:tr2bl w:val="nil"/>
            </w:tcBorders>
            <w:vAlign w:val="center"/>
          </w:tcPr>
          <w:p w14:paraId="2FEECB6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319" w:type="pct"/>
            <w:tcBorders>
              <w:tl2br w:val="nil"/>
              <w:tr2bl w:val="nil"/>
            </w:tcBorders>
            <w:vAlign w:val="center"/>
          </w:tcPr>
          <w:p w14:paraId="1361D9D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在各级人民政府依法设立的工</w:t>
            </w:r>
            <w:r>
              <w:rPr>
                <w:rFonts w:hint="eastAsia" w:eastAsia="宋体" w:cs="宋体"/>
                <w:snapToGrid/>
                <w:color w:val="auto"/>
                <w:lang w:eastAsia="zh-CN"/>
              </w:rPr>
              <w:t>业园</w:t>
            </w:r>
            <w:r>
              <w:rPr>
                <w:rFonts w:eastAsia="宋体" w:cs="宋体"/>
                <w:snapToGrid/>
                <w:color w:val="auto"/>
                <w:lang w:eastAsia="zh-CN"/>
              </w:rPr>
              <w:t>区以外进行项目建设的，不得占用农用地，且不得在城乡规划区边界外5公里以内，区控重点河流两岸、高速公路、铁路干线及重要地下管网及其他需严防污染的食品、药品等企业周边1000米以内建设；禁止在生态保护红线内新建废塑料再生利用企业。已在上述区域内开工建设、投产运营的废塑料再生利用项目和企业，要通过搬迁、转产等方式逐步退出。</w:t>
            </w:r>
          </w:p>
        </w:tc>
        <w:tc>
          <w:tcPr>
            <w:tcW w:w="1657" w:type="pct"/>
            <w:tcBorders>
              <w:tl2br w:val="nil"/>
              <w:tr2bl w:val="nil"/>
            </w:tcBorders>
            <w:vAlign w:val="center"/>
          </w:tcPr>
          <w:p w14:paraId="2EA00B2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项目建设地点位于</w:t>
            </w:r>
            <w:r>
              <w:rPr>
                <w:rFonts w:hint="eastAsia" w:eastAsia="宋体" w:cs="宋体"/>
                <w:snapToGrid/>
                <w:color w:val="auto"/>
                <w:lang w:eastAsia="zh-CN"/>
              </w:rPr>
              <w:t>木垒哈萨克自治县雀仁乡</w:t>
            </w:r>
            <w:r>
              <w:rPr>
                <w:rFonts w:eastAsia="宋体" w:cs="宋体"/>
                <w:snapToGrid/>
                <w:color w:val="auto"/>
                <w:lang w:eastAsia="zh-CN"/>
              </w:rPr>
              <w:t>，用地属于</w:t>
            </w:r>
            <w:r>
              <w:rPr>
                <w:rFonts w:hint="eastAsia" w:eastAsia="宋体" w:cs="宋体"/>
                <w:snapToGrid/>
                <w:color w:val="auto"/>
                <w:lang w:eastAsia="zh-CN"/>
              </w:rPr>
              <w:t>建设用地</w:t>
            </w:r>
            <w:r>
              <w:rPr>
                <w:rFonts w:eastAsia="宋体" w:cs="宋体"/>
                <w:snapToGrid/>
                <w:color w:val="auto"/>
                <w:lang w:eastAsia="zh-CN"/>
              </w:rPr>
              <w:t>，</w:t>
            </w:r>
            <w:r>
              <w:rPr>
                <w:rFonts w:hint="eastAsia" w:eastAsia="宋体"/>
                <w:color w:val="auto"/>
                <w:lang w:val="en-US" w:eastAsia="zh-CN"/>
              </w:rPr>
              <w:t>不占用农用地，</w:t>
            </w:r>
            <w:r>
              <w:rPr>
                <w:rFonts w:eastAsia="宋体" w:cs="宋体"/>
                <w:snapToGrid/>
                <w:color w:val="auto"/>
                <w:lang w:eastAsia="zh-CN"/>
              </w:rPr>
              <w:t>不在生态保护红线范围内，周边</w:t>
            </w:r>
            <w:r>
              <w:rPr>
                <w:rFonts w:eastAsia="宋体"/>
                <w:snapToGrid/>
                <w:color w:val="auto"/>
                <w:lang w:eastAsia="zh-CN"/>
              </w:rPr>
              <w:t>1000m</w:t>
            </w:r>
            <w:r>
              <w:rPr>
                <w:rFonts w:eastAsia="宋体" w:cs="宋体"/>
                <w:snapToGrid/>
                <w:color w:val="auto"/>
                <w:lang w:eastAsia="zh-CN"/>
              </w:rPr>
              <w:t>范围内无区控重点河流、高速公路、铁路干线及重要地下管网以及其他需严防污染的食品、药品等企业</w:t>
            </w:r>
            <w:r>
              <w:rPr>
                <w:rFonts w:hint="eastAsia" w:eastAsia="宋体" w:cs="宋体"/>
                <w:snapToGrid/>
                <w:color w:val="auto"/>
                <w:lang w:eastAsia="zh-CN"/>
              </w:rPr>
              <w:t>。本项目在城乡规划区边界外5公里以外，距离最近的城乡规划区距离约</w:t>
            </w:r>
            <w:r>
              <w:rPr>
                <w:rFonts w:hint="eastAsia" w:eastAsia="宋体" w:cs="宋体"/>
                <w:snapToGrid/>
                <w:color w:val="auto"/>
                <w:lang w:val="en-US" w:eastAsia="zh-CN"/>
              </w:rPr>
              <w:t>20.4</w:t>
            </w:r>
            <w:r>
              <w:rPr>
                <w:rFonts w:hint="eastAsia" w:eastAsia="宋体" w:cs="宋体"/>
                <w:snapToGrid/>
                <w:color w:val="auto"/>
                <w:lang w:eastAsia="zh-CN"/>
              </w:rPr>
              <w:t>公里。见附图2.7-1。</w:t>
            </w:r>
          </w:p>
        </w:tc>
        <w:tc>
          <w:tcPr>
            <w:tcW w:w="342" w:type="pct"/>
            <w:tcBorders>
              <w:tl2br w:val="nil"/>
              <w:tr2bl w:val="nil"/>
            </w:tcBorders>
            <w:vAlign w:val="center"/>
          </w:tcPr>
          <w:p w14:paraId="018294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F68F3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23" w:hRule="atLeast"/>
          <w:jc w:val="center"/>
        </w:trPr>
        <w:tc>
          <w:tcPr>
            <w:tcW w:w="244" w:type="pct"/>
            <w:tcBorders>
              <w:tl2br w:val="nil"/>
              <w:tr2bl w:val="nil"/>
            </w:tcBorders>
            <w:vAlign w:val="center"/>
          </w:tcPr>
          <w:p w14:paraId="0415AB6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436" w:type="pct"/>
            <w:tcBorders>
              <w:tl2br w:val="nil"/>
              <w:tr2bl w:val="nil"/>
            </w:tcBorders>
            <w:vAlign w:val="center"/>
          </w:tcPr>
          <w:p w14:paraId="45D7E9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污染防治要求</w:t>
            </w:r>
          </w:p>
        </w:tc>
        <w:tc>
          <w:tcPr>
            <w:tcW w:w="2319" w:type="pct"/>
            <w:tcBorders>
              <w:tl2br w:val="nil"/>
              <w:tr2bl w:val="nil"/>
            </w:tcBorders>
            <w:vAlign w:val="center"/>
          </w:tcPr>
          <w:p w14:paraId="6AA6549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废塑料再生利用项目和生产企业必须建有围墙并按功能划分厂区，包括管理区、原料贮存区、生产区、产品贮存区、污染控制区</w:t>
            </w:r>
            <w:r>
              <w:rPr>
                <w:rFonts w:hint="eastAsia" w:eastAsia="宋体"/>
                <w:snapToGrid/>
                <w:color w:val="auto"/>
                <w:lang w:eastAsia="zh-CN"/>
              </w:rPr>
              <w:t>（</w:t>
            </w:r>
            <w:r>
              <w:rPr>
                <w:rFonts w:eastAsia="宋体" w:cs="宋体"/>
                <w:snapToGrid/>
                <w:color w:val="auto"/>
                <w:lang w:eastAsia="zh-CN"/>
              </w:rPr>
              <w:t>包括不可利用的废物的贮存和处理区</w:t>
            </w:r>
            <w:r>
              <w:rPr>
                <w:rFonts w:hint="eastAsia" w:eastAsia="宋体"/>
                <w:snapToGrid/>
                <w:color w:val="auto"/>
                <w:lang w:eastAsia="zh-CN"/>
              </w:rPr>
              <w:t>）</w:t>
            </w:r>
            <w:r>
              <w:rPr>
                <w:rFonts w:eastAsia="宋体" w:cs="宋体"/>
                <w:snapToGrid/>
                <w:color w:val="auto"/>
                <w:lang w:eastAsia="zh-CN"/>
              </w:rPr>
              <w:t>。所有功能区必须有封闭或半封闭设施，必须设置防风、防雨、防渗、防火措施，并符合消防安全要求</w:t>
            </w:r>
          </w:p>
        </w:tc>
        <w:tc>
          <w:tcPr>
            <w:tcW w:w="1657" w:type="pct"/>
            <w:tcBorders>
              <w:tl2br w:val="nil"/>
              <w:tr2bl w:val="nil"/>
            </w:tcBorders>
            <w:vAlign w:val="center"/>
          </w:tcPr>
          <w:p w14:paraId="157BC61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w:t>
            </w:r>
            <w:r>
              <w:rPr>
                <w:rFonts w:hint="eastAsia" w:ascii="Times New Roman" w:hAnsi="Times New Roman" w:eastAsia="宋体" w:cs="宋体"/>
                <w:snapToGrid/>
                <w:color w:val="auto"/>
                <w:lang w:val="en-US" w:eastAsia="zh-CN"/>
              </w:rPr>
              <w:t>将</w:t>
            </w:r>
            <w:r>
              <w:rPr>
                <w:rFonts w:ascii="Times New Roman" w:hAnsi="Times New Roman" w:eastAsia="宋体" w:cs="宋体"/>
                <w:snapToGrid/>
                <w:color w:val="auto"/>
                <w:lang w:eastAsia="zh-CN"/>
              </w:rPr>
              <w:t>设置围墙，厂区按功能划分为生活区、生产区、产品贮存区，项目生产区均为全封闭的厂房，原料堆场地面硬化，原料采用半封闭堆棚中暂存，设置有防风、防雨、防渗、防火措施，符合消防安全要求。</w:t>
            </w:r>
          </w:p>
        </w:tc>
        <w:tc>
          <w:tcPr>
            <w:tcW w:w="342" w:type="pct"/>
            <w:tcBorders>
              <w:tl2br w:val="nil"/>
              <w:tr2bl w:val="nil"/>
            </w:tcBorders>
            <w:vAlign w:val="center"/>
          </w:tcPr>
          <w:p w14:paraId="1A0390F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731E2F6F">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表2.7-1</w:t>
      </w:r>
      <w:r>
        <w:rPr>
          <w:rFonts w:hint="eastAsia" w:ascii="Times New Roman" w:hAnsi="Times New Roman"/>
          <w:b/>
          <w:bCs/>
          <w:snapToGrid/>
          <w:color w:val="auto"/>
          <w:sz w:val="24"/>
          <w:lang w:eastAsia="zh-CN"/>
        </w:rPr>
        <w:t>0</w:t>
      </w:r>
      <w:r>
        <w:rPr>
          <w:rFonts w:ascii="Times New Roman" w:hAnsi="Times New Roman"/>
          <w:b/>
          <w:bCs/>
          <w:snapToGrid/>
          <w:color w:val="auto"/>
          <w:sz w:val="24"/>
          <w:lang w:eastAsia="zh-CN"/>
        </w:rPr>
        <w:t>与《废塑料再生利用技术规范》符合性分析</w:t>
      </w:r>
    </w:p>
    <w:tbl>
      <w:tblPr>
        <w:tblStyle w:val="36"/>
        <w:tblW w:w="1394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181"/>
        <w:gridCol w:w="6662"/>
        <w:gridCol w:w="4536"/>
        <w:gridCol w:w="909"/>
      </w:tblGrid>
      <w:tr w14:paraId="50FA9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58" w:type="dxa"/>
            <w:tcBorders>
              <w:tl2br w:val="nil"/>
              <w:tr2bl w:val="nil"/>
            </w:tcBorders>
            <w:vAlign w:val="center"/>
          </w:tcPr>
          <w:p w14:paraId="1A12C10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181" w:type="dxa"/>
            <w:tcBorders>
              <w:tl2br w:val="nil"/>
              <w:tr2bl w:val="nil"/>
            </w:tcBorders>
            <w:vAlign w:val="center"/>
          </w:tcPr>
          <w:p w14:paraId="76E093C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6662" w:type="dxa"/>
            <w:tcBorders>
              <w:tl2br w:val="nil"/>
              <w:tr2bl w:val="nil"/>
            </w:tcBorders>
            <w:vAlign w:val="center"/>
          </w:tcPr>
          <w:p w14:paraId="273329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4536" w:type="dxa"/>
            <w:tcBorders>
              <w:tl2br w:val="nil"/>
              <w:tr2bl w:val="nil"/>
            </w:tcBorders>
            <w:vAlign w:val="center"/>
          </w:tcPr>
          <w:p w14:paraId="05C597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本项目建设情况</w:t>
            </w:r>
          </w:p>
        </w:tc>
        <w:tc>
          <w:tcPr>
            <w:tcW w:w="909" w:type="dxa"/>
            <w:tcBorders>
              <w:tl2br w:val="nil"/>
              <w:tr2bl w:val="nil"/>
            </w:tcBorders>
            <w:vAlign w:val="center"/>
          </w:tcPr>
          <w:p w14:paraId="0F5E7A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05233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658" w:type="dxa"/>
            <w:tcBorders>
              <w:tl2br w:val="nil"/>
              <w:tr2bl w:val="nil"/>
            </w:tcBorders>
            <w:vAlign w:val="center"/>
          </w:tcPr>
          <w:p w14:paraId="56830F4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181" w:type="dxa"/>
            <w:tcBorders>
              <w:tl2br w:val="nil"/>
              <w:tr2bl w:val="nil"/>
            </w:tcBorders>
            <w:vAlign w:val="center"/>
          </w:tcPr>
          <w:p w14:paraId="099593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再生利用工艺流程</w:t>
            </w:r>
          </w:p>
        </w:tc>
        <w:tc>
          <w:tcPr>
            <w:tcW w:w="6662" w:type="dxa"/>
            <w:tcBorders>
              <w:tl2br w:val="nil"/>
              <w:tr2bl w:val="nil"/>
            </w:tcBorders>
            <w:vAlign w:val="center"/>
          </w:tcPr>
          <w:p w14:paraId="4DCB364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废塑料经过破碎、清洗后，进行分选、干燥再经造粒、改性得到废塑料再生颗粒</w:t>
            </w:r>
          </w:p>
        </w:tc>
        <w:tc>
          <w:tcPr>
            <w:tcW w:w="4536" w:type="dxa"/>
            <w:tcBorders>
              <w:tl2br w:val="nil"/>
              <w:tr2bl w:val="nil"/>
            </w:tcBorders>
            <w:vAlign w:val="center"/>
          </w:tcPr>
          <w:p w14:paraId="5E7346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本项目收集废旧滴灌带经清洗、破碎、干燥后在经造粒得到废塑料再生颗粒</w:t>
            </w:r>
          </w:p>
        </w:tc>
        <w:tc>
          <w:tcPr>
            <w:tcW w:w="909" w:type="dxa"/>
            <w:tcBorders>
              <w:tl2br w:val="nil"/>
              <w:tr2bl w:val="nil"/>
            </w:tcBorders>
            <w:vAlign w:val="center"/>
          </w:tcPr>
          <w:p w14:paraId="10EA95F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3355E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58" w:type="dxa"/>
            <w:tcBorders>
              <w:tl2br w:val="nil"/>
              <w:tr2bl w:val="nil"/>
            </w:tcBorders>
            <w:vAlign w:val="center"/>
          </w:tcPr>
          <w:p w14:paraId="0E57BC0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181" w:type="dxa"/>
            <w:tcBorders>
              <w:tl2br w:val="nil"/>
              <w:tr2bl w:val="nil"/>
            </w:tcBorders>
            <w:vAlign w:val="center"/>
          </w:tcPr>
          <w:p w14:paraId="155FC17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破碎要求</w:t>
            </w:r>
          </w:p>
        </w:tc>
        <w:tc>
          <w:tcPr>
            <w:tcW w:w="6662" w:type="dxa"/>
            <w:tcBorders>
              <w:tl2br w:val="nil"/>
              <w:tr2bl w:val="nil"/>
            </w:tcBorders>
            <w:vAlign w:val="center"/>
          </w:tcPr>
          <w:p w14:paraId="32E56E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采用湿法破碎工艺应对废水进行收集、处理后循环使用</w:t>
            </w:r>
          </w:p>
        </w:tc>
        <w:tc>
          <w:tcPr>
            <w:tcW w:w="4536" w:type="dxa"/>
            <w:tcBorders>
              <w:tl2br w:val="nil"/>
              <w:tr2bl w:val="nil"/>
            </w:tcBorders>
            <w:vAlign w:val="center"/>
          </w:tcPr>
          <w:p w14:paraId="09B6E59B">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ascii="Times New Roman" w:hAnsi="Times New Roman" w:eastAsia="宋体" w:cs="宋体"/>
                <w:snapToGrid/>
                <w:color w:val="auto"/>
              </w:rPr>
              <w:t>采用湿法破碎工艺，</w:t>
            </w:r>
            <w:r>
              <w:rPr>
                <w:rFonts w:hint="eastAsia" w:eastAsia="宋体"/>
                <w:color w:val="auto"/>
                <w:lang w:val="en-US" w:eastAsia="zh-CN"/>
              </w:rPr>
              <w:t>清洗废水排入循环沉淀池，经沉淀后回用</w:t>
            </w:r>
          </w:p>
        </w:tc>
        <w:tc>
          <w:tcPr>
            <w:tcW w:w="909" w:type="dxa"/>
            <w:tcBorders>
              <w:tl2br w:val="nil"/>
              <w:tr2bl w:val="nil"/>
            </w:tcBorders>
            <w:vAlign w:val="center"/>
          </w:tcPr>
          <w:p w14:paraId="7A0DED8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F5E1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58" w:type="dxa"/>
            <w:tcBorders>
              <w:tl2br w:val="nil"/>
              <w:tr2bl w:val="nil"/>
            </w:tcBorders>
            <w:vAlign w:val="center"/>
          </w:tcPr>
          <w:p w14:paraId="502BFA5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1181" w:type="dxa"/>
            <w:tcBorders>
              <w:tl2br w:val="nil"/>
              <w:tr2bl w:val="nil"/>
            </w:tcBorders>
            <w:vAlign w:val="center"/>
          </w:tcPr>
          <w:p w14:paraId="19CA01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清洗要求</w:t>
            </w:r>
          </w:p>
        </w:tc>
        <w:tc>
          <w:tcPr>
            <w:tcW w:w="6662" w:type="dxa"/>
            <w:tcBorders>
              <w:tl2br w:val="nil"/>
              <w:tr2bl w:val="nil"/>
            </w:tcBorders>
            <w:vAlign w:val="center"/>
          </w:tcPr>
          <w:p w14:paraId="526FED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采用节水清洗工艺，清洗废水应统一收集，分离处理或集中处理，处理后梯级利用或循环使用</w:t>
            </w:r>
          </w:p>
        </w:tc>
        <w:tc>
          <w:tcPr>
            <w:tcW w:w="4536" w:type="dxa"/>
            <w:tcBorders>
              <w:tl2br w:val="nil"/>
              <w:tr2bl w:val="nil"/>
            </w:tcBorders>
            <w:vAlign w:val="center"/>
          </w:tcPr>
          <w:p w14:paraId="06DE6D6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项目采用机械清洗，清洗废水经循环沉淀池处理后循环利用不外排，清洗过程采用物理清洗，不添加清洗剂。</w:t>
            </w:r>
          </w:p>
        </w:tc>
        <w:tc>
          <w:tcPr>
            <w:tcW w:w="909" w:type="dxa"/>
            <w:tcBorders>
              <w:tl2br w:val="nil"/>
              <w:tr2bl w:val="nil"/>
            </w:tcBorders>
            <w:vAlign w:val="center"/>
          </w:tcPr>
          <w:p w14:paraId="599ED4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9E65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58" w:type="dxa"/>
            <w:tcBorders>
              <w:tl2br w:val="nil"/>
              <w:tr2bl w:val="nil"/>
            </w:tcBorders>
            <w:vAlign w:val="center"/>
          </w:tcPr>
          <w:p w14:paraId="0376928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1181" w:type="dxa"/>
            <w:tcBorders>
              <w:tl2br w:val="nil"/>
              <w:tr2bl w:val="nil"/>
            </w:tcBorders>
            <w:vAlign w:val="center"/>
          </w:tcPr>
          <w:p w14:paraId="4347C68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干燥要求</w:t>
            </w:r>
          </w:p>
        </w:tc>
        <w:tc>
          <w:tcPr>
            <w:tcW w:w="6662" w:type="dxa"/>
            <w:tcBorders>
              <w:tl2br w:val="nil"/>
              <w:tr2bl w:val="nil"/>
            </w:tcBorders>
            <w:vAlign w:val="center"/>
          </w:tcPr>
          <w:p w14:paraId="28AB3BF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宜采用离心脱水、鼓风干燥、</w:t>
            </w:r>
            <w:r>
              <w:rPr>
                <w:rFonts w:hint="eastAsia" w:ascii="Times New Roman" w:hAnsi="Times New Roman" w:eastAsia="宋体" w:cs="宋体"/>
                <w:snapToGrid/>
                <w:color w:val="auto"/>
                <w:lang w:eastAsia="zh-CN"/>
              </w:rPr>
              <w:t>流化床干燥</w:t>
            </w:r>
            <w:r>
              <w:rPr>
                <w:rFonts w:ascii="Times New Roman" w:hAnsi="Times New Roman" w:eastAsia="宋体" w:cs="宋体"/>
                <w:snapToGrid/>
                <w:color w:val="auto"/>
                <w:lang w:eastAsia="zh-CN"/>
              </w:rPr>
              <w:t>等工艺，应使用低能耗设备</w:t>
            </w:r>
          </w:p>
        </w:tc>
        <w:tc>
          <w:tcPr>
            <w:tcW w:w="4536" w:type="dxa"/>
            <w:tcBorders>
              <w:tl2br w:val="nil"/>
              <w:tr2bl w:val="nil"/>
            </w:tcBorders>
            <w:vAlign w:val="center"/>
          </w:tcPr>
          <w:p w14:paraId="70E210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废塑料清洗后采用甩干方式</w:t>
            </w:r>
            <w:r>
              <w:rPr>
                <w:rFonts w:hint="eastAsia" w:ascii="Times New Roman" w:hAnsi="Times New Roman" w:eastAsia="宋体" w:cs="宋体"/>
                <w:snapToGrid/>
                <w:color w:val="auto"/>
                <w:lang w:val="en-US" w:eastAsia="zh-CN"/>
              </w:rPr>
              <w:t>去除多余水分</w:t>
            </w:r>
            <w:r>
              <w:rPr>
                <w:rFonts w:hint="eastAsia" w:ascii="Times New Roman" w:hAnsi="Times New Roman" w:eastAsia="宋体" w:cs="宋体"/>
                <w:snapToGrid/>
                <w:color w:val="auto"/>
                <w:lang w:eastAsia="zh-CN"/>
              </w:rPr>
              <w:t>，不涉及第二次污染。</w:t>
            </w:r>
          </w:p>
        </w:tc>
        <w:tc>
          <w:tcPr>
            <w:tcW w:w="909" w:type="dxa"/>
            <w:tcBorders>
              <w:tl2br w:val="nil"/>
              <w:tr2bl w:val="nil"/>
            </w:tcBorders>
            <w:vAlign w:val="center"/>
          </w:tcPr>
          <w:p w14:paraId="7301CD7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44157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658" w:type="dxa"/>
            <w:tcBorders>
              <w:tl2br w:val="nil"/>
              <w:tr2bl w:val="nil"/>
            </w:tcBorders>
            <w:vAlign w:val="center"/>
          </w:tcPr>
          <w:p w14:paraId="397AD62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1181" w:type="dxa"/>
            <w:tcBorders>
              <w:tl2br w:val="nil"/>
              <w:tr2bl w:val="nil"/>
            </w:tcBorders>
            <w:vAlign w:val="center"/>
          </w:tcPr>
          <w:p w14:paraId="2ADE637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造粒和改性要求</w:t>
            </w:r>
          </w:p>
        </w:tc>
        <w:tc>
          <w:tcPr>
            <w:tcW w:w="6662" w:type="dxa"/>
            <w:tcBorders>
              <w:tl2br w:val="nil"/>
              <w:tr2bl w:val="nil"/>
            </w:tcBorders>
            <w:vAlign w:val="center"/>
          </w:tcPr>
          <w:p w14:paraId="4F5A8EA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应采用节能熔融造粒技术；造粒废气应集中收集；废滤网、熔融残渣应收集处理</w:t>
            </w:r>
          </w:p>
        </w:tc>
        <w:tc>
          <w:tcPr>
            <w:tcW w:w="4536" w:type="dxa"/>
            <w:tcBorders>
              <w:tl2br w:val="nil"/>
              <w:tr2bl w:val="nil"/>
            </w:tcBorders>
            <w:vAlign w:val="center"/>
          </w:tcPr>
          <w:p w14:paraId="50D0A9E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本项目选用国内先进的造粒机，产生的废滤网定期由厂家回收处置</w:t>
            </w:r>
          </w:p>
        </w:tc>
        <w:tc>
          <w:tcPr>
            <w:tcW w:w="909" w:type="dxa"/>
            <w:tcBorders>
              <w:tl2br w:val="nil"/>
              <w:tr2bl w:val="nil"/>
            </w:tcBorders>
            <w:vAlign w:val="center"/>
          </w:tcPr>
          <w:p w14:paraId="25DF027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AE24A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58" w:type="dxa"/>
            <w:vMerge w:val="restart"/>
            <w:tcBorders>
              <w:tl2br w:val="nil"/>
              <w:tr2bl w:val="nil"/>
            </w:tcBorders>
            <w:vAlign w:val="center"/>
          </w:tcPr>
          <w:p w14:paraId="2A31260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w:t>
            </w:r>
          </w:p>
        </w:tc>
        <w:tc>
          <w:tcPr>
            <w:tcW w:w="1181" w:type="dxa"/>
            <w:vMerge w:val="restart"/>
            <w:tcBorders>
              <w:tl2br w:val="nil"/>
              <w:tr2bl w:val="nil"/>
            </w:tcBorders>
            <w:vAlign w:val="center"/>
          </w:tcPr>
          <w:p w14:paraId="66A389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资源综合利用</w:t>
            </w:r>
            <w:r>
              <w:rPr>
                <w:rFonts w:hint="eastAsia" w:ascii="Times New Roman" w:hAnsi="Times New Roman" w:eastAsia="宋体" w:cs="宋体"/>
                <w:snapToGrid/>
                <w:color w:val="auto"/>
                <w:lang w:eastAsia="zh-CN"/>
              </w:rPr>
              <w:t>能</w:t>
            </w:r>
            <w:r>
              <w:rPr>
                <w:rFonts w:ascii="Times New Roman" w:hAnsi="Times New Roman" w:eastAsia="宋体" w:cs="宋体"/>
                <w:snapToGrid/>
                <w:color w:val="auto"/>
              </w:rPr>
              <w:t>耗</w:t>
            </w:r>
          </w:p>
        </w:tc>
        <w:tc>
          <w:tcPr>
            <w:tcW w:w="6662" w:type="dxa"/>
            <w:tcBorders>
              <w:tl2br w:val="nil"/>
              <w:tr2bl w:val="nil"/>
            </w:tcBorders>
            <w:vAlign w:val="center"/>
          </w:tcPr>
          <w:p w14:paraId="4C6B791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塑料再生加工相关生产环节的综合电耗低于</w:t>
            </w:r>
            <w:r>
              <w:rPr>
                <w:rFonts w:eastAsia="宋体"/>
                <w:snapToGrid/>
                <w:color w:val="auto"/>
                <w:lang w:eastAsia="zh-CN"/>
              </w:rPr>
              <w:t>500</w:t>
            </w:r>
            <w:r>
              <w:rPr>
                <w:rFonts w:eastAsia="宋体" w:cs="宋体"/>
                <w:snapToGrid/>
                <w:color w:val="auto"/>
                <w:lang w:eastAsia="zh-CN"/>
              </w:rPr>
              <w:t>千瓦时</w:t>
            </w:r>
            <w:r>
              <w:rPr>
                <w:rFonts w:eastAsia="宋体"/>
                <w:snapToGrid/>
                <w:color w:val="auto"/>
                <w:lang w:eastAsia="zh-CN"/>
              </w:rPr>
              <w:t>/</w:t>
            </w:r>
            <w:r>
              <w:rPr>
                <w:rFonts w:eastAsia="宋体" w:cs="宋体"/>
                <w:snapToGrid/>
                <w:color w:val="auto"/>
                <w:lang w:eastAsia="zh-CN"/>
              </w:rPr>
              <w:t>吨废塑料</w:t>
            </w:r>
          </w:p>
        </w:tc>
        <w:tc>
          <w:tcPr>
            <w:tcW w:w="4536" w:type="dxa"/>
            <w:tcBorders>
              <w:tl2br w:val="nil"/>
              <w:tr2bl w:val="nil"/>
            </w:tcBorders>
            <w:vAlign w:val="center"/>
          </w:tcPr>
          <w:p w14:paraId="32856FE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本项目综合电耗低为</w:t>
            </w:r>
            <w:r>
              <w:rPr>
                <w:rFonts w:hint="eastAsia" w:eastAsia="宋体"/>
                <w:snapToGrid/>
                <w:color w:val="auto"/>
                <w:lang w:val="en-US" w:eastAsia="zh-CN"/>
              </w:rPr>
              <w:t>37.38</w:t>
            </w:r>
            <w:r>
              <w:rPr>
                <w:rFonts w:eastAsia="宋体" w:cs="宋体"/>
                <w:snapToGrid/>
                <w:color w:val="auto"/>
                <w:lang w:eastAsia="zh-CN"/>
              </w:rPr>
              <w:t>千瓦时</w:t>
            </w:r>
            <w:r>
              <w:rPr>
                <w:rFonts w:eastAsia="宋体"/>
                <w:snapToGrid/>
                <w:color w:val="auto"/>
                <w:lang w:eastAsia="zh-CN"/>
              </w:rPr>
              <w:t>/</w:t>
            </w:r>
            <w:r>
              <w:rPr>
                <w:rFonts w:eastAsia="宋体" w:cs="宋体"/>
                <w:snapToGrid/>
                <w:color w:val="auto"/>
                <w:lang w:eastAsia="zh-CN"/>
              </w:rPr>
              <w:t>吨废塑料</w:t>
            </w:r>
          </w:p>
        </w:tc>
        <w:tc>
          <w:tcPr>
            <w:tcW w:w="909" w:type="dxa"/>
            <w:tcBorders>
              <w:tl2br w:val="nil"/>
              <w:tr2bl w:val="nil"/>
            </w:tcBorders>
            <w:vAlign w:val="center"/>
          </w:tcPr>
          <w:p w14:paraId="2BF83B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7A0D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658" w:type="dxa"/>
            <w:vMerge w:val="continue"/>
            <w:tcBorders>
              <w:tl2br w:val="nil"/>
              <w:tr2bl w:val="nil"/>
            </w:tcBorders>
            <w:vAlign w:val="center"/>
          </w:tcPr>
          <w:p w14:paraId="4620C3B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34AD1ED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0FA2D83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PET</w:t>
            </w:r>
            <w:r>
              <w:rPr>
                <w:rFonts w:eastAsia="宋体" w:cs="宋体"/>
                <w:snapToGrid/>
                <w:color w:val="auto"/>
                <w:lang w:eastAsia="zh-CN"/>
              </w:rPr>
              <w:t>再生瓶片类企业与废塑料破碎、清洗、分选类企业的综合新水消耗低于</w:t>
            </w:r>
            <w:r>
              <w:rPr>
                <w:rFonts w:eastAsia="宋体"/>
                <w:snapToGrid/>
                <w:color w:val="auto"/>
                <w:lang w:eastAsia="zh-CN"/>
              </w:rPr>
              <w:t>1.5</w:t>
            </w:r>
            <w:r>
              <w:rPr>
                <w:rFonts w:eastAsia="宋体" w:cs="宋体"/>
                <w:snapToGrid/>
                <w:color w:val="auto"/>
                <w:lang w:eastAsia="zh-CN"/>
              </w:rPr>
              <w:t>吨</w:t>
            </w:r>
            <w:r>
              <w:rPr>
                <w:rFonts w:eastAsia="宋体"/>
                <w:snapToGrid/>
                <w:color w:val="auto"/>
                <w:lang w:eastAsia="zh-CN"/>
              </w:rPr>
              <w:t>/</w:t>
            </w:r>
            <w:r>
              <w:rPr>
                <w:rFonts w:eastAsia="宋体" w:cs="宋体"/>
                <w:snapToGrid/>
                <w:color w:val="auto"/>
                <w:lang w:eastAsia="zh-CN"/>
              </w:rPr>
              <w:t>吨废塑料。塑料再生造粒类企业的综合新水消耗低于</w:t>
            </w:r>
            <w:r>
              <w:rPr>
                <w:rFonts w:eastAsia="宋体"/>
                <w:snapToGrid/>
                <w:color w:val="auto"/>
                <w:lang w:eastAsia="zh-CN"/>
              </w:rPr>
              <w:t>0.2</w:t>
            </w:r>
            <w:r>
              <w:rPr>
                <w:rFonts w:eastAsia="宋体" w:cs="宋体"/>
                <w:snapToGrid/>
                <w:color w:val="auto"/>
                <w:lang w:eastAsia="zh-CN"/>
              </w:rPr>
              <w:t>吨</w:t>
            </w:r>
            <w:r>
              <w:rPr>
                <w:rFonts w:eastAsia="宋体"/>
                <w:snapToGrid/>
                <w:color w:val="auto"/>
                <w:lang w:eastAsia="zh-CN"/>
              </w:rPr>
              <w:t>/</w:t>
            </w:r>
            <w:r>
              <w:rPr>
                <w:rFonts w:eastAsia="宋体" w:cs="宋体"/>
                <w:snapToGrid/>
                <w:color w:val="auto"/>
                <w:lang w:eastAsia="zh-CN"/>
              </w:rPr>
              <w:t>吨废塑料</w:t>
            </w:r>
          </w:p>
        </w:tc>
        <w:tc>
          <w:tcPr>
            <w:tcW w:w="4536" w:type="dxa"/>
            <w:tcBorders>
              <w:tl2br w:val="nil"/>
              <w:tr2bl w:val="nil"/>
            </w:tcBorders>
            <w:vAlign w:val="center"/>
          </w:tcPr>
          <w:p w14:paraId="63E0829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FF0000"/>
                <w:lang w:eastAsia="zh-CN"/>
              </w:rPr>
              <w:t>本项目综合新水消耗为</w:t>
            </w:r>
            <w:r>
              <w:rPr>
                <w:rFonts w:hint="eastAsia" w:eastAsia="宋体"/>
                <w:snapToGrid/>
                <w:color w:val="FF0000"/>
                <w:lang w:val="en-US" w:eastAsia="zh-CN"/>
              </w:rPr>
              <w:t>0.63</w:t>
            </w:r>
            <w:r>
              <w:rPr>
                <w:rFonts w:eastAsia="宋体" w:cs="宋体"/>
                <w:snapToGrid/>
                <w:color w:val="FF0000"/>
                <w:lang w:eastAsia="zh-CN"/>
              </w:rPr>
              <w:t>吨</w:t>
            </w:r>
            <w:r>
              <w:rPr>
                <w:rFonts w:eastAsia="宋体"/>
                <w:snapToGrid/>
                <w:color w:val="FF0000"/>
                <w:lang w:eastAsia="zh-CN"/>
              </w:rPr>
              <w:t>/</w:t>
            </w:r>
            <w:r>
              <w:rPr>
                <w:rFonts w:eastAsia="宋体" w:cs="宋体"/>
                <w:snapToGrid/>
                <w:color w:val="FF0000"/>
                <w:lang w:eastAsia="zh-CN"/>
              </w:rPr>
              <w:t>吨废塑料</w:t>
            </w:r>
            <w:r>
              <w:rPr>
                <w:rFonts w:hint="eastAsia" w:eastAsia="宋体" w:cs="宋体"/>
                <w:snapToGrid/>
                <w:color w:val="FF0000"/>
                <w:lang w:eastAsia="zh-CN"/>
              </w:rPr>
              <w:t>。塑料再生造粒冷却循环水消耗新水0.1152吨/吨废塑料</w:t>
            </w:r>
          </w:p>
        </w:tc>
        <w:tc>
          <w:tcPr>
            <w:tcW w:w="909" w:type="dxa"/>
            <w:tcBorders>
              <w:tl2br w:val="nil"/>
              <w:tr2bl w:val="nil"/>
            </w:tcBorders>
            <w:vAlign w:val="center"/>
          </w:tcPr>
          <w:p w14:paraId="21951BAF">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p w14:paraId="04E1BF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2DA0A2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58" w:type="dxa"/>
            <w:vMerge w:val="restart"/>
            <w:tcBorders>
              <w:tl2br w:val="nil"/>
              <w:tr2bl w:val="nil"/>
            </w:tcBorders>
            <w:vAlign w:val="center"/>
          </w:tcPr>
          <w:p w14:paraId="7A43BF1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w:t>
            </w:r>
          </w:p>
        </w:tc>
        <w:tc>
          <w:tcPr>
            <w:tcW w:w="1181" w:type="dxa"/>
            <w:vMerge w:val="restart"/>
            <w:tcBorders>
              <w:tl2br w:val="nil"/>
              <w:tr2bl w:val="nil"/>
            </w:tcBorders>
            <w:vAlign w:val="center"/>
          </w:tcPr>
          <w:p w14:paraId="7B3AAC3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环境保护要求</w:t>
            </w:r>
          </w:p>
        </w:tc>
        <w:tc>
          <w:tcPr>
            <w:tcW w:w="6662" w:type="dxa"/>
            <w:tcBorders>
              <w:tl2br w:val="nil"/>
              <w:tr2bl w:val="nil"/>
            </w:tcBorders>
            <w:vAlign w:val="center"/>
          </w:tcPr>
          <w:p w14:paraId="4C33A81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收集到的清洗废水、冷却水等，应根据废水污染物的情况分别处理或集中处理</w:t>
            </w:r>
          </w:p>
        </w:tc>
        <w:tc>
          <w:tcPr>
            <w:tcW w:w="4536" w:type="dxa"/>
            <w:tcBorders>
              <w:tl2br w:val="nil"/>
              <w:tr2bl w:val="nil"/>
            </w:tcBorders>
            <w:vAlign w:val="center"/>
          </w:tcPr>
          <w:p w14:paraId="40F41C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val="en-US" w:eastAsia="zh-CN"/>
              </w:rPr>
              <w:t>清洗废水经循环沉淀池处理后循环利用不外排</w:t>
            </w:r>
          </w:p>
        </w:tc>
        <w:tc>
          <w:tcPr>
            <w:tcW w:w="909" w:type="dxa"/>
            <w:tcBorders>
              <w:tl2br w:val="nil"/>
              <w:tr2bl w:val="nil"/>
            </w:tcBorders>
            <w:vAlign w:val="center"/>
          </w:tcPr>
          <w:p w14:paraId="3C032A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7A8995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658" w:type="dxa"/>
            <w:vMerge w:val="continue"/>
            <w:tcBorders>
              <w:tl2br w:val="nil"/>
              <w:tr2bl w:val="nil"/>
            </w:tcBorders>
            <w:vAlign w:val="center"/>
          </w:tcPr>
          <w:p w14:paraId="7EF774A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2674278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0AACA4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再生利用过程中收集的废气应根据废气的性质，采用催化氧化、低温等离子、喷淋等处理技术</w:t>
            </w:r>
          </w:p>
        </w:tc>
        <w:tc>
          <w:tcPr>
            <w:tcW w:w="4536" w:type="dxa"/>
            <w:tcBorders>
              <w:tl2br w:val="nil"/>
              <w:tr2bl w:val="nil"/>
            </w:tcBorders>
            <w:vAlign w:val="center"/>
          </w:tcPr>
          <w:p w14:paraId="5DDD81D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本项目产生的挥发性有机气体，经“</w:t>
            </w:r>
            <w:r>
              <w:rPr>
                <w:rFonts w:hint="eastAsia" w:ascii="Times New Roman" w:hAnsi="Times New Roman" w:eastAsia="宋体" w:cs="宋体"/>
                <w:snapToGrid/>
                <w:color w:val="auto"/>
                <w:lang w:eastAsia="zh-CN"/>
              </w:rPr>
              <w:t>活性炭吸附+蓄热式催化燃烧</w:t>
            </w:r>
            <w:r>
              <w:rPr>
                <w:rFonts w:ascii="Times New Roman" w:hAnsi="Times New Roman" w:eastAsia="宋体" w:cs="宋体"/>
                <w:snapToGrid/>
                <w:color w:val="auto"/>
                <w:lang w:eastAsia="zh-CN"/>
              </w:rPr>
              <w:t>”处理后，经由</w:t>
            </w:r>
            <w:r>
              <w:rPr>
                <w:rFonts w:ascii="Times New Roman" w:hAnsi="Times New Roman" w:eastAsia="宋体"/>
                <w:snapToGrid/>
                <w:color w:val="auto"/>
                <w:lang w:eastAsia="zh-CN"/>
              </w:rPr>
              <w:t>15m</w:t>
            </w:r>
            <w:r>
              <w:rPr>
                <w:rFonts w:ascii="Times New Roman" w:hAnsi="Times New Roman" w:eastAsia="宋体" w:cs="宋体"/>
                <w:snapToGrid/>
                <w:color w:val="auto"/>
                <w:lang w:eastAsia="zh-CN"/>
              </w:rPr>
              <w:t>排气筒排放。可实现达标排放，符合规范要求</w:t>
            </w:r>
          </w:p>
        </w:tc>
        <w:tc>
          <w:tcPr>
            <w:tcW w:w="909" w:type="dxa"/>
            <w:tcBorders>
              <w:tl2br w:val="nil"/>
              <w:tr2bl w:val="nil"/>
            </w:tcBorders>
            <w:vAlign w:val="center"/>
          </w:tcPr>
          <w:p w14:paraId="78538B6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56C50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58" w:type="dxa"/>
            <w:vMerge w:val="continue"/>
            <w:tcBorders>
              <w:tl2br w:val="nil"/>
              <w:tr2bl w:val="nil"/>
            </w:tcBorders>
            <w:vAlign w:val="center"/>
          </w:tcPr>
          <w:p w14:paraId="104DDF1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40E7CF1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2FDBF15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废水处理过程产生的污泥，企业可自行处理，或交由污泥处理企业处理，不得随意丢弃</w:t>
            </w:r>
          </w:p>
        </w:tc>
        <w:tc>
          <w:tcPr>
            <w:tcW w:w="4536" w:type="dxa"/>
            <w:tcBorders>
              <w:tl2br w:val="nil"/>
              <w:tr2bl w:val="nil"/>
            </w:tcBorders>
            <w:vAlign w:val="center"/>
          </w:tcPr>
          <w:p w14:paraId="2AE5B286">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沉淀池污泥经</w:t>
            </w:r>
            <w:r>
              <w:rPr>
                <w:rFonts w:hint="eastAsia" w:eastAsia="宋体" w:cs="宋体"/>
                <w:snapToGrid/>
                <w:color w:val="auto"/>
                <w:lang w:val="en-US" w:eastAsia="zh-CN"/>
              </w:rPr>
              <w:t>自然风干</w:t>
            </w:r>
            <w:r>
              <w:rPr>
                <w:rFonts w:eastAsia="宋体" w:cs="宋体"/>
                <w:snapToGrid/>
                <w:color w:val="auto"/>
                <w:lang w:eastAsia="zh-CN"/>
              </w:rPr>
              <w:t>至含水率低于</w:t>
            </w:r>
            <w:r>
              <w:rPr>
                <w:rFonts w:eastAsia="宋体"/>
                <w:snapToGrid/>
                <w:color w:val="auto"/>
                <w:lang w:eastAsia="zh-CN"/>
              </w:rPr>
              <w:t>60%</w:t>
            </w:r>
            <w:r>
              <w:rPr>
                <w:rFonts w:eastAsia="宋体" w:cs="宋体"/>
                <w:snapToGrid/>
                <w:color w:val="auto"/>
                <w:lang w:eastAsia="zh-CN"/>
              </w:rPr>
              <w:t>后，和生活垃圾一起处理</w:t>
            </w:r>
          </w:p>
        </w:tc>
        <w:tc>
          <w:tcPr>
            <w:tcW w:w="909" w:type="dxa"/>
            <w:tcBorders>
              <w:tl2br w:val="nil"/>
              <w:tr2bl w:val="nil"/>
            </w:tcBorders>
            <w:vAlign w:val="center"/>
          </w:tcPr>
          <w:p w14:paraId="4C03CA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F2E7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58" w:type="dxa"/>
            <w:vMerge w:val="continue"/>
            <w:tcBorders>
              <w:tl2br w:val="nil"/>
              <w:tr2bl w:val="nil"/>
            </w:tcBorders>
            <w:vAlign w:val="center"/>
          </w:tcPr>
          <w:p w14:paraId="77836E5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571D97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33FB669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再生利用过程应进行减噪处理</w:t>
            </w:r>
          </w:p>
        </w:tc>
        <w:tc>
          <w:tcPr>
            <w:tcW w:w="4536" w:type="dxa"/>
            <w:tcBorders>
              <w:tl2br w:val="nil"/>
              <w:tr2bl w:val="nil"/>
            </w:tcBorders>
            <w:vAlign w:val="center"/>
          </w:tcPr>
          <w:p w14:paraId="5C2806F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选用低噪声设备、设置减振垫、合理布局、加强管理、距离衰减等</w:t>
            </w:r>
          </w:p>
        </w:tc>
        <w:tc>
          <w:tcPr>
            <w:tcW w:w="909" w:type="dxa"/>
            <w:tcBorders>
              <w:tl2br w:val="nil"/>
              <w:tr2bl w:val="nil"/>
            </w:tcBorders>
            <w:vAlign w:val="center"/>
          </w:tcPr>
          <w:p w14:paraId="0C7C38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62D2A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658" w:type="dxa"/>
            <w:vMerge w:val="continue"/>
            <w:tcBorders>
              <w:tl2br w:val="nil"/>
              <w:tr2bl w:val="nil"/>
            </w:tcBorders>
            <w:vAlign w:val="center"/>
          </w:tcPr>
          <w:p w14:paraId="2E0B68D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0F9680C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5222791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应建立完善的污染防治制度，定期维护环境保护设施，建立完整的废水处理、废气治理、固体废物处理处置等环境保护相关记录</w:t>
            </w:r>
          </w:p>
        </w:tc>
        <w:tc>
          <w:tcPr>
            <w:tcW w:w="4536" w:type="dxa"/>
            <w:tcBorders>
              <w:tl2br w:val="nil"/>
              <w:tr2bl w:val="nil"/>
            </w:tcBorders>
            <w:vAlign w:val="center"/>
          </w:tcPr>
          <w:p w14:paraId="617D58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建立完善的污染防治制度，定期维护环境保护设施，建立完整的废水处理、废气治理、固体废物处理处置等环境保护相关记录</w:t>
            </w:r>
          </w:p>
        </w:tc>
        <w:tc>
          <w:tcPr>
            <w:tcW w:w="909" w:type="dxa"/>
            <w:tcBorders>
              <w:tl2br w:val="nil"/>
              <w:tr2bl w:val="nil"/>
            </w:tcBorders>
            <w:vAlign w:val="center"/>
          </w:tcPr>
          <w:p w14:paraId="4B50F6E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6CCEA4C6">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表2.7-1</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与《废塑料回收技术规范》符合性分析</w:t>
      </w:r>
    </w:p>
    <w:tbl>
      <w:tblPr>
        <w:tblStyle w:val="36"/>
        <w:tblW w:w="139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181"/>
        <w:gridCol w:w="6662"/>
        <w:gridCol w:w="4536"/>
        <w:gridCol w:w="909"/>
      </w:tblGrid>
      <w:tr w14:paraId="3EAB39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672" w:type="dxa"/>
            <w:tcBorders>
              <w:tl2br w:val="nil"/>
              <w:tr2bl w:val="nil"/>
            </w:tcBorders>
            <w:vAlign w:val="center"/>
          </w:tcPr>
          <w:p w14:paraId="6A8C526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181" w:type="dxa"/>
            <w:tcBorders>
              <w:tl2br w:val="nil"/>
              <w:tr2bl w:val="nil"/>
            </w:tcBorders>
            <w:vAlign w:val="center"/>
          </w:tcPr>
          <w:p w14:paraId="66CCF5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6662" w:type="dxa"/>
            <w:tcBorders>
              <w:tl2br w:val="nil"/>
              <w:tr2bl w:val="nil"/>
            </w:tcBorders>
            <w:vAlign w:val="center"/>
          </w:tcPr>
          <w:p w14:paraId="1F27D6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规范要求</w:t>
            </w:r>
          </w:p>
        </w:tc>
        <w:tc>
          <w:tcPr>
            <w:tcW w:w="4536" w:type="dxa"/>
            <w:tcBorders>
              <w:tl2br w:val="nil"/>
              <w:tr2bl w:val="nil"/>
            </w:tcBorders>
            <w:vAlign w:val="center"/>
          </w:tcPr>
          <w:p w14:paraId="748EC1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本项目建设情况</w:t>
            </w:r>
          </w:p>
        </w:tc>
        <w:tc>
          <w:tcPr>
            <w:tcW w:w="909" w:type="dxa"/>
            <w:tcBorders>
              <w:tl2br w:val="nil"/>
              <w:tr2bl w:val="nil"/>
            </w:tcBorders>
            <w:vAlign w:val="center"/>
          </w:tcPr>
          <w:p w14:paraId="783776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093C7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672" w:type="dxa"/>
            <w:vMerge w:val="restart"/>
            <w:tcBorders>
              <w:tl2br w:val="nil"/>
              <w:tr2bl w:val="nil"/>
            </w:tcBorders>
            <w:vAlign w:val="center"/>
          </w:tcPr>
          <w:p w14:paraId="688482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181" w:type="dxa"/>
            <w:vMerge w:val="restart"/>
            <w:tcBorders>
              <w:tl2br w:val="nil"/>
              <w:tr2bl w:val="nil"/>
            </w:tcBorders>
            <w:vAlign w:val="center"/>
          </w:tcPr>
          <w:p w14:paraId="67020D3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收集</w:t>
            </w:r>
          </w:p>
        </w:tc>
        <w:tc>
          <w:tcPr>
            <w:tcW w:w="6662" w:type="dxa"/>
            <w:tcBorders>
              <w:tl2br w:val="nil"/>
              <w:tr2bl w:val="nil"/>
            </w:tcBorders>
            <w:vAlign w:val="center"/>
          </w:tcPr>
          <w:p w14:paraId="462EA3B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应按废塑料的种类进行分类收集。废塑料分类及相应原生塑料应用参见附录</w:t>
            </w:r>
            <w:r>
              <w:rPr>
                <w:rFonts w:eastAsia="宋体"/>
                <w:snapToGrid/>
                <w:color w:val="auto"/>
                <w:lang w:eastAsia="zh-CN"/>
              </w:rPr>
              <w:t>A</w:t>
            </w:r>
            <w:r>
              <w:rPr>
                <w:rFonts w:eastAsia="宋体" w:cs="宋体"/>
                <w:snapToGrid/>
                <w:color w:val="auto"/>
                <w:lang w:eastAsia="zh-CN"/>
              </w:rPr>
              <w:t>的表</w:t>
            </w:r>
            <w:r>
              <w:rPr>
                <w:rFonts w:eastAsia="宋体"/>
                <w:snapToGrid/>
                <w:color w:val="auto"/>
                <w:lang w:eastAsia="zh-CN"/>
              </w:rPr>
              <w:t>A.1</w:t>
            </w:r>
            <w:r>
              <w:rPr>
                <w:rFonts w:eastAsia="宋体" w:cs="宋体"/>
                <w:snapToGrid/>
                <w:color w:val="auto"/>
                <w:lang w:eastAsia="zh-CN"/>
              </w:rPr>
              <w:t>；</w:t>
            </w:r>
          </w:p>
        </w:tc>
        <w:tc>
          <w:tcPr>
            <w:tcW w:w="4536" w:type="dxa"/>
            <w:tcBorders>
              <w:tl2br w:val="nil"/>
              <w:tr2bl w:val="nil"/>
            </w:tcBorders>
            <w:vAlign w:val="center"/>
          </w:tcPr>
          <w:p w14:paraId="246915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本项目收集废旧滴灌带经清洗、破碎、干燥后在经造粒得到废塑料再生颗粒</w:t>
            </w:r>
          </w:p>
        </w:tc>
        <w:tc>
          <w:tcPr>
            <w:tcW w:w="909" w:type="dxa"/>
            <w:tcBorders>
              <w:tl2br w:val="nil"/>
              <w:tr2bl w:val="nil"/>
            </w:tcBorders>
            <w:vAlign w:val="center"/>
          </w:tcPr>
          <w:p w14:paraId="1C549D6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5351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672" w:type="dxa"/>
            <w:vMerge w:val="continue"/>
            <w:tcBorders>
              <w:tl2br w:val="nil"/>
              <w:tr2bl w:val="nil"/>
            </w:tcBorders>
            <w:vAlign w:val="center"/>
          </w:tcPr>
          <w:p w14:paraId="70BA1E2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5B30F89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1DAD17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废塑料收集过程中不得就地清洗。</w:t>
            </w:r>
          </w:p>
        </w:tc>
        <w:tc>
          <w:tcPr>
            <w:tcW w:w="4536" w:type="dxa"/>
            <w:tcBorders>
              <w:tl2br w:val="nil"/>
              <w:tr2bl w:val="nil"/>
            </w:tcBorders>
            <w:vAlign w:val="center"/>
          </w:tcPr>
          <w:p w14:paraId="6973167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集中收集回项目区进行统一清洗</w:t>
            </w:r>
          </w:p>
        </w:tc>
        <w:tc>
          <w:tcPr>
            <w:tcW w:w="909" w:type="dxa"/>
            <w:tcBorders>
              <w:tl2br w:val="nil"/>
              <w:tr2bl w:val="nil"/>
            </w:tcBorders>
            <w:vAlign w:val="center"/>
          </w:tcPr>
          <w:p w14:paraId="037FE1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46DF2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72" w:type="dxa"/>
            <w:vMerge w:val="continue"/>
            <w:tcBorders>
              <w:tl2br w:val="nil"/>
              <w:tr2bl w:val="nil"/>
            </w:tcBorders>
            <w:vAlign w:val="center"/>
          </w:tcPr>
          <w:p w14:paraId="5CD3A63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6EE1BFB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7D6D50D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废塑料收集过程中应使用机械破碎技术进行减容处理，并配备相应的防尘、防噪声措施。</w:t>
            </w:r>
          </w:p>
        </w:tc>
        <w:tc>
          <w:tcPr>
            <w:tcW w:w="4536" w:type="dxa"/>
            <w:tcBorders>
              <w:tl2br w:val="nil"/>
              <w:tr2bl w:val="nil"/>
            </w:tcBorders>
            <w:vAlign w:val="center"/>
          </w:tcPr>
          <w:p w14:paraId="571BD2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本项目采用湿法破碎工艺</w:t>
            </w:r>
          </w:p>
        </w:tc>
        <w:tc>
          <w:tcPr>
            <w:tcW w:w="909" w:type="dxa"/>
            <w:tcBorders>
              <w:tl2br w:val="nil"/>
              <w:tr2bl w:val="nil"/>
            </w:tcBorders>
            <w:vAlign w:val="center"/>
          </w:tcPr>
          <w:p w14:paraId="7634C2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18E08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01" w:hRule="atLeast"/>
          <w:jc w:val="center"/>
        </w:trPr>
        <w:tc>
          <w:tcPr>
            <w:tcW w:w="672" w:type="dxa"/>
            <w:vMerge w:val="restart"/>
            <w:tcBorders>
              <w:tl2br w:val="nil"/>
              <w:tr2bl w:val="nil"/>
            </w:tcBorders>
            <w:vAlign w:val="center"/>
          </w:tcPr>
          <w:p w14:paraId="682066C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181" w:type="dxa"/>
            <w:vMerge w:val="restart"/>
            <w:tcBorders>
              <w:tl2br w:val="nil"/>
              <w:tr2bl w:val="nil"/>
            </w:tcBorders>
            <w:vAlign w:val="center"/>
          </w:tcPr>
          <w:p w14:paraId="17E83D0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分拣</w:t>
            </w:r>
          </w:p>
        </w:tc>
        <w:tc>
          <w:tcPr>
            <w:tcW w:w="6662" w:type="dxa"/>
            <w:tcBorders>
              <w:tl2br w:val="nil"/>
              <w:tr2bl w:val="nil"/>
            </w:tcBorders>
            <w:vAlign w:val="center"/>
          </w:tcPr>
          <w:p w14:paraId="6D07E0B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废塑料宜按废通用塑料、废通用工程塑料、废特种工程塑料、废塑料合金（共混物）和废热固性塑料进行分类，并按国家相关规定分别进行处理。</w:t>
            </w:r>
          </w:p>
        </w:tc>
        <w:tc>
          <w:tcPr>
            <w:tcW w:w="4536" w:type="dxa"/>
            <w:tcBorders>
              <w:tl2br w:val="nil"/>
              <w:tr2bl w:val="nil"/>
            </w:tcBorders>
            <w:vAlign w:val="center"/>
          </w:tcPr>
          <w:p w14:paraId="0D7494F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利用当地农户</w:t>
            </w:r>
            <w:r>
              <w:rPr>
                <w:rFonts w:hint="eastAsia" w:ascii="Times New Roman" w:hAnsi="Times New Roman" w:eastAsia="宋体" w:cs="宋体"/>
                <w:snapToGrid/>
                <w:color w:val="auto"/>
                <w:lang w:val="en-US" w:eastAsia="zh-CN"/>
              </w:rPr>
              <w:t>产生</w:t>
            </w:r>
            <w:r>
              <w:rPr>
                <w:rFonts w:ascii="Times New Roman" w:hAnsi="Times New Roman" w:eastAsia="宋体" w:cs="宋体"/>
                <w:snapToGrid/>
                <w:color w:val="auto"/>
                <w:lang w:eastAsia="zh-CN"/>
              </w:rPr>
              <w:t>的废旧滴灌带经造粒后生产滴灌带产品，项目所用废塑料仅为废旧滴灌带，不含医疗废物及进口废塑料。</w:t>
            </w:r>
          </w:p>
        </w:tc>
        <w:tc>
          <w:tcPr>
            <w:tcW w:w="909" w:type="dxa"/>
            <w:tcBorders>
              <w:tl2br w:val="nil"/>
              <w:tr2bl w:val="nil"/>
            </w:tcBorders>
            <w:vAlign w:val="center"/>
          </w:tcPr>
          <w:p w14:paraId="1E3CC6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A6E3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672" w:type="dxa"/>
            <w:vMerge w:val="continue"/>
            <w:tcBorders>
              <w:tl2br w:val="nil"/>
              <w:tr2bl w:val="nil"/>
            </w:tcBorders>
            <w:vAlign w:val="center"/>
          </w:tcPr>
          <w:p w14:paraId="127C905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63C7DBD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533E35F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湿法破碎应配套污水收集处理设施。</w:t>
            </w:r>
          </w:p>
        </w:tc>
        <w:tc>
          <w:tcPr>
            <w:tcW w:w="4536" w:type="dxa"/>
            <w:tcBorders>
              <w:tl2br w:val="nil"/>
              <w:tr2bl w:val="nil"/>
            </w:tcBorders>
            <w:vAlign w:val="center"/>
          </w:tcPr>
          <w:p w14:paraId="7030A7F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本项目采用湿法破碎工艺</w:t>
            </w:r>
          </w:p>
        </w:tc>
        <w:tc>
          <w:tcPr>
            <w:tcW w:w="909" w:type="dxa"/>
            <w:tcBorders>
              <w:tl2br w:val="nil"/>
              <w:tr2bl w:val="nil"/>
            </w:tcBorders>
            <w:vAlign w:val="center"/>
          </w:tcPr>
          <w:p w14:paraId="5D9BD7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04F38C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672" w:type="dxa"/>
            <w:vMerge w:val="continue"/>
            <w:tcBorders>
              <w:tl2br w:val="nil"/>
              <w:tr2bl w:val="nil"/>
            </w:tcBorders>
            <w:vAlign w:val="center"/>
          </w:tcPr>
          <w:p w14:paraId="5BF7599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1" w:type="dxa"/>
            <w:vMerge w:val="continue"/>
            <w:tcBorders>
              <w:tl2br w:val="nil"/>
              <w:tr2bl w:val="nil"/>
            </w:tcBorders>
            <w:vAlign w:val="center"/>
          </w:tcPr>
          <w:p w14:paraId="2E853B8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62" w:type="dxa"/>
            <w:tcBorders>
              <w:tl2br w:val="nil"/>
              <w:tr2bl w:val="nil"/>
            </w:tcBorders>
            <w:vAlign w:val="center"/>
          </w:tcPr>
          <w:p w14:paraId="3884B6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废塑料的清洗方法可分为物理清洗和化学清洗，应根据废塑料来源和污染情况选择清洗工艺；宜采用高效节水的机械清洗技术和无磷清洗剂，不得使用有毒有害的化学清洗剂。</w:t>
            </w:r>
          </w:p>
        </w:tc>
        <w:tc>
          <w:tcPr>
            <w:tcW w:w="4536" w:type="dxa"/>
            <w:tcBorders>
              <w:tl2br w:val="nil"/>
              <w:tr2bl w:val="nil"/>
            </w:tcBorders>
            <w:vAlign w:val="center"/>
          </w:tcPr>
          <w:p w14:paraId="5AEEA9D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本项目根据原料来源特性采用物理清洗方式，不使用任何清洗剂，</w:t>
            </w:r>
            <w:r>
              <w:rPr>
                <w:rFonts w:hint="eastAsia" w:ascii="Times New Roman" w:hAnsi="Times New Roman" w:eastAsia="宋体" w:cs="宋体"/>
                <w:snapToGrid/>
                <w:color w:val="auto"/>
                <w:lang w:eastAsia="zh-CN"/>
              </w:rPr>
              <w:t>生产废水</w:t>
            </w:r>
            <w:r>
              <w:rPr>
                <w:rFonts w:ascii="Times New Roman" w:hAnsi="Times New Roman" w:eastAsia="宋体" w:cs="宋体"/>
                <w:snapToGrid/>
                <w:color w:val="auto"/>
                <w:lang w:eastAsia="zh-CN"/>
              </w:rPr>
              <w:t>处理后循环回用。</w:t>
            </w:r>
          </w:p>
        </w:tc>
        <w:tc>
          <w:tcPr>
            <w:tcW w:w="909" w:type="dxa"/>
            <w:tcBorders>
              <w:tl2br w:val="nil"/>
              <w:tr2bl w:val="nil"/>
            </w:tcBorders>
            <w:vAlign w:val="center"/>
          </w:tcPr>
          <w:p w14:paraId="09980C4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4BCBD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672" w:type="dxa"/>
            <w:tcBorders>
              <w:tl2br w:val="nil"/>
              <w:tr2bl w:val="nil"/>
            </w:tcBorders>
            <w:vAlign w:val="center"/>
          </w:tcPr>
          <w:p w14:paraId="15A98C8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1181" w:type="dxa"/>
            <w:tcBorders>
              <w:tl2br w:val="nil"/>
              <w:tr2bl w:val="nil"/>
            </w:tcBorders>
            <w:vAlign w:val="center"/>
          </w:tcPr>
          <w:p w14:paraId="72DEC1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贮存</w:t>
            </w:r>
          </w:p>
        </w:tc>
        <w:tc>
          <w:tcPr>
            <w:tcW w:w="6662" w:type="dxa"/>
            <w:tcBorders>
              <w:tl2br w:val="nil"/>
              <w:tr2bl w:val="nil"/>
            </w:tcBorders>
            <w:vAlign w:val="center"/>
          </w:tcPr>
          <w:p w14:paraId="60A3B14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废塑料应存放在封闭或半封闭的环境中，并设有防火、防雨、防晒、防渗、防扬散措施，避免露天堆放。</w:t>
            </w:r>
          </w:p>
        </w:tc>
        <w:tc>
          <w:tcPr>
            <w:tcW w:w="4536" w:type="dxa"/>
            <w:tcBorders>
              <w:tl2br w:val="nil"/>
              <w:tr2bl w:val="nil"/>
            </w:tcBorders>
            <w:vAlign w:val="center"/>
          </w:tcPr>
          <w:p w14:paraId="0DF3790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本项目废旧滴灌带存放在半封闭的堆棚中</w:t>
            </w:r>
          </w:p>
        </w:tc>
        <w:tc>
          <w:tcPr>
            <w:tcW w:w="909" w:type="dxa"/>
            <w:tcBorders>
              <w:tl2br w:val="nil"/>
              <w:tr2bl w:val="nil"/>
            </w:tcBorders>
            <w:vAlign w:val="center"/>
          </w:tcPr>
          <w:p w14:paraId="291DB78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00E02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672" w:type="dxa"/>
            <w:tcBorders>
              <w:tl2br w:val="nil"/>
              <w:tr2bl w:val="nil"/>
            </w:tcBorders>
            <w:vAlign w:val="center"/>
          </w:tcPr>
          <w:p w14:paraId="243D6F5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1181" w:type="dxa"/>
            <w:tcBorders>
              <w:tl2br w:val="nil"/>
              <w:tr2bl w:val="nil"/>
            </w:tcBorders>
            <w:vAlign w:val="center"/>
          </w:tcPr>
          <w:p w14:paraId="26341C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运输</w:t>
            </w:r>
          </w:p>
        </w:tc>
        <w:tc>
          <w:tcPr>
            <w:tcW w:w="6662" w:type="dxa"/>
            <w:tcBorders>
              <w:tl2br w:val="nil"/>
              <w:tr2bl w:val="nil"/>
            </w:tcBorders>
            <w:vAlign w:val="center"/>
          </w:tcPr>
          <w:p w14:paraId="3A1A6C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废塑料运输过程中应打包完整或采用封闭的运输工具，防止遗撒</w:t>
            </w:r>
          </w:p>
        </w:tc>
        <w:tc>
          <w:tcPr>
            <w:tcW w:w="4536" w:type="dxa"/>
            <w:tcBorders>
              <w:tl2br w:val="nil"/>
              <w:tr2bl w:val="nil"/>
            </w:tcBorders>
            <w:vAlign w:val="center"/>
          </w:tcPr>
          <w:p w14:paraId="459654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val="en-US" w:eastAsia="zh-CN"/>
              </w:rPr>
              <w:t>本项目回收的废旧滴灌带</w:t>
            </w:r>
            <w:r>
              <w:rPr>
                <w:rFonts w:ascii="Times New Roman" w:hAnsi="Times New Roman" w:eastAsia="宋体" w:cs="宋体"/>
                <w:snapToGrid/>
                <w:color w:val="auto"/>
                <w:lang w:eastAsia="zh-CN"/>
              </w:rPr>
              <w:t>采用运输车辆，并用篷布等遮盖，避免遗洒</w:t>
            </w:r>
          </w:p>
        </w:tc>
        <w:tc>
          <w:tcPr>
            <w:tcW w:w="909" w:type="dxa"/>
            <w:tcBorders>
              <w:tl2br w:val="nil"/>
              <w:tr2bl w:val="nil"/>
            </w:tcBorders>
            <w:vAlign w:val="center"/>
          </w:tcPr>
          <w:p w14:paraId="1DB5AC6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bl>
    <w:p w14:paraId="60D18FFB">
      <w:pPr>
        <w:widowControl w:val="0"/>
        <w:shd w:val="clear"/>
        <w:kinsoku/>
        <w:autoSpaceDE/>
        <w:autoSpaceDN/>
        <w:adjustRightInd/>
        <w:snapToGrid/>
        <w:textAlignment w:val="auto"/>
        <w:rPr>
          <w:rFonts w:ascii="Times New Roman" w:hAnsi="Times New Roman" w:eastAsia="宋体"/>
          <w:snapToGrid/>
          <w:color w:val="auto"/>
        </w:rPr>
      </w:pPr>
    </w:p>
    <w:p w14:paraId="0F4B8EDB">
      <w:pPr>
        <w:widowControl w:val="0"/>
        <w:shd w:val="clear"/>
        <w:kinsoku/>
        <w:autoSpaceDE/>
        <w:autoSpaceDN/>
        <w:adjustRightInd/>
        <w:snapToGrid/>
        <w:textAlignment w:val="auto"/>
        <w:rPr>
          <w:rFonts w:ascii="Times New Roman" w:hAnsi="Times New Roman" w:eastAsia="宋体"/>
          <w:snapToGrid/>
          <w:color w:val="auto"/>
        </w:rPr>
        <w:sectPr>
          <w:headerReference r:id="rId11" w:type="default"/>
          <w:footerReference r:id="rId12" w:type="default"/>
          <w:pgSz w:w="16838" w:h="11906"/>
          <w:pgMar w:top="1136" w:right="1410" w:bottom="1161" w:left="1411" w:header="868" w:footer="999" w:gutter="0"/>
          <w:pgBorders>
            <w:top w:val="none" w:sz="0" w:space="0"/>
            <w:left w:val="none" w:sz="0" w:space="0"/>
            <w:bottom w:val="none" w:sz="0" w:space="0"/>
            <w:right w:val="none" w:sz="0" w:space="0"/>
          </w:pgBorders>
          <w:cols w:space="720" w:num="1"/>
        </w:sectPr>
      </w:pPr>
    </w:p>
    <w:p w14:paraId="7B13B486">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23" w:name="_Toc8908"/>
      <w:bookmarkStart w:id="324" w:name="_Toc16046"/>
      <w:bookmarkStart w:id="325" w:name="_Toc29397"/>
      <w:r>
        <w:rPr>
          <w:rFonts w:hint="eastAsia" w:ascii="Times New Roman" w:hAnsi="Times New Roman" w:eastAsia="宋体" w:cs="Times New Roman"/>
          <w:snapToGrid/>
          <w:color w:val="auto"/>
          <w:lang w:eastAsia="zh-CN"/>
        </w:rPr>
        <w:t>2.7.</w:t>
      </w:r>
      <w:r>
        <w:rPr>
          <w:rFonts w:hint="eastAsia" w:ascii="Times New Roman" w:hAnsi="Times New Roman" w:eastAsia="宋体" w:cs="Times New Roman"/>
          <w:snapToGrid/>
          <w:color w:val="auto"/>
          <w:lang w:val="en-US" w:eastAsia="zh-CN"/>
        </w:rPr>
        <w:t>3</w:t>
      </w:r>
      <w:r>
        <w:rPr>
          <w:rFonts w:hint="eastAsia" w:ascii="Times New Roman" w:hAnsi="Times New Roman" w:eastAsia="宋体" w:cs="Times New Roman"/>
          <w:snapToGrid/>
          <w:color w:val="auto"/>
          <w:lang w:eastAsia="zh-CN"/>
        </w:rPr>
        <w:t>规划相符性分析</w:t>
      </w:r>
      <w:bookmarkEnd w:id="323"/>
      <w:bookmarkEnd w:id="324"/>
      <w:bookmarkEnd w:id="325"/>
    </w:p>
    <w:p w14:paraId="5AAC7AA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26" w:name="_Toc14669"/>
      <w:bookmarkStart w:id="327" w:name="_Toc2825"/>
      <w:bookmarkStart w:id="328" w:name="_Toc21804"/>
      <w:bookmarkStart w:id="329" w:name="_Toc1586"/>
      <w:r>
        <w:rPr>
          <w:rFonts w:ascii="Times New Roman" w:hAnsi="Times New Roman"/>
          <w:snapToGrid/>
          <w:color w:val="auto"/>
          <w:sz w:val="24"/>
          <w:szCs w:val="24"/>
          <w:lang w:eastAsia="zh-CN"/>
        </w:rPr>
        <w:t>（1）与《</w:t>
      </w:r>
      <w:r>
        <w:rPr>
          <w:rFonts w:hint="eastAsia" w:ascii="Times New Roman" w:hAnsi="Times New Roman"/>
          <w:snapToGrid/>
          <w:color w:val="auto"/>
          <w:sz w:val="24"/>
          <w:szCs w:val="24"/>
          <w:lang w:eastAsia="zh-CN"/>
        </w:rPr>
        <w:t>中共中央、国务院</w:t>
      </w:r>
      <w:r>
        <w:rPr>
          <w:rFonts w:ascii="Times New Roman" w:hAnsi="Times New Roman"/>
          <w:snapToGrid/>
          <w:color w:val="auto"/>
          <w:sz w:val="24"/>
          <w:szCs w:val="24"/>
          <w:lang w:eastAsia="zh-CN"/>
        </w:rPr>
        <w:t>关于加快推进生态文明建设的意见》符合性分析</w:t>
      </w:r>
      <w:bookmarkEnd w:id="326"/>
      <w:bookmarkEnd w:id="327"/>
      <w:bookmarkEnd w:id="328"/>
      <w:bookmarkEnd w:id="329"/>
    </w:p>
    <w:p w14:paraId="25EA610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中共中央、国务院</w:t>
      </w:r>
      <w:r>
        <w:rPr>
          <w:rFonts w:ascii="Times New Roman" w:hAnsi="Times New Roman"/>
          <w:snapToGrid/>
          <w:color w:val="auto"/>
          <w:sz w:val="24"/>
          <w:szCs w:val="24"/>
          <w:lang w:eastAsia="zh-CN"/>
        </w:rPr>
        <w:t>关于加快推进生态文明建设的意见》中提到要全面促进资源节约循环高效使用，推进利用方式根本转变。发展循环经济，按照减量化、再利用、资源化的原则，加快建立循环型工业、农业、服务业体系，提高全社会资源产出率。完善再生资源回收体系，实行垃圾分类回收，开发利用“城市矿产”，推进秸秆等农林废弃物以及建筑垃圾、餐厨废弃物资源化利用，发展再制造和再生利用产品，鼓励纺织品、汽车轮胎等废旧物品回收利用。推进煤矸石、废渣等大宗固体废弃物综合利用。组织开展循环经济示范行动，大力推广循环经济典型模式。推进产业循环式组合，促进生产和生活系统的循环链接，构建覆盖全社</w:t>
      </w:r>
      <w:r>
        <w:rPr>
          <w:rFonts w:hint="eastAsia" w:ascii="Times New Roman" w:hAnsi="Times New Roman"/>
          <w:snapToGrid/>
          <w:color w:val="auto"/>
          <w:sz w:val="24"/>
          <w:szCs w:val="24"/>
          <w:lang w:eastAsia="zh-CN"/>
        </w:rPr>
        <w:t>会的</w:t>
      </w:r>
      <w:r>
        <w:rPr>
          <w:rFonts w:ascii="Times New Roman" w:hAnsi="Times New Roman"/>
          <w:snapToGrid/>
          <w:color w:val="auto"/>
          <w:sz w:val="24"/>
          <w:szCs w:val="24"/>
          <w:lang w:eastAsia="zh-CN"/>
        </w:rPr>
        <w:t>资源利用循环体系。本项目利用废塑料颗粒作为原材料生产加工滴灌带，使废塑料颗粒得到循环再利用，因此本项目符合《</w:t>
      </w:r>
      <w:r>
        <w:rPr>
          <w:rFonts w:hint="eastAsia" w:ascii="Times New Roman" w:hAnsi="Times New Roman"/>
          <w:snapToGrid/>
          <w:color w:val="auto"/>
          <w:sz w:val="24"/>
          <w:szCs w:val="24"/>
          <w:lang w:eastAsia="zh-CN"/>
        </w:rPr>
        <w:t>中共中央、国务院</w:t>
      </w:r>
      <w:r>
        <w:rPr>
          <w:rFonts w:ascii="Times New Roman" w:hAnsi="Times New Roman"/>
          <w:snapToGrid/>
          <w:color w:val="auto"/>
          <w:sz w:val="24"/>
          <w:szCs w:val="24"/>
          <w:lang w:eastAsia="zh-CN"/>
        </w:rPr>
        <w:t>关于加快推进生态文明建设的意见》的要求。</w:t>
      </w:r>
    </w:p>
    <w:p w14:paraId="3847D6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30" w:name="_Toc1304"/>
      <w:bookmarkStart w:id="331" w:name="_Toc1350"/>
      <w:bookmarkStart w:id="332" w:name="_Toc11214"/>
      <w:bookmarkStart w:id="333" w:name="_Toc27694"/>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w:t>
      </w:r>
      <w:r>
        <w:rPr>
          <w:rFonts w:hint="eastAsia" w:ascii="Times New Roman" w:hAnsi="Times New Roman"/>
          <w:snapToGrid/>
          <w:color w:val="auto"/>
          <w:sz w:val="24"/>
          <w:szCs w:val="24"/>
          <w:lang w:eastAsia="zh-CN"/>
        </w:rPr>
        <w:t>）与木垒哈萨克自治县国土空间总体规划（2021—2035年）的符合性分析</w:t>
      </w:r>
    </w:p>
    <w:p w14:paraId="1F475B5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位于木垒哈萨克自治县雀仁乡，根据规划雀仁乡主要乡镇发展重点为农业种植方面：发展林果种植（西甜瓜）、设施农业，建立多个农业基地，进一步加强农副产品加工业，打造服务准东开发区的农产品供应基地。</w:t>
      </w:r>
    </w:p>
    <w:p w14:paraId="50A1E51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畜牧养殖方面：位于乡域东部区域，充分利用雀仁乡饲草料充裕、奶牛良种率高和骆驼资源丰富这些优势资源，在加大牲畜品种改良的基础上，加快“以小换大”步伐，大力发展奶业和养殖育肥业；抓住骆驼养殖成本低、效益高的优势，依托木垒哈萨克自治县部分开发公司及雀仁乡专业养殖合作社，加大骆驼养殖规模，打造驼奶、驼肉特色产业基地；另外，依托雀仁乡正格勒得养马农民专业合作社，针对养马经济效益不断凸显的优势，发展马养殖产业。</w:t>
      </w:r>
    </w:p>
    <w:p w14:paraId="2DF5BEE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商贸物流方面：加强与准东工业园区的协同合作，依托S228的交通优势，打造商贸物流园区，为准东提供商贸、物流、汽修等方面的配套服务。</w:t>
      </w:r>
    </w:p>
    <w:p w14:paraId="196B830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本项目为滴灌带回收利用项目，主要用于辅助农业发展，本项目在城乡规划区边界外5公里以外，距离最近的城乡规划区距离约</w:t>
      </w:r>
      <w:r>
        <w:rPr>
          <w:rFonts w:hint="eastAsia" w:ascii="Times New Roman" w:hAnsi="Times New Roman"/>
          <w:snapToGrid/>
          <w:color w:val="auto"/>
          <w:sz w:val="24"/>
          <w:szCs w:val="24"/>
          <w:lang w:val="en-US" w:eastAsia="zh-CN"/>
        </w:rPr>
        <w:t>20.4</w:t>
      </w:r>
      <w:r>
        <w:rPr>
          <w:rFonts w:hint="eastAsia" w:ascii="Times New Roman" w:hAnsi="Times New Roman"/>
          <w:snapToGrid/>
          <w:color w:val="auto"/>
          <w:sz w:val="24"/>
          <w:szCs w:val="24"/>
          <w:lang w:eastAsia="zh-CN"/>
        </w:rPr>
        <w:t>公里。</w:t>
      </w:r>
      <w:r>
        <w:rPr>
          <w:rFonts w:hint="eastAsia" w:ascii="Times New Roman" w:hAnsi="Times New Roman"/>
          <w:snapToGrid/>
          <w:color w:val="auto"/>
          <w:sz w:val="24"/>
          <w:szCs w:val="24"/>
          <w:lang w:val="en-US" w:eastAsia="zh-CN"/>
        </w:rPr>
        <w:t>本项目已取木垒哈萨克自治县国土资源局出具的《建设用地预审与选址意见书》（用地字和65232820240003号）</w:t>
      </w:r>
      <w:r>
        <w:rPr>
          <w:rFonts w:hint="eastAsia"/>
          <w:lang w:eastAsia="zh-CN"/>
        </w:rPr>
        <w:t>。</w:t>
      </w:r>
      <w:r>
        <w:rPr>
          <w:rFonts w:hint="eastAsia" w:ascii="Times New Roman" w:hAnsi="Times New Roman"/>
          <w:snapToGrid/>
          <w:color w:val="auto"/>
          <w:sz w:val="24"/>
          <w:szCs w:val="24"/>
          <w:lang w:eastAsia="zh-CN"/>
        </w:rPr>
        <w:t>见附图2.7-1。因此符合规划要求。</w:t>
      </w:r>
    </w:p>
    <w:p w14:paraId="2B99869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3</w:t>
      </w:r>
      <w:r>
        <w:rPr>
          <w:rFonts w:ascii="Times New Roman" w:hAnsi="Times New Roman"/>
          <w:snapToGrid/>
          <w:color w:val="auto"/>
          <w:sz w:val="24"/>
          <w:szCs w:val="24"/>
          <w:lang w:eastAsia="zh-CN"/>
        </w:rPr>
        <w:t>）与《新疆维吾尔自治区环境保护“十四五”规划》符合性分析</w:t>
      </w:r>
      <w:bookmarkEnd w:id="330"/>
      <w:bookmarkEnd w:id="331"/>
      <w:bookmarkEnd w:id="332"/>
      <w:bookmarkEnd w:id="333"/>
    </w:p>
    <w:p w14:paraId="3BCD0D0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新疆维吾尔自治区环境保护“十四五”规划》中“壮大绿色环保新兴产业。加快发展战略性新兴产业，推动新材料、生物医药、先进装备、新一代信息技术、新能源汽车等产业与绿色环保产业融合创新，提高战略性新兴产业比重。发展壮大节能环保产业，培育支持环保技术装备研发生产，推动环保产业集群发展，做大做强一批龙头骨干企业，扶持一批</w:t>
      </w:r>
      <w:r>
        <w:rPr>
          <w:rFonts w:hint="eastAsia" w:ascii="Times New Roman" w:hAnsi="Times New Roman"/>
          <w:snapToGrid/>
          <w:color w:val="auto"/>
          <w:sz w:val="24"/>
          <w:szCs w:val="24"/>
          <w:lang w:eastAsia="zh-CN"/>
        </w:rPr>
        <w:t>专精</w:t>
      </w:r>
      <w:r>
        <w:rPr>
          <w:rFonts w:ascii="Times New Roman" w:hAnsi="Times New Roman"/>
          <w:snapToGrid/>
          <w:color w:val="auto"/>
          <w:sz w:val="24"/>
          <w:szCs w:val="24"/>
          <w:lang w:eastAsia="zh-CN"/>
        </w:rPr>
        <w:t>特优中小企业。加强科研平台建设，提升绿色技术创新水平，构建政府引导、企业主体、产学研协同的节能环保产业技术创新体系”。本项目作为资源综合利用项目，属于循环经济生产企业，符合《新疆维吾尔自治区环境保护“十四五”规划》。</w:t>
      </w:r>
    </w:p>
    <w:p w14:paraId="447A560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4</w:t>
      </w:r>
      <w:r>
        <w:rPr>
          <w:rFonts w:ascii="Times New Roman" w:hAnsi="Times New Roman"/>
          <w:snapToGrid/>
          <w:color w:val="auto"/>
          <w:sz w:val="24"/>
          <w:szCs w:val="24"/>
          <w:lang w:eastAsia="zh-CN"/>
        </w:rPr>
        <w:t>）与《新疆维吾尔自治区国民经济和社会发展第十四个五年规划和2035年远景目标纲要》符合性分析</w:t>
      </w:r>
    </w:p>
    <w:p w14:paraId="244448F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新疆维吾尔自治区国民经济和社会发展第十四个五年规划和2035年远景目标纲要》中要求“第三章持续加强生态环境保护。严格土壤污染风险管控。加强建设用地土壤环境风险管控和农用地安全利用。强化涉重金属行业监管，推动重金属污染减排和治理。深化工业固体废物综合利用和环境整治。加强化肥农药减量化和土壤污染治理，强化白色污染治理，推进农作物秸秆和畜禽养殖废弃物资源化利用。”</w:t>
      </w:r>
    </w:p>
    <w:p w14:paraId="6AB07C4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回收当地农业生产过程中产生的废旧滴灌带，加工生产再生聚乙烯颗粒料，最后进行滴灌带生产，减少了土壤污染。符合《新疆维吾尔自治区国民经济和社会发展第十四个五年规划和2035年远景目标纲要》要求。</w:t>
      </w:r>
    </w:p>
    <w:p w14:paraId="73B582E0">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5）</w:t>
      </w:r>
      <w:r>
        <w:rPr>
          <w:rFonts w:ascii="Times New Roman" w:hAnsi="Times New Roman"/>
          <w:snapToGrid/>
          <w:color w:val="auto"/>
          <w:sz w:val="24"/>
          <w:szCs w:val="24"/>
          <w:lang w:eastAsia="zh-CN"/>
        </w:rPr>
        <w:t>《昌吉州生态建设与环境保护“十四五”规划》</w:t>
      </w:r>
    </w:p>
    <w:p w14:paraId="0F9BB6DD">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文件中指出“推进石化、化工、工业涂装、家具制造、塑料、橡胶、包装印刷、汽修等重点行业领域VOCs整治，加强VOCs源头、过程、末端全流程控制”，本项目属于塑料制品行业</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生产运营期主要产生VOCs废气工段，设置局部密闭式集气罩，废气经收集后</w:t>
      </w:r>
      <w:r>
        <w:rPr>
          <w:rFonts w:hint="eastAsia" w:ascii="Times New Roman" w:hAnsi="Times New Roman"/>
          <w:snapToGrid/>
          <w:color w:val="auto"/>
          <w:sz w:val="24"/>
          <w:szCs w:val="24"/>
          <w:lang w:val="en-US" w:eastAsia="zh-CN"/>
        </w:rPr>
        <w:t>1</w:t>
      </w:r>
      <w:r>
        <w:rPr>
          <w:rFonts w:ascii="Times New Roman" w:hAnsi="Times New Roman"/>
          <w:snapToGrid/>
          <w:color w:val="auto"/>
          <w:sz w:val="24"/>
          <w:szCs w:val="24"/>
          <w:lang w:eastAsia="zh-CN"/>
        </w:rPr>
        <w:t>套由“</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”处理，最终由15m排气筒（</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根）排放，符合《昌吉州生态建设与环境保护“十四五”规划》相关要求。</w:t>
      </w:r>
    </w:p>
    <w:p w14:paraId="4E4E843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snapToGrid/>
          <w:color w:val="auto"/>
          <w:sz w:val="24"/>
          <w:szCs w:val="24"/>
          <w:lang w:val="en-US" w:eastAsia="zh-CN"/>
        </w:rPr>
      </w:pPr>
      <w:bookmarkStart w:id="334" w:name="_Toc6567"/>
      <w:bookmarkStart w:id="335" w:name="_Toc12649"/>
      <w:bookmarkStart w:id="336" w:name="_Toc11138"/>
      <w:bookmarkStart w:id="337" w:name="_Toc30909"/>
      <w:r>
        <w:rPr>
          <w:rFonts w:hint="eastAsia" w:ascii="Times New Roman" w:hAnsi="Times New Roman"/>
          <w:snapToGrid/>
          <w:color w:val="auto"/>
          <w:sz w:val="24"/>
          <w:szCs w:val="24"/>
          <w:lang w:val="en-US" w:eastAsia="zh-CN"/>
        </w:rPr>
        <w:t>（6）与木垒哈萨克自治县“十四五”生态环境保护规划的符合性分析</w:t>
      </w:r>
    </w:p>
    <w:p w14:paraId="3AE7303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根据规划要求：</w:t>
      </w:r>
    </w:p>
    <w:p w14:paraId="14A9099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加强重点行业领域V0Cs整治。加强V0Cs源头、过程、末端全流程控制，全面加强对光化学反应活性强的VOCs物质控制，开展企业深度治理和精细化管控。切实推进工业涂装、家具制造、塑料、包装印刷、汽修等涉挥发性有机物排放等重点行业，以工业园区、企业集群和重点企业V0Cs污染防治，持续削减重点企业VOCs排放量。按照国家《2020年挥发性有机物治理攻坚方案》《挥发性有机物无组织排放控制标准》《重点行业挥发性有机物综合整治方案》及相关标准要求，完成重点行业V0Cs综合治理现状评估。根据行业类型，深入开展V0Cs排放统计与调查，2023年底，重点行业企业完成“一厂一策”综合治理方案的制定及落实。</w:t>
      </w:r>
    </w:p>
    <w:p w14:paraId="68C9282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vertAlign w:val="baseline"/>
          <w:lang w:val="en-US" w:eastAsia="zh-CN"/>
        </w:rPr>
      </w:pPr>
      <w:r>
        <w:rPr>
          <w:rFonts w:hint="eastAsia" w:ascii="Times New Roman" w:hAnsi="Times New Roman"/>
          <w:snapToGrid/>
          <w:color w:val="auto"/>
          <w:sz w:val="24"/>
          <w:szCs w:val="24"/>
          <w:lang w:val="en-US" w:eastAsia="zh-CN"/>
        </w:rPr>
        <w:t>本项目为滴灌带回收利用项目，产生的VOC</w:t>
      </w:r>
      <w:r>
        <w:rPr>
          <w:rFonts w:hint="eastAsia" w:ascii="Times New Roman" w:hAnsi="Times New Roman"/>
          <w:snapToGrid/>
          <w:color w:val="auto"/>
          <w:sz w:val="24"/>
          <w:szCs w:val="24"/>
          <w:vertAlign w:val="subscript"/>
          <w:lang w:val="en-US" w:eastAsia="zh-CN"/>
        </w:rPr>
        <w:t>S</w:t>
      </w:r>
      <w:r>
        <w:rPr>
          <w:rFonts w:hint="eastAsia" w:ascii="Times New Roman" w:hAnsi="Times New Roman"/>
          <w:snapToGrid/>
          <w:color w:val="auto"/>
          <w:sz w:val="24"/>
          <w:szCs w:val="24"/>
          <w:vertAlign w:val="baseline"/>
          <w:lang w:val="en-US" w:eastAsia="zh-CN"/>
        </w:rPr>
        <w:t>末端经过活性炭吸附+蓄热式催化燃烧后排放，符合规划要求。</w:t>
      </w:r>
    </w:p>
    <w:p w14:paraId="2EBAE9F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vertAlign w:val="baseline"/>
          <w:lang w:val="en-US" w:eastAsia="zh-CN"/>
        </w:rPr>
      </w:pPr>
      <w:r>
        <w:rPr>
          <w:rFonts w:hint="eastAsia" w:ascii="Times New Roman" w:hAnsi="Times New Roman"/>
          <w:snapToGrid/>
          <w:color w:val="auto"/>
          <w:sz w:val="24"/>
          <w:szCs w:val="24"/>
          <w:vertAlign w:val="baseline"/>
          <w:lang w:val="en-US" w:eastAsia="zh-CN"/>
        </w:rPr>
        <w:t>（7）与“《关于开展自治区2022年度夏秋季大气污染防治‘冬病夏治’工作的通知》（新环大气函〔2022〕483号）”的符合性分析</w:t>
      </w:r>
    </w:p>
    <w:p w14:paraId="0B8F712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vertAlign w:val="baseline"/>
          <w:lang w:val="en-US" w:eastAsia="zh-CN"/>
        </w:rPr>
      </w:pPr>
      <w:r>
        <w:rPr>
          <w:rFonts w:hint="eastAsia" w:ascii="Times New Roman" w:hAnsi="Times New Roman"/>
          <w:snapToGrid/>
          <w:color w:val="auto"/>
          <w:sz w:val="24"/>
          <w:szCs w:val="24"/>
          <w:vertAlign w:val="baseline"/>
          <w:lang w:val="en-US" w:eastAsia="zh-CN"/>
        </w:rPr>
        <w:t>《关于开展自治区2022年度夏秋季大气污染防治“冬病夏治”工作的通知》（新环大气函〔2022〕483号）中提出“大力推进电能替代煤炭，积极稳妥推进以气代煤，因地制宜推进生物质等能源代煤，开展氢能源代煤示范。新、改、扩建加热炉、热处理炉、干燥炉、熔化炉，采用清洁低碳能源，不得使用煤炭等高污染燃料；使用高污染燃料的工业炉窑改用工业余热、电能、天然气等。”</w:t>
      </w:r>
    </w:p>
    <w:p w14:paraId="3670D21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vertAlign w:val="baseline"/>
          <w:lang w:val="en-US" w:eastAsia="zh-CN"/>
        </w:rPr>
      </w:pPr>
      <w:r>
        <w:rPr>
          <w:rFonts w:hint="eastAsia" w:ascii="Times New Roman" w:hAnsi="Times New Roman"/>
          <w:snapToGrid/>
          <w:color w:val="auto"/>
          <w:sz w:val="24"/>
          <w:szCs w:val="24"/>
          <w:vertAlign w:val="baseline"/>
          <w:lang w:val="en-US" w:eastAsia="zh-CN"/>
        </w:rPr>
        <w:t>“各地要按照《挥发性有机物治理突出问题排查整治工作要求》，开展VOCs排放摸底调查，实施排查整治，加强重点行业、重点企业挥发性有机物精细化管控。在企业自查基础上，各地（州、市）生态环境局组织对企业VOCs废气收集情况、排放浓度、治理设施去除效率、LDAR数据质量以及储油库、加油站油气回收设施按照不低于30%的比例组织开展”</w:t>
      </w:r>
    </w:p>
    <w:p w14:paraId="183469E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snapToGrid/>
          <w:color w:val="auto"/>
          <w:sz w:val="24"/>
          <w:szCs w:val="24"/>
          <w:vertAlign w:val="baseline"/>
          <w:lang w:val="en-US" w:eastAsia="zh-CN"/>
        </w:rPr>
      </w:pPr>
      <w:r>
        <w:rPr>
          <w:rFonts w:hint="eastAsia" w:ascii="Times New Roman" w:hAnsi="Times New Roman"/>
          <w:snapToGrid/>
          <w:color w:val="auto"/>
          <w:sz w:val="24"/>
          <w:szCs w:val="24"/>
          <w:vertAlign w:val="baseline"/>
          <w:lang w:val="en-US" w:eastAsia="zh-CN"/>
        </w:rPr>
        <w:t>本项目供暖采用电采暖。本项目产生的VOC</w:t>
      </w:r>
      <w:r>
        <w:rPr>
          <w:rFonts w:hint="eastAsia" w:ascii="Times New Roman" w:hAnsi="Times New Roman"/>
          <w:snapToGrid/>
          <w:color w:val="auto"/>
          <w:sz w:val="24"/>
          <w:szCs w:val="24"/>
          <w:vertAlign w:val="subscript"/>
          <w:lang w:val="en-US" w:eastAsia="zh-CN"/>
        </w:rPr>
        <w:t>s</w:t>
      </w:r>
      <w:r>
        <w:rPr>
          <w:rFonts w:hint="eastAsia" w:ascii="Times New Roman" w:hAnsi="Times New Roman"/>
          <w:snapToGrid/>
          <w:color w:val="auto"/>
          <w:sz w:val="24"/>
          <w:szCs w:val="24"/>
          <w:vertAlign w:val="baseline"/>
          <w:lang w:val="en-US" w:eastAsia="zh-CN"/>
        </w:rPr>
        <w:t>经集气罩收集后经活性炭吸附+蓄热式催化燃烧后由15m高排气筒排放。因此本项目符合《关于开展自治区2022年度夏秋季大气污染防治“冬病夏治”工作的通知》（新环大气函〔2022〕483号）中相关要求。</w:t>
      </w:r>
    </w:p>
    <w:bookmarkEnd w:id="334"/>
    <w:bookmarkEnd w:id="335"/>
    <w:bookmarkEnd w:id="336"/>
    <w:bookmarkEnd w:id="337"/>
    <w:p w14:paraId="20242DFF">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38" w:name="_Toc26397"/>
      <w:r>
        <w:rPr>
          <w:rFonts w:hint="eastAsia" w:ascii="Times New Roman" w:hAnsi="Times New Roman" w:eastAsia="宋体" w:cs="Times New Roman"/>
          <w:snapToGrid/>
          <w:color w:val="auto"/>
          <w:lang w:eastAsia="zh-CN"/>
        </w:rPr>
        <w:t>2.7.</w:t>
      </w:r>
      <w:r>
        <w:rPr>
          <w:rFonts w:hint="eastAsia" w:ascii="Times New Roman" w:hAnsi="Times New Roman" w:eastAsia="宋体" w:cs="Times New Roman"/>
          <w:snapToGrid/>
          <w:color w:val="auto"/>
          <w:lang w:val="en-US" w:eastAsia="zh-CN"/>
        </w:rPr>
        <w:t>4</w:t>
      </w:r>
      <w:r>
        <w:rPr>
          <w:rFonts w:hint="eastAsia" w:ascii="Times New Roman" w:hAnsi="Times New Roman" w:eastAsia="宋体" w:cs="Times New Roman"/>
          <w:snapToGrid/>
          <w:color w:val="auto"/>
          <w:lang w:eastAsia="zh-CN"/>
        </w:rPr>
        <w:t>“三线一单”分析</w:t>
      </w:r>
      <w:bookmarkEnd w:id="338"/>
    </w:p>
    <w:p w14:paraId="4E22E633">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（1）与《新疆维吾尔自治区生态环境分区管控动态更新成果》</w:t>
      </w:r>
      <w:r>
        <w:rPr>
          <w:rFonts w:hint="default" w:ascii="Times New Roman" w:hAnsi="Times New Roman"/>
          <w:snapToGrid/>
          <w:color w:val="auto"/>
          <w:sz w:val="24"/>
          <w:szCs w:val="24"/>
          <w:lang w:val="en-US" w:eastAsia="zh-CN"/>
        </w:rPr>
        <w:t>符合性分析</w:t>
      </w:r>
    </w:p>
    <w:p w14:paraId="5C441435">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根据《关于以改善环境质量为核心加强环境影响评价管理的通知》（原环境保护部环评〔2016〕150号）要求，本项目与《新疆维吾尔自治区生态环境分区管控动态更新成果》的符合性分析如下。</w:t>
      </w:r>
    </w:p>
    <w:p w14:paraId="30529350">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zh-CN" w:eastAsia="zh-CN"/>
        </w:rPr>
      </w:pPr>
      <w:r>
        <w:rPr>
          <w:rFonts w:hint="eastAsia" w:ascii="Times New Roman" w:hAnsi="Times New Roman"/>
          <w:snapToGrid/>
          <w:color w:val="auto"/>
          <w:sz w:val="24"/>
          <w:szCs w:val="24"/>
          <w:lang w:val="zh-CN" w:eastAsia="zh-CN"/>
        </w:rPr>
        <w:t>《新疆维吾尔自治区生态环境分区管控动态更新成果》新环环评发〔2024〕157号</w:t>
      </w:r>
      <w:r>
        <w:rPr>
          <w:rFonts w:hint="default" w:ascii="Times New Roman" w:hAnsi="Times New Roman"/>
          <w:snapToGrid/>
          <w:color w:val="auto"/>
          <w:sz w:val="24"/>
          <w:szCs w:val="24"/>
          <w:lang w:val="zh-CN" w:eastAsia="zh-CN"/>
        </w:rPr>
        <w:t>，自治区共划定</w:t>
      </w:r>
      <w:r>
        <w:rPr>
          <w:rFonts w:hint="eastAsia" w:ascii="Times New Roman" w:hAnsi="Times New Roman"/>
          <w:snapToGrid/>
          <w:color w:val="auto"/>
          <w:sz w:val="24"/>
          <w:szCs w:val="24"/>
          <w:lang w:val="en-US" w:eastAsia="zh-CN"/>
        </w:rPr>
        <w:t>1777</w:t>
      </w:r>
      <w:r>
        <w:rPr>
          <w:rFonts w:hint="default" w:ascii="Times New Roman" w:hAnsi="Times New Roman"/>
          <w:snapToGrid/>
          <w:color w:val="auto"/>
          <w:sz w:val="24"/>
          <w:szCs w:val="24"/>
          <w:lang w:val="zh-CN" w:eastAsia="zh-CN"/>
        </w:rPr>
        <w:t>个环境管控单元，分为优先保护单元、重点管控单元和一般管控单元三类，实施分类管控。本项目位于新疆</w:t>
      </w:r>
      <w:r>
        <w:rPr>
          <w:rFonts w:hint="eastAsia" w:ascii="Times New Roman" w:hAnsi="Times New Roman"/>
          <w:snapToGrid/>
          <w:color w:val="auto"/>
          <w:sz w:val="24"/>
          <w:szCs w:val="24"/>
          <w:lang w:val="zh-CN" w:eastAsia="zh-CN"/>
        </w:rPr>
        <w:t>木垒哈萨克自治县</w:t>
      </w:r>
      <w:r>
        <w:rPr>
          <w:rFonts w:hint="eastAsia" w:ascii="Times New Roman" w:hAnsi="Times New Roman"/>
          <w:snapToGrid/>
          <w:color w:val="auto"/>
          <w:sz w:val="24"/>
          <w:szCs w:val="24"/>
          <w:lang w:val="en-US" w:eastAsia="zh-CN"/>
        </w:rPr>
        <w:t>雀仁乡</w:t>
      </w:r>
      <w:r>
        <w:rPr>
          <w:rFonts w:hint="default" w:ascii="Times New Roman" w:hAnsi="Times New Roman"/>
          <w:snapToGrid/>
          <w:color w:val="auto"/>
          <w:sz w:val="24"/>
          <w:szCs w:val="24"/>
          <w:lang w:val="zh-CN" w:eastAsia="zh-CN"/>
        </w:rPr>
        <w:t>，属于</w:t>
      </w:r>
      <w:r>
        <w:rPr>
          <w:rFonts w:hint="eastAsia" w:ascii="Times New Roman" w:hAnsi="Times New Roman"/>
          <w:snapToGrid/>
          <w:color w:val="auto"/>
          <w:sz w:val="24"/>
          <w:szCs w:val="24"/>
          <w:lang w:val="zh-CN" w:eastAsia="zh-CN"/>
        </w:rPr>
        <w:t>《新疆维吾尔自治区生态环境分区管控动态更新成果》</w:t>
      </w:r>
      <w:r>
        <w:rPr>
          <w:rFonts w:hint="default" w:ascii="Times New Roman" w:hAnsi="Times New Roman"/>
          <w:snapToGrid/>
          <w:color w:val="auto"/>
          <w:sz w:val="24"/>
          <w:szCs w:val="24"/>
          <w:lang w:val="zh-CN" w:eastAsia="zh-CN"/>
        </w:rPr>
        <w:t>（</w:t>
      </w:r>
      <w:r>
        <w:rPr>
          <w:rFonts w:hint="eastAsia" w:ascii="Times New Roman" w:hAnsi="Times New Roman"/>
          <w:snapToGrid/>
          <w:color w:val="auto"/>
          <w:sz w:val="24"/>
          <w:szCs w:val="24"/>
          <w:lang w:val="zh-CN" w:eastAsia="zh-CN"/>
        </w:rPr>
        <w:t>新环环评发〔2024〕157号</w:t>
      </w:r>
      <w:r>
        <w:rPr>
          <w:rFonts w:hint="default" w:ascii="Times New Roman" w:hAnsi="Times New Roman"/>
          <w:snapToGrid/>
          <w:color w:val="auto"/>
          <w:sz w:val="24"/>
          <w:szCs w:val="24"/>
          <w:lang w:val="zh-CN" w:eastAsia="zh-CN"/>
        </w:rPr>
        <w:t>）环境管控单元中的重点管控单元，即</w:t>
      </w:r>
      <w:r>
        <w:rPr>
          <w:rFonts w:hint="eastAsia" w:ascii="Times New Roman" w:hAnsi="Times New Roman"/>
          <w:snapToGrid/>
          <w:color w:val="auto"/>
          <w:sz w:val="24"/>
          <w:szCs w:val="24"/>
          <w:lang w:val="zh-CN" w:eastAsia="zh-CN"/>
        </w:rPr>
        <w:t>“</w:t>
      </w:r>
      <w:r>
        <w:rPr>
          <w:rFonts w:hint="default" w:ascii="Times New Roman" w:hAnsi="Times New Roman"/>
          <w:snapToGrid/>
          <w:color w:val="auto"/>
          <w:sz w:val="24"/>
          <w:szCs w:val="24"/>
          <w:lang w:val="zh-CN" w:eastAsia="zh-CN"/>
        </w:rPr>
        <w:t>重点管控单元</w:t>
      </w:r>
      <w:r>
        <w:rPr>
          <w:rFonts w:hint="eastAsia" w:ascii="Times New Roman" w:hAnsi="Times New Roman"/>
          <w:snapToGrid/>
          <w:color w:val="auto"/>
          <w:sz w:val="24"/>
          <w:szCs w:val="24"/>
          <w:lang w:val="en-US" w:eastAsia="zh-CN"/>
        </w:rPr>
        <w:t>713</w:t>
      </w:r>
      <w:r>
        <w:rPr>
          <w:rFonts w:hint="default" w:ascii="Times New Roman" w:hAnsi="Times New Roman"/>
          <w:snapToGrid/>
          <w:color w:val="auto"/>
          <w:sz w:val="24"/>
          <w:szCs w:val="24"/>
          <w:lang w:val="zh-CN" w:eastAsia="zh-CN"/>
        </w:rPr>
        <w:t>个，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r>
        <w:rPr>
          <w:rFonts w:hint="eastAsia" w:ascii="Times New Roman" w:hAnsi="Times New Roman"/>
          <w:snapToGrid/>
          <w:color w:val="auto"/>
          <w:sz w:val="24"/>
          <w:szCs w:val="24"/>
          <w:lang w:val="zh-CN" w:eastAsia="zh-CN"/>
        </w:rPr>
        <w:t>”</w:t>
      </w:r>
      <w:r>
        <w:rPr>
          <w:rFonts w:hint="default" w:ascii="Times New Roman" w:hAnsi="Times New Roman"/>
          <w:snapToGrid/>
          <w:color w:val="auto"/>
          <w:sz w:val="24"/>
          <w:szCs w:val="24"/>
          <w:lang w:val="zh-CN" w:eastAsia="zh-CN"/>
        </w:rPr>
        <w:t>。本项目工艺流程简单，运营期污染物排放量较小，通过合理优化空间布局，针对本项目产生的污染物采取相应的治理措施，对生态环境影响较小，因此本项目符合</w:t>
      </w:r>
      <w:r>
        <w:rPr>
          <w:rFonts w:hint="eastAsia" w:ascii="Times New Roman" w:hAnsi="Times New Roman"/>
          <w:snapToGrid/>
          <w:color w:val="auto"/>
          <w:sz w:val="24"/>
          <w:szCs w:val="24"/>
          <w:lang w:val="zh-CN" w:eastAsia="zh-CN"/>
        </w:rPr>
        <w:t>《新疆维吾尔自治区生态环境分区管控动态更新成果》</w:t>
      </w:r>
      <w:r>
        <w:rPr>
          <w:rFonts w:hint="default" w:ascii="Times New Roman" w:hAnsi="Times New Roman"/>
          <w:snapToGrid/>
          <w:color w:val="auto"/>
          <w:sz w:val="24"/>
          <w:szCs w:val="24"/>
          <w:lang w:val="zh-CN" w:eastAsia="zh-CN"/>
        </w:rPr>
        <w:t>（</w:t>
      </w:r>
      <w:r>
        <w:rPr>
          <w:rFonts w:hint="eastAsia" w:ascii="Times New Roman" w:hAnsi="Times New Roman"/>
          <w:snapToGrid/>
          <w:color w:val="auto"/>
          <w:sz w:val="24"/>
          <w:szCs w:val="24"/>
          <w:lang w:val="zh-CN" w:eastAsia="zh-CN"/>
        </w:rPr>
        <w:t>新环环评发〔2024〕157号</w:t>
      </w:r>
      <w:r>
        <w:rPr>
          <w:rFonts w:hint="default" w:ascii="Times New Roman" w:hAnsi="Times New Roman"/>
          <w:snapToGrid/>
          <w:color w:val="auto"/>
          <w:sz w:val="24"/>
          <w:szCs w:val="24"/>
          <w:lang w:val="zh-CN" w:eastAsia="zh-CN"/>
        </w:rPr>
        <w:t>）相关要求。</w:t>
      </w:r>
    </w:p>
    <w:p w14:paraId="270552B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为贯彻落实《</w:t>
      </w:r>
      <w:r>
        <w:rPr>
          <w:rFonts w:hint="eastAsia" w:ascii="Times New Roman" w:hAnsi="Times New Roman"/>
          <w:snapToGrid/>
          <w:color w:val="auto"/>
          <w:sz w:val="24"/>
          <w:szCs w:val="24"/>
          <w:lang w:eastAsia="zh-CN"/>
        </w:rPr>
        <w:t>中共中央、国务院</w:t>
      </w:r>
      <w:r>
        <w:rPr>
          <w:rFonts w:ascii="Times New Roman" w:hAnsi="Times New Roman"/>
          <w:snapToGrid/>
          <w:color w:val="auto"/>
          <w:sz w:val="24"/>
          <w:szCs w:val="24"/>
          <w:lang w:eastAsia="zh-CN"/>
        </w:rPr>
        <w:t>关于全面加强生态环境保护坚决打好污染防治攻坚战的意见</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自治区党委自治区人民政府关于全面加强生态环境保护坚决打好污染防治攻坚</w:t>
      </w:r>
      <w:r>
        <w:rPr>
          <w:rFonts w:hint="eastAsia" w:ascii="Times New Roman" w:hAnsi="Times New Roman"/>
          <w:snapToGrid/>
          <w:color w:val="auto"/>
          <w:sz w:val="24"/>
          <w:szCs w:val="24"/>
          <w:lang w:eastAsia="zh-CN"/>
        </w:rPr>
        <w:t>战的</w:t>
      </w:r>
      <w:r>
        <w:rPr>
          <w:rFonts w:ascii="Times New Roman" w:hAnsi="Times New Roman"/>
          <w:snapToGrid/>
          <w:color w:val="auto"/>
          <w:sz w:val="24"/>
          <w:szCs w:val="24"/>
          <w:lang w:eastAsia="zh-CN"/>
        </w:rPr>
        <w:t>实施方案》和《自治州党委自治州人民政府关于全面加强生态环境保护坚决打好污染防治攻坚</w:t>
      </w:r>
      <w:r>
        <w:rPr>
          <w:rFonts w:hint="eastAsia" w:ascii="Times New Roman" w:hAnsi="Times New Roman"/>
          <w:snapToGrid/>
          <w:color w:val="auto"/>
          <w:sz w:val="24"/>
          <w:szCs w:val="24"/>
          <w:lang w:eastAsia="zh-CN"/>
        </w:rPr>
        <w:t>战的</w:t>
      </w:r>
      <w:r>
        <w:rPr>
          <w:rFonts w:ascii="Times New Roman" w:hAnsi="Times New Roman"/>
          <w:snapToGrid/>
          <w:color w:val="auto"/>
          <w:sz w:val="24"/>
          <w:szCs w:val="24"/>
          <w:lang w:eastAsia="zh-CN"/>
        </w:rPr>
        <w:t>实施方案》，落实《新疆维吾尔自治区“三线一单”生态环境分区管控方案》，按照生态环境部和自治区生态环境厅统一部署，自治州组织编制了“生态保护红线、环境质量底线、资源利用上线和生态环境准入清单”（以下简称“三线一单”），现就实施“三线一单”生态环境分区管控，制定《昌吉回族自治州“三线一单”生态环境分区管控方案及生态环境准入清单》。</w:t>
      </w:r>
    </w:p>
    <w:p w14:paraId="124266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39" w:name="_Toc3840"/>
      <w:bookmarkStart w:id="340" w:name="_Toc17403"/>
      <w:bookmarkStart w:id="341" w:name="_Toc1787"/>
      <w:bookmarkStart w:id="342" w:name="_Toc4828"/>
      <w:r>
        <w:rPr>
          <w:rFonts w:ascii="Times New Roman" w:hAnsi="Times New Roman"/>
          <w:snapToGrid/>
          <w:color w:val="auto"/>
          <w:sz w:val="24"/>
          <w:szCs w:val="24"/>
          <w:lang w:eastAsia="zh-CN"/>
        </w:rPr>
        <w:t>（1）生态保护红线</w:t>
      </w:r>
      <w:bookmarkEnd w:id="339"/>
      <w:bookmarkEnd w:id="340"/>
      <w:bookmarkEnd w:id="341"/>
      <w:bookmarkEnd w:id="342"/>
    </w:p>
    <w:p w14:paraId="185BB0E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生态保护红线是指“在生态空间范围内具有特殊重要生态功能、必须强制性严格保护的区域，是保障和维护国家生态安全的底线和生命线，通常包括具有重要水源涵养、</w:t>
      </w:r>
      <w:r>
        <w:rPr>
          <w:rFonts w:hint="eastAsia" w:ascii="Times New Roman" w:hAnsi="Times New Roman"/>
          <w:snapToGrid/>
          <w:color w:val="auto"/>
          <w:sz w:val="24"/>
          <w:szCs w:val="24"/>
          <w:lang w:eastAsia="zh-CN"/>
        </w:rPr>
        <w:t>生物多样性保护</w:t>
      </w:r>
      <w:r>
        <w:rPr>
          <w:rFonts w:ascii="Times New Roman" w:hAnsi="Times New Roman"/>
          <w:snapToGrid/>
          <w:color w:val="auto"/>
          <w:sz w:val="24"/>
          <w:szCs w:val="24"/>
          <w:lang w:eastAsia="zh-CN"/>
        </w:rPr>
        <w:t>、水土保持、防风固沙、海岸生态稳定等功能的生态功能重要区域，以及水土流失、土地沙化、石漠化、盐渍化等生态环境敏感脆弱区域</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w:t>
      </w:r>
    </w:p>
    <w:p w14:paraId="109E5D5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，项目用地没有占用基本农田和一般农田，占地性质为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。项目选址不在自然保护区、风景名胜区、饮用水水源保护区等生态保护区范围内，满足区域生态保护红线的管控要求。</w:t>
      </w:r>
    </w:p>
    <w:p w14:paraId="1127827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（2）环境质量底线</w:t>
      </w:r>
    </w:p>
    <w:p w14:paraId="266FC12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2850BF6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环境质量底线分别为：区域地下水环境质量目标为《地下水质量标准》（GB/T14848-2017）Ⅲ类标准，大气环境质量目标为《环境空气质量标准》（GB3095-2012</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含2018年修改单</w:t>
      </w:r>
      <w:r>
        <w:rPr>
          <w:rFonts w:ascii="Times New Roman" w:hAnsi="Times New Roman"/>
          <w:snapToGrid/>
          <w:color w:val="auto"/>
          <w:sz w:val="24"/>
          <w:szCs w:val="24"/>
          <w:lang w:eastAsia="zh-CN"/>
        </w:rPr>
        <w:t>）中的二级标准。</w:t>
      </w:r>
    </w:p>
    <w:p w14:paraId="3CCB463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本项目产生的主要废气、噪声、固废等污染物均采取了严格的治理和处理、处置措施，在一定程度上减少了污染物的排放，污染物均能达标排放。</w:t>
      </w:r>
    </w:p>
    <w:p w14:paraId="5D5121C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塑料造粒工序、滴灌带生产工序均产生挥发性有机废气，本次环评提出在废旧塑料造粒工序、滴灌带生产工序产生挥发性有机气体的设备上方设置集气罩收集废气。废气经收集后由通风管道引至各车间“</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”处理后，经由厂区的15m高的排气筒排放。非甲烷总烃经处理后排放浓度满足</w:t>
      </w:r>
      <w:r>
        <w:rPr>
          <w:rFonts w:hint="eastAsia" w:ascii="Times New Roman" w:hAnsi="Times New Roman"/>
          <w:snapToGrid/>
          <w:color w:val="auto"/>
          <w:sz w:val="24"/>
          <w:szCs w:val="24"/>
          <w:lang w:eastAsia="zh-CN"/>
        </w:rPr>
        <w:t>《合成树脂工业污染物排放标准》（GB 31572-2015，含2024年修改单）</w:t>
      </w:r>
      <w:r>
        <w:rPr>
          <w:rFonts w:ascii="Times New Roman" w:hAnsi="Times New Roman"/>
          <w:snapToGrid/>
          <w:color w:val="auto"/>
          <w:sz w:val="24"/>
          <w:szCs w:val="24"/>
          <w:lang w:eastAsia="zh-CN"/>
        </w:rPr>
        <w:t>表4大气污染物排放限值100mg/m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的要求。</w:t>
      </w:r>
    </w:p>
    <w:p w14:paraId="0C8A279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本项目生产废水主要为废旧滴灌带清洗废水及废旧滴灌带造粒、滴灌带生产过程中的冷却水。清洗废水经沉淀后循环利用，每年集中排放一次</w:t>
      </w:r>
      <w:r>
        <w:rPr>
          <w:rFonts w:hint="eastAsia" w:ascii="Times New Roman" w:hAnsi="Times New Roman"/>
          <w:snapToGrid/>
          <w:color w:val="auto"/>
          <w:sz w:val="24"/>
          <w:szCs w:val="24"/>
          <w:lang w:eastAsia="zh-CN"/>
        </w:rPr>
        <w:t>，用于厂区绿化</w:t>
      </w:r>
      <w:r>
        <w:rPr>
          <w:rFonts w:ascii="Times New Roman" w:hAnsi="Times New Roman"/>
          <w:snapToGrid/>
          <w:color w:val="auto"/>
          <w:sz w:val="24"/>
          <w:szCs w:val="24"/>
          <w:lang w:eastAsia="zh-CN"/>
        </w:rPr>
        <w:t>。冷却水降温处理后全部循环利用；生活污水排入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定期</w:t>
      </w:r>
      <w:r>
        <w:rPr>
          <w:rFonts w:hint="eastAsia" w:ascii="Times New Roman" w:hAnsi="Times New Roman"/>
          <w:snapToGrid/>
          <w:color w:val="auto"/>
          <w:sz w:val="24"/>
          <w:szCs w:val="24"/>
          <w:lang w:val="en-US" w:eastAsia="zh-CN"/>
        </w:rPr>
        <w:t>抽</w:t>
      </w:r>
      <w:r>
        <w:rPr>
          <w:rFonts w:hint="eastAsia" w:ascii="Times New Roman" w:hAnsi="Times New Roman"/>
          <w:snapToGrid/>
          <w:color w:val="auto"/>
          <w:sz w:val="24"/>
          <w:szCs w:val="24"/>
          <w:lang w:eastAsia="zh-CN"/>
        </w:rPr>
        <w:t>运至木垒哈萨克自治县污水处理厂处理。</w:t>
      </w:r>
    </w:p>
    <w:p w14:paraId="2B1E74B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生产设备噪声通过选用低噪声设备，采取基础减振，将所有设备均布置在室内，加强设备的日常维护和保养等降噪措施后，经距离衰减，厂界噪声可满足《工业企业厂界环境噪声排放标准》（GB12348-2008）</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类标准要求。</w:t>
      </w:r>
    </w:p>
    <w:p w14:paraId="4A70AA0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固体废物均采取了妥善的处置措施，不会对环境产生二次污染。</w:t>
      </w:r>
    </w:p>
    <w:p w14:paraId="5F36EF8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通过预测，项目建成后周边环境满足相应环境质量标准，符合环境质量底线的要求，不会对环境质量底线产生冲击。</w:t>
      </w:r>
    </w:p>
    <w:p w14:paraId="5990285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0A67AB8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本项目消耗资源主要是生活生产所需用水、用电。本项目用水接供水管网，新鲜水用量为</w:t>
      </w:r>
      <w:r>
        <w:rPr>
          <w:rFonts w:hint="eastAsia" w:ascii="Times New Roman" w:hAnsi="Times New Roman"/>
          <w:snapToGrid/>
          <w:color w:val="auto"/>
          <w:sz w:val="24"/>
          <w:szCs w:val="24"/>
          <w:lang w:val="en-US" w:eastAsia="zh-CN"/>
        </w:rPr>
        <w:t>14</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/d；项目用电接供电电网，冬季采暖采用电采暖，项目生产加热均采用电能。本项目能源利用均在区域供水、供电负荷范围内，能源消耗均未超出区域负荷上限，不会给该地区造成资源负担，满足资源利用</w:t>
      </w:r>
      <w:r>
        <w:rPr>
          <w:rFonts w:hint="eastAsia" w:ascii="Times New Roman" w:hAnsi="Times New Roman"/>
          <w:snapToGrid/>
          <w:color w:val="auto"/>
          <w:sz w:val="24"/>
          <w:szCs w:val="24"/>
          <w:lang w:eastAsia="zh-CN"/>
        </w:rPr>
        <w:t>上限</w:t>
      </w:r>
      <w:r>
        <w:rPr>
          <w:rFonts w:ascii="Times New Roman" w:hAnsi="Times New Roman"/>
          <w:snapToGrid/>
          <w:color w:val="auto"/>
          <w:sz w:val="24"/>
          <w:szCs w:val="24"/>
          <w:lang w:eastAsia="zh-CN"/>
        </w:rPr>
        <w:t>要求。</w:t>
      </w:r>
    </w:p>
    <w:p w14:paraId="462D314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343" w:name="_Toc21384"/>
      <w:bookmarkStart w:id="344" w:name="_Toc7844"/>
      <w:bookmarkStart w:id="345" w:name="_Toc7642"/>
      <w:bookmarkStart w:id="346" w:name="_Toc14739"/>
      <w:r>
        <w:rPr>
          <w:rFonts w:ascii="Times New Roman" w:hAnsi="Times New Roman"/>
          <w:snapToGrid/>
          <w:color w:val="auto"/>
          <w:sz w:val="24"/>
          <w:szCs w:val="24"/>
          <w:lang w:eastAsia="zh-CN"/>
        </w:rPr>
        <w:t>（4）环境准入负面清单</w:t>
      </w:r>
      <w:bookmarkEnd w:id="343"/>
      <w:bookmarkEnd w:id="344"/>
      <w:bookmarkEnd w:id="345"/>
      <w:bookmarkEnd w:id="346"/>
    </w:p>
    <w:p w14:paraId="4EC8C16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r>
        <w:rPr>
          <w:rFonts w:hint="eastAsia" w:ascii="Times New Roman" w:hAnsi="Times New Roman"/>
          <w:snapToGrid/>
          <w:color w:val="auto"/>
          <w:sz w:val="24"/>
          <w:szCs w:val="24"/>
          <w:lang w:eastAsia="zh-CN"/>
        </w:rPr>
        <w:t>见附图2.7-2。</w:t>
      </w:r>
    </w:p>
    <w:p w14:paraId="06B00D8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依据</w:t>
      </w:r>
      <w:r>
        <w:rPr>
          <w:rFonts w:hint="eastAsia" w:ascii="Times New Roman" w:hAnsi="Times New Roman"/>
          <w:snapToGrid/>
          <w:color w:val="auto"/>
          <w:sz w:val="24"/>
          <w:szCs w:val="24"/>
          <w:lang w:val="en-US" w:eastAsia="zh-CN"/>
        </w:rPr>
        <w:t>与《昌吉回族自治州‘三线一单’生态环境分区管控方案及生态环境准入清单》（昌州政办发〔2021〕41号）及动态更新成果相关要求的符合性分析</w:t>
      </w:r>
      <w:r>
        <w:rPr>
          <w:rFonts w:ascii="Times New Roman" w:hAnsi="Times New Roman"/>
          <w:snapToGrid/>
          <w:color w:val="auto"/>
          <w:sz w:val="24"/>
          <w:szCs w:val="24"/>
          <w:lang w:eastAsia="zh-CN"/>
        </w:rPr>
        <w:t>，自治州共划定119个环境管控单元，分为优先保护单元、重点管控单元和一般管控单元三类。详见2.7-</w:t>
      </w:r>
      <w:r>
        <w:rPr>
          <w:rFonts w:hint="eastAsia" w:ascii="Times New Roman" w:hAnsi="Times New Roman"/>
          <w:snapToGrid/>
          <w:color w:val="auto"/>
          <w:sz w:val="24"/>
          <w:szCs w:val="24"/>
          <w:lang w:val="en-US" w:eastAsia="zh-CN"/>
        </w:rPr>
        <w:t>12</w:t>
      </w:r>
      <w:r>
        <w:rPr>
          <w:rFonts w:ascii="Times New Roman" w:hAnsi="Times New Roman"/>
          <w:snapToGrid/>
          <w:color w:val="auto"/>
          <w:sz w:val="24"/>
          <w:szCs w:val="24"/>
          <w:lang w:eastAsia="zh-CN"/>
        </w:rPr>
        <w:t>项目</w:t>
      </w:r>
      <w:r>
        <w:rPr>
          <w:rFonts w:hint="eastAsia" w:ascii="Times New Roman" w:hAnsi="Times New Roman"/>
          <w:snapToGrid/>
          <w:color w:val="auto"/>
          <w:sz w:val="24"/>
          <w:szCs w:val="24"/>
          <w:lang w:val="en-US" w:eastAsia="zh-CN"/>
        </w:rPr>
        <w:t>与《昌吉回族自治州“三线一单”生态环境分区管控方案及生态环境准入清单》动态更新成果的符合性分析</w:t>
      </w:r>
      <w:r>
        <w:rPr>
          <w:rFonts w:ascii="Times New Roman" w:hAnsi="Times New Roman"/>
          <w:snapToGrid/>
          <w:color w:val="auto"/>
          <w:sz w:val="24"/>
          <w:szCs w:val="24"/>
          <w:lang w:eastAsia="zh-CN"/>
        </w:rPr>
        <w:t>一览表。见昌吉州“三线一单</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环境管控单元分类图</w:t>
      </w:r>
      <w:r>
        <w:rPr>
          <w:rFonts w:hint="eastAsia" w:ascii="Times New Roman" w:hAnsi="Times New Roman"/>
          <w:snapToGrid/>
          <w:color w:val="auto"/>
          <w:sz w:val="24"/>
          <w:szCs w:val="24"/>
          <w:lang w:eastAsia="zh-CN"/>
        </w:rPr>
        <w:t>2.7-3</w:t>
      </w: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，属于重点管控单元。用地性质为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。根据《产业结构调整指导目录》（</w:t>
      </w:r>
      <w:r>
        <w:rPr>
          <w:rFonts w:hint="eastAsia" w:ascii="Times New Roman" w:hAnsi="Times New Roman"/>
          <w:snapToGrid/>
          <w:color w:val="auto"/>
          <w:sz w:val="24"/>
          <w:szCs w:val="24"/>
          <w:lang w:eastAsia="zh-CN"/>
        </w:rPr>
        <w:t>2024年本</w:t>
      </w:r>
      <w:r>
        <w:rPr>
          <w:rFonts w:ascii="Times New Roman" w:hAnsi="Times New Roman"/>
          <w:snapToGrid/>
          <w:color w:val="auto"/>
          <w:sz w:val="24"/>
          <w:szCs w:val="24"/>
          <w:lang w:eastAsia="zh-CN"/>
        </w:rPr>
        <w:t>）、《废塑料综合利用行业规范条件</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关于促进全区废旧塑料再生利用行业有序发展的指导意见》中产业准入相关要求，本项目选址、项目原辅料及生产产品等均不</w:t>
      </w:r>
      <w:r>
        <w:rPr>
          <w:rFonts w:hint="eastAsia" w:ascii="Times New Roman" w:hAnsi="Times New Roman"/>
          <w:snapToGrid/>
          <w:color w:val="auto"/>
          <w:sz w:val="24"/>
          <w:szCs w:val="24"/>
          <w:lang w:eastAsia="zh-CN"/>
        </w:rPr>
        <w:t>属于</w:t>
      </w:r>
      <w:r>
        <w:rPr>
          <w:rFonts w:ascii="Times New Roman" w:hAnsi="Times New Roman"/>
          <w:snapToGrid/>
          <w:color w:val="auto"/>
          <w:sz w:val="24"/>
          <w:szCs w:val="24"/>
          <w:lang w:eastAsia="zh-CN"/>
        </w:rPr>
        <w:t>环境准入负面清单范畴。</w:t>
      </w:r>
    </w:p>
    <w:p w14:paraId="78CC3B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13" w:type="default"/>
          <w:footerReference r:id="rId14" w:type="default"/>
          <w:pgSz w:w="11906" w:h="16838"/>
          <w:pgMar w:top="1136" w:right="1654" w:bottom="1157" w:left="1711" w:header="868" w:footer="994" w:gutter="0"/>
          <w:pgBorders>
            <w:top w:val="none" w:sz="0" w:space="0"/>
            <w:left w:val="none" w:sz="0" w:space="0"/>
            <w:bottom w:val="none" w:sz="0" w:space="0"/>
            <w:right w:val="none" w:sz="0" w:space="0"/>
          </w:pgBorders>
          <w:cols w:space="720" w:num="1"/>
        </w:sectPr>
      </w:pPr>
    </w:p>
    <w:p w14:paraId="6167D226">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表2.7-1</w:t>
      </w:r>
      <w:r>
        <w:rPr>
          <w:rFonts w:hint="eastAsia" w:ascii="Times New Roman" w:hAnsi="Times New Roman"/>
          <w:b/>
          <w:bCs/>
          <w:snapToGrid/>
          <w:color w:val="auto"/>
          <w:sz w:val="24"/>
          <w:lang w:eastAsia="zh-CN"/>
        </w:rPr>
        <w:t>2</w:t>
      </w:r>
      <w:r>
        <w:rPr>
          <w:rFonts w:hint="eastAsia" w:ascii="Times New Roman" w:hAnsi="Times New Roman"/>
          <w:b/>
          <w:bCs/>
          <w:snapToGrid/>
          <w:color w:val="auto"/>
          <w:sz w:val="24"/>
          <w:lang w:val="en-US" w:eastAsia="zh-CN"/>
        </w:rPr>
        <w:t>《昌吉回族自治州‘三线一单’生态环境分区管控方案及生态环境准入清单》（昌州政办发〔2021〕41号）及动态更新成果相关要求</w:t>
      </w:r>
      <w:r>
        <w:rPr>
          <w:rFonts w:ascii="Times New Roman" w:hAnsi="Times New Roman"/>
          <w:b/>
          <w:bCs/>
          <w:snapToGrid/>
          <w:color w:val="auto"/>
          <w:sz w:val="24"/>
          <w:lang w:eastAsia="zh-CN"/>
        </w:rPr>
        <w:t>符合性分析一览表</w:t>
      </w:r>
    </w:p>
    <w:tbl>
      <w:tblPr>
        <w:tblStyle w:val="36"/>
        <w:tblW w:w="504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65"/>
        <w:gridCol w:w="2150"/>
        <w:gridCol w:w="6101"/>
        <w:gridCol w:w="3648"/>
        <w:gridCol w:w="795"/>
      </w:tblGrid>
      <w:tr w14:paraId="60773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510" w:type="pct"/>
            <w:tcBorders>
              <w:tl2br w:val="nil"/>
              <w:tr2bl w:val="nil"/>
            </w:tcBorders>
            <w:vAlign w:val="center"/>
          </w:tcPr>
          <w:p w14:paraId="66F5DA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bookmarkStart w:id="347" w:name="bookmark64"/>
            <w:bookmarkEnd w:id="347"/>
            <w:r>
              <w:rPr>
                <w:rFonts w:ascii="Times New Roman" w:hAnsi="Times New Roman" w:eastAsia="宋体" w:cs="宋体"/>
                <w:b/>
                <w:bCs/>
                <w:snapToGrid/>
                <w:color w:val="auto"/>
              </w:rPr>
              <w:t>管控单元名称</w:t>
            </w:r>
          </w:p>
        </w:tc>
        <w:tc>
          <w:tcPr>
            <w:tcW w:w="2907" w:type="pct"/>
            <w:gridSpan w:val="2"/>
            <w:tcBorders>
              <w:tl2br w:val="nil"/>
              <w:tr2bl w:val="nil"/>
            </w:tcBorders>
            <w:vAlign w:val="center"/>
          </w:tcPr>
          <w:p w14:paraId="00D843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管控要求</w:t>
            </w:r>
          </w:p>
        </w:tc>
        <w:tc>
          <w:tcPr>
            <w:tcW w:w="1287" w:type="pct"/>
            <w:tcBorders>
              <w:tl2br w:val="nil"/>
              <w:tr2bl w:val="nil"/>
            </w:tcBorders>
            <w:vAlign w:val="center"/>
          </w:tcPr>
          <w:p w14:paraId="03A9A6E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项目情况</w:t>
            </w:r>
          </w:p>
        </w:tc>
        <w:tc>
          <w:tcPr>
            <w:tcW w:w="294" w:type="pct"/>
            <w:tcBorders>
              <w:tl2br w:val="nil"/>
              <w:tr2bl w:val="nil"/>
            </w:tcBorders>
            <w:vAlign w:val="center"/>
          </w:tcPr>
          <w:p w14:paraId="1E73EDD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符合性</w:t>
            </w:r>
          </w:p>
        </w:tc>
      </w:tr>
      <w:tr w14:paraId="3420DF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510" w:type="pct"/>
            <w:vMerge w:val="restart"/>
            <w:tcBorders>
              <w:tl2br w:val="nil"/>
              <w:tr2bl w:val="nil"/>
            </w:tcBorders>
            <w:vAlign w:val="center"/>
          </w:tcPr>
          <w:p w14:paraId="5847017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cs="宋体"/>
                <w:snapToGrid/>
                <w:color w:val="auto"/>
                <w:lang w:eastAsia="zh-CN"/>
              </w:rPr>
              <w:t>木垒哈萨克自治县建成区</w:t>
            </w:r>
            <w:r>
              <w:rPr>
                <w:rFonts w:ascii="Times New Roman" w:hAnsi="Times New Roman" w:eastAsia="宋体" w:cs="宋体"/>
                <w:snapToGrid/>
                <w:color w:val="auto"/>
                <w:lang w:eastAsia="zh-CN"/>
              </w:rPr>
              <w:t>环境重点管控单元（编码：</w:t>
            </w:r>
            <w:r>
              <w:rPr>
                <w:rFonts w:hint="eastAsia" w:ascii="Times New Roman" w:hAnsi="Times New Roman" w:eastAsia="宋体"/>
                <w:snapToGrid/>
                <w:color w:val="auto"/>
                <w:lang w:eastAsia="zh-CN"/>
              </w:rPr>
              <w:t>ZH65232820001）</w:t>
            </w:r>
          </w:p>
        </w:tc>
        <w:tc>
          <w:tcPr>
            <w:tcW w:w="766" w:type="pct"/>
            <w:tcBorders>
              <w:tl2br w:val="nil"/>
              <w:tr2bl w:val="nil"/>
            </w:tcBorders>
            <w:vAlign w:val="center"/>
          </w:tcPr>
          <w:p w14:paraId="370F4D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空间布局约束</w:t>
            </w:r>
          </w:p>
        </w:tc>
        <w:tc>
          <w:tcPr>
            <w:tcW w:w="2141" w:type="pct"/>
            <w:tcBorders>
              <w:tl2br w:val="nil"/>
              <w:tr2bl w:val="nil"/>
            </w:tcBorders>
            <w:vAlign w:val="center"/>
          </w:tcPr>
          <w:p w14:paraId="54040EDA">
            <w:pPr>
              <w:pStyle w:val="37"/>
              <w:widowControl w:val="0"/>
              <w:shd w:val="clear"/>
              <w:kinsoku/>
              <w:autoSpaceDE/>
              <w:autoSpaceDN/>
              <w:adjustRightInd/>
              <w:snapToGrid/>
              <w:spacing w:line="360" w:lineRule="auto"/>
              <w:jc w:val="center"/>
              <w:textAlignment w:val="auto"/>
              <w:rPr>
                <w:rFonts w:hint="eastAsia" w:eastAsia="宋体" w:cs="宋体"/>
                <w:snapToGrid/>
                <w:color w:val="auto"/>
                <w:lang w:eastAsia="zh-CN"/>
              </w:rPr>
            </w:pPr>
            <w:r>
              <w:rPr>
                <w:rFonts w:hint="eastAsia" w:eastAsia="宋体" w:cs="宋体"/>
                <w:snapToGrid/>
                <w:color w:val="auto"/>
                <w:lang w:eastAsia="zh-CN"/>
              </w:rPr>
              <w:t>1、城市建成区内不得建设高污染的火电、化工、冶金、造纸、钢铁、建材等工业项目；已经建成的，应当逐步搬迁。</w:t>
            </w:r>
          </w:p>
          <w:p w14:paraId="6EC8E885">
            <w:pPr>
              <w:pStyle w:val="37"/>
              <w:widowControl w:val="0"/>
              <w:shd w:val="clear"/>
              <w:kinsoku/>
              <w:autoSpaceDE/>
              <w:autoSpaceDN/>
              <w:adjustRightInd/>
              <w:snapToGrid/>
              <w:spacing w:line="360" w:lineRule="auto"/>
              <w:jc w:val="center"/>
              <w:textAlignment w:val="auto"/>
              <w:rPr>
                <w:rFonts w:hint="eastAsia" w:eastAsia="宋体" w:cs="宋体"/>
                <w:snapToGrid/>
                <w:color w:val="auto"/>
                <w:lang w:eastAsia="zh-CN"/>
              </w:rPr>
            </w:pPr>
            <w:r>
              <w:rPr>
                <w:rFonts w:hint="eastAsia" w:eastAsia="宋体" w:cs="宋体"/>
                <w:snapToGrid/>
                <w:color w:val="auto"/>
                <w:lang w:eastAsia="zh-CN"/>
              </w:rPr>
              <w:t>2、禁止在居民住宅区等人口密集区域和机关、医院、学校、幼儿园、养老院等其他需要特殊保护的区域及其周边，新建、改建和扩建易产生恶臭气体的生产项目，或者从事其他产生恶臭气体的生产经营活动。已建成的，应当逐步搬迁或者升级改造。</w:t>
            </w:r>
          </w:p>
          <w:p w14:paraId="7A0FB2C6">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3、禁止在集中供热管网覆盖地区新建、扩建分散燃煤供热锅炉。</w:t>
            </w:r>
          </w:p>
        </w:tc>
        <w:tc>
          <w:tcPr>
            <w:tcW w:w="1287" w:type="pct"/>
            <w:tcBorders>
              <w:tl2br w:val="nil"/>
              <w:tr2bl w:val="nil"/>
            </w:tcBorders>
            <w:vAlign w:val="center"/>
          </w:tcPr>
          <w:p w14:paraId="474A4067">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本项目属于表</w:t>
            </w:r>
            <w:r>
              <w:rPr>
                <w:rFonts w:eastAsia="宋体"/>
                <w:snapToGrid/>
                <w:color w:val="auto"/>
                <w:lang w:eastAsia="zh-CN"/>
              </w:rPr>
              <w:t>2-3A6.1</w:t>
            </w:r>
            <w:r>
              <w:rPr>
                <w:rFonts w:eastAsia="宋体" w:cs="宋体"/>
                <w:snapToGrid/>
                <w:color w:val="auto"/>
                <w:lang w:eastAsia="zh-CN"/>
              </w:rPr>
              <w:t>中重点管控单元空间布局约束的内容之列。</w:t>
            </w:r>
            <w:r>
              <w:rPr>
                <w:rFonts w:hint="eastAsia" w:eastAsia="宋体" w:cs="宋体"/>
                <w:snapToGrid/>
                <w:color w:val="auto"/>
                <w:lang w:eastAsia="zh-CN"/>
              </w:rPr>
              <w:t>本项目不涉及锅炉。</w:t>
            </w:r>
            <w:r>
              <w:rPr>
                <w:rFonts w:eastAsia="宋体" w:cs="宋体"/>
                <w:snapToGrid/>
                <w:color w:val="auto"/>
                <w:lang w:eastAsia="zh-CN"/>
              </w:rPr>
              <w:t>项目属于特色轻工企业，不属于“三高”企业，本项目严格</w:t>
            </w:r>
            <w:r>
              <w:rPr>
                <w:rFonts w:eastAsia="宋体"/>
                <w:snapToGrid/>
                <w:color w:val="auto"/>
                <w:lang w:eastAsia="zh-CN"/>
              </w:rPr>
              <w:t>“</w:t>
            </w:r>
            <w:r>
              <w:rPr>
                <w:rFonts w:eastAsia="宋体" w:cs="宋体"/>
                <w:snapToGrid/>
                <w:color w:val="auto"/>
                <w:lang w:eastAsia="zh-CN"/>
              </w:rPr>
              <w:t>三废</w:t>
            </w:r>
            <w:r>
              <w:rPr>
                <w:rFonts w:eastAsia="宋体"/>
                <w:snapToGrid/>
                <w:color w:val="auto"/>
                <w:lang w:eastAsia="zh-CN"/>
              </w:rPr>
              <w:t>”</w:t>
            </w:r>
            <w:r>
              <w:rPr>
                <w:rFonts w:eastAsia="宋体" w:cs="宋体"/>
                <w:snapToGrid/>
                <w:color w:val="auto"/>
                <w:lang w:eastAsia="zh-CN"/>
              </w:rPr>
              <w:t>管理，符合管控要求。</w:t>
            </w:r>
          </w:p>
        </w:tc>
        <w:tc>
          <w:tcPr>
            <w:tcW w:w="294" w:type="pct"/>
            <w:tcBorders>
              <w:tl2br w:val="nil"/>
              <w:tr2bl w:val="nil"/>
            </w:tcBorders>
            <w:vAlign w:val="center"/>
          </w:tcPr>
          <w:p w14:paraId="0695992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24F7F2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6" w:hRule="atLeast"/>
          <w:jc w:val="center"/>
        </w:trPr>
        <w:tc>
          <w:tcPr>
            <w:tcW w:w="510" w:type="pct"/>
            <w:vMerge w:val="continue"/>
            <w:tcBorders>
              <w:tl2br w:val="nil"/>
              <w:tr2bl w:val="nil"/>
            </w:tcBorders>
            <w:vAlign w:val="center"/>
          </w:tcPr>
          <w:p w14:paraId="6C20BC8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66" w:type="pct"/>
            <w:tcBorders>
              <w:tl2br w:val="nil"/>
              <w:tr2bl w:val="nil"/>
            </w:tcBorders>
            <w:vAlign w:val="center"/>
          </w:tcPr>
          <w:p w14:paraId="3EECE4E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污</w:t>
            </w:r>
            <w:r>
              <w:rPr>
                <w:rFonts w:ascii="Times New Roman" w:hAnsi="Times New Roman" w:eastAsia="宋体" w:cs="宋体"/>
                <w:snapToGrid/>
                <w:color w:val="auto"/>
              </w:rPr>
              <w:t>染物排放管控</w:t>
            </w:r>
          </w:p>
        </w:tc>
        <w:tc>
          <w:tcPr>
            <w:tcW w:w="2141" w:type="pct"/>
            <w:tcBorders>
              <w:tl2br w:val="nil"/>
              <w:tr2bl w:val="nil"/>
            </w:tcBorders>
            <w:vAlign w:val="center"/>
          </w:tcPr>
          <w:p w14:paraId="6D4C72E3">
            <w:pPr>
              <w:pStyle w:val="37"/>
              <w:widowControl w:val="0"/>
              <w:shd w:val="clear"/>
              <w:kinsoku/>
              <w:autoSpaceDE/>
              <w:autoSpaceDN/>
              <w:adjustRightInd/>
              <w:snapToGrid/>
              <w:spacing w:line="360" w:lineRule="auto"/>
              <w:jc w:val="center"/>
              <w:textAlignment w:val="auto"/>
              <w:rPr>
                <w:rFonts w:hint="eastAsia" w:eastAsia="宋体" w:cs="宋体"/>
                <w:snapToGrid/>
                <w:color w:val="auto"/>
                <w:lang w:eastAsia="zh-CN"/>
              </w:rPr>
            </w:pPr>
            <w:r>
              <w:rPr>
                <w:rFonts w:hint="eastAsia" w:eastAsia="宋体" w:cs="宋体"/>
                <w:snapToGrid/>
                <w:color w:val="auto"/>
                <w:lang w:eastAsia="zh-CN"/>
              </w:rPr>
              <w:t>1、推进燃气锅炉低氮燃烧改造和65蒸吨/小时及以上燃煤锅炉超低排放改造，到2024年县级及以上城市建成区基本淘汰35蒸吨/小时及以下的燃煤锅炉。</w:t>
            </w:r>
          </w:p>
          <w:p w14:paraId="246C3070">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2、施工工地全面落实“六个百分之百”（施工工地周边围挡、物料堆放覆盖、出入车辆冲洗、施工现场地面硬化、拆迁工地湿法作业、渣土车辆密闭运输）。</w:t>
            </w:r>
          </w:p>
        </w:tc>
        <w:tc>
          <w:tcPr>
            <w:tcW w:w="1287" w:type="pct"/>
            <w:tcBorders>
              <w:tl2br w:val="nil"/>
              <w:tr2bl w:val="nil"/>
            </w:tcBorders>
            <w:vAlign w:val="center"/>
          </w:tcPr>
          <w:p w14:paraId="658B018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本项目执行关于重点管控单元污染物排放管控的准入要求（表</w:t>
            </w:r>
            <w:r>
              <w:rPr>
                <w:rFonts w:eastAsia="宋体"/>
                <w:snapToGrid/>
                <w:color w:val="auto"/>
                <w:lang w:eastAsia="zh-CN"/>
              </w:rPr>
              <w:t>2-3A6.2</w:t>
            </w:r>
            <w:r>
              <w:rPr>
                <w:rFonts w:eastAsia="宋体" w:cs="宋体"/>
                <w:snapToGrid/>
                <w:color w:val="auto"/>
                <w:lang w:eastAsia="zh-CN"/>
              </w:rPr>
              <w:t>），本项目位于</w:t>
            </w:r>
            <w:r>
              <w:rPr>
                <w:rFonts w:hint="eastAsia" w:eastAsia="宋体" w:cs="宋体"/>
                <w:snapToGrid/>
                <w:color w:val="auto"/>
                <w:lang w:eastAsia="zh-CN"/>
              </w:rPr>
              <w:t>木垒哈萨克自治县</w:t>
            </w:r>
            <w:r>
              <w:rPr>
                <w:rFonts w:eastAsia="宋体" w:cs="宋体"/>
                <w:snapToGrid/>
                <w:color w:val="auto"/>
                <w:lang w:eastAsia="zh-CN"/>
              </w:rPr>
              <w:t>，属于</w:t>
            </w:r>
            <w:r>
              <w:rPr>
                <w:rFonts w:hint="eastAsia" w:eastAsia="宋体" w:cs="宋体"/>
                <w:snapToGrid/>
                <w:color w:val="auto"/>
                <w:lang w:eastAsia="zh-CN"/>
              </w:rPr>
              <w:t>达标区</w:t>
            </w:r>
            <w:r>
              <w:rPr>
                <w:rFonts w:eastAsia="宋体" w:cs="宋体"/>
                <w:snapToGrid/>
                <w:color w:val="auto"/>
                <w:lang w:eastAsia="zh-CN"/>
              </w:rPr>
              <w:t>。</w:t>
            </w:r>
          </w:p>
          <w:p w14:paraId="20C6141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本项目</w:t>
            </w:r>
            <w:r>
              <w:rPr>
                <w:rFonts w:ascii="Times New Roman" w:hAnsi="Times New Roman" w:eastAsia="宋体" w:cs="宋体"/>
                <w:snapToGrid/>
                <w:color w:val="auto"/>
                <w:lang w:eastAsia="zh-CN"/>
              </w:rPr>
              <w:t>施工工地全面落实</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六个百分之百</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（施工工地周边围挡、物料堆放覆盖、出入车辆冲洗、施工现场地面硬化、拆迁工地湿法作业、渣土车辆密闭运输）</w:t>
            </w:r>
            <w:r>
              <w:rPr>
                <w:rFonts w:hint="eastAsia" w:ascii="Times New Roman" w:hAnsi="Times New Roman" w:eastAsia="宋体" w:cs="宋体"/>
                <w:snapToGrid/>
                <w:color w:val="auto"/>
                <w:lang w:eastAsia="zh-CN"/>
              </w:rPr>
              <w:t>。</w:t>
            </w:r>
          </w:p>
        </w:tc>
        <w:tc>
          <w:tcPr>
            <w:tcW w:w="294" w:type="pct"/>
            <w:tcBorders>
              <w:tl2br w:val="nil"/>
              <w:tr2bl w:val="nil"/>
            </w:tcBorders>
            <w:vAlign w:val="center"/>
          </w:tcPr>
          <w:p w14:paraId="69FCDE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43E41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5" w:hRule="atLeast"/>
          <w:jc w:val="center"/>
        </w:trPr>
        <w:tc>
          <w:tcPr>
            <w:tcW w:w="510" w:type="pct"/>
            <w:vMerge w:val="continue"/>
            <w:tcBorders>
              <w:tl2br w:val="nil"/>
              <w:tr2bl w:val="nil"/>
            </w:tcBorders>
            <w:vAlign w:val="center"/>
          </w:tcPr>
          <w:p w14:paraId="5713C72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66" w:type="pct"/>
            <w:tcBorders>
              <w:tl2br w:val="nil"/>
              <w:tr2bl w:val="nil"/>
            </w:tcBorders>
            <w:vAlign w:val="center"/>
          </w:tcPr>
          <w:p w14:paraId="2CCBEC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环境风险防控</w:t>
            </w:r>
          </w:p>
        </w:tc>
        <w:tc>
          <w:tcPr>
            <w:tcW w:w="2141" w:type="pct"/>
            <w:tcBorders>
              <w:tl2br w:val="nil"/>
              <w:tr2bl w:val="nil"/>
            </w:tcBorders>
            <w:vAlign w:val="center"/>
          </w:tcPr>
          <w:p w14:paraId="4C2D88F2">
            <w:pPr>
              <w:pStyle w:val="37"/>
              <w:widowControl w:val="0"/>
              <w:shd w:val="clear"/>
              <w:kinsoku/>
              <w:autoSpaceDE/>
              <w:autoSpaceDN/>
              <w:adjustRightInd/>
              <w:snapToGrid/>
              <w:spacing w:line="360" w:lineRule="auto"/>
              <w:jc w:val="center"/>
              <w:textAlignment w:val="auto"/>
              <w:rPr>
                <w:rFonts w:hint="eastAsia" w:eastAsia="宋体" w:cs="宋体"/>
                <w:snapToGrid/>
                <w:color w:val="auto"/>
                <w:lang w:eastAsia="zh-CN"/>
              </w:rPr>
            </w:pPr>
            <w:r>
              <w:rPr>
                <w:rFonts w:hint="eastAsia" w:eastAsia="宋体" w:cs="宋体"/>
                <w:snapToGrid/>
                <w:color w:val="auto"/>
                <w:lang w:eastAsia="zh-CN"/>
              </w:rPr>
              <w:t>1、严格危险化学品废弃处置。对城镇人口密集区现有不符合安全和卫生防护距离要求的危险化学品生产企业，进行定量风险评估，就地改造达标、搬迁进入规范化工园区或关闭退出。</w:t>
            </w:r>
          </w:p>
          <w:p w14:paraId="2632245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2、提升饮用水安全保障水平。以县级及以上集中式饮用水水源地为重点，推进饮用水水源保护区规范化建设，统筹推进备用水源或应急水源建设。强化饮用水水源保护区环境应急管理，完善重大突发环境事件的物资和技术储备。针对汇水区、补给区存在兵地跨界的，建立统一的饮用水水源应急和执法机制，共享应急物资。</w:t>
            </w:r>
          </w:p>
        </w:tc>
        <w:tc>
          <w:tcPr>
            <w:tcW w:w="1287" w:type="pct"/>
            <w:tcBorders>
              <w:tl2br w:val="nil"/>
              <w:tr2bl w:val="nil"/>
            </w:tcBorders>
            <w:vAlign w:val="center"/>
          </w:tcPr>
          <w:p w14:paraId="6CAA05E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w:t>
            </w:r>
            <w:r>
              <w:rPr>
                <w:rFonts w:hint="eastAsia" w:eastAsia="宋体" w:cs="宋体"/>
                <w:snapToGrid/>
                <w:color w:val="auto"/>
                <w:lang w:eastAsia="zh-CN"/>
              </w:rPr>
              <w:t>执行</w:t>
            </w:r>
            <w:r>
              <w:rPr>
                <w:rFonts w:eastAsia="宋体" w:cs="宋体"/>
                <w:snapToGrid/>
                <w:color w:val="auto"/>
                <w:lang w:eastAsia="zh-CN"/>
              </w:rPr>
              <w:t>自治区总体准入要求中关于重点管控单元环境风险管控的准入要求（表</w:t>
            </w:r>
            <w:r>
              <w:rPr>
                <w:rFonts w:eastAsia="宋体"/>
                <w:snapToGrid/>
                <w:color w:val="auto"/>
                <w:lang w:eastAsia="zh-CN"/>
              </w:rPr>
              <w:t>2-3A6.3</w:t>
            </w:r>
            <w:r>
              <w:rPr>
                <w:rFonts w:eastAsia="宋体" w:cs="宋体"/>
                <w:snapToGrid/>
                <w:color w:val="auto"/>
                <w:lang w:eastAsia="zh-CN"/>
              </w:rPr>
              <w:t>），本项目按照要求，建立危险物质管理程序，对危险物质进行严格监控。</w:t>
            </w:r>
          </w:p>
          <w:p w14:paraId="51B28F38">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eastAsia="zh-CN"/>
              </w:rPr>
              <w:t>建立</w:t>
            </w:r>
            <w:r>
              <w:rPr>
                <w:rFonts w:ascii="Times New Roman" w:hAnsi="Times New Roman" w:eastAsia="宋体" w:cs="宋体"/>
                <w:snapToGrid/>
                <w:color w:val="auto"/>
                <w:lang w:eastAsia="zh-CN"/>
              </w:rPr>
              <w:t>环境风险监管制度、环境风险预警制度、区域性突发事件应急预案、环境风险应急保障制度、环境风险事前预防、事中应急、事后处置等环境风险防控体系</w:t>
            </w:r>
            <w:r>
              <w:rPr>
                <w:rFonts w:hint="eastAsia" w:ascii="Times New Roman" w:hAnsi="Times New Roman" w:eastAsia="宋体" w:cs="宋体"/>
                <w:snapToGrid/>
                <w:color w:val="auto"/>
                <w:lang w:eastAsia="zh-CN"/>
              </w:rPr>
              <w:t>。</w:t>
            </w:r>
          </w:p>
        </w:tc>
        <w:tc>
          <w:tcPr>
            <w:tcW w:w="294" w:type="pct"/>
            <w:tcBorders>
              <w:tl2br w:val="nil"/>
              <w:tr2bl w:val="nil"/>
            </w:tcBorders>
            <w:vAlign w:val="center"/>
          </w:tcPr>
          <w:p w14:paraId="4A2D38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符合</w:t>
            </w:r>
          </w:p>
        </w:tc>
      </w:tr>
      <w:tr w14:paraId="04971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5" w:hRule="atLeast"/>
          <w:jc w:val="center"/>
        </w:trPr>
        <w:tc>
          <w:tcPr>
            <w:tcW w:w="510" w:type="pct"/>
            <w:vMerge w:val="continue"/>
            <w:tcBorders>
              <w:tl2br w:val="nil"/>
              <w:tr2bl w:val="nil"/>
            </w:tcBorders>
            <w:vAlign w:val="center"/>
          </w:tcPr>
          <w:p w14:paraId="21323A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66" w:type="pct"/>
            <w:tcBorders>
              <w:tl2br w:val="nil"/>
              <w:tr2bl w:val="nil"/>
            </w:tcBorders>
            <w:vAlign w:val="center"/>
          </w:tcPr>
          <w:p w14:paraId="1F083D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资源利用效率要求</w:t>
            </w:r>
          </w:p>
        </w:tc>
        <w:tc>
          <w:tcPr>
            <w:tcW w:w="2141" w:type="pct"/>
            <w:tcBorders>
              <w:tl2br w:val="nil"/>
              <w:tr2bl w:val="nil"/>
            </w:tcBorders>
            <w:vAlign w:val="center"/>
          </w:tcPr>
          <w:p w14:paraId="5E35242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1、禁止销售、燃用原煤、粉煤、各种可燃废物等高污染燃料；禁止新建、扩建燃用高污染燃料的设施，已建设成的，应当在规定的期限内改用清洁能源；严格控制引进高载能项目。</w:t>
            </w:r>
          </w:p>
        </w:tc>
        <w:tc>
          <w:tcPr>
            <w:tcW w:w="1287" w:type="pct"/>
            <w:tcBorders>
              <w:tl2br w:val="nil"/>
              <w:tr2bl w:val="nil"/>
            </w:tcBorders>
            <w:vAlign w:val="center"/>
          </w:tcPr>
          <w:p w14:paraId="37B9154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项目执行自治区总体准入要求中关于重点管控单元资源利用效率的准入要求（表</w:t>
            </w:r>
            <w:r>
              <w:rPr>
                <w:rFonts w:eastAsia="宋体"/>
                <w:snapToGrid/>
                <w:color w:val="auto"/>
                <w:lang w:eastAsia="zh-CN"/>
              </w:rPr>
              <w:t>2-3A6.4</w:t>
            </w:r>
            <w:r>
              <w:rPr>
                <w:rFonts w:eastAsia="宋体" w:cs="宋体"/>
                <w:snapToGrid/>
                <w:color w:val="auto"/>
                <w:lang w:eastAsia="zh-CN"/>
              </w:rPr>
              <w:t>）。本项目厂区无地下水水井，项目中生产用水重复利用。各项资源消耗总量均在指标之内。</w:t>
            </w:r>
            <w:r>
              <w:rPr>
                <w:rFonts w:hint="eastAsia" w:eastAsia="宋体" w:cs="宋体"/>
                <w:snapToGrid/>
                <w:color w:val="auto"/>
                <w:lang w:eastAsia="zh-CN"/>
              </w:rPr>
              <w:t>本项目不涉及原煤、粉煤等高污染燃料的销售和使用。</w:t>
            </w:r>
          </w:p>
        </w:tc>
        <w:tc>
          <w:tcPr>
            <w:tcW w:w="294" w:type="pct"/>
            <w:tcBorders>
              <w:tl2br w:val="nil"/>
              <w:tr2bl w:val="nil"/>
            </w:tcBorders>
            <w:vAlign w:val="center"/>
          </w:tcPr>
          <w:p w14:paraId="5272439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符合</w:t>
            </w:r>
          </w:p>
        </w:tc>
      </w:tr>
    </w:tbl>
    <w:p w14:paraId="3484202B">
      <w:pPr>
        <w:widowControl w:val="0"/>
        <w:shd w:val="clear"/>
        <w:kinsoku/>
        <w:autoSpaceDE/>
        <w:autoSpaceDN/>
        <w:adjustRightInd/>
        <w:snapToGrid/>
        <w:textAlignment w:val="auto"/>
        <w:rPr>
          <w:rFonts w:ascii="Times New Roman" w:hAnsi="Times New Roman" w:eastAsia="宋体"/>
          <w:snapToGrid/>
          <w:color w:val="auto"/>
        </w:rPr>
      </w:pPr>
    </w:p>
    <w:p w14:paraId="049ACE1D">
      <w:pPr>
        <w:widowControl w:val="0"/>
        <w:shd w:val="clear"/>
        <w:kinsoku/>
        <w:autoSpaceDE/>
        <w:autoSpaceDN/>
        <w:adjustRightInd/>
        <w:snapToGrid/>
        <w:textAlignment w:val="auto"/>
        <w:rPr>
          <w:rFonts w:ascii="Times New Roman" w:hAnsi="Times New Roman" w:eastAsia="宋体"/>
          <w:snapToGrid/>
          <w:color w:val="auto"/>
        </w:rPr>
        <w:sectPr>
          <w:headerReference r:id="rId15" w:type="default"/>
          <w:footerReference r:id="rId16" w:type="default"/>
          <w:pgSz w:w="16838" w:h="11906"/>
          <w:pgMar w:top="1136" w:right="1331" w:bottom="1161" w:left="1317" w:header="868" w:footer="999" w:gutter="0"/>
          <w:pgBorders>
            <w:top w:val="none" w:sz="0" w:space="0"/>
            <w:left w:val="none" w:sz="0" w:space="0"/>
            <w:bottom w:val="none" w:sz="0" w:space="0"/>
            <w:right w:val="none" w:sz="0" w:space="0"/>
          </w:pgBorders>
          <w:cols w:space="720" w:num="1"/>
        </w:sectPr>
      </w:pPr>
    </w:p>
    <w:p w14:paraId="72D13FDE">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348" w:name="bookmark16"/>
      <w:bookmarkEnd w:id="348"/>
      <w:bookmarkStart w:id="349" w:name="bookmark65"/>
      <w:bookmarkEnd w:id="349"/>
      <w:bookmarkStart w:id="350" w:name="_Toc23938"/>
      <w:bookmarkStart w:id="351" w:name="_Toc3077"/>
      <w:bookmarkStart w:id="352" w:name="_Toc1820"/>
      <w:r>
        <w:rPr>
          <w:rFonts w:hint="eastAsia" w:ascii="Times New Roman" w:hAnsi="Times New Roman" w:eastAsia="宋体"/>
          <w:snapToGrid/>
          <w:color w:val="auto"/>
          <w:lang w:eastAsia="zh-CN"/>
        </w:rPr>
        <w:t>2.8选址合理性分析</w:t>
      </w:r>
      <w:bookmarkEnd w:id="350"/>
      <w:bookmarkEnd w:id="351"/>
      <w:bookmarkEnd w:id="352"/>
    </w:p>
    <w:p w14:paraId="608C21D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53" w:name="_Toc3198"/>
      <w:r>
        <w:rPr>
          <w:rFonts w:hint="eastAsia" w:ascii="Times New Roman" w:hAnsi="Times New Roman" w:eastAsia="宋体" w:cs="Times New Roman"/>
          <w:snapToGrid/>
          <w:color w:val="auto"/>
          <w:lang w:eastAsia="zh-CN"/>
        </w:rPr>
        <w:t>2.8.1环境容量</w:t>
      </w:r>
      <w:bookmarkEnd w:id="353"/>
    </w:p>
    <w:p w14:paraId="7AFBB24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本项目所在区域SO</w:t>
      </w:r>
      <w:r>
        <w:rPr>
          <w:rFonts w:ascii="Times New Roman" w:hAnsi="Times New Roman"/>
          <w:snapToGrid/>
          <w:color w:val="auto"/>
          <w:sz w:val="24"/>
          <w:szCs w:val="24"/>
          <w:vertAlign w:val="subscript"/>
          <w:lang w:eastAsia="zh-CN"/>
        </w:rPr>
        <w:t>2</w:t>
      </w:r>
      <w:r>
        <w:rPr>
          <w:rFonts w:ascii="Times New Roman" w:hAnsi="Times New Roman"/>
          <w:snapToGrid/>
          <w:color w:val="auto"/>
          <w:sz w:val="24"/>
          <w:szCs w:val="24"/>
          <w:lang w:eastAsia="zh-CN"/>
        </w:rPr>
        <w:t>、NO</w:t>
      </w:r>
      <w:r>
        <w:rPr>
          <w:rFonts w:ascii="Times New Roman" w:hAnsi="Times New Roman"/>
          <w:snapToGrid/>
          <w:color w:val="auto"/>
          <w:sz w:val="24"/>
          <w:szCs w:val="24"/>
          <w:vertAlign w:val="subscript"/>
          <w:lang w:eastAsia="zh-CN"/>
        </w:rPr>
        <w:t>2</w:t>
      </w:r>
      <w:r>
        <w:rPr>
          <w:rFonts w:ascii="Times New Roman" w:hAnsi="Times New Roman"/>
          <w:snapToGrid/>
          <w:color w:val="auto"/>
          <w:sz w:val="24"/>
          <w:szCs w:val="24"/>
          <w:lang w:eastAsia="zh-CN"/>
        </w:rPr>
        <w:t>、PM</w:t>
      </w:r>
      <w:r>
        <w:rPr>
          <w:rFonts w:ascii="Times New Roman" w:hAnsi="Times New Roman"/>
          <w:snapToGrid/>
          <w:color w:val="auto"/>
          <w:sz w:val="24"/>
          <w:szCs w:val="24"/>
          <w:vertAlign w:val="subscript"/>
          <w:lang w:eastAsia="zh-CN"/>
        </w:rPr>
        <w:t>2.5</w:t>
      </w:r>
      <w:r>
        <w:rPr>
          <w:rFonts w:ascii="Times New Roman" w:hAnsi="Times New Roman"/>
          <w:snapToGrid/>
          <w:color w:val="auto"/>
          <w:sz w:val="24"/>
          <w:szCs w:val="24"/>
          <w:lang w:eastAsia="zh-CN"/>
        </w:rPr>
        <w:t>、PM</w:t>
      </w:r>
      <w:r>
        <w:rPr>
          <w:rFonts w:ascii="Times New Roman" w:hAnsi="Times New Roman"/>
          <w:snapToGrid/>
          <w:color w:val="auto"/>
          <w:sz w:val="24"/>
          <w:szCs w:val="24"/>
          <w:vertAlign w:val="subscript"/>
          <w:lang w:eastAsia="zh-CN"/>
        </w:rPr>
        <w:t>10</w:t>
      </w:r>
      <w:r>
        <w:rPr>
          <w:rFonts w:ascii="Times New Roman" w:hAnsi="Times New Roman"/>
          <w:snapToGrid/>
          <w:color w:val="auto"/>
          <w:sz w:val="24"/>
          <w:szCs w:val="24"/>
          <w:lang w:eastAsia="zh-CN"/>
        </w:rPr>
        <w:t>、CO和O</w:t>
      </w:r>
      <w:r>
        <w:rPr>
          <w:rFonts w:ascii="Times New Roman" w:hAnsi="Times New Roman"/>
          <w:snapToGrid/>
          <w:color w:val="auto"/>
          <w:sz w:val="24"/>
          <w:szCs w:val="24"/>
          <w:vertAlign w:val="subscript"/>
          <w:lang w:eastAsia="zh-CN"/>
        </w:rPr>
        <w:t>3</w:t>
      </w:r>
      <w:r>
        <w:rPr>
          <w:rFonts w:ascii="Times New Roman" w:hAnsi="Times New Roman"/>
          <w:snapToGrid/>
          <w:color w:val="auto"/>
          <w:sz w:val="24"/>
          <w:szCs w:val="24"/>
          <w:lang w:eastAsia="zh-CN"/>
        </w:rPr>
        <w:t>的年评价指标为达标；因此，本项目所在区域为达标区。本项目使用清洁能源</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电能作为热源；区域内地下水体均满足水环境功能区划要求，评价指标均符合评价标准中的Ⅲ类标准；评价区环境噪声</w:t>
      </w:r>
      <w:r>
        <w:rPr>
          <w:rFonts w:hint="eastAsia" w:ascii="Times New Roman" w:hAnsi="Times New Roman"/>
          <w:snapToGrid/>
          <w:color w:val="auto"/>
          <w:sz w:val="24"/>
          <w:szCs w:val="24"/>
          <w:lang w:val="en-US" w:eastAsia="zh-CN"/>
        </w:rPr>
        <w:t>满足</w:t>
      </w:r>
      <w:r>
        <w:rPr>
          <w:rFonts w:ascii="Times New Roman" w:hAnsi="Times New Roman"/>
          <w:snapToGrid/>
          <w:color w:val="auto"/>
          <w:sz w:val="24"/>
          <w:szCs w:val="24"/>
          <w:lang w:eastAsia="zh-CN"/>
        </w:rPr>
        <w:t>《声环境质量标准》（GB3096-2008）中的</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类标准，且厂区周围没有声环境敏感目标。</w:t>
      </w:r>
    </w:p>
    <w:p w14:paraId="24F391A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本项目投产后，区域水、空气、声环境质量现状良好，尚有较大的环境容量空间，污染物达标排放，对区域环境影响不大，区域环境仍可保持功能水平。因此，项目选址从环境容量角度分析是可行的。</w:t>
      </w:r>
    </w:p>
    <w:p w14:paraId="2F27ACAE">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54" w:name="_Toc24053"/>
      <w:r>
        <w:rPr>
          <w:rFonts w:hint="eastAsia" w:ascii="Times New Roman" w:hAnsi="Times New Roman" w:eastAsia="宋体" w:cs="Times New Roman"/>
          <w:snapToGrid/>
          <w:color w:val="auto"/>
          <w:lang w:eastAsia="zh-CN"/>
        </w:rPr>
        <w:t>2.8.2用地可行性</w:t>
      </w:r>
      <w:bookmarkEnd w:id="354"/>
    </w:p>
    <w:p w14:paraId="2018501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雀仁乡人民政府</w:t>
      </w:r>
      <w:r>
        <w:rPr>
          <w:rFonts w:ascii="Times New Roman" w:hAnsi="Times New Roman"/>
          <w:snapToGrid/>
          <w:color w:val="auto"/>
          <w:sz w:val="24"/>
          <w:szCs w:val="24"/>
          <w:lang w:eastAsia="zh-CN"/>
        </w:rPr>
        <w:t>内，</w:t>
      </w:r>
      <w:r>
        <w:rPr>
          <w:rFonts w:hint="eastAsia" w:ascii="Times New Roman" w:hAnsi="Times New Roman"/>
          <w:snapToGrid/>
          <w:color w:val="auto"/>
          <w:sz w:val="24"/>
          <w:szCs w:val="24"/>
          <w:lang w:val="en-US" w:eastAsia="zh-CN"/>
        </w:rPr>
        <w:t>本项目已取木垒哈萨克自治县国土资源局出具的《建设用地预审与选址意见书》（用地字和65232820240003号），</w:t>
      </w:r>
      <w:r>
        <w:rPr>
          <w:rFonts w:ascii="Times New Roman" w:hAnsi="Times New Roman"/>
          <w:snapToGrid/>
          <w:color w:val="auto"/>
          <w:sz w:val="24"/>
          <w:szCs w:val="24"/>
          <w:lang w:eastAsia="zh-CN"/>
        </w:rPr>
        <w:t>选址地块为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。本项目满足《关于促进全区废旧塑料再生利用行业有序发展的指导意见》（新环环评发</w:t>
      </w:r>
      <w:r>
        <w:rPr>
          <w:rFonts w:hint="eastAsia" w:ascii="Times New Roman" w:hAnsi="Times New Roman"/>
          <w:snapToGrid/>
          <w:color w:val="auto"/>
          <w:sz w:val="24"/>
          <w:szCs w:val="24"/>
          <w:lang w:eastAsia="zh-CN"/>
        </w:rPr>
        <w:t>〔2020〕5号</w:t>
      </w:r>
      <w:r>
        <w:rPr>
          <w:rFonts w:ascii="Times New Roman" w:hAnsi="Times New Roman"/>
          <w:snapToGrid/>
          <w:color w:val="auto"/>
          <w:sz w:val="24"/>
          <w:szCs w:val="24"/>
          <w:lang w:eastAsia="zh-CN"/>
        </w:rPr>
        <w:t>），“在各级人民政府依法设立的工</w:t>
      </w:r>
      <w:r>
        <w:rPr>
          <w:rFonts w:hint="eastAsia" w:ascii="Times New Roman" w:hAnsi="Times New Roman"/>
          <w:snapToGrid/>
          <w:color w:val="auto"/>
          <w:sz w:val="24"/>
          <w:szCs w:val="24"/>
          <w:lang w:eastAsia="zh-CN"/>
        </w:rPr>
        <w:t>业园</w:t>
      </w:r>
      <w:r>
        <w:rPr>
          <w:rFonts w:ascii="Times New Roman" w:hAnsi="Times New Roman"/>
          <w:snapToGrid/>
          <w:color w:val="auto"/>
          <w:sz w:val="24"/>
          <w:szCs w:val="24"/>
          <w:lang w:eastAsia="zh-CN"/>
        </w:rPr>
        <w:t>区以外进行项目建设的，不得占用农用地，且不得在城乡规划区边界外5公里以内，区域重点河流两岸高速公路铁路干线及重要地下管网及其他</w:t>
      </w:r>
      <w:r>
        <w:rPr>
          <w:rFonts w:hint="eastAsia" w:ascii="Times New Roman" w:hAnsi="Times New Roman"/>
          <w:snapToGrid/>
          <w:color w:val="auto"/>
          <w:sz w:val="24"/>
          <w:szCs w:val="24"/>
          <w:lang w:eastAsia="zh-CN"/>
        </w:rPr>
        <w:t>区域</w:t>
      </w:r>
      <w:r>
        <w:rPr>
          <w:rFonts w:ascii="Times New Roman" w:hAnsi="Times New Roman"/>
          <w:snapToGrid/>
          <w:color w:val="auto"/>
          <w:sz w:val="24"/>
          <w:szCs w:val="24"/>
          <w:lang w:eastAsia="zh-CN"/>
        </w:rPr>
        <w:t>严防污染的食品、药品等企业周边1000以内建设，禁止在生态保护红线内建设废旧塑料再生利用企业”。</w:t>
      </w:r>
    </w:p>
    <w:p w14:paraId="5FC5B47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本项目为滴灌带回收利用项目，主要用于辅助农业发展，</w:t>
      </w:r>
      <w:r>
        <w:rPr>
          <w:rFonts w:ascii="Times New Roman" w:hAnsi="Times New Roman"/>
          <w:snapToGrid/>
          <w:color w:val="auto"/>
          <w:sz w:val="24"/>
          <w:szCs w:val="24"/>
          <w:lang w:eastAsia="zh-CN"/>
        </w:rPr>
        <w:t>根据</w:t>
      </w:r>
      <w:r>
        <w:rPr>
          <w:rFonts w:hint="default" w:ascii="Times New Roman" w:hAnsi="Times New Roman"/>
          <w:snapToGrid/>
          <w:color w:val="auto"/>
          <w:sz w:val="24"/>
          <w:szCs w:val="24"/>
          <w:lang w:val="en-US" w:eastAsia="zh-CN"/>
        </w:rPr>
        <w:t>《木垒哈萨克自治县国土空间总体规划（2021</w:t>
      </w:r>
      <w:r>
        <w:rPr>
          <w:rFonts w:hint="eastAsia" w:ascii="Times New Roman" w:hAnsi="Times New Roman"/>
          <w:snapToGrid/>
          <w:color w:val="auto"/>
          <w:sz w:val="24"/>
          <w:szCs w:val="24"/>
          <w:lang w:val="en-US" w:eastAsia="zh-CN"/>
        </w:rPr>
        <w:t>—</w:t>
      </w:r>
      <w:r>
        <w:rPr>
          <w:rFonts w:hint="default" w:ascii="Times New Roman" w:hAnsi="Times New Roman"/>
          <w:snapToGrid/>
          <w:color w:val="auto"/>
          <w:sz w:val="24"/>
          <w:szCs w:val="24"/>
          <w:lang w:val="en-US" w:eastAsia="zh-CN"/>
        </w:rPr>
        <w:t>2035年）》</w:t>
      </w:r>
      <w:r>
        <w:rPr>
          <w:rFonts w:ascii="Times New Roman" w:hAnsi="Times New Roman"/>
          <w:snapToGrid/>
          <w:color w:val="auto"/>
          <w:sz w:val="24"/>
          <w:szCs w:val="24"/>
          <w:lang w:eastAsia="zh-CN"/>
        </w:rPr>
        <w:t>，本项目位于</w:t>
      </w:r>
      <w:r>
        <w:rPr>
          <w:rFonts w:hint="eastAsia" w:ascii="Times New Roman" w:hAnsi="Times New Roman"/>
          <w:snapToGrid/>
          <w:color w:val="auto"/>
          <w:sz w:val="24"/>
          <w:szCs w:val="24"/>
          <w:lang w:eastAsia="zh-CN"/>
        </w:rPr>
        <w:t>木垒哈萨克自治县城乡规划区5公里以外</w:t>
      </w:r>
      <w:r>
        <w:rPr>
          <w:rFonts w:ascii="Times New Roman" w:hAnsi="Times New Roman"/>
          <w:snapToGrid/>
          <w:color w:val="auto"/>
          <w:sz w:val="24"/>
          <w:szCs w:val="24"/>
          <w:lang w:eastAsia="zh-CN"/>
        </w:rPr>
        <w:t>，占地类型为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，符合</w:t>
      </w:r>
      <w:r>
        <w:rPr>
          <w:rFonts w:hint="default" w:ascii="Times New Roman" w:hAnsi="Times New Roman"/>
          <w:snapToGrid/>
          <w:color w:val="auto"/>
          <w:sz w:val="24"/>
          <w:szCs w:val="24"/>
          <w:lang w:val="en-US" w:eastAsia="zh-CN"/>
        </w:rPr>
        <w:t>《木垒哈萨克自治县国土空间总体规划（2021</w:t>
      </w:r>
      <w:r>
        <w:rPr>
          <w:rFonts w:hint="eastAsia" w:ascii="Times New Roman" w:hAnsi="Times New Roman"/>
          <w:snapToGrid/>
          <w:color w:val="auto"/>
          <w:sz w:val="24"/>
          <w:szCs w:val="24"/>
          <w:lang w:val="en-US" w:eastAsia="zh-CN"/>
        </w:rPr>
        <w:t>—</w:t>
      </w:r>
      <w:r>
        <w:rPr>
          <w:rFonts w:hint="default" w:ascii="Times New Roman" w:hAnsi="Times New Roman"/>
          <w:snapToGrid/>
          <w:color w:val="auto"/>
          <w:sz w:val="24"/>
          <w:szCs w:val="24"/>
          <w:lang w:val="en-US" w:eastAsia="zh-CN"/>
        </w:rPr>
        <w:t>2035年）》</w:t>
      </w:r>
      <w:r>
        <w:rPr>
          <w:rFonts w:ascii="Times New Roman" w:hAnsi="Times New Roman"/>
          <w:snapToGrid/>
          <w:color w:val="auto"/>
          <w:sz w:val="24"/>
          <w:szCs w:val="24"/>
          <w:lang w:eastAsia="zh-CN"/>
        </w:rPr>
        <w:t>要求。</w:t>
      </w:r>
    </w:p>
    <w:p w14:paraId="3EA8E37E">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55" w:name="_Toc10940"/>
      <w:r>
        <w:rPr>
          <w:rFonts w:hint="eastAsia" w:ascii="Times New Roman" w:hAnsi="Times New Roman" w:eastAsia="宋体" w:cs="Times New Roman"/>
          <w:snapToGrid/>
          <w:color w:val="auto"/>
          <w:lang w:eastAsia="zh-CN"/>
        </w:rPr>
        <w:t>2.8.3防护距离</w:t>
      </w:r>
      <w:bookmarkEnd w:id="355"/>
    </w:p>
    <w:p w14:paraId="702C1D5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根据《环境影响评价技术导则大气环境》（HJ2.2-2018）中的大气环境防护距离的要求，本项目厂界浓度满足大气污染物厂界浓度限值，因此本项目不设置大气环境防护距离。</w:t>
      </w:r>
    </w:p>
    <w:p w14:paraId="676E276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参照《塑料厂卫生防护距离标准》（GB/T18072-2000），环评建议：本项目以生产厂房为边界，四周向外设置100m的卫生防护距离，防护距离范围内无学校、医院、居民区等敏感目标。</w:t>
      </w:r>
    </w:p>
    <w:p w14:paraId="07EBBA59">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56" w:name="_Toc11158"/>
      <w:r>
        <w:rPr>
          <w:rFonts w:hint="eastAsia" w:ascii="Times New Roman" w:hAnsi="Times New Roman" w:eastAsia="宋体" w:cs="Times New Roman"/>
          <w:snapToGrid/>
          <w:color w:val="auto"/>
          <w:lang w:eastAsia="zh-CN"/>
        </w:rPr>
        <w:t>2.8.4环境敏感性分析</w:t>
      </w:r>
      <w:bookmarkEnd w:id="356"/>
    </w:p>
    <w:p w14:paraId="7958A6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从环境敏感性看，项目位于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。评价区无国家及省级确定的风景名胜、历史遗迹等保护区；无饮用水水源保护区；厂区内无特殊自然观赏价值较高的景观，也不属于土地荒漠化地区。</w:t>
      </w:r>
    </w:p>
    <w:p w14:paraId="5904B2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综上所述，</w:t>
      </w:r>
      <w:r>
        <w:rPr>
          <w:rFonts w:hint="eastAsia" w:ascii="Times New Roman" w:hAnsi="Times New Roman"/>
          <w:snapToGrid/>
          <w:color w:val="auto"/>
          <w:sz w:val="24"/>
          <w:szCs w:val="24"/>
          <w:lang w:eastAsia="zh-CN"/>
        </w:rPr>
        <w:t>按照生态环境部</w:t>
      </w:r>
      <w:r>
        <w:rPr>
          <w:rFonts w:ascii="Times New Roman" w:hAnsi="Times New Roman"/>
          <w:snapToGrid/>
          <w:color w:val="auto"/>
          <w:sz w:val="24"/>
          <w:szCs w:val="24"/>
          <w:lang w:eastAsia="zh-CN"/>
        </w:rPr>
        <w:t>制定的《建设项目环境影响评价分类管理名录》中关于环境敏感因素的界定原则，经调查本项目选址地区不属于特殊保护地区、社会关注区和特殊地貌景观区，也无重点保护生态品种及濒危生物物种，文物古迹等，区域环境敏感因素较少。</w:t>
      </w:r>
    </w:p>
    <w:p w14:paraId="244E8368">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57" w:name="_Toc13163"/>
      <w:r>
        <w:rPr>
          <w:rFonts w:hint="eastAsia" w:ascii="Times New Roman" w:hAnsi="Times New Roman" w:eastAsia="宋体" w:cs="Times New Roman"/>
          <w:snapToGrid/>
          <w:color w:val="auto"/>
          <w:lang w:eastAsia="zh-CN"/>
        </w:rPr>
        <w:t>2.8.5小结</w:t>
      </w:r>
      <w:bookmarkEnd w:id="357"/>
    </w:p>
    <w:p w14:paraId="7313EC5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，土地功能区划的允许建设区，与当地功能区划相符。</w:t>
      </w:r>
    </w:p>
    <w:p w14:paraId="5E5DE0D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项目厂址未选择在环境敏感区域，厂址附近无国家及省级确定的风景、历史遗迹等保护区，区域内也无特殊自然观赏价值较高的景观。</w:t>
      </w:r>
    </w:p>
    <w:p w14:paraId="5286F32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符合国家及地方的产业政策和发展规划，建设区域环境质量现状良好，区域环境敏感程度较低，环境容量有富余，项目正常生产对环境的影响不大，环境风险水平可接受，卫生防护距离满足要求，结合环境影响预测评价结果综合分析，厂址选择是合理可行</w:t>
      </w:r>
      <w:r>
        <w:rPr>
          <w:rFonts w:hint="eastAsia" w:ascii="Times New Roman" w:hAnsi="Times New Roman"/>
          <w:snapToGrid/>
          <w:color w:val="auto"/>
          <w:sz w:val="24"/>
          <w:szCs w:val="24"/>
          <w:lang w:val="en-US" w:eastAsia="zh-CN"/>
        </w:rPr>
        <w:t>的</w:t>
      </w:r>
      <w:r>
        <w:rPr>
          <w:rFonts w:ascii="Times New Roman" w:hAnsi="Times New Roman"/>
          <w:snapToGrid/>
          <w:color w:val="auto"/>
          <w:sz w:val="24"/>
          <w:szCs w:val="24"/>
          <w:lang w:eastAsia="zh-CN"/>
        </w:rPr>
        <w:t>。</w:t>
      </w:r>
    </w:p>
    <w:p w14:paraId="7AADAE75">
      <w:pPr>
        <w:widowControl w:val="0"/>
        <w:shd w:val="clear"/>
        <w:kinsoku/>
        <w:autoSpaceDE/>
        <w:autoSpaceDN/>
        <w:adjustRightInd/>
        <w:snapToGrid/>
        <w:spacing w:line="347" w:lineRule="auto"/>
        <w:textAlignment w:val="auto"/>
        <w:rPr>
          <w:rFonts w:ascii="Times New Roman" w:hAnsi="Times New Roman" w:eastAsia="宋体"/>
          <w:snapToGrid/>
          <w:color w:val="auto"/>
          <w:sz w:val="24"/>
          <w:szCs w:val="24"/>
          <w:lang w:eastAsia="zh-CN"/>
        </w:rPr>
        <w:sectPr>
          <w:headerReference r:id="rId17" w:type="default"/>
          <w:footerReference r:id="rId18" w:type="default"/>
          <w:pgSz w:w="11906" w:h="16838"/>
          <w:pgMar w:top="1136" w:right="1654" w:bottom="1154" w:left="1711" w:header="868" w:footer="994" w:gutter="0"/>
          <w:pgBorders>
            <w:top w:val="none" w:sz="0" w:space="0"/>
            <w:left w:val="none" w:sz="0" w:space="0"/>
            <w:bottom w:val="none" w:sz="0" w:space="0"/>
            <w:right w:val="none" w:sz="0" w:space="0"/>
          </w:pgBorders>
          <w:cols w:space="720" w:num="1"/>
        </w:sectPr>
      </w:pPr>
    </w:p>
    <w:p w14:paraId="0576CEE2">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358" w:name="bookmark17"/>
      <w:bookmarkEnd w:id="358"/>
      <w:bookmarkStart w:id="359" w:name="_Toc28241"/>
      <w:bookmarkStart w:id="360" w:name="_Toc31989"/>
      <w:bookmarkStart w:id="361" w:name="_Toc5798"/>
      <w:r>
        <w:rPr>
          <w:rFonts w:hint="eastAsia" w:ascii="Times New Roman" w:hAnsi="Times New Roman" w:eastAsia="宋体" w:cs="Times New Roman"/>
          <w:snapToGrid/>
          <w:color w:val="auto"/>
          <w:lang w:eastAsia="zh-CN"/>
        </w:rPr>
        <w:t>3、工程分析</w:t>
      </w:r>
      <w:bookmarkEnd w:id="359"/>
      <w:bookmarkEnd w:id="360"/>
      <w:bookmarkEnd w:id="361"/>
    </w:p>
    <w:p w14:paraId="39EB6E3F">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362" w:name="bookmark18"/>
      <w:bookmarkEnd w:id="362"/>
      <w:bookmarkStart w:id="363" w:name="bookmark19"/>
      <w:bookmarkEnd w:id="363"/>
      <w:bookmarkStart w:id="364" w:name="_Toc2050"/>
      <w:bookmarkStart w:id="365" w:name="_Toc12688"/>
      <w:bookmarkStart w:id="366" w:name="_Toc15532"/>
      <w:r>
        <w:rPr>
          <w:rFonts w:hint="eastAsia" w:ascii="Times New Roman" w:hAnsi="Times New Roman" w:eastAsia="宋体"/>
          <w:snapToGrid/>
          <w:color w:val="auto"/>
          <w:lang w:eastAsia="zh-CN"/>
        </w:rPr>
        <w:t>3.1本项目建设概况</w:t>
      </w:r>
      <w:bookmarkEnd w:id="364"/>
      <w:bookmarkEnd w:id="365"/>
      <w:bookmarkEnd w:id="366"/>
    </w:p>
    <w:p w14:paraId="17F13EEE">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67" w:name="_Toc16670"/>
      <w:bookmarkStart w:id="368" w:name="_Toc31409"/>
      <w:bookmarkStart w:id="369" w:name="_Toc10808"/>
      <w:r>
        <w:rPr>
          <w:rFonts w:hint="eastAsia" w:ascii="Times New Roman" w:hAnsi="Times New Roman" w:eastAsia="宋体" w:cs="Times New Roman"/>
          <w:snapToGrid/>
          <w:color w:val="auto"/>
          <w:lang w:eastAsia="zh-CN"/>
        </w:rPr>
        <w:t>3.1.1项目基本情况</w:t>
      </w:r>
      <w:bookmarkEnd w:id="367"/>
      <w:bookmarkEnd w:id="368"/>
      <w:bookmarkEnd w:id="369"/>
    </w:p>
    <w:p w14:paraId="1D07F45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项目名称：</w:t>
      </w:r>
      <w:r>
        <w:rPr>
          <w:rFonts w:hint="eastAsia" w:ascii="Times New Roman" w:hAnsi="Times New Roman"/>
          <w:snapToGrid/>
          <w:color w:val="auto"/>
          <w:sz w:val="24"/>
          <w:szCs w:val="24"/>
          <w:lang w:eastAsia="zh-CN"/>
        </w:rPr>
        <w:t>木垒哈萨克自治县雀仁乡河中村高效节水滴灌带厂建设项目</w:t>
      </w:r>
      <w:r>
        <w:rPr>
          <w:rFonts w:ascii="Times New Roman" w:hAnsi="Times New Roman"/>
          <w:snapToGrid/>
          <w:color w:val="auto"/>
          <w:sz w:val="24"/>
          <w:szCs w:val="24"/>
          <w:lang w:eastAsia="zh-CN"/>
        </w:rPr>
        <w:t>；</w:t>
      </w:r>
    </w:p>
    <w:p w14:paraId="5535C38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建设单位：</w:t>
      </w:r>
      <w:r>
        <w:rPr>
          <w:rFonts w:hint="eastAsia" w:ascii="Times New Roman" w:hAnsi="Times New Roman"/>
          <w:snapToGrid/>
          <w:color w:val="auto"/>
          <w:sz w:val="24"/>
          <w:szCs w:val="24"/>
          <w:lang w:eastAsia="zh-CN"/>
        </w:rPr>
        <w:t>雀仁乡人民政府</w:t>
      </w:r>
      <w:r>
        <w:rPr>
          <w:rFonts w:ascii="Times New Roman" w:hAnsi="Times New Roman"/>
          <w:snapToGrid/>
          <w:color w:val="auto"/>
          <w:sz w:val="24"/>
          <w:szCs w:val="24"/>
          <w:lang w:eastAsia="zh-CN"/>
        </w:rPr>
        <w:t>；</w:t>
      </w:r>
    </w:p>
    <w:p w14:paraId="0A9B4A5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建设性质：</w:t>
      </w:r>
      <w:r>
        <w:rPr>
          <w:rFonts w:hint="eastAsia" w:ascii="Times New Roman" w:hAnsi="Times New Roman"/>
          <w:snapToGrid/>
          <w:color w:val="auto"/>
          <w:sz w:val="24"/>
          <w:szCs w:val="24"/>
          <w:lang w:eastAsia="zh-CN"/>
        </w:rPr>
        <w:t>新建</w:t>
      </w:r>
    </w:p>
    <w:p w14:paraId="0280CBB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建设地点：</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，中心坐标：N</w:t>
      </w:r>
      <w:r>
        <w:rPr>
          <w:rFonts w:hint="eastAsia" w:ascii="Times New Roman" w:hAnsi="Times New Roman"/>
          <w:snapToGrid/>
          <w:color w:val="auto"/>
          <w:sz w:val="24"/>
          <w:szCs w:val="24"/>
          <w:lang w:eastAsia="zh-CN"/>
        </w:rPr>
        <w:t>44°6′16.63672″</w:t>
      </w:r>
      <w:r>
        <w:rPr>
          <w:rFonts w:ascii="Times New Roman" w:hAnsi="Times New Roman"/>
          <w:snapToGrid/>
          <w:color w:val="auto"/>
          <w:sz w:val="24"/>
          <w:szCs w:val="24"/>
          <w:lang w:eastAsia="zh-CN"/>
        </w:rPr>
        <w:t>，E</w:t>
      </w:r>
      <w:r>
        <w:rPr>
          <w:rFonts w:hint="eastAsia" w:ascii="Times New Roman" w:hAnsi="Times New Roman"/>
          <w:snapToGrid/>
          <w:color w:val="auto"/>
          <w:sz w:val="24"/>
          <w:szCs w:val="24"/>
          <w:lang w:eastAsia="zh-CN"/>
        </w:rPr>
        <w:t>90°7′15.75851″</w:t>
      </w:r>
      <w:r>
        <w:rPr>
          <w:rFonts w:ascii="Times New Roman" w:hAnsi="Times New Roman"/>
          <w:snapToGrid/>
          <w:color w:val="auto"/>
          <w:sz w:val="24"/>
          <w:szCs w:val="24"/>
          <w:lang w:eastAsia="zh-CN"/>
        </w:rPr>
        <w:t>；项目具体地理位置见图3.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-1，地理位置卫星图见图3.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-2。</w:t>
      </w:r>
    </w:p>
    <w:p w14:paraId="2213337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占地面积：总占地</w:t>
      </w:r>
      <w:r>
        <w:rPr>
          <w:rFonts w:hint="eastAsia" w:ascii="Times New Roman" w:hAnsi="Times New Roman"/>
          <w:snapToGrid/>
          <w:color w:val="auto"/>
          <w:sz w:val="24"/>
          <w:szCs w:val="24"/>
          <w:lang w:eastAsia="zh-CN"/>
        </w:rPr>
        <w:t>面积9442.97</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2</w:t>
      </w:r>
      <w:r>
        <w:rPr>
          <w:rFonts w:ascii="Times New Roman" w:hAnsi="Times New Roman"/>
          <w:snapToGrid/>
          <w:color w:val="auto"/>
          <w:sz w:val="24"/>
          <w:szCs w:val="24"/>
          <w:lang w:eastAsia="zh-CN"/>
        </w:rPr>
        <w:t>；</w:t>
      </w:r>
    </w:p>
    <w:p w14:paraId="55A976B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用地性质：</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w:t>
      </w:r>
    </w:p>
    <w:p w14:paraId="613BC3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项目总投资：本项目总投资</w:t>
      </w:r>
      <w:r>
        <w:rPr>
          <w:rFonts w:hint="eastAsia" w:ascii="Times New Roman" w:hAnsi="Times New Roman"/>
          <w:snapToGrid/>
          <w:color w:val="auto"/>
          <w:sz w:val="24"/>
          <w:szCs w:val="24"/>
          <w:lang w:eastAsia="zh-CN"/>
        </w:rPr>
        <w:t>393万元</w:t>
      </w:r>
      <w:r>
        <w:rPr>
          <w:rFonts w:ascii="Times New Roman" w:hAnsi="Times New Roman"/>
          <w:snapToGrid/>
          <w:color w:val="auto"/>
          <w:sz w:val="24"/>
          <w:szCs w:val="24"/>
          <w:lang w:eastAsia="zh-CN"/>
        </w:rPr>
        <w:t>，环保投资为</w:t>
      </w:r>
      <w:r>
        <w:rPr>
          <w:rFonts w:hint="eastAsia" w:ascii="Times New Roman" w:hAnsi="Times New Roman"/>
          <w:snapToGrid/>
          <w:color w:val="auto"/>
          <w:sz w:val="24"/>
          <w:szCs w:val="24"/>
          <w:lang w:val="en-US" w:eastAsia="zh-CN"/>
        </w:rPr>
        <w:t>75</w:t>
      </w:r>
      <w:r>
        <w:rPr>
          <w:rFonts w:ascii="Times New Roman" w:hAnsi="Times New Roman"/>
          <w:snapToGrid/>
          <w:color w:val="auto"/>
          <w:sz w:val="24"/>
          <w:szCs w:val="24"/>
          <w:lang w:eastAsia="zh-CN"/>
        </w:rPr>
        <w:t>万元，工程环保投资占总投资比例为</w:t>
      </w:r>
      <w:r>
        <w:rPr>
          <w:rFonts w:hint="eastAsia" w:ascii="Times New Roman" w:hAnsi="Times New Roman"/>
          <w:snapToGrid/>
          <w:color w:val="auto"/>
          <w:sz w:val="24"/>
          <w:szCs w:val="24"/>
          <w:lang w:val="en-US" w:eastAsia="zh-CN"/>
        </w:rPr>
        <w:t>19%</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资金来源为木垒哈萨克自治县财政衔接推进乡村振兴补助资金</w:t>
      </w:r>
      <w:r>
        <w:rPr>
          <w:rFonts w:ascii="Times New Roman" w:hAnsi="Times New Roman"/>
          <w:snapToGrid/>
          <w:color w:val="auto"/>
          <w:sz w:val="24"/>
          <w:szCs w:val="24"/>
          <w:lang w:eastAsia="zh-CN"/>
        </w:rPr>
        <w:t>。</w:t>
      </w:r>
    </w:p>
    <w:p w14:paraId="4CC8568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劳动定员：本项目劳动定员20人，其中管理人员3人，生产工人17人。员工年工作时间为240天，三班制，每班8h。</w:t>
      </w:r>
    </w:p>
    <w:p w14:paraId="3CAD3085">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70" w:name="_Toc5741"/>
      <w:bookmarkStart w:id="371" w:name="_Toc32647"/>
      <w:bookmarkStart w:id="372" w:name="_Toc6735"/>
      <w:r>
        <w:rPr>
          <w:rFonts w:hint="eastAsia" w:ascii="Times New Roman" w:hAnsi="Times New Roman" w:eastAsia="宋体" w:cs="Times New Roman"/>
          <w:snapToGrid/>
          <w:color w:val="auto"/>
          <w:lang w:eastAsia="zh-CN"/>
        </w:rPr>
        <w:t>3.1.2建设内容及规模</w:t>
      </w:r>
      <w:bookmarkEnd w:id="370"/>
    </w:p>
    <w:p w14:paraId="5B2B3B3A">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FF0000"/>
          <w:sz w:val="24"/>
          <w:lang w:eastAsia="zh-CN"/>
        </w:rPr>
      </w:pPr>
      <w:r>
        <w:rPr>
          <w:color w:val="FF0000"/>
        </w:rPr>
        <w:fldChar w:fldCharType="begin"/>
      </w:r>
      <w:r>
        <w:rPr>
          <w:color w:val="FF0000"/>
        </w:rPr>
        <w:instrText xml:space="preserve"> HYPERLINK "file:///C:\\Users\\jobezho\\AppData\\Local\\Temp\\Rar$DIa13476.12779\\3.2.2.1" </w:instrText>
      </w:r>
      <w:r>
        <w:rPr>
          <w:color w:val="FF0000"/>
        </w:rPr>
        <w:fldChar w:fldCharType="separate"/>
      </w:r>
      <w:r>
        <w:rPr>
          <w:rFonts w:hint="eastAsia" w:ascii="Times New Roman" w:hAnsi="Times New Roman" w:eastAsia="宋体"/>
          <w:snapToGrid/>
          <w:color w:val="FF0000"/>
          <w:sz w:val="24"/>
          <w:lang w:eastAsia="zh-CN"/>
        </w:rPr>
        <w:t>3.1.2.1</w:t>
      </w:r>
      <w:r>
        <w:rPr>
          <w:rFonts w:hint="eastAsia" w:ascii="Times New Roman" w:hAnsi="Times New Roman" w:eastAsia="宋体"/>
          <w:snapToGrid/>
          <w:color w:val="FF0000"/>
          <w:sz w:val="24"/>
          <w:lang w:eastAsia="zh-CN"/>
        </w:rPr>
        <w:fldChar w:fldCharType="end"/>
      </w:r>
      <w:r>
        <w:rPr>
          <w:rFonts w:hint="eastAsia" w:ascii="Times New Roman" w:hAnsi="Times New Roman" w:eastAsia="宋体"/>
          <w:snapToGrid/>
          <w:color w:val="FF0000"/>
          <w:sz w:val="24"/>
          <w:lang w:eastAsia="zh-CN"/>
        </w:rPr>
        <w:t>建设内容</w:t>
      </w:r>
      <w:bookmarkEnd w:id="371"/>
      <w:bookmarkEnd w:id="372"/>
    </w:p>
    <w:p w14:paraId="248C02E7">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eastAsia="宋体"/>
          <w:snapToGrid/>
          <w:color w:val="FF0000"/>
          <w:sz w:val="24"/>
          <w:szCs w:val="24"/>
          <w:lang w:val="en-US" w:eastAsia="zh-CN"/>
        </w:rPr>
      </w:pPr>
      <w:r>
        <w:rPr>
          <w:rFonts w:ascii="Times New Roman" w:hAnsi="Times New Roman"/>
          <w:snapToGrid/>
          <w:color w:val="FF0000"/>
          <w:sz w:val="24"/>
          <w:szCs w:val="24"/>
          <w:lang w:eastAsia="zh-CN"/>
        </w:rPr>
        <w:t>本项目建设</w:t>
      </w:r>
      <w:r>
        <w:rPr>
          <w:rFonts w:hint="eastAsia" w:ascii="Times New Roman" w:hAnsi="Times New Roman"/>
          <w:snapToGrid/>
          <w:color w:val="FF0000"/>
          <w:sz w:val="24"/>
          <w:szCs w:val="24"/>
          <w:lang w:eastAsia="zh-CN"/>
        </w:rPr>
        <w:t>一套</w:t>
      </w:r>
      <w:r>
        <w:rPr>
          <w:rFonts w:ascii="Times New Roman" w:hAnsi="Times New Roman"/>
          <w:snapToGrid/>
          <w:color w:val="FF0000"/>
          <w:sz w:val="24"/>
          <w:szCs w:val="24"/>
          <w:lang w:eastAsia="zh-CN"/>
        </w:rPr>
        <w:t>塑料颗粒加工生产线，</w:t>
      </w:r>
      <w:r>
        <w:rPr>
          <w:rFonts w:hint="eastAsia" w:ascii="Times New Roman" w:hAnsi="Times New Roman"/>
          <w:snapToGrid/>
          <w:color w:val="FF0000"/>
          <w:sz w:val="24"/>
          <w:szCs w:val="24"/>
          <w:lang w:eastAsia="zh-CN"/>
        </w:rPr>
        <w:t>一套</w:t>
      </w:r>
      <w:r>
        <w:rPr>
          <w:rFonts w:ascii="Times New Roman" w:hAnsi="Times New Roman"/>
          <w:snapToGrid/>
          <w:color w:val="FF0000"/>
          <w:sz w:val="24"/>
          <w:szCs w:val="24"/>
          <w:lang w:eastAsia="zh-CN"/>
        </w:rPr>
        <w:t>滴灌带生产线。年产</w:t>
      </w:r>
      <w:r>
        <w:rPr>
          <w:rFonts w:hint="eastAsia" w:ascii="Times New Roman" w:hAnsi="Times New Roman"/>
          <w:snapToGrid/>
          <w:color w:val="FF0000"/>
          <w:sz w:val="24"/>
          <w:szCs w:val="24"/>
          <w:lang w:eastAsia="zh-CN"/>
        </w:rPr>
        <w:t>5000t</w:t>
      </w:r>
      <w:r>
        <w:rPr>
          <w:rFonts w:ascii="Times New Roman" w:hAnsi="Times New Roman"/>
          <w:snapToGrid/>
          <w:color w:val="FF0000"/>
          <w:sz w:val="24"/>
          <w:szCs w:val="24"/>
          <w:lang w:eastAsia="zh-CN"/>
        </w:rPr>
        <w:t>塑料颗粒、年产</w:t>
      </w:r>
      <w:r>
        <w:rPr>
          <w:rFonts w:hint="eastAsia" w:ascii="Times New Roman" w:hAnsi="Times New Roman"/>
          <w:snapToGrid/>
          <w:color w:val="FF0000"/>
          <w:sz w:val="24"/>
          <w:szCs w:val="24"/>
          <w:lang w:eastAsia="zh-CN"/>
        </w:rPr>
        <w:t>35</w:t>
      </w:r>
      <w:r>
        <w:rPr>
          <w:rFonts w:hint="eastAsia" w:ascii="Times New Roman" w:hAnsi="Times New Roman"/>
          <w:snapToGrid/>
          <w:color w:val="FF0000"/>
          <w:sz w:val="24"/>
          <w:szCs w:val="24"/>
          <w:lang w:val="en-US" w:eastAsia="zh-CN"/>
        </w:rPr>
        <w:t>0</w:t>
      </w:r>
      <w:r>
        <w:rPr>
          <w:rFonts w:hint="eastAsia" w:ascii="Times New Roman" w:hAnsi="Times New Roman"/>
          <w:snapToGrid/>
          <w:color w:val="FF0000"/>
          <w:sz w:val="24"/>
          <w:szCs w:val="24"/>
          <w:lang w:eastAsia="zh-CN"/>
        </w:rPr>
        <w:t>0t</w:t>
      </w:r>
      <w:r>
        <w:rPr>
          <w:rFonts w:ascii="Times New Roman" w:hAnsi="Times New Roman"/>
          <w:snapToGrid/>
          <w:color w:val="FF0000"/>
          <w:sz w:val="24"/>
          <w:szCs w:val="24"/>
          <w:lang w:eastAsia="zh-CN"/>
        </w:rPr>
        <w:t>滴灌带。</w:t>
      </w:r>
      <w:r>
        <w:rPr>
          <w:rFonts w:hint="eastAsia" w:ascii="Times New Roman" w:hAnsi="Times New Roman"/>
          <w:snapToGrid/>
          <w:color w:val="FF0000"/>
          <w:sz w:val="24"/>
          <w:szCs w:val="24"/>
          <w:lang w:val="en-US" w:eastAsia="zh-CN"/>
        </w:rPr>
        <w:t>本项目建设1#生产车间，原料堆场，成品库房，办公生活区等。</w:t>
      </w:r>
      <w:r>
        <w:rPr>
          <w:rFonts w:hint="eastAsia"/>
          <w:color w:val="FF0000"/>
          <w:sz w:val="24"/>
          <w:lang w:val="en-US" w:eastAsia="zh-CN"/>
        </w:rPr>
        <w:t>本项目于2024年10月开工建设，生产车间及一条滴灌带生产线已建设，其余未建设，未投入生产运行。本项目涉及“未批先建”，与2025年2月17日出具了行政处罚案件不予立案审批表，依据《新疆维吾尔自治区新疆生产建设兵团生态环境部门不予处罚事项和不予强制事项清单（2024年版）》第24项规定，属于免于行政处罚的行为。</w:t>
      </w:r>
    </w:p>
    <w:p w14:paraId="2A5821C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本项目工程组成一览表见表3.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-1。</w:t>
      </w:r>
    </w:p>
    <w:p w14:paraId="12156CB3">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rPr>
      </w:pPr>
      <w:r>
        <w:rPr>
          <w:rFonts w:ascii="Times New Roman" w:hAnsi="Times New Roman"/>
          <w:b/>
          <w:bCs/>
          <w:snapToGrid/>
          <w:color w:val="auto"/>
          <w:sz w:val="24"/>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rPr>
        <w:t>-1项目组成一览表</w:t>
      </w:r>
    </w:p>
    <w:p w14:paraId="5AF7BD7B">
      <w:pPr>
        <w:widowControl w:val="0"/>
        <w:shd w:val="clear"/>
        <w:kinsoku/>
        <w:autoSpaceDE/>
        <w:autoSpaceDN/>
        <w:adjustRightInd/>
        <w:snapToGrid/>
        <w:spacing w:line="20" w:lineRule="exact"/>
        <w:textAlignment w:val="auto"/>
        <w:rPr>
          <w:rFonts w:ascii="Times New Roman" w:hAnsi="Times New Roman" w:eastAsia="宋体"/>
          <w:snapToGrid/>
          <w:color w:val="auto"/>
        </w:rPr>
      </w:pPr>
    </w:p>
    <w:tbl>
      <w:tblPr>
        <w:tblStyle w:val="36"/>
        <w:tblW w:w="51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9"/>
        <w:gridCol w:w="1673"/>
        <w:gridCol w:w="1004"/>
        <w:gridCol w:w="4247"/>
        <w:gridCol w:w="1214"/>
      </w:tblGrid>
      <w:tr w14:paraId="660BF3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6D2D09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类别</w:t>
            </w:r>
          </w:p>
        </w:tc>
        <w:tc>
          <w:tcPr>
            <w:tcW w:w="953" w:type="pct"/>
            <w:tcBorders>
              <w:tl2br w:val="nil"/>
              <w:tr2bl w:val="nil"/>
            </w:tcBorders>
            <w:vAlign w:val="center"/>
          </w:tcPr>
          <w:p w14:paraId="73C6CA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工程名称</w:t>
            </w:r>
          </w:p>
        </w:tc>
        <w:tc>
          <w:tcPr>
            <w:tcW w:w="2991" w:type="pct"/>
            <w:gridSpan w:val="2"/>
            <w:tcBorders>
              <w:tl2br w:val="nil"/>
              <w:tr2bl w:val="nil"/>
            </w:tcBorders>
            <w:vAlign w:val="center"/>
          </w:tcPr>
          <w:p w14:paraId="2C52D2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实际建设内容</w:t>
            </w:r>
          </w:p>
        </w:tc>
        <w:tc>
          <w:tcPr>
            <w:tcW w:w="691" w:type="pct"/>
            <w:tcBorders>
              <w:tl2br w:val="nil"/>
              <w:tr2bl w:val="nil"/>
            </w:tcBorders>
            <w:vAlign w:val="center"/>
          </w:tcPr>
          <w:p w14:paraId="0069631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备注</w:t>
            </w:r>
          </w:p>
        </w:tc>
      </w:tr>
      <w:tr w14:paraId="557A7A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38396C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主体工程</w:t>
            </w:r>
          </w:p>
        </w:tc>
        <w:tc>
          <w:tcPr>
            <w:tcW w:w="953" w:type="pct"/>
            <w:tcBorders>
              <w:tl2br w:val="nil"/>
              <w:tr2bl w:val="nil"/>
            </w:tcBorders>
            <w:vAlign w:val="center"/>
          </w:tcPr>
          <w:p w14:paraId="1A3CBC78">
            <w:pPr>
              <w:pStyle w:val="37"/>
              <w:widowControl w:val="0"/>
              <w:shd w:val="clear"/>
              <w:kinsoku/>
              <w:autoSpaceDE/>
              <w:autoSpaceDN/>
              <w:adjustRightInd/>
              <w:snapToGrid/>
              <w:spacing w:line="360" w:lineRule="auto"/>
              <w:jc w:val="center"/>
              <w:textAlignment w:val="auto"/>
              <w:rPr>
                <w:rFonts w:hint="default" w:eastAsia="宋体" w:cs="宋体"/>
                <w:snapToGrid/>
                <w:color w:val="auto"/>
                <w:lang w:val="en-US" w:eastAsia="zh-CN"/>
              </w:rPr>
            </w:pPr>
            <w:r>
              <w:rPr>
                <w:rFonts w:eastAsia="宋体"/>
                <w:snapToGrid/>
                <w:color w:val="auto"/>
              </w:rPr>
              <w:t>1#</w:t>
            </w:r>
            <w:r>
              <w:rPr>
                <w:rFonts w:hint="eastAsia" w:eastAsia="宋体" w:cs="宋体"/>
                <w:snapToGrid/>
                <w:color w:val="auto"/>
                <w:lang w:val="en-US" w:eastAsia="zh-CN"/>
              </w:rPr>
              <w:t>生产车间</w:t>
            </w:r>
          </w:p>
        </w:tc>
        <w:tc>
          <w:tcPr>
            <w:tcW w:w="2991" w:type="pct"/>
            <w:gridSpan w:val="2"/>
            <w:tcBorders>
              <w:tl2br w:val="nil"/>
              <w:tr2bl w:val="nil"/>
            </w:tcBorders>
            <w:vAlign w:val="center"/>
          </w:tcPr>
          <w:p w14:paraId="27170F7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建筑面积</w:t>
            </w:r>
            <w:r>
              <w:rPr>
                <w:rFonts w:hint="eastAsia" w:eastAsia="宋体"/>
                <w:snapToGrid/>
                <w:color w:val="auto"/>
                <w:lang w:val="en-US" w:eastAsia="zh-CN"/>
              </w:rPr>
              <w:t>796.64</w:t>
            </w:r>
            <w:r>
              <w:rPr>
                <w:rFonts w:eastAsia="宋体"/>
                <w:snapToGrid/>
                <w:color w:val="auto"/>
                <w:lang w:eastAsia="zh-CN"/>
              </w:rPr>
              <w:t>m</w:t>
            </w:r>
            <w:r>
              <w:rPr>
                <w:rFonts w:eastAsia="宋体"/>
                <w:snapToGrid/>
                <w:color w:val="auto"/>
                <w:szCs w:val="13"/>
                <w:vertAlign w:val="superscript"/>
                <w:lang w:eastAsia="zh-CN"/>
              </w:rPr>
              <w:t>2</w:t>
            </w:r>
            <w:r>
              <w:rPr>
                <w:rFonts w:eastAsia="宋体" w:cs="宋体"/>
                <w:snapToGrid/>
                <w:color w:val="auto"/>
                <w:lang w:eastAsia="zh-CN"/>
              </w:rPr>
              <w:t>，建设</w:t>
            </w:r>
            <w:r>
              <w:rPr>
                <w:rFonts w:hint="eastAsia" w:eastAsia="宋体"/>
                <w:snapToGrid/>
                <w:color w:val="auto"/>
                <w:lang w:eastAsia="zh-CN"/>
              </w:rPr>
              <w:t>一套</w:t>
            </w:r>
            <w:r>
              <w:rPr>
                <w:rFonts w:eastAsia="宋体" w:cs="宋体"/>
                <w:snapToGrid/>
                <w:color w:val="auto"/>
                <w:lang w:eastAsia="zh-CN"/>
              </w:rPr>
              <w:t>滴灌带生产线</w:t>
            </w:r>
            <w:r>
              <w:rPr>
                <w:rFonts w:hint="eastAsia" w:eastAsia="宋体" w:cs="宋体"/>
                <w:snapToGrid/>
                <w:color w:val="auto"/>
                <w:lang w:eastAsia="zh-CN"/>
              </w:rPr>
              <w:t>，年产35</w:t>
            </w:r>
            <w:r>
              <w:rPr>
                <w:rFonts w:hint="eastAsia" w:eastAsia="宋体" w:cs="宋体"/>
                <w:snapToGrid/>
                <w:color w:val="auto"/>
                <w:lang w:val="en-US" w:eastAsia="zh-CN"/>
              </w:rPr>
              <w:t>0</w:t>
            </w:r>
            <w:r>
              <w:rPr>
                <w:rFonts w:hint="eastAsia" w:eastAsia="宋体" w:cs="宋体"/>
                <w:snapToGrid/>
                <w:color w:val="auto"/>
                <w:lang w:eastAsia="zh-CN"/>
              </w:rPr>
              <w:t>0t滴灌带。一套塑料颗粒生产线，年产量5000t，采用湿法破碎</w:t>
            </w:r>
          </w:p>
        </w:tc>
        <w:tc>
          <w:tcPr>
            <w:tcW w:w="691" w:type="pct"/>
            <w:tcBorders>
              <w:tl2br w:val="nil"/>
              <w:tr2bl w:val="nil"/>
            </w:tcBorders>
            <w:vAlign w:val="center"/>
          </w:tcPr>
          <w:p w14:paraId="3AB8900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新建</w:t>
            </w:r>
          </w:p>
        </w:tc>
      </w:tr>
      <w:tr w14:paraId="51FAC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56B16A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辅助工程</w:t>
            </w:r>
          </w:p>
        </w:tc>
        <w:tc>
          <w:tcPr>
            <w:tcW w:w="953" w:type="pct"/>
            <w:tcBorders>
              <w:tl2br w:val="nil"/>
              <w:tr2bl w:val="nil"/>
            </w:tcBorders>
            <w:vAlign w:val="center"/>
          </w:tcPr>
          <w:p w14:paraId="6F405A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三级</w:t>
            </w:r>
            <w:r>
              <w:rPr>
                <w:rFonts w:ascii="Times New Roman" w:hAnsi="Times New Roman" w:eastAsia="宋体" w:cs="宋体"/>
                <w:snapToGrid/>
                <w:color w:val="auto"/>
              </w:rPr>
              <w:t>沉淀池</w:t>
            </w:r>
          </w:p>
        </w:tc>
        <w:tc>
          <w:tcPr>
            <w:tcW w:w="2991" w:type="pct"/>
            <w:gridSpan w:val="2"/>
            <w:tcBorders>
              <w:tl2br w:val="nil"/>
              <w:tr2bl w:val="nil"/>
            </w:tcBorders>
            <w:vAlign w:val="center"/>
          </w:tcPr>
          <w:p w14:paraId="12E6B339">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cs="宋体"/>
                <w:snapToGrid/>
                <w:color w:val="auto"/>
              </w:rPr>
              <w:t>容积</w:t>
            </w:r>
            <w:r>
              <w:rPr>
                <w:rFonts w:hint="eastAsia" w:eastAsia="宋体"/>
                <w:snapToGrid/>
                <w:color w:val="auto"/>
                <w:lang w:eastAsia="zh-CN"/>
              </w:rPr>
              <w:t>500</w:t>
            </w:r>
            <w:r>
              <w:rPr>
                <w:rFonts w:eastAsia="宋体"/>
                <w:snapToGrid/>
                <w:color w:val="auto"/>
              </w:rPr>
              <w:t>m</w:t>
            </w:r>
            <w:r>
              <w:rPr>
                <w:rFonts w:eastAsia="宋体"/>
                <w:snapToGrid/>
                <w:color w:val="auto"/>
                <w:szCs w:val="13"/>
                <w:vertAlign w:val="superscript"/>
              </w:rPr>
              <w:t>3</w:t>
            </w:r>
          </w:p>
        </w:tc>
        <w:tc>
          <w:tcPr>
            <w:tcW w:w="691" w:type="pct"/>
            <w:tcBorders>
              <w:tl2br w:val="nil"/>
              <w:tr2bl w:val="nil"/>
            </w:tcBorders>
            <w:vAlign w:val="center"/>
          </w:tcPr>
          <w:p w14:paraId="377657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新建</w:t>
            </w:r>
          </w:p>
        </w:tc>
      </w:tr>
      <w:tr w14:paraId="77751E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Merge w:val="continue"/>
            <w:tcBorders>
              <w:tl2br w:val="nil"/>
              <w:tr2bl w:val="nil"/>
            </w:tcBorders>
            <w:vAlign w:val="center"/>
          </w:tcPr>
          <w:p w14:paraId="1DD8D78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22D17E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循环水池</w:t>
            </w:r>
          </w:p>
        </w:tc>
        <w:tc>
          <w:tcPr>
            <w:tcW w:w="2991" w:type="pct"/>
            <w:gridSpan w:val="2"/>
            <w:tcBorders>
              <w:tl2br w:val="nil"/>
              <w:tr2bl w:val="nil"/>
            </w:tcBorders>
            <w:vAlign w:val="center"/>
          </w:tcPr>
          <w:p w14:paraId="59E29BA0">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cs="宋体"/>
                <w:snapToGrid/>
                <w:color w:val="auto"/>
              </w:rPr>
              <w:t>循环水池</w:t>
            </w:r>
            <w:r>
              <w:rPr>
                <w:rFonts w:eastAsia="宋体"/>
                <w:snapToGrid/>
                <w:color w:val="auto"/>
              </w:rPr>
              <w:t>1</w:t>
            </w:r>
            <w:r>
              <w:rPr>
                <w:rFonts w:eastAsia="宋体" w:cs="宋体"/>
                <w:snapToGrid/>
                <w:color w:val="auto"/>
              </w:rPr>
              <w:t>座，容积</w:t>
            </w:r>
            <w:r>
              <w:rPr>
                <w:rFonts w:hint="eastAsia" w:eastAsia="宋体"/>
                <w:snapToGrid/>
                <w:color w:val="auto"/>
                <w:lang w:eastAsia="zh-CN"/>
              </w:rPr>
              <w:t>50</w:t>
            </w:r>
            <w:r>
              <w:rPr>
                <w:rFonts w:eastAsia="宋体"/>
                <w:snapToGrid/>
                <w:color w:val="auto"/>
              </w:rPr>
              <w:t>m</w:t>
            </w:r>
            <w:r>
              <w:rPr>
                <w:rFonts w:eastAsia="宋体"/>
                <w:snapToGrid/>
                <w:color w:val="auto"/>
                <w:szCs w:val="13"/>
                <w:vertAlign w:val="superscript"/>
              </w:rPr>
              <w:t>3</w:t>
            </w:r>
          </w:p>
        </w:tc>
        <w:tc>
          <w:tcPr>
            <w:tcW w:w="691" w:type="pct"/>
            <w:tcBorders>
              <w:tl2br w:val="nil"/>
              <w:tr2bl w:val="nil"/>
            </w:tcBorders>
            <w:vAlign w:val="center"/>
          </w:tcPr>
          <w:p w14:paraId="65793F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新建</w:t>
            </w:r>
          </w:p>
        </w:tc>
      </w:tr>
      <w:tr w14:paraId="4AC89C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632F78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2F3A5E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办公生活</w:t>
            </w:r>
          </w:p>
        </w:tc>
        <w:tc>
          <w:tcPr>
            <w:tcW w:w="2991" w:type="pct"/>
            <w:gridSpan w:val="2"/>
            <w:tcBorders>
              <w:tl2br w:val="nil"/>
              <w:tr2bl w:val="nil"/>
            </w:tcBorders>
            <w:vAlign w:val="center"/>
          </w:tcPr>
          <w:p w14:paraId="6D46B6B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库房、办公用房、配电室、值班室、道路</w:t>
            </w:r>
          </w:p>
        </w:tc>
        <w:tc>
          <w:tcPr>
            <w:tcW w:w="691" w:type="pct"/>
            <w:tcBorders>
              <w:tl2br w:val="nil"/>
              <w:tr2bl w:val="nil"/>
            </w:tcBorders>
            <w:vAlign w:val="center"/>
          </w:tcPr>
          <w:p w14:paraId="4CDCB9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新建</w:t>
            </w:r>
          </w:p>
        </w:tc>
      </w:tr>
      <w:tr w14:paraId="2019E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0D2372B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储运工程</w:t>
            </w:r>
          </w:p>
        </w:tc>
        <w:tc>
          <w:tcPr>
            <w:tcW w:w="953" w:type="pct"/>
            <w:tcBorders>
              <w:tl2br w:val="nil"/>
              <w:tr2bl w:val="nil"/>
            </w:tcBorders>
            <w:vAlign w:val="center"/>
          </w:tcPr>
          <w:p w14:paraId="23F431D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原料堆场</w:t>
            </w:r>
          </w:p>
        </w:tc>
        <w:tc>
          <w:tcPr>
            <w:tcW w:w="2991" w:type="pct"/>
            <w:gridSpan w:val="2"/>
            <w:tcBorders>
              <w:tl2br w:val="nil"/>
              <w:tr2bl w:val="nil"/>
            </w:tcBorders>
            <w:vAlign w:val="center"/>
          </w:tcPr>
          <w:p w14:paraId="6A28E5C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建筑面积</w:t>
            </w:r>
            <w:r>
              <w:rPr>
                <w:rFonts w:hint="eastAsia" w:eastAsia="宋体"/>
                <w:snapToGrid/>
                <w:color w:val="auto"/>
                <w:lang w:val="en-US" w:eastAsia="zh-CN"/>
              </w:rPr>
              <w:t>600</w:t>
            </w:r>
            <w:r>
              <w:rPr>
                <w:rFonts w:eastAsia="宋体"/>
                <w:snapToGrid/>
                <w:color w:val="auto"/>
              </w:rPr>
              <w:t>m</w:t>
            </w:r>
            <w:r>
              <w:rPr>
                <w:rFonts w:eastAsia="宋体"/>
                <w:snapToGrid/>
                <w:color w:val="auto"/>
                <w:szCs w:val="13"/>
                <w:vertAlign w:val="superscript"/>
              </w:rPr>
              <w:t>2</w:t>
            </w:r>
            <w:r>
              <w:rPr>
                <w:rFonts w:eastAsia="宋体" w:cs="宋体"/>
                <w:snapToGrid/>
                <w:color w:val="auto"/>
              </w:rPr>
              <w:t>，一层</w:t>
            </w:r>
          </w:p>
        </w:tc>
        <w:tc>
          <w:tcPr>
            <w:tcW w:w="691" w:type="pct"/>
            <w:tcBorders>
              <w:tl2br w:val="nil"/>
              <w:tr2bl w:val="nil"/>
            </w:tcBorders>
            <w:vAlign w:val="center"/>
          </w:tcPr>
          <w:p w14:paraId="3E034FD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15A99D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1CBD28C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1FD23ED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成品库房</w:t>
            </w:r>
          </w:p>
        </w:tc>
        <w:tc>
          <w:tcPr>
            <w:tcW w:w="2991" w:type="pct"/>
            <w:gridSpan w:val="2"/>
            <w:tcBorders>
              <w:tl2br w:val="nil"/>
              <w:tr2bl w:val="nil"/>
            </w:tcBorders>
            <w:vAlign w:val="center"/>
          </w:tcPr>
          <w:p w14:paraId="5FC1DB8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建筑面积</w:t>
            </w:r>
            <w:r>
              <w:rPr>
                <w:rFonts w:hint="eastAsia" w:eastAsia="宋体"/>
                <w:snapToGrid/>
                <w:color w:val="auto"/>
                <w:lang w:eastAsia="zh-CN"/>
              </w:rPr>
              <w:t>1471.7</w:t>
            </w:r>
            <w:r>
              <w:rPr>
                <w:rFonts w:eastAsia="宋体"/>
                <w:snapToGrid/>
                <w:color w:val="auto"/>
              </w:rPr>
              <w:t>m</w:t>
            </w:r>
            <w:r>
              <w:rPr>
                <w:rFonts w:eastAsia="宋体"/>
                <w:snapToGrid/>
                <w:color w:val="auto"/>
                <w:szCs w:val="13"/>
                <w:vertAlign w:val="superscript"/>
              </w:rPr>
              <w:t>2</w:t>
            </w:r>
            <w:r>
              <w:rPr>
                <w:rFonts w:eastAsia="宋体" w:cs="宋体"/>
                <w:snapToGrid/>
                <w:color w:val="auto"/>
              </w:rPr>
              <w:t>，一层</w:t>
            </w:r>
          </w:p>
        </w:tc>
        <w:tc>
          <w:tcPr>
            <w:tcW w:w="691" w:type="pct"/>
            <w:tcBorders>
              <w:tl2br w:val="nil"/>
              <w:tr2bl w:val="nil"/>
            </w:tcBorders>
            <w:vAlign w:val="center"/>
          </w:tcPr>
          <w:p w14:paraId="2B0FBBF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新建</w:t>
            </w:r>
          </w:p>
        </w:tc>
      </w:tr>
      <w:tr w14:paraId="26F09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2702DA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公用工程</w:t>
            </w:r>
          </w:p>
        </w:tc>
        <w:tc>
          <w:tcPr>
            <w:tcW w:w="953" w:type="pct"/>
            <w:tcBorders>
              <w:tl2br w:val="nil"/>
              <w:tr2bl w:val="nil"/>
            </w:tcBorders>
            <w:vAlign w:val="center"/>
          </w:tcPr>
          <w:p w14:paraId="337A90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供水</w:t>
            </w:r>
          </w:p>
        </w:tc>
        <w:tc>
          <w:tcPr>
            <w:tcW w:w="2991" w:type="pct"/>
            <w:gridSpan w:val="2"/>
            <w:tcBorders>
              <w:tl2br w:val="nil"/>
              <w:tr2bl w:val="nil"/>
            </w:tcBorders>
            <w:vAlign w:val="center"/>
          </w:tcPr>
          <w:p w14:paraId="7FF715A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本工程生产生活用水由供水管网接入</w:t>
            </w:r>
          </w:p>
        </w:tc>
        <w:tc>
          <w:tcPr>
            <w:tcW w:w="691" w:type="pct"/>
            <w:vMerge w:val="restart"/>
            <w:tcBorders>
              <w:tl2br w:val="nil"/>
              <w:tr2bl w:val="nil"/>
            </w:tcBorders>
            <w:vAlign w:val="center"/>
          </w:tcPr>
          <w:p w14:paraId="45068A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rPr>
              <w:t>依托</w:t>
            </w:r>
          </w:p>
        </w:tc>
      </w:tr>
      <w:tr w14:paraId="0F4D0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7776112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077C148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供电</w:t>
            </w:r>
          </w:p>
        </w:tc>
        <w:tc>
          <w:tcPr>
            <w:tcW w:w="2991" w:type="pct"/>
            <w:gridSpan w:val="2"/>
            <w:tcBorders>
              <w:tl2br w:val="nil"/>
              <w:tr2bl w:val="nil"/>
            </w:tcBorders>
            <w:vAlign w:val="center"/>
          </w:tcPr>
          <w:p w14:paraId="3E2D3EE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供电由电网接入</w:t>
            </w:r>
          </w:p>
        </w:tc>
        <w:tc>
          <w:tcPr>
            <w:tcW w:w="691" w:type="pct"/>
            <w:vMerge w:val="continue"/>
            <w:tcBorders>
              <w:tl2br w:val="nil"/>
              <w:tr2bl w:val="nil"/>
            </w:tcBorders>
            <w:vAlign w:val="center"/>
          </w:tcPr>
          <w:p w14:paraId="68D35AB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6BFCE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19EB568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74628C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排水</w:t>
            </w:r>
          </w:p>
        </w:tc>
        <w:tc>
          <w:tcPr>
            <w:tcW w:w="2991" w:type="pct"/>
            <w:gridSpan w:val="2"/>
            <w:tcBorders>
              <w:tl2br w:val="nil"/>
              <w:tr2bl w:val="nil"/>
            </w:tcBorders>
            <w:vAlign w:val="center"/>
          </w:tcPr>
          <w:p w14:paraId="03A2910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生产用水循环利用不外排，</w:t>
            </w:r>
            <w:r>
              <w:rPr>
                <w:rFonts w:hint="eastAsia" w:ascii="Times New Roman" w:hAnsi="Times New Roman" w:eastAsia="宋体" w:cs="宋体"/>
                <w:snapToGrid/>
                <w:color w:val="auto"/>
                <w:lang w:val="en-US" w:eastAsia="zh-CN"/>
              </w:rPr>
              <w:t>生活污水</w:t>
            </w:r>
            <w:r>
              <w:rPr>
                <w:rFonts w:ascii="Times New Roman" w:hAnsi="Times New Roman" w:eastAsia="宋体" w:cs="宋体"/>
                <w:snapToGrid/>
                <w:color w:val="auto"/>
                <w:lang w:eastAsia="zh-CN"/>
              </w:rPr>
              <w:t>排入</w:t>
            </w:r>
            <w:r>
              <w:rPr>
                <w:rFonts w:hint="eastAsia" w:ascii="Times New Roman" w:hAnsi="Times New Roman" w:eastAsia="宋体" w:cs="宋体"/>
                <w:snapToGrid/>
                <w:color w:val="auto"/>
                <w:lang w:val="en-US" w:eastAsia="zh-CN"/>
              </w:rPr>
              <w:t>防渗</w:t>
            </w:r>
            <w:r>
              <w:rPr>
                <w:rFonts w:hint="eastAsia" w:ascii="Times New Roman" w:hAnsi="Times New Roman" w:eastAsia="宋体" w:cs="宋体"/>
                <w:snapToGrid/>
                <w:color w:val="auto"/>
                <w:lang w:eastAsia="zh-CN"/>
              </w:rPr>
              <w:t>化粪池</w:t>
            </w:r>
            <w:r>
              <w:rPr>
                <w:rFonts w:ascii="Times New Roman" w:hAnsi="Times New Roman" w:eastAsia="宋体" w:cs="宋体"/>
                <w:snapToGrid/>
                <w:color w:val="auto"/>
                <w:lang w:eastAsia="zh-CN"/>
              </w:rPr>
              <w:t>，</w:t>
            </w:r>
            <w:r>
              <w:rPr>
                <w:rFonts w:hint="eastAsia" w:ascii="Times New Roman" w:hAnsi="Times New Roman" w:eastAsia="宋体" w:cs="宋体"/>
                <w:snapToGrid/>
                <w:color w:val="auto"/>
                <w:lang w:eastAsia="zh-CN"/>
              </w:rPr>
              <w:t>定期</w:t>
            </w:r>
            <w:r>
              <w:rPr>
                <w:rFonts w:hint="eastAsia" w:ascii="Times New Roman" w:hAnsi="Times New Roman" w:eastAsia="宋体" w:cs="宋体"/>
                <w:snapToGrid/>
                <w:color w:val="auto"/>
                <w:lang w:val="en-US" w:eastAsia="zh-CN"/>
              </w:rPr>
              <w:t>抽</w:t>
            </w:r>
            <w:r>
              <w:rPr>
                <w:rFonts w:hint="eastAsia" w:ascii="Times New Roman" w:hAnsi="Times New Roman" w:eastAsia="宋体" w:cs="宋体"/>
                <w:snapToGrid/>
                <w:color w:val="auto"/>
                <w:lang w:eastAsia="zh-CN"/>
              </w:rPr>
              <w:t>运至木垒哈萨克自治县污水处理厂处理</w:t>
            </w:r>
            <w:r>
              <w:rPr>
                <w:rFonts w:ascii="Times New Roman" w:hAnsi="Times New Roman" w:eastAsia="宋体" w:cs="宋体"/>
                <w:snapToGrid/>
                <w:color w:val="auto"/>
                <w:lang w:eastAsia="zh-CN"/>
              </w:rPr>
              <w:t>。</w:t>
            </w:r>
          </w:p>
        </w:tc>
        <w:tc>
          <w:tcPr>
            <w:tcW w:w="691" w:type="pct"/>
            <w:vMerge w:val="continue"/>
            <w:tcBorders>
              <w:tl2br w:val="nil"/>
              <w:tr2bl w:val="nil"/>
            </w:tcBorders>
            <w:vAlign w:val="center"/>
          </w:tcPr>
          <w:p w14:paraId="0EA1B081">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0D3889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618B21E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53" w:type="pct"/>
            <w:tcBorders>
              <w:tl2br w:val="nil"/>
              <w:tr2bl w:val="nil"/>
            </w:tcBorders>
            <w:vAlign w:val="center"/>
          </w:tcPr>
          <w:p w14:paraId="31A006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供热</w:t>
            </w:r>
          </w:p>
        </w:tc>
        <w:tc>
          <w:tcPr>
            <w:tcW w:w="2991" w:type="pct"/>
            <w:gridSpan w:val="2"/>
            <w:tcBorders>
              <w:tl2br w:val="nil"/>
              <w:tr2bl w:val="nil"/>
            </w:tcBorders>
            <w:vAlign w:val="center"/>
          </w:tcPr>
          <w:p w14:paraId="632A86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生产工序均采用电加热，办公室、宿舍采用电采暖</w:t>
            </w:r>
          </w:p>
        </w:tc>
        <w:tc>
          <w:tcPr>
            <w:tcW w:w="691" w:type="pct"/>
            <w:vMerge w:val="continue"/>
            <w:tcBorders>
              <w:tl2br w:val="nil"/>
              <w:tr2bl w:val="nil"/>
            </w:tcBorders>
            <w:vAlign w:val="center"/>
          </w:tcPr>
          <w:p w14:paraId="716D67EB">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43BC0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restart"/>
            <w:tcBorders>
              <w:tl2br w:val="nil"/>
              <w:tr2bl w:val="nil"/>
            </w:tcBorders>
            <w:vAlign w:val="center"/>
          </w:tcPr>
          <w:p w14:paraId="4CF8FEC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环保工程</w:t>
            </w:r>
          </w:p>
        </w:tc>
        <w:tc>
          <w:tcPr>
            <w:tcW w:w="953" w:type="pct"/>
            <w:tcBorders>
              <w:tl2br w:val="nil"/>
              <w:tr2bl w:val="nil"/>
            </w:tcBorders>
            <w:vAlign w:val="center"/>
          </w:tcPr>
          <w:p w14:paraId="075413E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w:t>
            </w:r>
          </w:p>
        </w:tc>
        <w:tc>
          <w:tcPr>
            <w:tcW w:w="2991" w:type="pct"/>
            <w:gridSpan w:val="2"/>
            <w:tcBorders>
              <w:tl2br w:val="nil"/>
              <w:tr2bl w:val="nil"/>
            </w:tcBorders>
            <w:vAlign w:val="center"/>
          </w:tcPr>
          <w:p w14:paraId="3F8B7FE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本项目造粒及滴灌带生产工序产生的非甲烷总烃经集气罩+活性炭吸附+蓄热式催化燃烧+15m排气筒排放。装卸粉尘采取洒水降尘等措施。堆存粉尘采用半封闭措施，三面和顶部设置围挡。破碎采用湿式破碎，基本不会产生粉尘。</w:t>
            </w:r>
          </w:p>
        </w:tc>
        <w:tc>
          <w:tcPr>
            <w:tcW w:w="691" w:type="pct"/>
            <w:tcBorders>
              <w:tl2br w:val="nil"/>
              <w:tr2bl w:val="nil"/>
            </w:tcBorders>
            <w:vAlign w:val="center"/>
          </w:tcPr>
          <w:p w14:paraId="65B74AC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5496F0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1F4CEA5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restart"/>
            <w:tcBorders>
              <w:tl2br w:val="nil"/>
              <w:tr2bl w:val="nil"/>
            </w:tcBorders>
            <w:vAlign w:val="center"/>
          </w:tcPr>
          <w:p w14:paraId="64C7BD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废水</w:t>
            </w:r>
          </w:p>
        </w:tc>
        <w:tc>
          <w:tcPr>
            <w:tcW w:w="2991" w:type="pct"/>
            <w:gridSpan w:val="2"/>
            <w:tcBorders>
              <w:tl2br w:val="nil"/>
              <w:tr2bl w:val="nil"/>
            </w:tcBorders>
            <w:vAlign w:val="center"/>
          </w:tcPr>
          <w:p w14:paraId="5DC4E2DA">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vertAlign w:val="baseline"/>
                <w:lang w:val="en-US" w:eastAsia="zh-CN"/>
              </w:rPr>
            </w:pPr>
            <w:r>
              <w:rPr>
                <w:rFonts w:ascii="Times New Roman" w:hAnsi="Times New Roman" w:eastAsia="宋体" w:cs="宋体"/>
                <w:snapToGrid/>
                <w:color w:val="auto"/>
                <w:sz w:val="21"/>
              </w:rPr>
              <w:t>冷却水循环利用</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循环水池容积50m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vertAlign w:val="baseline"/>
                <w:lang w:val="en-US" w:eastAsia="zh-CN"/>
              </w:rPr>
              <w:t>，清洗废水经沉淀后回用，沉淀池容积500m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vertAlign w:val="baseline"/>
                <w:lang w:val="en-US" w:eastAsia="zh-CN"/>
              </w:rPr>
              <w:t>。</w:t>
            </w:r>
          </w:p>
        </w:tc>
        <w:tc>
          <w:tcPr>
            <w:tcW w:w="691" w:type="pct"/>
            <w:tcBorders>
              <w:tl2br w:val="nil"/>
              <w:tr2bl w:val="nil"/>
            </w:tcBorders>
            <w:vAlign w:val="center"/>
          </w:tcPr>
          <w:p w14:paraId="653F9D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5AA1D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3D8271B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continue"/>
            <w:tcBorders>
              <w:tl2br w:val="nil"/>
              <w:tr2bl w:val="nil"/>
            </w:tcBorders>
            <w:vAlign w:val="center"/>
          </w:tcPr>
          <w:p w14:paraId="50505B8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991" w:type="pct"/>
            <w:gridSpan w:val="2"/>
            <w:tcBorders>
              <w:tl2br w:val="nil"/>
              <w:tr2bl w:val="nil"/>
            </w:tcBorders>
            <w:vAlign w:val="center"/>
          </w:tcPr>
          <w:p w14:paraId="35D44E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b w:val="0"/>
                <w:bCs w:val="0"/>
                <w:snapToGrid/>
                <w:color w:val="auto"/>
                <w:lang w:val="en-US" w:eastAsia="zh-CN"/>
              </w:rPr>
              <w:t>生活污水</w:t>
            </w:r>
            <w:r>
              <w:rPr>
                <w:rFonts w:ascii="Times New Roman" w:hAnsi="Times New Roman" w:eastAsia="宋体" w:cs="宋体"/>
                <w:b w:val="0"/>
                <w:bCs w:val="0"/>
                <w:snapToGrid/>
                <w:color w:val="auto"/>
                <w:lang w:eastAsia="zh-CN"/>
              </w:rPr>
              <w:t>排入</w:t>
            </w:r>
            <w:r>
              <w:rPr>
                <w:rFonts w:hint="eastAsia" w:ascii="Times New Roman" w:hAnsi="Times New Roman" w:eastAsia="宋体" w:cs="宋体"/>
                <w:b w:val="0"/>
                <w:bCs w:val="0"/>
                <w:snapToGrid/>
                <w:color w:val="auto"/>
                <w:lang w:val="en-US" w:eastAsia="zh-CN"/>
              </w:rPr>
              <w:t>防渗</w:t>
            </w:r>
            <w:r>
              <w:rPr>
                <w:rFonts w:hint="eastAsia" w:ascii="Times New Roman" w:hAnsi="Times New Roman" w:eastAsia="宋体" w:cs="宋体"/>
                <w:b w:val="0"/>
                <w:bCs w:val="0"/>
                <w:snapToGrid/>
                <w:color w:val="auto"/>
                <w:lang w:eastAsia="zh-CN"/>
              </w:rPr>
              <w:t>化粪池（</w:t>
            </w:r>
            <w:r>
              <w:rPr>
                <w:rFonts w:hint="eastAsia" w:ascii="Times New Roman" w:hAnsi="Times New Roman" w:eastAsia="宋体" w:cs="宋体"/>
                <w:b w:val="0"/>
                <w:bCs w:val="0"/>
                <w:snapToGrid/>
                <w:color w:val="auto"/>
                <w:lang w:val="en-US" w:eastAsia="zh-CN"/>
              </w:rPr>
              <w:t>容积200m</w:t>
            </w:r>
            <w:r>
              <w:rPr>
                <w:rFonts w:hint="eastAsia" w:ascii="Times New Roman" w:hAnsi="Times New Roman" w:eastAsia="宋体" w:cs="宋体"/>
                <w:b w:val="0"/>
                <w:bCs w:val="0"/>
                <w:snapToGrid/>
                <w:color w:val="auto"/>
                <w:vertAlign w:val="superscript"/>
                <w:lang w:val="en-US" w:eastAsia="zh-CN"/>
              </w:rPr>
              <w:t>3</w:t>
            </w:r>
            <w:r>
              <w:rPr>
                <w:rFonts w:hint="eastAsia" w:ascii="Times New Roman" w:hAnsi="Times New Roman" w:eastAsia="宋体" w:cs="宋体"/>
                <w:b w:val="0"/>
                <w:bCs w:val="0"/>
                <w:snapToGrid/>
                <w:color w:val="auto"/>
                <w:lang w:eastAsia="zh-CN"/>
              </w:rPr>
              <w:t>）</w:t>
            </w:r>
            <w:r>
              <w:rPr>
                <w:rFonts w:ascii="Times New Roman" w:hAnsi="Times New Roman" w:eastAsia="宋体" w:cs="宋体"/>
                <w:b w:val="0"/>
                <w:bCs w:val="0"/>
                <w:snapToGrid/>
                <w:color w:val="auto"/>
                <w:lang w:eastAsia="zh-CN"/>
              </w:rPr>
              <w:t>，</w:t>
            </w:r>
            <w:r>
              <w:rPr>
                <w:rFonts w:hint="eastAsia" w:ascii="Times New Roman" w:hAnsi="Times New Roman" w:eastAsia="宋体" w:cs="宋体"/>
                <w:b w:val="0"/>
                <w:bCs w:val="0"/>
                <w:snapToGrid/>
                <w:color w:val="auto"/>
                <w:lang w:eastAsia="zh-CN"/>
              </w:rPr>
              <w:t>定期</w:t>
            </w:r>
            <w:r>
              <w:rPr>
                <w:rFonts w:hint="eastAsia" w:ascii="Times New Roman" w:hAnsi="Times New Roman" w:eastAsia="宋体" w:cs="宋体"/>
                <w:b w:val="0"/>
                <w:bCs w:val="0"/>
                <w:snapToGrid/>
                <w:color w:val="auto"/>
                <w:lang w:val="en-US" w:eastAsia="zh-CN"/>
              </w:rPr>
              <w:t>抽</w:t>
            </w:r>
            <w:r>
              <w:rPr>
                <w:rFonts w:hint="eastAsia" w:ascii="Times New Roman" w:hAnsi="Times New Roman" w:eastAsia="宋体" w:cs="宋体"/>
                <w:b w:val="0"/>
                <w:bCs w:val="0"/>
                <w:snapToGrid/>
                <w:color w:val="auto"/>
                <w:lang w:eastAsia="zh-CN"/>
              </w:rPr>
              <w:t>运至木垒哈萨克自治县污水处理厂处理</w:t>
            </w:r>
          </w:p>
        </w:tc>
        <w:tc>
          <w:tcPr>
            <w:tcW w:w="691" w:type="pct"/>
            <w:tcBorders>
              <w:tl2br w:val="nil"/>
              <w:tr2bl w:val="nil"/>
            </w:tcBorders>
            <w:vAlign w:val="center"/>
          </w:tcPr>
          <w:p w14:paraId="2CC69DD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3CF2D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0EC1316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249004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2991" w:type="pct"/>
            <w:gridSpan w:val="2"/>
            <w:tcBorders>
              <w:tl2br w:val="nil"/>
              <w:tr2bl w:val="nil"/>
            </w:tcBorders>
            <w:vAlign w:val="center"/>
          </w:tcPr>
          <w:p w14:paraId="44028C7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lang w:eastAsia="zh-CN"/>
              </w:rPr>
              <w:t>对产生噪声的设备采取消音、厂房屏蔽及隔声措施</w:t>
            </w:r>
          </w:p>
        </w:tc>
        <w:tc>
          <w:tcPr>
            <w:tcW w:w="691" w:type="pct"/>
            <w:tcBorders>
              <w:tl2br w:val="nil"/>
              <w:tr2bl w:val="nil"/>
            </w:tcBorders>
            <w:vAlign w:val="center"/>
          </w:tcPr>
          <w:p w14:paraId="30D380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6B833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4AF84B8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restart"/>
            <w:tcBorders>
              <w:tl2br w:val="nil"/>
              <w:tr2bl w:val="nil"/>
            </w:tcBorders>
            <w:vAlign w:val="center"/>
          </w:tcPr>
          <w:p w14:paraId="3276862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固废</w:t>
            </w:r>
          </w:p>
        </w:tc>
        <w:tc>
          <w:tcPr>
            <w:tcW w:w="572" w:type="pct"/>
            <w:tcBorders>
              <w:tl2br w:val="nil"/>
              <w:tr2bl w:val="nil"/>
            </w:tcBorders>
            <w:vAlign w:val="center"/>
          </w:tcPr>
          <w:p w14:paraId="0805A0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2419" w:type="pct"/>
            <w:tcBorders>
              <w:tl2br w:val="nil"/>
              <w:tr2bl w:val="nil"/>
            </w:tcBorders>
            <w:vAlign w:val="center"/>
          </w:tcPr>
          <w:p w14:paraId="5AD7CF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厂区设置垃圾桶，生活垃圾经集中收集后，由环卫部门定期拉运统一清运处理。</w:t>
            </w:r>
          </w:p>
        </w:tc>
        <w:tc>
          <w:tcPr>
            <w:tcW w:w="691" w:type="pct"/>
            <w:tcBorders>
              <w:tl2br w:val="nil"/>
              <w:tr2bl w:val="nil"/>
            </w:tcBorders>
            <w:vAlign w:val="center"/>
          </w:tcPr>
          <w:p w14:paraId="2451A71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03325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2426F37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continue"/>
            <w:tcBorders>
              <w:tl2br w:val="nil"/>
              <w:tr2bl w:val="nil"/>
            </w:tcBorders>
            <w:vAlign w:val="center"/>
          </w:tcPr>
          <w:p w14:paraId="0556810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2" w:type="pct"/>
            <w:tcBorders>
              <w:tl2br w:val="nil"/>
              <w:tr2bl w:val="nil"/>
            </w:tcBorders>
            <w:vAlign w:val="center"/>
          </w:tcPr>
          <w:p w14:paraId="62A0EC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清洗废渣及泥沙</w:t>
            </w:r>
          </w:p>
        </w:tc>
        <w:tc>
          <w:tcPr>
            <w:tcW w:w="2419" w:type="pct"/>
            <w:tcBorders>
              <w:tl2br w:val="nil"/>
              <w:tr2bl w:val="nil"/>
            </w:tcBorders>
            <w:vAlign w:val="center"/>
          </w:tcPr>
          <w:p w14:paraId="5292F1C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eastAsia="zh-CN"/>
              </w:rPr>
              <w:t>作为一般固废处置</w:t>
            </w:r>
            <w:r>
              <w:rPr>
                <w:rFonts w:hint="eastAsia" w:eastAsia="宋体"/>
                <w:color w:val="auto"/>
                <w:lang w:eastAsia="zh-CN"/>
              </w:rPr>
              <w:t>，</w:t>
            </w:r>
            <w:r>
              <w:rPr>
                <w:rFonts w:hint="eastAsia" w:eastAsia="宋体"/>
                <w:color w:val="auto"/>
                <w:lang w:val="en-US" w:eastAsia="zh-CN"/>
              </w:rPr>
              <w:t>定期清运至垃圾填埋场填埋</w:t>
            </w:r>
          </w:p>
        </w:tc>
        <w:tc>
          <w:tcPr>
            <w:tcW w:w="691" w:type="pct"/>
            <w:tcBorders>
              <w:tl2br w:val="nil"/>
              <w:tr2bl w:val="nil"/>
            </w:tcBorders>
            <w:vAlign w:val="center"/>
          </w:tcPr>
          <w:p w14:paraId="6A52BD3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56C868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3DDABFC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continue"/>
            <w:tcBorders>
              <w:tl2br w:val="nil"/>
              <w:tr2bl w:val="nil"/>
            </w:tcBorders>
            <w:vAlign w:val="center"/>
          </w:tcPr>
          <w:p w14:paraId="0BFD3EB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2" w:type="pct"/>
            <w:tcBorders>
              <w:tl2br w:val="nil"/>
              <w:tr2bl w:val="nil"/>
            </w:tcBorders>
            <w:vAlign w:val="center"/>
          </w:tcPr>
          <w:p w14:paraId="0D5CE8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残次品</w:t>
            </w:r>
          </w:p>
        </w:tc>
        <w:tc>
          <w:tcPr>
            <w:tcW w:w="2419" w:type="pct"/>
            <w:tcBorders>
              <w:tl2br w:val="nil"/>
              <w:tr2bl w:val="nil"/>
            </w:tcBorders>
            <w:vAlign w:val="center"/>
          </w:tcPr>
          <w:p w14:paraId="403D0DD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返回生产</w:t>
            </w:r>
          </w:p>
        </w:tc>
        <w:tc>
          <w:tcPr>
            <w:tcW w:w="691" w:type="pct"/>
            <w:tcBorders>
              <w:tl2br w:val="nil"/>
              <w:tr2bl w:val="nil"/>
            </w:tcBorders>
            <w:vAlign w:val="center"/>
          </w:tcPr>
          <w:p w14:paraId="0148895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430680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616C36A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continue"/>
            <w:tcBorders>
              <w:tl2br w:val="nil"/>
              <w:tr2bl w:val="nil"/>
            </w:tcBorders>
            <w:vAlign w:val="center"/>
          </w:tcPr>
          <w:p w14:paraId="0F79DC2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2" w:type="pct"/>
            <w:tcBorders>
              <w:tl2br w:val="nil"/>
              <w:tr2bl w:val="nil"/>
            </w:tcBorders>
            <w:vAlign w:val="center"/>
          </w:tcPr>
          <w:p w14:paraId="510031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废过滤网</w:t>
            </w:r>
          </w:p>
        </w:tc>
        <w:tc>
          <w:tcPr>
            <w:tcW w:w="2419" w:type="pct"/>
            <w:tcBorders>
              <w:tl2br w:val="nil"/>
              <w:tr2bl w:val="nil"/>
            </w:tcBorders>
            <w:vAlign w:val="center"/>
          </w:tcPr>
          <w:p w14:paraId="0F6DE64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由厂家回收</w:t>
            </w:r>
          </w:p>
        </w:tc>
        <w:tc>
          <w:tcPr>
            <w:tcW w:w="691" w:type="pct"/>
            <w:tcBorders>
              <w:tl2br w:val="nil"/>
              <w:tr2bl w:val="nil"/>
            </w:tcBorders>
            <w:vAlign w:val="center"/>
          </w:tcPr>
          <w:p w14:paraId="0627E19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7FC27E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6B6C3C6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vMerge w:val="continue"/>
            <w:tcBorders>
              <w:tl2br w:val="nil"/>
              <w:tr2bl w:val="nil"/>
            </w:tcBorders>
            <w:vAlign w:val="center"/>
          </w:tcPr>
          <w:p w14:paraId="325644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2" w:type="pct"/>
            <w:tcBorders>
              <w:tl2br w:val="nil"/>
              <w:tr2bl w:val="nil"/>
            </w:tcBorders>
            <w:vAlign w:val="center"/>
          </w:tcPr>
          <w:p w14:paraId="327C0606">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ascii="Times New Roman" w:hAnsi="Times New Roman" w:eastAsia="宋体" w:cs="宋体"/>
                <w:snapToGrid/>
                <w:color w:val="auto"/>
                <w:lang w:eastAsia="zh-CN"/>
              </w:rPr>
              <w:t>废润滑油、</w:t>
            </w:r>
            <w:r>
              <w:rPr>
                <w:rFonts w:hint="eastAsia" w:eastAsia="宋体"/>
                <w:color w:val="auto"/>
                <w:lang w:val="en-US" w:eastAsia="zh-CN"/>
              </w:rPr>
              <w:t>废油桶、</w:t>
            </w:r>
            <w:r>
              <w:rPr>
                <w:rFonts w:ascii="Times New Roman" w:hAnsi="Times New Roman" w:eastAsia="宋体" w:cs="宋体"/>
                <w:snapToGrid/>
                <w:color w:val="auto"/>
                <w:lang w:eastAsia="zh-CN"/>
              </w:rPr>
              <w:t>废活性炭</w:t>
            </w:r>
            <w:r>
              <w:rPr>
                <w:rFonts w:hint="eastAsia" w:ascii="Times New Roman" w:hAnsi="Times New Roman" w:eastAsia="宋体" w:cs="宋体"/>
                <w:snapToGrid/>
                <w:color w:val="auto"/>
                <w:lang w:eastAsia="zh-CN"/>
              </w:rPr>
              <w:t>、</w:t>
            </w:r>
            <w:r>
              <w:rPr>
                <w:rFonts w:hint="eastAsia" w:ascii="Times New Roman" w:hAnsi="Times New Roman" w:eastAsia="宋体" w:cs="宋体"/>
                <w:snapToGrid/>
                <w:color w:val="auto"/>
                <w:lang w:val="en-US" w:eastAsia="zh-CN"/>
              </w:rPr>
              <w:t>废催化剂</w:t>
            </w:r>
          </w:p>
        </w:tc>
        <w:tc>
          <w:tcPr>
            <w:tcW w:w="2419" w:type="pct"/>
            <w:tcBorders>
              <w:tl2br w:val="nil"/>
              <w:tr2bl w:val="nil"/>
            </w:tcBorders>
            <w:vAlign w:val="center"/>
          </w:tcPr>
          <w:p w14:paraId="5AFFF35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暂存于危险废物暂存间（5m</w:t>
            </w:r>
            <w:r>
              <w:rPr>
                <w:rFonts w:hint="eastAsia" w:eastAsia="宋体"/>
                <w:snapToGrid/>
                <w:color w:val="auto"/>
                <w:vertAlign w:val="superscript"/>
                <w:lang w:eastAsia="zh-CN"/>
              </w:rPr>
              <w:t>2</w:t>
            </w:r>
            <w:r>
              <w:rPr>
                <w:rFonts w:hint="eastAsia" w:eastAsia="宋体"/>
                <w:snapToGrid/>
                <w:color w:val="auto"/>
                <w:lang w:eastAsia="zh-CN"/>
              </w:rPr>
              <w:t>），委托有资质单位进行处置</w:t>
            </w:r>
          </w:p>
        </w:tc>
        <w:tc>
          <w:tcPr>
            <w:tcW w:w="691" w:type="pct"/>
            <w:tcBorders>
              <w:tl2br w:val="nil"/>
              <w:tr2bl w:val="nil"/>
            </w:tcBorders>
            <w:vAlign w:val="center"/>
          </w:tcPr>
          <w:p w14:paraId="28271E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r w14:paraId="7A0EB8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364" w:type="pct"/>
            <w:vMerge w:val="continue"/>
            <w:tcBorders>
              <w:tl2br w:val="nil"/>
              <w:tr2bl w:val="nil"/>
            </w:tcBorders>
            <w:vAlign w:val="center"/>
          </w:tcPr>
          <w:p w14:paraId="423009F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53" w:type="pct"/>
            <w:tcBorders>
              <w:tl2br w:val="nil"/>
              <w:tr2bl w:val="nil"/>
            </w:tcBorders>
            <w:vAlign w:val="center"/>
          </w:tcPr>
          <w:p w14:paraId="13625481">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绿化</w:t>
            </w:r>
          </w:p>
        </w:tc>
        <w:tc>
          <w:tcPr>
            <w:tcW w:w="2991" w:type="pct"/>
            <w:gridSpan w:val="2"/>
            <w:tcBorders>
              <w:tl2br w:val="nil"/>
              <w:tr2bl w:val="nil"/>
            </w:tcBorders>
            <w:vAlign w:val="center"/>
          </w:tcPr>
          <w:p w14:paraId="27288C2D">
            <w:pPr>
              <w:pStyle w:val="37"/>
              <w:widowControl w:val="0"/>
              <w:shd w:val="clear"/>
              <w:kinsoku/>
              <w:autoSpaceDE/>
              <w:autoSpaceDN/>
              <w:adjustRightInd/>
              <w:snapToGrid/>
              <w:spacing w:line="360" w:lineRule="auto"/>
              <w:jc w:val="center"/>
              <w:textAlignment w:val="auto"/>
              <w:rPr>
                <w:rFonts w:hint="default" w:eastAsia="宋体"/>
                <w:snapToGrid/>
                <w:color w:val="auto"/>
                <w:vertAlign w:val="baseline"/>
                <w:lang w:val="en-US" w:eastAsia="zh-CN"/>
              </w:rPr>
            </w:pPr>
            <w:r>
              <w:rPr>
                <w:rFonts w:hint="eastAsia" w:eastAsia="宋体"/>
                <w:snapToGrid/>
                <w:color w:val="auto"/>
                <w:lang w:val="en-US" w:eastAsia="zh-CN"/>
              </w:rPr>
              <w:t>绿化面积：1842.76m</w:t>
            </w:r>
            <w:r>
              <w:rPr>
                <w:rFonts w:hint="eastAsia" w:eastAsia="宋体"/>
                <w:snapToGrid/>
                <w:color w:val="auto"/>
                <w:vertAlign w:val="superscript"/>
                <w:lang w:val="en-US" w:eastAsia="zh-CN"/>
              </w:rPr>
              <w:t>2</w:t>
            </w:r>
            <w:r>
              <w:rPr>
                <w:rFonts w:hint="eastAsia" w:eastAsia="宋体"/>
                <w:snapToGrid/>
                <w:color w:val="auto"/>
                <w:vertAlign w:val="baseline"/>
                <w:lang w:val="en-US" w:eastAsia="zh-CN"/>
              </w:rPr>
              <w:t>，绿化率19.51%。</w:t>
            </w:r>
          </w:p>
        </w:tc>
        <w:tc>
          <w:tcPr>
            <w:tcW w:w="691" w:type="pct"/>
            <w:tcBorders>
              <w:tl2br w:val="nil"/>
              <w:tr2bl w:val="nil"/>
            </w:tcBorders>
            <w:vAlign w:val="center"/>
          </w:tcPr>
          <w:p w14:paraId="1C67F1B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新建</w:t>
            </w:r>
          </w:p>
        </w:tc>
      </w:tr>
    </w:tbl>
    <w:p w14:paraId="636A0818">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"file:///C:\\Users\\jobezho\\AppData\\Local\\Temp\\Rar$DIa13476.12779\\3.2.2.2" </w:instrText>
      </w:r>
      <w:r>
        <w:rPr>
          <w:color w:val="auto"/>
        </w:rPr>
        <w:fldChar w:fldCharType="separate"/>
      </w:r>
      <w:r>
        <w:rPr>
          <w:rFonts w:hint="eastAsia" w:ascii="Times New Roman" w:hAnsi="Times New Roman" w:eastAsia="宋体"/>
          <w:snapToGrid/>
          <w:color w:val="auto"/>
          <w:sz w:val="24"/>
          <w:lang w:eastAsia="zh-CN"/>
        </w:rPr>
        <w:t>3.1.2.2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生产规模及产品方案</w:t>
      </w:r>
    </w:p>
    <w:p w14:paraId="75C55F0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（1）生产规模</w:t>
      </w:r>
    </w:p>
    <w:p w14:paraId="2FDC69D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本项目建设规模为：建设</w:t>
      </w:r>
      <w:r>
        <w:rPr>
          <w:rFonts w:hint="eastAsia" w:ascii="Times New Roman" w:hAnsi="Times New Roman"/>
          <w:snapToGrid/>
          <w:color w:val="auto"/>
          <w:sz w:val="24"/>
          <w:szCs w:val="24"/>
          <w:lang w:eastAsia="zh-CN"/>
        </w:rPr>
        <w:t>一套</w:t>
      </w:r>
      <w:r>
        <w:rPr>
          <w:rFonts w:ascii="Times New Roman" w:hAnsi="Times New Roman"/>
          <w:snapToGrid/>
          <w:color w:val="auto"/>
          <w:sz w:val="24"/>
          <w:szCs w:val="24"/>
          <w:lang w:eastAsia="zh-CN"/>
        </w:rPr>
        <w:t>废旧塑料清洗线、</w:t>
      </w:r>
      <w:r>
        <w:rPr>
          <w:rFonts w:hint="eastAsia" w:ascii="Times New Roman" w:hAnsi="Times New Roman"/>
          <w:snapToGrid/>
          <w:color w:val="auto"/>
          <w:sz w:val="24"/>
          <w:szCs w:val="24"/>
          <w:lang w:eastAsia="zh-CN"/>
        </w:rPr>
        <w:t>一套</w:t>
      </w:r>
      <w:r>
        <w:rPr>
          <w:rFonts w:ascii="Times New Roman" w:hAnsi="Times New Roman"/>
          <w:snapToGrid/>
          <w:color w:val="auto"/>
          <w:sz w:val="24"/>
          <w:szCs w:val="24"/>
          <w:lang w:eastAsia="zh-CN"/>
        </w:rPr>
        <w:t>塑料颗粒加工生产线，</w:t>
      </w:r>
      <w:r>
        <w:rPr>
          <w:rFonts w:hint="eastAsia" w:ascii="Times New Roman" w:hAnsi="Times New Roman"/>
          <w:snapToGrid/>
          <w:color w:val="auto"/>
          <w:sz w:val="24"/>
          <w:szCs w:val="24"/>
          <w:lang w:eastAsia="zh-CN"/>
        </w:rPr>
        <w:t>一套</w:t>
      </w:r>
      <w:r>
        <w:rPr>
          <w:rFonts w:ascii="Times New Roman" w:hAnsi="Times New Roman"/>
          <w:snapToGrid/>
          <w:color w:val="auto"/>
          <w:sz w:val="24"/>
          <w:szCs w:val="24"/>
          <w:lang w:eastAsia="zh-CN"/>
        </w:rPr>
        <w:t>滴灌带生产线。年产</w:t>
      </w:r>
      <w:r>
        <w:rPr>
          <w:rFonts w:hint="eastAsia" w:ascii="Times New Roman" w:hAnsi="Times New Roman"/>
          <w:snapToGrid/>
          <w:color w:val="auto"/>
          <w:sz w:val="24"/>
          <w:szCs w:val="24"/>
          <w:lang w:eastAsia="zh-CN"/>
        </w:rPr>
        <w:t>5000t</w:t>
      </w:r>
      <w:r>
        <w:rPr>
          <w:rFonts w:ascii="Times New Roman" w:hAnsi="Times New Roman"/>
          <w:snapToGrid/>
          <w:color w:val="auto"/>
          <w:sz w:val="24"/>
          <w:szCs w:val="24"/>
          <w:lang w:eastAsia="zh-CN"/>
        </w:rPr>
        <w:t>塑料颗粒、年产</w:t>
      </w:r>
      <w:r>
        <w:rPr>
          <w:rFonts w:hint="eastAsia" w:ascii="Times New Roman" w:hAnsi="Times New Roman"/>
          <w:snapToGrid/>
          <w:color w:val="auto"/>
          <w:sz w:val="24"/>
          <w:szCs w:val="24"/>
          <w:lang w:eastAsia="zh-CN"/>
        </w:rPr>
        <w:t>35</w:t>
      </w:r>
      <w:r>
        <w:rPr>
          <w:rFonts w:hint="eastAsia" w:ascii="Times New Roman" w:hAnsi="Times New Roman"/>
          <w:snapToGrid/>
          <w:color w:val="auto"/>
          <w:sz w:val="24"/>
          <w:szCs w:val="24"/>
          <w:lang w:val="en-US" w:eastAsia="zh-CN"/>
        </w:rPr>
        <w:t>0</w:t>
      </w:r>
      <w:r>
        <w:rPr>
          <w:rFonts w:hint="eastAsia" w:ascii="Times New Roman" w:hAnsi="Times New Roman"/>
          <w:snapToGrid/>
          <w:color w:val="auto"/>
          <w:sz w:val="24"/>
          <w:szCs w:val="24"/>
          <w:lang w:eastAsia="zh-CN"/>
        </w:rPr>
        <w:t>0t</w:t>
      </w:r>
      <w:r>
        <w:rPr>
          <w:rFonts w:ascii="Times New Roman" w:hAnsi="Times New Roman"/>
          <w:snapToGrid/>
          <w:color w:val="auto"/>
          <w:sz w:val="24"/>
          <w:szCs w:val="24"/>
          <w:lang w:eastAsia="zh-CN"/>
        </w:rPr>
        <w:t>滴灌带。产品方案见表3.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-2。</w:t>
      </w:r>
    </w:p>
    <w:p w14:paraId="35D60BBE">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-2项目产品方案</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61"/>
        <w:gridCol w:w="2651"/>
        <w:gridCol w:w="2036"/>
        <w:gridCol w:w="2962"/>
      </w:tblGrid>
      <w:tr w14:paraId="2F523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506" w:type="pct"/>
            <w:tcBorders>
              <w:tl2br w:val="nil"/>
              <w:tr2bl w:val="nil"/>
            </w:tcBorders>
            <w:vAlign w:val="center"/>
          </w:tcPr>
          <w:p w14:paraId="6F8D44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557" w:type="pct"/>
            <w:tcBorders>
              <w:tl2br w:val="nil"/>
              <w:tr2bl w:val="nil"/>
            </w:tcBorders>
            <w:vAlign w:val="center"/>
          </w:tcPr>
          <w:p w14:paraId="198214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产品方案</w:t>
            </w:r>
          </w:p>
        </w:tc>
        <w:tc>
          <w:tcPr>
            <w:tcW w:w="1196" w:type="pct"/>
            <w:tcBorders>
              <w:tl2br w:val="nil"/>
              <w:tr2bl w:val="nil"/>
            </w:tcBorders>
            <w:vAlign w:val="center"/>
          </w:tcPr>
          <w:p w14:paraId="2E541E4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规模（数量）</w:t>
            </w:r>
          </w:p>
        </w:tc>
        <w:tc>
          <w:tcPr>
            <w:tcW w:w="1740" w:type="pct"/>
            <w:tcBorders>
              <w:tl2br w:val="nil"/>
              <w:tr2bl w:val="nil"/>
            </w:tcBorders>
            <w:vAlign w:val="center"/>
          </w:tcPr>
          <w:p w14:paraId="6C19A81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备注</w:t>
            </w:r>
          </w:p>
        </w:tc>
      </w:tr>
      <w:tr w14:paraId="01CF4B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506" w:type="pct"/>
            <w:tcBorders>
              <w:tl2br w:val="nil"/>
              <w:tr2bl w:val="nil"/>
            </w:tcBorders>
            <w:vAlign w:val="center"/>
          </w:tcPr>
          <w:p w14:paraId="7F840CD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557" w:type="pct"/>
            <w:tcBorders>
              <w:tl2br w:val="nil"/>
              <w:tr2bl w:val="nil"/>
            </w:tcBorders>
            <w:vAlign w:val="center"/>
          </w:tcPr>
          <w:p w14:paraId="07EC721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塑料颗粒</w:t>
            </w:r>
          </w:p>
        </w:tc>
        <w:tc>
          <w:tcPr>
            <w:tcW w:w="1196" w:type="pct"/>
            <w:tcBorders>
              <w:tl2br w:val="nil"/>
              <w:tr2bl w:val="nil"/>
            </w:tcBorders>
            <w:vAlign w:val="center"/>
          </w:tcPr>
          <w:p w14:paraId="14E28167">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5000</w:t>
            </w:r>
            <w:r>
              <w:rPr>
                <w:rFonts w:eastAsia="宋体"/>
                <w:snapToGrid/>
                <w:color w:val="auto"/>
              </w:rPr>
              <w:t>t/a</w:t>
            </w:r>
          </w:p>
        </w:tc>
        <w:tc>
          <w:tcPr>
            <w:tcW w:w="1740" w:type="pct"/>
            <w:tcBorders>
              <w:tl2br w:val="nil"/>
              <w:tr2bl w:val="nil"/>
            </w:tcBorders>
            <w:vAlign w:val="center"/>
          </w:tcPr>
          <w:p w14:paraId="508B0F1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default" w:eastAsia="宋体" w:cs="宋体"/>
                <w:snapToGrid/>
                <w:color w:val="auto"/>
                <w:lang w:val="en-US" w:eastAsia="zh-CN"/>
              </w:rPr>
              <w:t>3523.3t</w:t>
            </w:r>
            <w:r>
              <w:rPr>
                <w:rFonts w:eastAsia="宋体" w:cs="宋体"/>
                <w:snapToGrid/>
                <w:color w:val="auto"/>
                <w:lang w:eastAsia="zh-CN"/>
              </w:rPr>
              <w:t>用于厂区内滴灌带生产</w:t>
            </w:r>
            <w:r>
              <w:rPr>
                <w:rFonts w:hint="eastAsia" w:eastAsia="宋体" w:cs="宋体"/>
                <w:snapToGrid/>
                <w:color w:val="auto"/>
                <w:lang w:eastAsia="zh-CN"/>
              </w:rPr>
              <w:t>，其余外售</w:t>
            </w:r>
          </w:p>
        </w:tc>
      </w:tr>
      <w:tr w14:paraId="31649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506" w:type="pct"/>
            <w:tcBorders>
              <w:tl2br w:val="nil"/>
              <w:tr2bl w:val="nil"/>
            </w:tcBorders>
            <w:vAlign w:val="center"/>
          </w:tcPr>
          <w:p w14:paraId="0894807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557" w:type="pct"/>
            <w:tcBorders>
              <w:tl2br w:val="nil"/>
              <w:tr2bl w:val="nil"/>
            </w:tcBorders>
            <w:vAlign w:val="center"/>
          </w:tcPr>
          <w:p w14:paraId="4411BC3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w:t>
            </w:r>
          </w:p>
        </w:tc>
        <w:tc>
          <w:tcPr>
            <w:tcW w:w="1196" w:type="pct"/>
            <w:tcBorders>
              <w:tl2br w:val="nil"/>
              <w:tr2bl w:val="nil"/>
            </w:tcBorders>
            <w:vAlign w:val="center"/>
          </w:tcPr>
          <w:p w14:paraId="776F3A8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35</w:t>
            </w:r>
            <w:r>
              <w:rPr>
                <w:rFonts w:hint="eastAsia" w:eastAsia="宋体"/>
                <w:snapToGrid/>
                <w:color w:val="auto"/>
                <w:lang w:val="en-US" w:eastAsia="zh-CN"/>
              </w:rPr>
              <w:t>0</w:t>
            </w:r>
            <w:r>
              <w:rPr>
                <w:rFonts w:hint="eastAsia" w:eastAsia="宋体"/>
                <w:snapToGrid/>
                <w:color w:val="auto"/>
                <w:lang w:eastAsia="zh-CN"/>
              </w:rPr>
              <w:t>0t</w:t>
            </w:r>
          </w:p>
        </w:tc>
        <w:tc>
          <w:tcPr>
            <w:tcW w:w="1740" w:type="pct"/>
            <w:tcBorders>
              <w:tl2br w:val="nil"/>
              <w:tr2bl w:val="nil"/>
            </w:tcBorders>
            <w:vAlign w:val="center"/>
          </w:tcPr>
          <w:p w14:paraId="012632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采用厂区生产的聚乙烯颗粒进行生产</w:t>
            </w:r>
          </w:p>
        </w:tc>
      </w:tr>
    </w:tbl>
    <w:p w14:paraId="79FD321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（2）产品规格</w:t>
      </w:r>
    </w:p>
    <w:p w14:paraId="0177BD3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本项目产品执行《塑料节水灌溉器材第1部分：单翼迷宫式滴灌带》（GB/T19812.1-2017）中相关标准要求，具体见表3.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-3。</w:t>
      </w:r>
    </w:p>
    <w:p w14:paraId="69A1C369">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3.</w:t>
      </w:r>
      <w:r>
        <w:rPr>
          <w:rFonts w:hint="eastAsia" w:ascii="Times New Roman" w:hAnsi="Times New Roman" w:cs="Times New Roman"/>
          <w:b/>
          <w:bCs/>
          <w:snapToGrid/>
          <w:color w:val="auto"/>
          <w:sz w:val="24"/>
          <w:lang w:eastAsia="zh-CN"/>
        </w:rPr>
        <w:t>1</w:t>
      </w:r>
      <w:r>
        <w:rPr>
          <w:rFonts w:ascii="Times New Roman" w:hAnsi="Times New Roman" w:cs="Times New Roman"/>
          <w:b/>
          <w:bCs/>
          <w:snapToGrid/>
          <w:color w:val="auto"/>
          <w:sz w:val="24"/>
          <w:lang w:eastAsia="zh-CN"/>
        </w:rPr>
        <w:t>-3</w:t>
      </w:r>
      <w:r>
        <w:rPr>
          <w:rFonts w:ascii="Times New Roman" w:hAnsi="Times New Roman"/>
          <w:b/>
          <w:bCs/>
          <w:snapToGrid/>
          <w:color w:val="auto"/>
          <w:sz w:val="24"/>
          <w:lang w:eastAsia="zh-CN"/>
        </w:rPr>
        <w:t>滴灌带产品质量标准一览表</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96"/>
        <w:gridCol w:w="1144"/>
        <w:gridCol w:w="718"/>
        <w:gridCol w:w="715"/>
        <w:gridCol w:w="715"/>
        <w:gridCol w:w="1003"/>
        <w:gridCol w:w="669"/>
        <w:gridCol w:w="46"/>
        <w:gridCol w:w="715"/>
        <w:gridCol w:w="792"/>
        <w:gridCol w:w="698"/>
      </w:tblGrid>
      <w:tr w14:paraId="41A14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761" w:type="pct"/>
            <w:tcBorders>
              <w:tl2br w:val="nil"/>
              <w:tr2bl w:val="nil"/>
            </w:tcBorders>
            <w:vAlign w:val="center"/>
          </w:tcPr>
          <w:p w14:paraId="7DD27F5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4238" w:type="pct"/>
            <w:gridSpan w:val="10"/>
            <w:tcBorders>
              <w:tl2br w:val="nil"/>
              <w:tr2bl w:val="nil"/>
            </w:tcBorders>
            <w:vAlign w:val="center"/>
          </w:tcPr>
          <w:p w14:paraId="0F6C1D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标准</w:t>
            </w:r>
          </w:p>
        </w:tc>
      </w:tr>
      <w:tr w14:paraId="307AA9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761" w:type="pct"/>
            <w:tcBorders>
              <w:tl2br w:val="nil"/>
              <w:tr2bl w:val="nil"/>
            </w:tcBorders>
            <w:vAlign w:val="center"/>
          </w:tcPr>
          <w:p w14:paraId="644047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外观</w:t>
            </w:r>
          </w:p>
        </w:tc>
        <w:tc>
          <w:tcPr>
            <w:tcW w:w="4238" w:type="pct"/>
            <w:gridSpan w:val="10"/>
            <w:tcBorders>
              <w:tl2br w:val="nil"/>
              <w:tr2bl w:val="nil"/>
            </w:tcBorders>
            <w:vAlign w:val="center"/>
          </w:tcPr>
          <w:p w14:paraId="1102B8D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色泽均匀一致，表面光滑、平整，不应有气泡、挂料线、明显的未塑化物、杂质</w:t>
            </w:r>
          </w:p>
        </w:tc>
      </w:tr>
      <w:tr w14:paraId="23378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61" w:type="pct"/>
            <w:vMerge w:val="restart"/>
            <w:tcBorders>
              <w:tl2br w:val="nil"/>
              <w:tr2bl w:val="nil"/>
            </w:tcBorders>
            <w:vAlign w:val="center"/>
          </w:tcPr>
          <w:p w14:paraId="6CD24F6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公称内径及极限偏差（</w:t>
            </w:r>
            <w:r>
              <w:rPr>
                <w:rFonts w:ascii="Times New Roman" w:hAnsi="Times New Roman" w:eastAsia="宋体"/>
                <w:snapToGrid/>
                <w:color w:val="auto"/>
                <w:lang w:eastAsia="zh-CN"/>
              </w:rPr>
              <w:t>mm</w:t>
            </w:r>
            <w:r>
              <w:rPr>
                <w:rFonts w:ascii="Times New Roman" w:hAnsi="Times New Roman" w:eastAsia="宋体" w:cs="宋体"/>
                <w:snapToGrid/>
                <w:color w:val="auto"/>
                <w:lang w:eastAsia="zh-CN"/>
              </w:rPr>
              <w:t>）</w:t>
            </w:r>
          </w:p>
        </w:tc>
        <w:tc>
          <w:tcPr>
            <w:tcW w:w="672" w:type="pct"/>
            <w:tcBorders>
              <w:tl2br w:val="nil"/>
              <w:tr2bl w:val="nil"/>
            </w:tcBorders>
            <w:vAlign w:val="center"/>
          </w:tcPr>
          <w:p w14:paraId="5B3C37D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公称内径</w:t>
            </w:r>
          </w:p>
        </w:tc>
        <w:tc>
          <w:tcPr>
            <w:tcW w:w="841" w:type="pct"/>
            <w:gridSpan w:val="2"/>
            <w:tcBorders>
              <w:tl2br w:val="nil"/>
              <w:tr2bl w:val="nil"/>
            </w:tcBorders>
            <w:vAlign w:val="center"/>
          </w:tcPr>
          <w:p w14:paraId="303834C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w:t>
            </w:r>
          </w:p>
        </w:tc>
        <w:tc>
          <w:tcPr>
            <w:tcW w:w="1009" w:type="pct"/>
            <w:gridSpan w:val="2"/>
            <w:tcBorders>
              <w:tl2br w:val="nil"/>
              <w:tr2bl w:val="nil"/>
            </w:tcBorders>
            <w:vAlign w:val="center"/>
          </w:tcPr>
          <w:p w14:paraId="774CF30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16</w:t>
            </w:r>
          </w:p>
        </w:tc>
        <w:tc>
          <w:tcPr>
            <w:tcW w:w="840" w:type="pct"/>
            <w:gridSpan w:val="3"/>
            <w:tcBorders>
              <w:tl2br w:val="nil"/>
              <w:tr2bl w:val="nil"/>
            </w:tcBorders>
            <w:vAlign w:val="center"/>
          </w:tcPr>
          <w:p w14:paraId="5E13693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18</w:t>
            </w:r>
          </w:p>
        </w:tc>
        <w:tc>
          <w:tcPr>
            <w:tcW w:w="874" w:type="pct"/>
            <w:gridSpan w:val="2"/>
            <w:tcBorders>
              <w:tl2br w:val="nil"/>
              <w:tr2bl w:val="nil"/>
            </w:tcBorders>
            <w:vAlign w:val="center"/>
          </w:tcPr>
          <w:p w14:paraId="29B86CE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w:t>
            </w:r>
          </w:p>
        </w:tc>
      </w:tr>
      <w:tr w14:paraId="02C64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761" w:type="pct"/>
            <w:vMerge w:val="continue"/>
            <w:tcBorders>
              <w:tl2br w:val="nil"/>
              <w:tr2bl w:val="nil"/>
            </w:tcBorders>
            <w:vAlign w:val="center"/>
          </w:tcPr>
          <w:p w14:paraId="23A6E59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2" w:type="pct"/>
            <w:tcBorders>
              <w:tl2br w:val="nil"/>
              <w:tr2bl w:val="nil"/>
            </w:tcBorders>
            <w:vAlign w:val="center"/>
          </w:tcPr>
          <w:p w14:paraId="54C19DE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极限偏差</w:t>
            </w:r>
          </w:p>
        </w:tc>
        <w:tc>
          <w:tcPr>
            <w:tcW w:w="3566" w:type="pct"/>
            <w:gridSpan w:val="9"/>
            <w:tcBorders>
              <w:tl2br w:val="nil"/>
              <w:tr2bl w:val="nil"/>
            </w:tcBorders>
            <w:vAlign w:val="center"/>
          </w:tcPr>
          <w:p w14:paraId="22D28F0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w:t>
            </w:r>
            <w:r>
              <w:rPr>
                <w:rFonts w:eastAsia="宋体"/>
                <w:snapToGrid/>
                <w:color w:val="auto"/>
              </w:rPr>
              <w:t>0.3</w:t>
            </w:r>
          </w:p>
        </w:tc>
      </w:tr>
      <w:tr w14:paraId="4D2875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761" w:type="pct"/>
            <w:vMerge w:val="restart"/>
            <w:tcBorders>
              <w:tl2br w:val="nil"/>
              <w:tr2bl w:val="nil"/>
            </w:tcBorders>
            <w:vAlign w:val="center"/>
          </w:tcPr>
          <w:p w14:paraId="0B5F7B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公称壁厚及极限偏差（</w:t>
            </w:r>
            <w:r>
              <w:rPr>
                <w:rFonts w:ascii="Times New Roman" w:hAnsi="Times New Roman" w:eastAsia="宋体"/>
                <w:snapToGrid/>
                <w:color w:val="auto"/>
                <w:lang w:eastAsia="zh-CN"/>
              </w:rPr>
              <w:t>mm</w:t>
            </w:r>
            <w:r>
              <w:rPr>
                <w:rFonts w:ascii="Times New Roman" w:hAnsi="Times New Roman" w:eastAsia="宋体" w:cs="宋体"/>
                <w:snapToGrid/>
                <w:color w:val="auto"/>
                <w:lang w:eastAsia="zh-CN"/>
              </w:rPr>
              <w:t>）</w:t>
            </w:r>
          </w:p>
        </w:tc>
        <w:tc>
          <w:tcPr>
            <w:tcW w:w="672" w:type="pct"/>
            <w:tcBorders>
              <w:tl2br w:val="nil"/>
              <w:tr2bl w:val="nil"/>
            </w:tcBorders>
            <w:vAlign w:val="center"/>
          </w:tcPr>
          <w:p w14:paraId="6921A1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公称壁厚</w:t>
            </w:r>
          </w:p>
        </w:tc>
        <w:tc>
          <w:tcPr>
            <w:tcW w:w="421" w:type="pct"/>
            <w:tcBorders>
              <w:tl2br w:val="nil"/>
              <w:tr2bl w:val="nil"/>
            </w:tcBorders>
            <w:vAlign w:val="center"/>
          </w:tcPr>
          <w:p w14:paraId="4A3495B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0.14</w:t>
            </w:r>
          </w:p>
        </w:tc>
        <w:tc>
          <w:tcPr>
            <w:tcW w:w="420" w:type="pct"/>
            <w:tcBorders>
              <w:tl2br w:val="nil"/>
              <w:tr2bl w:val="nil"/>
            </w:tcBorders>
            <w:vAlign w:val="center"/>
          </w:tcPr>
          <w:p w14:paraId="5E5F9CB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0.16</w:t>
            </w:r>
          </w:p>
        </w:tc>
        <w:tc>
          <w:tcPr>
            <w:tcW w:w="420" w:type="pct"/>
            <w:tcBorders>
              <w:tl2br w:val="nil"/>
              <w:tr2bl w:val="nil"/>
            </w:tcBorders>
            <w:vAlign w:val="center"/>
          </w:tcPr>
          <w:p w14:paraId="150BE42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0.18</w:t>
            </w:r>
          </w:p>
        </w:tc>
        <w:tc>
          <w:tcPr>
            <w:tcW w:w="589" w:type="pct"/>
            <w:tcBorders>
              <w:tl2br w:val="nil"/>
              <w:tr2bl w:val="nil"/>
            </w:tcBorders>
            <w:vAlign w:val="center"/>
          </w:tcPr>
          <w:p w14:paraId="043CBD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0.20</w:t>
            </w:r>
          </w:p>
        </w:tc>
        <w:tc>
          <w:tcPr>
            <w:tcW w:w="420" w:type="pct"/>
            <w:gridSpan w:val="2"/>
            <w:tcBorders>
              <w:tl2br w:val="nil"/>
              <w:tr2bl w:val="nil"/>
            </w:tcBorders>
            <w:vAlign w:val="center"/>
          </w:tcPr>
          <w:p w14:paraId="294E2BE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0.22</w:t>
            </w:r>
          </w:p>
        </w:tc>
        <w:tc>
          <w:tcPr>
            <w:tcW w:w="420" w:type="pct"/>
            <w:tcBorders>
              <w:tl2br w:val="nil"/>
              <w:tr2bl w:val="nil"/>
            </w:tcBorders>
            <w:vAlign w:val="center"/>
          </w:tcPr>
          <w:p w14:paraId="36F7D0E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0.24</w:t>
            </w:r>
          </w:p>
        </w:tc>
        <w:tc>
          <w:tcPr>
            <w:tcW w:w="465" w:type="pct"/>
            <w:tcBorders>
              <w:tl2br w:val="nil"/>
              <w:tr2bl w:val="nil"/>
            </w:tcBorders>
            <w:vAlign w:val="center"/>
          </w:tcPr>
          <w:p w14:paraId="5C1520E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0.03</w:t>
            </w:r>
          </w:p>
        </w:tc>
        <w:tc>
          <w:tcPr>
            <w:tcW w:w="409" w:type="pct"/>
            <w:tcBorders>
              <w:tl2br w:val="nil"/>
              <w:tr2bl w:val="nil"/>
            </w:tcBorders>
            <w:vAlign w:val="center"/>
          </w:tcPr>
          <w:p w14:paraId="319C1D9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0.04</w:t>
            </w:r>
          </w:p>
        </w:tc>
      </w:tr>
      <w:tr w14:paraId="6354C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761" w:type="pct"/>
            <w:vMerge w:val="continue"/>
            <w:tcBorders>
              <w:tl2br w:val="nil"/>
              <w:tr2bl w:val="nil"/>
            </w:tcBorders>
            <w:vAlign w:val="center"/>
          </w:tcPr>
          <w:p w14:paraId="241FB1A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2" w:type="pct"/>
            <w:tcBorders>
              <w:tl2br w:val="nil"/>
              <w:tr2bl w:val="nil"/>
            </w:tcBorders>
            <w:vAlign w:val="center"/>
          </w:tcPr>
          <w:p w14:paraId="6EEFB2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极限偏差</w:t>
            </w:r>
          </w:p>
        </w:tc>
        <w:tc>
          <w:tcPr>
            <w:tcW w:w="3566" w:type="pct"/>
            <w:gridSpan w:val="9"/>
            <w:tcBorders>
              <w:tl2br w:val="nil"/>
              <w:tr2bl w:val="nil"/>
            </w:tcBorders>
            <w:vAlign w:val="center"/>
          </w:tcPr>
          <w:p w14:paraId="7C9460D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+0.04-0.02</w:t>
            </w:r>
          </w:p>
        </w:tc>
      </w:tr>
      <w:tr w14:paraId="725D4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761" w:type="pct"/>
            <w:tcBorders>
              <w:tl2br w:val="nil"/>
              <w:tr2bl w:val="nil"/>
            </w:tcBorders>
            <w:vAlign w:val="center"/>
          </w:tcPr>
          <w:p w14:paraId="477E66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每段卷数（个）</w:t>
            </w:r>
          </w:p>
        </w:tc>
        <w:tc>
          <w:tcPr>
            <w:tcW w:w="1094" w:type="pct"/>
            <w:gridSpan w:val="2"/>
            <w:tcBorders>
              <w:tl2br w:val="nil"/>
              <w:tr2bl w:val="nil"/>
            </w:tcBorders>
            <w:vAlign w:val="center"/>
          </w:tcPr>
          <w:p w14:paraId="5722F81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w:t>
            </w:r>
            <w:r>
              <w:rPr>
                <w:rFonts w:eastAsia="宋体"/>
                <w:snapToGrid/>
                <w:color w:val="auto"/>
              </w:rPr>
              <w:t>1000m</w:t>
            </w:r>
          </w:p>
        </w:tc>
        <w:tc>
          <w:tcPr>
            <w:tcW w:w="840" w:type="pct"/>
            <w:gridSpan w:val="2"/>
            <w:tcBorders>
              <w:tl2br w:val="nil"/>
              <w:tr2bl w:val="nil"/>
            </w:tcBorders>
            <w:vAlign w:val="center"/>
          </w:tcPr>
          <w:p w14:paraId="739423C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&gt;</w:t>
            </w:r>
            <w:r>
              <w:rPr>
                <w:rFonts w:eastAsia="宋体"/>
                <w:snapToGrid/>
                <w:color w:val="auto"/>
              </w:rPr>
              <w:t>1000m</w:t>
            </w:r>
          </w:p>
        </w:tc>
        <w:tc>
          <w:tcPr>
            <w:tcW w:w="589" w:type="pct"/>
            <w:tcBorders>
              <w:tl2br w:val="nil"/>
              <w:tr2bl w:val="nil"/>
            </w:tcBorders>
            <w:vAlign w:val="center"/>
          </w:tcPr>
          <w:p w14:paraId="152C930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每段长度（</w:t>
            </w:r>
            <w:r>
              <w:rPr>
                <w:rFonts w:eastAsia="宋体"/>
                <w:snapToGrid/>
                <w:color w:val="auto"/>
              </w:rPr>
              <w:t>m</w:t>
            </w:r>
            <w:r>
              <w:rPr>
                <w:rFonts w:eastAsia="宋体" w:cs="宋体"/>
                <w:snapToGrid/>
                <w:color w:val="auto"/>
              </w:rPr>
              <w:t>）</w:t>
            </w:r>
          </w:p>
        </w:tc>
        <w:tc>
          <w:tcPr>
            <w:tcW w:w="393" w:type="pct"/>
            <w:tcBorders>
              <w:tl2br w:val="nil"/>
              <w:tr2bl w:val="nil"/>
            </w:tcBorders>
            <w:vAlign w:val="center"/>
          </w:tcPr>
          <w:p w14:paraId="6A12684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w:t>
            </w:r>
            <w:r>
              <w:rPr>
                <w:rFonts w:eastAsia="宋体"/>
                <w:snapToGrid/>
                <w:color w:val="auto"/>
              </w:rPr>
              <w:t>200</w:t>
            </w:r>
          </w:p>
        </w:tc>
        <w:tc>
          <w:tcPr>
            <w:tcW w:w="912" w:type="pct"/>
            <w:gridSpan w:val="3"/>
            <w:tcBorders>
              <w:tl2br w:val="nil"/>
              <w:tr2bl w:val="nil"/>
            </w:tcBorders>
            <w:vAlign w:val="center"/>
          </w:tcPr>
          <w:p w14:paraId="5F3891F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每卷率（长度偏差</w:t>
            </w:r>
            <w:r>
              <w:rPr>
                <w:rFonts w:eastAsia="宋体"/>
                <w:snapToGrid/>
                <w:color w:val="auto"/>
              </w:rPr>
              <w:t>%</w:t>
            </w:r>
            <w:r>
              <w:rPr>
                <w:rFonts w:eastAsia="宋体" w:cs="宋体"/>
                <w:snapToGrid/>
                <w:color w:val="auto"/>
              </w:rPr>
              <w:t>）</w:t>
            </w:r>
          </w:p>
        </w:tc>
        <w:tc>
          <w:tcPr>
            <w:tcW w:w="409" w:type="pct"/>
            <w:tcBorders>
              <w:tl2br w:val="nil"/>
              <w:tr2bl w:val="nil"/>
            </w:tcBorders>
            <w:vAlign w:val="center"/>
          </w:tcPr>
          <w:p w14:paraId="18438BF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w:t>
            </w:r>
            <w:r>
              <w:rPr>
                <w:rFonts w:eastAsia="宋体"/>
                <w:snapToGrid/>
                <w:color w:val="auto"/>
              </w:rPr>
              <w:t>1.5</w:t>
            </w:r>
          </w:p>
        </w:tc>
      </w:tr>
    </w:tbl>
    <w:p w14:paraId="003F9B0A">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73" w:name="_Toc12456"/>
      <w:bookmarkStart w:id="374" w:name="_Toc21057"/>
      <w:bookmarkStart w:id="375" w:name="_Toc17009"/>
      <w:r>
        <w:rPr>
          <w:rFonts w:hint="eastAsia" w:ascii="Times New Roman" w:hAnsi="Times New Roman" w:eastAsia="宋体" w:cs="Times New Roman"/>
          <w:snapToGrid/>
          <w:color w:val="auto"/>
          <w:lang w:eastAsia="zh-CN"/>
        </w:rPr>
        <w:t>3.1.3原辅材料</w:t>
      </w:r>
      <w:bookmarkEnd w:id="373"/>
      <w:bookmarkEnd w:id="374"/>
      <w:bookmarkEnd w:id="375"/>
    </w:p>
    <w:p w14:paraId="232B6F8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（1）原辅材料消耗</w:t>
      </w:r>
    </w:p>
    <w:p w14:paraId="54625DE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本项目废旧滴灌带来自雀仁乡及周边村子，经过调查雀仁乡及周边村子无同类型企业，因此原料来源可以保证。</w:t>
      </w:r>
    </w:p>
    <w:p w14:paraId="5CB9DA5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滴灌带生产原料为回收的废旧滴灌带造粒形成的再生塑料颗粒及黑色母料、抗老化剂等。项目生产过程中废旧塑料清洗、废旧滴灌带造粒及滴灌带产品生产冷却过程需要用水，废旧滴灌带造粒及滴灌带生产加热均采用电加热。主要原、辅料耗量和来源详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-4。</w:t>
      </w:r>
    </w:p>
    <w:p w14:paraId="60FADB07">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-4本项目原辅材料用量情况一览表</w:t>
      </w: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2275"/>
        <w:gridCol w:w="1406"/>
        <w:gridCol w:w="1257"/>
        <w:gridCol w:w="1704"/>
        <w:gridCol w:w="1183"/>
      </w:tblGrid>
      <w:tr w14:paraId="268A5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401" w:type="pct"/>
            <w:tcBorders>
              <w:tl2br w:val="nil"/>
              <w:tr2bl w:val="nil"/>
            </w:tcBorders>
            <w:vAlign w:val="center"/>
          </w:tcPr>
          <w:p w14:paraId="12B193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336" w:type="pct"/>
            <w:tcBorders>
              <w:tl2br w:val="nil"/>
              <w:tr2bl w:val="nil"/>
            </w:tcBorders>
            <w:vAlign w:val="center"/>
          </w:tcPr>
          <w:p w14:paraId="41634F1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原料名称</w:t>
            </w:r>
          </w:p>
        </w:tc>
        <w:tc>
          <w:tcPr>
            <w:tcW w:w="826" w:type="pct"/>
            <w:tcBorders>
              <w:tl2br w:val="nil"/>
              <w:tr2bl w:val="nil"/>
            </w:tcBorders>
            <w:vAlign w:val="center"/>
          </w:tcPr>
          <w:p w14:paraId="19DCDD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年用量</w:t>
            </w:r>
          </w:p>
        </w:tc>
        <w:tc>
          <w:tcPr>
            <w:tcW w:w="738" w:type="pct"/>
            <w:tcBorders>
              <w:tl2br w:val="nil"/>
              <w:tr2bl w:val="nil"/>
            </w:tcBorders>
            <w:vAlign w:val="center"/>
          </w:tcPr>
          <w:p w14:paraId="492B26C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运输方式</w:t>
            </w:r>
          </w:p>
        </w:tc>
        <w:tc>
          <w:tcPr>
            <w:tcW w:w="1001" w:type="pct"/>
            <w:tcBorders>
              <w:tl2br w:val="nil"/>
              <w:tr2bl w:val="nil"/>
            </w:tcBorders>
            <w:vAlign w:val="center"/>
          </w:tcPr>
          <w:p w14:paraId="177CB7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来源</w:t>
            </w:r>
          </w:p>
        </w:tc>
        <w:tc>
          <w:tcPr>
            <w:tcW w:w="695" w:type="pct"/>
            <w:tcBorders>
              <w:tl2br w:val="nil"/>
              <w:tr2bl w:val="nil"/>
            </w:tcBorders>
            <w:vAlign w:val="center"/>
          </w:tcPr>
          <w:p w14:paraId="26A517A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存储方式</w:t>
            </w:r>
          </w:p>
        </w:tc>
      </w:tr>
      <w:tr w14:paraId="494DC7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401" w:type="pct"/>
            <w:tcBorders>
              <w:tl2br w:val="nil"/>
              <w:tr2bl w:val="nil"/>
            </w:tcBorders>
            <w:vAlign w:val="center"/>
          </w:tcPr>
          <w:p w14:paraId="24F789F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336" w:type="pct"/>
            <w:tcBorders>
              <w:tl2br w:val="nil"/>
              <w:tr2bl w:val="nil"/>
            </w:tcBorders>
            <w:vAlign w:val="center"/>
          </w:tcPr>
          <w:p w14:paraId="4775BEF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废旧滴灌带</w:t>
            </w:r>
          </w:p>
        </w:tc>
        <w:tc>
          <w:tcPr>
            <w:tcW w:w="826" w:type="pct"/>
            <w:tcBorders>
              <w:tl2br w:val="nil"/>
              <w:tr2bl w:val="nil"/>
            </w:tcBorders>
            <w:vAlign w:val="center"/>
          </w:tcPr>
          <w:p w14:paraId="0B2D21C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5517.2</w:t>
            </w:r>
            <w:r>
              <w:rPr>
                <w:rFonts w:eastAsia="宋体"/>
                <w:snapToGrid/>
                <w:color w:val="auto"/>
              </w:rPr>
              <w:t>t</w:t>
            </w:r>
          </w:p>
        </w:tc>
        <w:tc>
          <w:tcPr>
            <w:tcW w:w="738" w:type="pct"/>
            <w:tcBorders>
              <w:tl2br w:val="nil"/>
              <w:tr2bl w:val="nil"/>
            </w:tcBorders>
            <w:vAlign w:val="center"/>
          </w:tcPr>
          <w:p w14:paraId="5D76247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汽车</w:t>
            </w:r>
          </w:p>
        </w:tc>
        <w:tc>
          <w:tcPr>
            <w:tcW w:w="1001" w:type="pct"/>
            <w:tcBorders>
              <w:tl2br w:val="nil"/>
              <w:tr2bl w:val="nil"/>
            </w:tcBorders>
            <w:vAlign w:val="center"/>
          </w:tcPr>
          <w:p w14:paraId="1861BA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当地收购</w:t>
            </w:r>
          </w:p>
        </w:tc>
        <w:tc>
          <w:tcPr>
            <w:tcW w:w="695" w:type="pct"/>
            <w:tcBorders>
              <w:tl2br w:val="nil"/>
              <w:tr2bl w:val="nil"/>
            </w:tcBorders>
            <w:vAlign w:val="center"/>
          </w:tcPr>
          <w:p w14:paraId="782F4A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吨包，仓储</w:t>
            </w:r>
          </w:p>
        </w:tc>
      </w:tr>
      <w:tr w14:paraId="1DF39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401" w:type="pct"/>
            <w:tcBorders>
              <w:tl2br w:val="nil"/>
              <w:tr2bl w:val="nil"/>
            </w:tcBorders>
            <w:vAlign w:val="center"/>
          </w:tcPr>
          <w:p w14:paraId="47D8D2F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336" w:type="pct"/>
            <w:tcBorders>
              <w:tl2br w:val="nil"/>
              <w:tr2bl w:val="nil"/>
            </w:tcBorders>
            <w:vAlign w:val="center"/>
          </w:tcPr>
          <w:p w14:paraId="642271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新聚乙烯树脂</w:t>
            </w:r>
          </w:p>
        </w:tc>
        <w:tc>
          <w:tcPr>
            <w:tcW w:w="826" w:type="pct"/>
            <w:tcBorders>
              <w:tl2br w:val="nil"/>
              <w:tr2bl w:val="nil"/>
            </w:tcBorders>
            <w:vAlign w:val="center"/>
          </w:tcPr>
          <w:p w14:paraId="185E7E96">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14</w:t>
            </w:r>
            <w:r>
              <w:rPr>
                <w:rFonts w:eastAsia="宋体"/>
                <w:snapToGrid/>
                <w:color w:val="auto"/>
              </w:rPr>
              <w:t>t</w:t>
            </w:r>
          </w:p>
        </w:tc>
        <w:tc>
          <w:tcPr>
            <w:tcW w:w="738" w:type="pct"/>
            <w:tcBorders>
              <w:tl2br w:val="nil"/>
              <w:tr2bl w:val="nil"/>
            </w:tcBorders>
            <w:vAlign w:val="center"/>
          </w:tcPr>
          <w:p w14:paraId="7C2B03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汽车</w:t>
            </w:r>
          </w:p>
        </w:tc>
        <w:tc>
          <w:tcPr>
            <w:tcW w:w="1001" w:type="pct"/>
            <w:tcBorders>
              <w:tl2br w:val="nil"/>
              <w:tr2bl w:val="nil"/>
            </w:tcBorders>
            <w:vAlign w:val="center"/>
          </w:tcPr>
          <w:p w14:paraId="192008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周边市场采购</w:t>
            </w:r>
          </w:p>
        </w:tc>
        <w:tc>
          <w:tcPr>
            <w:tcW w:w="695" w:type="pct"/>
            <w:tcBorders>
              <w:tl2br w:val="nil"/>
              <w:tr2bl w:val="nil"/>
            </w:tcBorders>
            <w:vAlign w:val="center"/>
          </w:tcPr>
          <w:p w14:paraId="7CFD56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吨包，仓储</w:t>
            </w:r>
          </w:p>
        </w:tc>
      </w:tr>
      <w:tr w14:paraId="475E0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401" w:type="pct"/>
            <w:tcBorders>
              <w:tl2br w:val="nil"/>
              <w:tr2bl w:val="nil"/>
            </w:tcBorders>
            <w:vAlign w:val="center"/>
          </w:tcPr>
          <w:p w14:paraId="251DC76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1336" w:type="pct"/>
            <w:tcBorders>
              <w:tl2br w:val="nil"/>
              <w:tr2bl w:val="nil"/>
            </w:tcBorders>
            <w:vAlign w:val="center"/>
          </w:tcPr>
          <w:p w14:paraId="027689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抗老化剂、黑色母料、消泡剂</w:t>
            </w:r>
          </w:p>
        </w:tc>
        <w:tc>
          <w:tcPr>
            <w:tcW w:w="826" w:type="pct"/>
            <w:tcBorders>
              <w:tl2br w:val="nil"/>
              <w:tr2bl w:val="nil"/>
            </w:tcBorders>
            <w:vAlign w:val="center"/>
          </w:tcPr>
          <w:p w14:paraId="188EE5AA">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20t</w:t>
            </w:r>
          </w:p>
        </w:tc>
        <w:tc>
          <w:tcPr>
            <w:tcW w:w="738" w:type="pct"/>
            <w:tcBorders>
              <w:tl2br w:val="nil"/>
              <w:tr2bl w:val="nil"/>
            </w:tcBorders>
            <w:vAlign w:val="center"/>
          </w:tcPr>
          <w:p w14:paraId="3D0D619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汽车</w:t>
            </w:r>
          </w:p>
        </w:tc>
        <w:tc>
          <w:tcPr>
            <w:tcW w:w="1001" w:type="pct"/>
            <w:tcBorders>
              <w:tl2br w:val="nil"/>
              <w:tr2bl w:val="nil"/>
            </w:tcBorders>
            <w:vAlign w:val="center"/>
          </w:tcPr>
          <w:p w14:paraId="456666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周边市场采购</w:t>
            </w:r>
          </w:p>
        </w:tc>
        <w:tc>
          <w:tcPr>
            <w:tcW w:w="695" w:type="pct"/>
            <w:tcBorders>
              <w:tl2br w:val="nil"/>
              <w:tr2bl w:val="nil"/>
            </w:tcBorders>
            <w:vAlign w:val="center"/>
          </w:tcPr>
          <w:p w14:paraId="047CEB5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吨包，仓储</w:t>
            </w:r>
          </w:p>
        </w:tc>
      </w:tr>
      <w:tr w14:paraId="61108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401" w:type="pct"/>
            <w:tcBorders>
              <w:tl2br w:val="nil"/>
              <w:tr2bl w:val="nil"/>
            </w:tcBorders>
            <w:vAlign w:val="center"/>
          </w:tcPr>
          <w:p w14:paraId="7D726B8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1336" w:type="pct"/>
            <w:tcBorders>
              <w:tl2br w:val="nil"/>
              <w:tr2bl w:val="nil"/>
            </w:tcBorders>
            <w:vAlign w:val="center"/>
          </w:tcPr>
          <w:p w14:paraId="29944B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新鲜水</w:t>
            </w:r>
          </w:p>
        </w:tc>
        <w:tc>
          <w:tcPr>
            <w:tcW w:w="826" w:type="pct"/>
            <w:tcBorders>
              <w:tl2br w:val="nil"/>
              <w:tr2bl w:val="nil"/>
            </w:tcBorders>
            <w:vAlign w:val="center"/>
          </w:tcPr>
          <w:p w14:paraId="3925FF7C">
            <w:pPr>
              <w:pStyle w:val="37"/>
              <w:widowControl w:val="0"/>
              <w:shd w:val="clear"/>
              <w:kinsoku/>
              <w:autoSpaceDE/>
              <w:autoSpaceDN/>
              <w:adjustRightInd/>
              <w:snapToGrid/>
              <w:spacing w:line="360" w:lineRule="auto"/>
              <w:jc w:val="center"/>
              <w:textAlignment w:val="auto"/>
              <w:rPr>
                <w:rFonts w:hint="default" w:eastAsia="宋体"/>
                <w:snapToGrid/>
                <w:color w:val="auto"/>
                <w:lang w:val="en-US"/>
              </w:rPr>
            </w:pPr>
            <w:r>
              <w:rPr>
                <w:rFonts w:hint="eastAsia" w:eastAsia="宋体"/>
                <w:snapToGrid/>
                <w:color w:val="auto"/>
                <w:lang w:val="en-US" w:eastAsia="zh-CN"/>
              </w:rPr>
              <w:t>3360t</w:t>
            </w:r>
          </w:p>
        </w:tc>
        <w:tc>
          <w:tcPr>
            <w:tcW w:w="738" w:type="pct"/>
            <w:tcBorders>
              <w:tl2br w:val="nil"/>
              <w:tr2bl w:val="nil"/>
            </w:tcBorders>
            <w:vAlign w:val="center"/>
          </w:tcPr>
          <w:p w14:paraId="01C7010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管网</w:t>
            </w:r>
          </w:p>
        </w:tc>
        <w:tc>
          <w:tcPr>
            <w:tcW w:w="1001" w:type="pct"/>
            <w:tcBorders>
              <w:tl2br w:val="nil"/>
              <w:tr2bl w:val="nil"/>
            </w:tcBorders>
            <w:vAlign w:val="center"/>
          </w:tcPr>
          <w:p w14:paraId="4A7F40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供水管网</w:t>
            </w:r>
          </w:p>
        </w:tc>
        <w:tc>
          <w:tcPr>
            <w:tcW w:w="695" w:type="pct"/>
            <w:tcBorders>
              <w:tl2br w:val="nil"/>
              <w:tr2bl w:val="nil"/>
            </w:tcBorders>
            <w:vAlign w:val="center"/>
          </w:tcPr>
          <w:p w14:paraId="0ED01DB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00B73E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401" w:type="pct"/>
            <w:tcBorders>
              <w:tl2br w:val="nil"/>
              <w:tr2bl w:val="nil"/>
            </w:tcBorders>
            <w:vAlign w:val="center"/>
          </w:tcPr>
          <w:p w14:paraId="52016C4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1336" w:type="pct"/>
            <w:tcBorders>
              <w:tl2br w:val="nil"/>
              <w:tr2bl w:val="nil"/>
            </w:tcBorders>
            <w:vAlign w:val="center"/>
          </w:tcPr>
          <w:p w14:paraId="1BA466A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电</w:t>
            </w:r>
          </w:p>
        </w:tc>
        <w:tc>
          <w:tcPr>
            <w:tcW w:w="826" w:type="pct"/>
            <w:tcBorders>
              <w:tl2br w:val="nil"/>
              <w:tr2bl w:val="nil"/>
            </w:tcBorders>
            <w:vAlign w:val="center"/>
          </w:tcPr>
          <w:p w14:paraId="0D0282E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20</w:t>
            </w:r>
            <w:r>
              <w:rPr>
                <w:rFonts w:eastAsia="宋体" w:cs="宋体"/>
                <w:snapToGrid/>
                <w:color w:val="auto"/>
              </w:rPr>
              <w:t>万</w:t>
            </w:r>
            <w:r>
              <w:rPr>
                <w:rFonts w:eastAsia="宋体"/>
                <w:snapToGrid/>
                <w:color w:val="auto"/>
              </w:rPr>
              <w:t>kWh</w:t>
            </w:r>
          </w:p>
        </w:tc>
        <w:tc>
          <w:tcPr>
            <w:tcW w:w="738" w:type="pct"/>
            <w:tcBorders>
              <w:tl2br w:val="nil"/>
              <w:tr2bl w:val="nil"/>
            </w:tcBorders>
            <w:vAlign w:val="center"/>
          </w:tcPr>
          <w:p w14:paraId="3464FC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电网</w:t>
            </w:r>
          </w:p>
        </w:tc>
        <w:tc>
          <w:tcPr>
            <w:tcW w:w="1001" w:type="pct"/>
            <w:tcBorders>
              <w:tl2br w:val="nil"/>
              <w:tr2bl w:val="nil"/>
            </w:tcBorders>
            <w:vAlign w:val="center"/>
          </w:tcPr>
          <w:p w14:paraId="213BCF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市政供电网</w:t>
            </w:r>
          </w:p>
        </w:tc>
        <w:tc>
          <w:tcPr>
            <w:tcW w:w="695" w:type="pct"/>
            <w:tcBorders>
              <w:tl2br w:val="nil"/>
              <w:tr2bl w:val="nil"/>
            </w:tcBorders>
            <w:vAlign w:val="center"/>
          </w:tcPr>
          <w:p w14:paraId="0EA590F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10F6EDB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（2）原料用量及理化性质</w:t>
      </w:r>
    </w:p>
    <w:p w14:paraId="6C0A152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本项目原辅材料理化性见表3.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-5。</w:t>
      </w:r>
    </w:p>
    <w:p w14:paraId="59D9E9FE">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-5本项目原辅材料理化性一览表</w:t>
      </w:r>
    </w:p>
    <w:tbl>
      <w:tblPr>
        <w:tblStyle w:val="36"/>
        <w:tblW w:w="842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70"/>
        <w:gridCol w:w="7054"/>
      </w:tblGrid>
      <w:tr w14:paraId="13CA8B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370" w:type="dxa"/>
            <w:tcBorders>
              <w:tl2br w:val="nil"/>
              <w:tr2bl w:val="nil"/>
            </w:tcBorders>
            <w:vAlign w:val="center"/>
          </w:tcPr>
          <w:p w14:paraId="17F2AA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名称</w:t>
            </w:r>
          </w:p>
        </w:tc>
        <w:tc>
          <w:tcPr>
            <w:tcW w:w="7054" w:type="dxa"/>
            <w:tcBorders>
              <w:tl2br w:val="nil"/>
              <w:tr2bl w:val="nil"/>
            </w:tcBorders>
            <w:vAlign w:val="center"/>
          </w:tcPr>
          <w:p w14:paraId="538AED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性质及其组分</w:t>
            </w:r>
          </w:p>
        </w:tc>
      </w:tr>
      <w:tr w14:paraId="5FB9EC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23" w:hRule="atLeast"/>
          <w:jc w:val="center"/>
        </w:trPr>
        <w:tc>
          <w:tcPr>
            <w:tcW w:w="1370" w:type="dxa"/>
            <w:tcBorders>
              <w:tl2br w:val="nil"/>
              <w:tr2bl w:val="nil"/>
            </w:tcBorders>
            <w:vAlign w:val="center"/>
          </w:tcPr>
          <w:p w14:paraId="5C52F9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废旧滴灌带</w:t>
            </w:r>
          </w:p>
        </w:tc>
        <w:tc>
          <w:tcPr>
            <w:tcW w:w="7054" w:type="dxa"/>
            <w:tcBorders>
              <w:tl2br w:val="nil"/>
              <w:tr2bl w:val="nil"/>
            </w:tcBorders>
            <w:vAlign w:val="center"/>
          </w:tcPr>
          <w:p w14:paraId="7645682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本项目的废旧滴灌带来源于当地农户种植作物后，产生的废旧滴灌带。废旧滴灌带表面主要为泥沙、尘土，少量废作物残渣，不含有毒有害物质。主要成分为聚乙烯，无臭，无毒，手感似蜡，具有优良的耐低温性能</w:t>
            </w:r>
            <w:r>
              <w:rPr>
                <w:rFonts w:hint="eastAsia" w:eastAsia="宋体"/>
                <w:snapToGrid/>
                <w:color w:val="auto"/>
                <w:lang w:eastAsia="zh-CN"/>
              </w:rPr>
              <w:t>（</w:t>
            </w:r>
            <w:r>
              <w:rPr>
                <w:rFonts w:eastAsia="宋体" w:cs="宋体"/>
                <w:snapToGrid/>
                <w:color w:val="auto"/>
                <w:lang w:eastAsia="zh-CN"/>
              </w:rPr>
              <w:t>最低使用温度可达</w:t>
            </w:r>
            <w:r>
              <w:rPr>
                <w:rFonts w:eastAsia="宋体"/>
                <w:snapToGrid/>
                <w:color w:val="auto"/>
                <w:lang w:eastAsia="zh-CN"/>
              </w:rPr>
              <w:t>-70</w:t>
            </w:r>
            <w:r>
              <w:rPr>
                <w:rFonts w:eastAsia="宋体" w:cs="宋体"/>
                <w:snapToGrid/>
                <w:color w:val="auto"/>
                <w:lang w:eastAsia="zh-CN"/>
              </w:rPr>
              <w:t>～</w:t>
            </w:r>
            <w:r>
              <w:rPr>
                <w:rFonts w:eastAsia="宋体"/>
                <w:snapToGrid/>
                <w:color w:val="auto"/>
                <w:lang w:eastAsia="zh-CN"/>
              </w:rPr>
              <w:t>-100</w:t>
            </w:r>
            <w:r>
              <w:rPr>
                <w:rFonts w:eastAsia="宋体" w:cs="宋体"/>
                <w:snapToGrid/>
                <w:color w:val="auto"/>
                <w:lang w:eastAsia="zh-CN"/>
              </w:rPr>
              <w:t>℃</w:t>
            </w:r>
            <w:r>
              <w:rPr>
                <w:rFonts w:hint="eastAsia" w:eastAsia="宋体"/>
                <w:snapToGrid/>
                <w:color w:val="auto"/>
                <w:lang w:eastAsia="zh-CN"/>
              </w:rPr>
              <w:t>）</w:t>
            </w:r>
            <w:r>
              <w:rPr>
                <w:rFonts w:eastAsia="宋体" w:cs="宋体"/>
                <w:snapToGrid/>
                <w:color w:val="auto"/>
                <w:lang w:eastAsia="zh-CN"/>
              </w:rPr>
              <w:t>，化学稳定性好，能耐大多数酸碱的侵蚀，常温下不溶于一般溶剂，吸水性小，但由于其为线性分子可缓慢溶于某些有机溶剂，且不发生溶胀，电绝缘性能优良。</w:t>
            </w:r>
          </w:p>
        </w:tc>
      </w:tr>
      <w:tr w14:paraId="4C836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1370" w:type="dxa"/>
            <w:tcBorders>
              <w:tl2br w:val="nil"/>
              <w:tr2bl w:val="nil"/>
            </w:tcBorders>
            <w:vAlign w:val="center"/>
          </w:tcPr>
          <w:p w14:paraId="7AAFCB1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抗老化剂</w:t>
            </w:r>
          </w:p>
        </w:tc>
        <w:tc>
          <w:tcPr>
            <w:tcW w:w="7054" w:type="dxa"/>
            <w:tcBorders>
              <w:tl2br w:val="nil"/>
              <w:tr2bl w:val="nil"/>
            </w:tcBorders>
            <w:vAlign w:val="center"/>
          </w:tcPr>
          <w:p w14:paraId="450E313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抗老化剂使用量非常小，主要成分为醌类等自由基捕获剂。超强的紫外线吸收能力；不易燃、不腐蚀、贮存稳定性好；与不饱和树脂的相容性良好，兼具长效抗氧、抗黄变作用性能；极高的安全性。它不但可以取代铅镉盐类和有机锡类等有毒稳定剂，而且具有相当好的热稳定性、光稳定性和透明性及着色力，是一种良好的无毒稳定剂。</w:t>
            </w:r>
          </w:p>
        </w:tc>
      </w:tr>
      <w:tr w14:paraId="7346E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3" w:hRule="atLeast"/>
          <w:jc w:val="center"/>
        </w:trPr>
        <w:tc>
          <w:tcPr>
            <w:tcW w:w="1370" w:type="dxa"/>
            <w:tcBorders>
              <w:tl2br w:val="nil"/>
              <w:tr2bl w:val="nil"/>
            </w:tcBorders>
            <w:vAlign w:val="center"/>
          </w:tcPr>
          <w:p w14:paraId="681ABCE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黑色母料</w:t>
            </w:r>
          </w:p>
        </w:tc>
        <w:tc>
          <w:tcPr>
            <w:tcW w:w="7054" w:type="dxa"/>
            <w:tcBorders>
              <w:tl2br w:val="nil"/>
              <w:tr2bl w:val="nil"/>
            </w:tcBorders>
            <w:vAlign w:val="center"/>
          </w:tcPr>
          <w:p w14:paraId="64CEF9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default"/>
                <w:color w:val="auto"/>
              </w:rPr>
              <w:t>黑色母</w:t>
            </w:r>
            <w:r>
              <w:rPr>
                <w:rFonts w:hint="eastAsia"/>
                <w:color w:val="auto"/>
                <w:lang w:eastAsia="zh-CN"/>
              </w:rPr>
              <w:t>料</w:t>
            </w:r>
            <w:r>
              <w:rPr>
                <w:rFonts w:hint="default"/>
                <w:color w:val="auto"/>
              </w:rPr>
              <w:t>是由炭黑、载体和助剂通过注塑等工序环节所生产的色母原料，适用于大部分热性树脂注塑、抽粒、压板、线材、管材等工艺。</w:t>
            </w:r>
            <w:r>
              <w:rPr>
                <w:rFonts w:hint="eastAsia"/>
                <w:color w:val="auto"/>
                <w:lang w:val="en-US" w:eastAsia="zh-CN"/>
              </w:rPr>
              <w:t>黑</w:t>
            </w:r>
            <w:r>
              <w:rPr>
                <w:rFonts w:hint="default"/>
                <w:color w:val="auto"/>
                <w:lang w:val="en-US" w:eastAsia="zh-CN"/>
              </w:rPr>
              <w:t>色母料</w:t>
            </w:r>
            <w:r>
              <w:rPr>
                <w:rFonts w:hint="default"/>
                <w:color w:val="auto"/>
              </w:rPr>
              <w:t>外观为</w:t>
            </w:r>
            <w:r>
              <w:rPr>
                <w:rFonts w:hint="eastAsia" w:eastAsia="宋体"/>
                <w:color w:val="auto"/>
                <w:lang w:eastAsia="zh-CN"/>
              </w:rPr>
              <w:t>圆柱形</w:t>
            </w:r>
            <w:r>
              <w:rPr>
                <w:rFonts w:hint="default"/>
                <w:color w:val="auto"/>
              </w:rPr>
              <w:t>黑色体，堆积比重为950kg/m</w:t>
            </w:r>
            <w:r>
              <w:rPr>
                <w:rFonts w:hint="default"/>
                <w:color w:val="auto"/>
                <w:vertAlign w:val="superscript"/>
              </w:rPr>
              <w:t>3</w:t>
            </w:r>
            <w:r>
              <w:rPr>
                <w:rFonts w:hint="default"/>
                <w:color w:val="auto"/>
              </w:rPr>
              <w:t>，熔点为130~350℃。</w:t>
            </w:r>
            <w:r>
              <w:rPr>
                <w:rFonts w:hint="eastAsia"/>
                <w:color w:val="auto"/>
                <w:lang w:val="en-US" w:eastAsia="zh-CN"/>
              </w:rPr>
              <w:t>黑</w:t>
            </w:r>
            <w:r>
              <w:rPr>
                <w:rFonts w:hint="default"/>
                <w:color w:val="auto"/>
                <w:lang w:val="en-US" w:eastAsia="zh-CN"/>
              </w:rPr>
              <w:t>色母料</w:t>
            </w:r>
            <w:r>
              <w:rPr>
                <w:rFonts w:hint="default"/>
                <w:color w:val="auto"/>
              </w:rPr>
              <w:t>广泛应用于塑料加工行业，如注塑成型、挤出成型和吹塑成型等。在现实生活中，它广泛应用于汽车塑料件的注塑成型中，塑料管材的挤出成型中，农</w:t>
            </w:r>
            <w:r>
              <w:rPr>
                <w:rFonts w:hint="eastAsia"/>
                <w:color w:val="auto"/>
                <w:lang w:eastAsia="zh-CN"/>
              </w:rPr>
              <w:t>用</w:t>
            </w:r>
            <w:r>
              <w:rPr>
                <w:rFonts w:hint="default"/>
                <w:color w:val="auto"/>
              </w:rPr>
              <w:t>地膜及土工材料的生产中。</w:t>
            </w:r>
            <w:r>
              <w:rPr>
                <w:rFonts w:hint="eastAsia"/>
                <w:color w:val="auto"/>
                <w:lang w:val="en-US" w:eastAsia="zh-CN"/>
              </w:rPr>
              <w:t>黑</w:t>
            </w:r>
            <w:r>
              <w:rPr>
                <w:rFonts w:hint="default"/>
                <w:color w:val="auto"/>
                <w:lang w:val="en-US" w:eastAsia="zh-CN"/>
              </w:rPr>
              <w:t>色母料</w:t>
            </w:r>
            <w:r>
              <w:rPr>
                <w:rFonts w:hint="default"/>
                <w:color w:val="auto"/>
              </w:rPr>
              <w:t>环保、无毒、无味、无烟，产品表面光滑亮泽和实色颜色稳定，不会出现色点和色纹等现象，既降低成本，节约添加剂，减少厂房场地污染。</w:t>
            </w:r>
          </w:p>
        </w:tc>
      </w:tr>
      <w:tr w14:paraId="2D1B97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 w:hRule="atLeast"/>
          <w:jc w:val="center"/>
        </w:trPr>
        <w:tc>
          <w:tcPr>
            <w:tcW w:w="1370" w:type="dxa"/>
            <w:tcBorders>
              <w:tl2br w:val="nil"/>
              <w:tr2bl w:val="nil"/>
            </w:tcBorders>
            <w:vAlign w:val="center"/>
          </w:tcPr>
          <w:p w14:paraId="01B972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聚乙烯</w:t>
            </w:r>
          </w:p>
        </w:tc>
        <w:tc>
          <w:tcPr>
            <w:tcW w:w="7054" w:type="dxa"/>
            <w:tcBorders>
              <w:tl2br w:val="nil"/>
              <w:tr2bl w:val="nil"/>
            </w:tcBorders>
            <w:vAlign w:val="center"/>
          </w:tcPr>
          <w:p w14:paraId="425EC4B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性质：聚乙烯无臭，无毒，手感似蜡，具有优良的耐低温性能</w:t>
            </w:r>
            <w:r>
              <w:rPr>
                <w:rFonts w:hint="eastAsia" w:eastAsia="宋体"/>
                <w:snapToGrid/>
                <w:color w:val="auto"/>
                <w:lang w:eastAsia="zh-CN"/>
              </w:rPr>
              <w:t>（</w:t>
            </w:r>
            <w:r>
              <w:rPr>
                <w:rFonts w:eastAsia="宋体" w:cs="宋体"/>
                <w:snapToGrid/>
                <w:color w:val="auto"/>
                <w:lang w:eastAsia="zh-CN"/>
              </w:rPr>
              <w:t>最低使用温度可达</w:t>
            </w:r>
            <w:r>
              <w:rPr>
                <w:rFonts w:eastAsia="宋体"/>
                <w:snapToGrid/>
                <w:color w:val="auto"/>
                <w:lang w:eastAsia="zh-CN"/>
              </w:rPr>
              <w:t>-70</w:t>
            </w:r>
            <w:r>
              <w:rPr>
                <w:rFonts w:eastAsia="宋体" w:cs="宋体"/>
                <w:snapToGrid/>
                <w:color w:val="auto"/>
                <w:lang w:eastAsia="zh-CN"/>
              </w:rPr>
              <w:t>～</w:t>
            </w:r>
            <w:r>
              <w:rPr>
                <w:rFonts w:eastAsia="宋体"/>
                <w:snapToGrid/>
                <w:color w:val="auto"/>
                <w:lang w:eastAsia="zh-CN"/>
              </w:rPr>
              <w:t>-100</w:t>
            </w:r>
            <w:r>
              <w:rPr>
                <w:rFonts w:eastAsia="宋体" w:cs="宋体"/>
                <w:snapToGrid/>
                <w:color w:val="auto"/>
                <w:lang w:eastAsia="zh-CN"/>
              </w:rPr>
              <w:t>℃</w:t>
            </w:r>
            <w:r>
              <w:rPr>
                <w:rFonts w:hint="eastAsia" w:eastAsia="宋体"/>
                <w:snapToGrid/>
                <w:color w:val="auto"/>
                <w:lang w:eastAsia="zh-CN"/>
              </w:rPr>
              <w:t>）</w:t>
            </w:r>
            <w:r>
              <w:rPr>
                <w:rFonts w:eastAsia="宋体" w:cs="宋体"/>
                <w:snapToGrid/>
                <w:color w:val="auto"/>
                <w:lang w:eastAsia="zh-CN"/>
              </w:rPr>
              <w:t>，熔点在</w:t>
            </w:r>
            <w:r>
              <w:rPr>
                <w:rFonts w:eastAsia="宋体"/>
                <w:snapToGrid/>
                <w:color w:val="auto"/>
                <w:lang w:eastAsia="zh-CN"/>
              </w:rPr>
              <w:t>132-135</w:t>
            </w:r>
            <w:r>
              <w:rPr>
                <w:rFonts w:eastAsia="宋体" w:cs="宋体"/>
                <w:snapToGrid/>
                <w:color w:val="auto"/>
                <w:lang w:eastAsia="zh-CN"/>
              </w:rPr>
              <w:t>℃</w:t>
            </w:r>
            <w:r>
              <w:rPr>
                <w:rFonts w:hint="eastAsia" w:eastAsia="宋体" w:cs="宋体"/>
                <w:snapToGrid/>
                <w:color w:val="auto"/>
                <w:lang w:eastAsia="zh-CN"/>
              </w:rPr>
              <w:t>，</w:t>
            </w:r>
            <w:r>
              <w:rPr>
                <w:rFonts w:eastAsia="宋体" w:cs="宋体"/>
                <w:snapToGrid/>
                <w:color w:val="auto"/>
                <w:lang w:eastAsia="zh-CN"/>
              </w:rPr>
              <w:t>裂解温度</w:t>
            </w:r>
            <w:r>
              <w:rPr>
                <w:rFonts w:eastAsia="宋体"/>
                <w:snapToGrid/>
                <w:color w:val="auto"/>
                <w:lang w:eastAsia="zh-CN"/>
              </w:rPr>
              <w:t>≥380</w:t>
            </w:r>
            <w:r>
              <w:rPr>
                <w:rFonts w:eastAsia="宋体" w:cs="宋体"/>
                <w:snapToGrid/>
                <w:color w:val="auto"/>
                <w:lang w:eastAsia="zh-CN"/>
              </w:rPr>
              <w:t>℃</w:t>
            </w:r>
            <w:r>
              <w:rPr>
                <w:rFonts w:hint="eastAsia" w:eastAsia="宋体" w:cs="宋体"/>
                <w:snapToGrid/>
                <w:color w:val="auto"/>
                <w:lang w:eastAsia="zh-CN"/>
              </w:rPr>
              <w:t>，</w:t>
            </w:r>
            <w:r>
              <w:rPr>
                <w:rFonts w:eastAsia="宋体" w:cs="宋体"/>
                <w:snapToGrid/>
                <w:color w:val="auto"/>
                <w:lang w:eastAsia="zh-CN"/>
              </w:rPr>
              <w:t>脆裂温度</w:t>
            </w:r>
            <w:r>
              <w:rPr>
                <w:rFonts w:eastAsia="宋体"/>
                <w:snapToGrid/>
                <w:color w:val="auto"/>
                <w:lang w:eastAsia="zh-CN"/>
              </w:rPr>
              <w:t>-70</w:t>
            </w:r>
            <w:r>
              <w:rPr>
                <w:rFonts w:eastAsia="宋体" w:cs="宋体"/>
                <w:snapToGrid/>
                <w:color w:val="auto"/>
                <w:lang w:eastAsia="zh-CN"/>
              </w:rPr>
              <w:t>℃</w:t>
            </w:r>
            <w:r>
              <w:rPr>
                <w:rFonts w:hint="eastAsia" w:eastAsia="宋体" w:cs="宋体"/>
                <w:snapToGrid/>
                <w:color w:val="auto"/>
                <w:lang w:eastAsia="zh-CN"/>
              </w:rPr>
              <w:t>，</w:t>
            </w:r>
            <w:r>
              <w:rPr>
                <w:rFonts w:eastAsia="宋体" w:cs="宋体"/>
                <w:snapToGrid/>
                <w:color w:val="auto"/>
                <w:lang w:eastAsia="zh-CN"/>
              </w:rPr>
              <w:t>化学稳定性好，能耐大多数酸碱的侵蚀</w:t>
            </w:r>
            <w:r>
              <w:rPr>
                <w:rFonts w:hint="eastAsia" w:eastAsia="宋体"/>
                <w:snapToGrid/>
                <w:color w:val="auto"/>
                <w:lang w:eastAsia="zh-CN"/>
              </w:rPr>
              <w:t>（</w:t>
            </w:r>
            <w:r>
              <w:rPr>
                <w:rFonts w:eastAsia="宋体" w:cs="宋体"/>
                <w:snapToGrid/>
                <w:color w:val="auto"/>
                <w:lang w:eastAsia="zh-CN"/>
              </w:rPr>
              <w:t>不耐具有氧化性质的酸</w:t>
            </w:r>
            <w:r>
              <w:rPr>
                <w:rFonts w:hint="eastAsia" w:eastAsia="宋体"/>
                <w:snapToGrid/>
                <w:color w:val="auto"/>
                <w:lang w:eastAsia="zh-CN"/>
              </w:rPr>
              <w:t>）</w:t>
            </w:r>
            <w:r>
              <w:rPr>
                <w:rFonts w:eastAsia="宋体" w:cs="宋体"/>
                <w:snapToGrid/>
                <w:color w:val="auto"/>
                <w:lang w:eastAsia="zh-CN"/>
              </w:rPr>
              <w:t>，常温下不溶于一般溶剂，吸水性小，电绝缘性能优良。聚乙烯依聚合方法、分子量高低、链结构之不同，分高密度聚乙烯、低密度聚乙烯及线性低密度聚乙烯，本项目回收废旧滴灌带为低密度聚乙烯。</w:t>
            </w:r>
          </w:p>
          <w:p w14:paraId="48ACED6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组分：聚乙烯英文名称：</w:t>
            </w:r>
            <w:r>
              <w:rPr>
                <w:rFonts w:eastAsia="宋体"/>
                <w:snapToGrid/>
                <w:color w:val="auto"/>
                <w:lang w:eastAsia="zh-CN"/>
              </w:rPr>
              <w:t>polyethylene</w:t>
            </w:r>
            <w:r>
              <w:rPr>
                <w:rFonts w:eastAsia="宋体" w:cs="宋体"/>
                <w:snapToGrid/>
                <w:color w:val="auto"/>
                <w:lang w:eastAsia="zh-CN"/>
              </w:rPr>
              <w:t>，简称</w:t>
            </w:r>
            <w:r>
              <w:rPr>
                <w:rFonts w:eastAsia="宋体"/>
                <w:snapToGrid/>
                <w:color w:val="auto"/>
                <w:lang w:eastAsia="zh-CN"/>
              </w:rPr>
              <w:t>PE</w:t>
            </w:r>
            <w:r>
              <w:rPr>
                <w:rFonts w:eastAsia="宋体" w:cs="宋体"/>
                <w:snapToGrid/>
                <w:color w:val="auto"/>
                <w:lang w:eastAsia="zh-CN"/>
              </w:rPr>
              <w:t>，是乙烯经聚合制得的一种热塑性树脂。在工业上，也包括乙烯与少量</w:t>
            </w:r>
            <w:r>
              <w:rPr>
                <w:rFonts w:eastAsia="宋体"/>
                <w:snapToGrid/>
                <w:color w:val="auto"/>
              </w:rPr>
              <w:t>α</w:t>
            </w:r>
            <w:r>
              <w:rPr>
                <w:rFonts w:eastAsia="宋体" w:cs="宋体"/>
                <w:snapToGrid/>
                <w:color w:val="auto"/>
                <w:lang w:eastAsia="zh-CN"/>
              </w:rPr>
              <w:t>-烯烃的共聚物。</w:t>
            </w:r>
          </w:p>
        </w:tc>
      </w:tr>
      <w:tr w14:paraId="2621E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75" w:hRule="atLeast"/>
          <w:jc w:val="center"/>
        </w:trPr>
        <w:tc>
          <w:tcPr>
            <w:tcW w:w="1370" w:type="dxa"/>
            <w:tcBorders>
              <w:tl2br w:val="nil"/>
              <w:tr2bl w:val="nil"/>
            </w:tcBorders>
            <w:vAlign w:val="center"/>
          </w:tcPr>
          <w:p w14:paraId="16988D3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滤网</w:t>
            </w:r>
          </w:p>
        </w:tc>
        <w:tc>
          <w:tcPr>
            <w:tcW w:w="7054" w:type="dxa"/>
            <w:tcBorders>
              <w:tl2br w:val="nil"/>
              <w:tr2bl w:val="nil"/>
            </w:tcBorders>
            <w:vAlign w:val="center"/>
          </w:tcPr>
          <w:p w14:paraId="756E5E3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PE</w:t>
            </w:r>
            <w:r>
              <w:rPr>
                <w:rFonts w:eastAsia="宋体" w:cs="宋体"/>
                <w:snapToGrid/>
                <w:color w:val="auto"/>
                <w:lang w:eastAsia="zh-CN"/>
              </w:rPr>
              <w:t>造粒、滴灌带生产中，原料中细小的杂质及泥沙，都会对产品质量造成很大影响，为此项目在</w:t>
            </w:r>
            <w:r>
              <w:rPr>
                <w:rFonts w:eastAsia="宋体"/>
                <w:snapToGrid/>
                <w:color w:val="auto"/>
                <w:lang w:eastAsia="zh-CN"/>
              </w:rPr>
              <w:t>PE</w:t>
            </w:r>
            <w:r>
              <w:rPr>
                <w:rFonts w:eastAsia="宋体" w:cs="宋体"/>
                <w:snapToGrid/>
                <w:color w:val="auto"/>
                <w:lang w:eastAsia="zh-CN"/>
              </w:rPr>
              <w:t>熔融后、成型前设置过滤网组，用于阻截原料中的杂质及泥沙。过滤网组由五层过滤网组成，分别为</w:t>
            </w:r>
            <w:r>
              <w:rPr>
                <w:rFonts w:eastAsia="宋体"/>
                <w:snapToGrid/>
                <w:color w:val="auto"/>
                <w:lang w:eastAsia="zh-CN"/>
              </w:rPr>
              <w:t>60</w:t>
            </w:r>
            <w:r>
              <w:rPr>
                <w:rFonts w:eastAsia="宋体" w:cs="宋体"/>
                <w:snapToGrid/>
                <w:color w:val="auto"/>
                <w:lang w:eastAsia="zh-CN"/>
              </w:rPr>
              <w:t>目</w:t>
            </w:r>
            <w:r>
              <w:rPr>
                <w:rFonts w:eastAsia="宋体"/>
                <w:snapToGrid/>
                <w:color w:val="auto"/>
                <w:lang w:eastAsia="zh-CN"/>
              </w:rPr>
              <w:t>+80</w:t>
            </w:r>
            <w:r>
              <w:rPr>
                <w:rFonts w:eastAsia="宋体" w:cs="宋体"/>
                <w:snapToGrid/>
                <w:color w:val="auto"/>
                <w:lang w:eastAsia="zh-CN"/>
              </w:rPr>
              <w:t>目</w:t>
            </w:r>
            <w:r>
              <w:rPr>
                <w:rFonts w:eastAsia="宋体"/>
                <w:snapToGrid/>
                <w:color w:val="auto"/>
                <w:lang w:eastAsia="zh-CN"/>
              </w:rPr>
              <w:t>+80</w:t>
            </w:r>
            <w:r>
              <w:rPr>
                <w:rFonts w:eastAsia="宋体" w:cs="宋体"/>
                <w:snapToGrid/>
                <w:color w:val="auto"/>
                <w:lang w:eastAsia="zh-CN"/>
              </w:rPr>
              <w:t>目</w:t>
            </w:r>
            <w:r>
              <w:rPr>
                <w:rFonts w:eastAsia="宋体"/>
                <w:snapToGrid/>
                <w:color w:val="auto"/>
                <w:lang w:eastAsia="zh-CN"/>
              </w:rPr>
              <w:t>+80</w:t>
            </w:r>
            <w:r>
              <w:rPr>
                <w:rFonts w:eastAsia="宋体" w:cs="宋体"/>
                <w:snapToGrid/>
                <w:color w:val="auto"/>
                <w:lang w:eastAsia="zh-CN"/>
              </w:rPr>
              <w:t>目</w:t>
            </w:r>
            <w:r>
              <w:rPr>
                <w:rFonts w:eastAsia="宋体"/>
                <w:snapToGrid/>
                <w:color w:val="auto"/>
                <w:lang w:eastAsia="zh-CN"/>
              </w:rPr>
              <w:t>+60</w:t>
            </w:r>
            <w:r>
              <w:rPr>
                <w:rFonts w:eastAsia="宋体" w:cs="宋体"/>
                <w:snapToGrid/>
                <w:color w:val="auto"/>
                <w:lang w:eastAsia="zh-CN"/>
              </w:rPr>
              <w:t>目不锈钢金属丝网。使用一段时间丝网由于堵塞、变形，需进行更换。</w:t>
            </w:r>
          </w:p>
        </w:tc>
      </w:tr>
    </w:tbl>
    <w:p w14:paraId="7D07164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（3）废旧塑料来源、种类控制和贮存要求</w:t>
      </w:r>
    </w:p>
    <w:p w14:paraId="13EDD3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1）废原料的来源、种类控制</w:t>
      </w:r>
    </w:p>
    <w:p w14:paraId="25E5C91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本项目回收的废旧滴灌带主要为当地农户农业生产产生的废旧塑料，本项目回收废旧塑料主要从各个</w:t>
      </w:r>
      <w:r>
        <w:rPr>
          <w:rFonts w:hint="eastAsia" w:ascii="Times New Roman" w:hAnsi="Times New Roman"/>
          <w:snapToGrid/>
          <w:color w:val="auto"/>
          <w:sz w:val="24"/>
          <w:szCs w:val="24"/>
          <w:lang w:val="en-US" w:eastAsia="zh-CN"/>
        </w:rPr>
        <w:t>乡镇回收</w:t>
      </w:r>
      <w:r>
        <w:rPr>
          <w:rFonts w:ascii="Times New Roman" w:hAnsi="Times New Roman"/>
          <w:snapToGrid/>
          <w:color w:val="auto"/>
          <w:sz w:val="24"/>
          <w:szCs w:val="24"/>
          <w:lang w:eastAsia="zh-CN"/>
        </w:rPr>
        <w:t>，回收过程进行初步分选，除去大部分杂质，本项目从各</w:t>
      </w:r>
      <w:r>
        <w:rPr>
          <w:rFonts w:hint="eastAsia" w:ascii="Times New Roman" w:hAnsi="Times New Roman"/>
          <w:snapToGrid/>
          <w:color w:val="auto"/>
          <w:sz w:val="24"/>
          <w:szCs w:val="24"/>
          <w:lang w:val="en-US" w:eastAsia="zh-CN"/>
        </w:rPr>
        <w:t>乡镇</w:t>
      </w:r>
      <w:r>
        <w:rPr>
          <w:rFonts w:ascii="Times New Roman" w:hAnsi="Times New Roman"/>
          <w:snapToGrid/>
          <w:color w:val="auto"/>
          <w:sz w:val="24"/>
          <w:szCs w:val="24"/>
          <w:lang w:eastAsia="zh-CN"/>
        </w:rPr>
        <w:t>回收废旧塑料过程需控制废塑料中杂质含量，尽量减少杂质带入厂区，环评要求企业在厂区内堆存废旧塑料期间进行严格的管理，回收的废旧塑料经汽车运送至厂区后暂存于原料堆场，采取半封闭堆棚中暂存方式，避免产生粉尘等或大风天气对周围环境空气的影响。</w:t>
      </w:r>
      <w:bookmarkStart w:id="376" w:name="bookmark67"/>
      <w:bookmarkEnd w:id="376"/>
      <w:r>
        <w:rPr>
          <w:rFonts w:ascii="Times New Roman" w:hAnsi="Times New Roman"/>
          <w:snapToGrid/>
          <w:color w:val="auto"/>
          <w:sz w:val="24"/>
          <w:szCs w:val="24"/>
          <w:lang w:eastAsia="zh-CN"/>
        </w:rPr>
        <w:t>根据建设单位对项目区域调查，本项目回收废旧滴灌带范围主要包括</w:t>
      </w:r>
      <w:r>
        <w:rPr>
          <w:rFonts w:hint="eastAsia" w:ascii="Times New Roman" w:hAnsi="Times New Roman"/>
          <w:snapToGrid/>
          <w:color w:val="auto"/>
          <w:sz w:val="24"/>
          <w:szCs w:val="24"/>
          <w:lang w:eastAsia="zh-CN"/>
        </w:rPr>
        <w:t>雀仁乡</w:t>
      </w:r>
      <w:r>
        <w:rPr>
          <w:rFonts w:ascii="Times New Roman" w:hAnsi="Times New Roman"/>
          <w:snapToGrid/>
          <w:color w:val="auto"/>
          <w:sz w:val="24"/>
          <w:szCs w:val="24"/>
          <w:lang w:eastAsia="zh-CN"/>
        </w:rPr>
        <w:t>等，回收农田面积约为20万亩，废旧滴灌带产生量可达</w:t>
      </w:r>
      <w:r>
        <w:rPr>
          <w:rFonts w:hint="eastAsia" w:ascii="Times New Roman" w:hAnsi="Times New Roman"/>
          <w:snapToGrid/>
          <w:color w:val="auto"/>
          <w:sz w:val="24"/>
          <w:szCs w:val="24"/>
          <w:lang w:eastAsia="zh-CN"/>
        </w:rPr>
        <w:t>5000</w:t>
      </w:r>
      <w:r>
        <w:rPr>
          <w:rFonts w:ascii="Times New Roman" w:hAnsi="Times New Roman"/>
          <w:snapToGrid/>
          <w:color w:val="auto"/>
          <w:sz w:val="24"/>
          <w:szCs w:val="24"/>
          <w:lang w:eastAsia="zh-CN"/>
        </w:rPr>
        <w:t>t/a，</w:t>
      </w:r>
      <w:r>
        <w:rPr>
          <w:rFonts w:hint="eastAsia" w:ascii="Times New Roman" w:hAnsi="Times New Roman"/>
          <w:snapToGrid/>
          <w:color w:val="auto"/>
          <w:sz w:val="24"/>
          <w:szCs w:val="24"/>
          <w:lang w:eastAsia="zh-CN"/>
        </w:rPr>
        <w:t>经过调查雀仁乡及周边村子无同类型企业，</w:t>
      </w:r>
      <w:r>
        <w:rPr>
          <w:rFonts w:ascii="Times New Roman" w:hAnsi="Times New Roman"/>
          <w:snapToGrid/>
          <w:color w:val="auto"/>
          <w:sz w:val="24"/>
          <w:szCs w:val="24"/>
          <w:lang w:eastAsia="zh-CN"/>
        </w:rPr>
        <w:t>因此项目原料均有可靠来源，可保证本项目稳定运行。</w:t>
      </w:r>
    </w:p>
    <w:p w14:paraId="7B6017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2）原料质量管理控制要求</w:t>
      </w:r>
    </w:p>
    <w:p w14:paraId="3080BFC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①本项目所回收的废旧塑料主要是农户生产产生的废旧滴灌带，废旧滴灌带主要成分为聚乙烯，均不包括含有卤素、苯的废塑料。</w:t>
      </w:r>
    </w:p>
    <w:p w14:paraId="5649C8D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②本项目所回收的废旧塑料主要是聚乙烯废塑料；其他携带特性物质的废塑料不允许本建设单位回收加工，主要提出以下的管理控制细则：</w:t>
      </w:r>
    </w:p>
    <w:p w14:paraId="67AB165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a.企业按照《废塑料污染控制技术规范》（HJ364-2022）提出的回收要求、包装和运输要求、储存要求进行严格控制，在执行过程中如达不到要求，进行限期整改或停止生产。</w:t>
      </w:r>
    </w:p>
    <w:p w14:paraId="29848B2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b.企业本着保护环境、废旧物品资源化利用的原则，制定严格的管理制度，进行自查，以确保原料来源的适合性和合理性，禁止回收不符合本项目处理要求的任何废旧塑料。</w:t>
      </w:r>
    </w:p>
    <w:p w14:paraId="5CDA39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3）原料回收负面清单分析</w:t>
      </w:r>
    </w:p>
    <w:p w14:paraId="3ACC375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根据废旧塑料回收相关规定，对于明确不能回收利用的废旧塑料种类，建设单位应禁止收购，并提出废旧塑料收购负面清单，详见表3.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-6。</w:t>
      </w:r>
    </w:p>
    <w:p w14:paraId="3FFC11AF">
      <w:pPr>
        <w:pStyle w:val="2"/>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-6废旧塑料回收负面清单</w:t>
      </w:r>
    </w:p>
    <w:tbl>
      <w:tblPr>
        <w:tblStyle w:val="3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59"/>
        <w:gridCol w:w="474"/>
        <w:gridCol w:w="2423"/>
        <w:gridCol w:w="4789"/>
        <w:gridCol w:w="568"/>
      </w:tblGrid>
      <w:tr w14:paraId="78C55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0" w:type="auto"/>
            <w:tcBorders>
              <w:tl2br w:val="nil"/>
              <w:tr2bl w:val="nil"/>
            </w:tcBorders>
            <w:vAlign w:val="center"/>
          </w:tcPr>
          <w:p w14:paraId="443F4F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0" w:type="auto"/>
            <w:tcBorders>
              <w:tl2br w:val="nil"/>
              <w:tr2bl w:val="nil"/>
            </w:tcBorders>
            <w:vAlign w:val="center"/>
          </w:tcPr>
          <w:p w14:paraId="4BD2FA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物质名称</w:t>
            </w:r>
          </w:p>
        </w:tc>
        <w:tc>
          <w:tcPr>
            <w:tcW w:w="0" w:type="auto"/>
            <w:tcBorders>
              <w:tl2br w:val="nil"/>
              <w:tr2bl w:val="nil"/>
            </w:tcBorders>
            <w:vAlign w:val="center"/>
          </w:tcPr>
          <w:p w14:paraId="77DEB25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定义</w:t>
            </w:r>
          </w:p>
        </w:tc>
        <w:tc>
          <w:tcPr>
            <w:tcW w:w="0" w:type="auto"/>
            <w:tcBorders>
              <w:tl2br w:val="nil"/>
              <w:tr2bl w:val="nil"/>
            </w:tcBorders>
            <w:vAlign w:val="center"/>
          </w:tcPr>
          <w:p w14:paraId="356CA6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具体物质</w:t>
            </w:r>
          </w:p>
        </w:tc>
        <w:tc>
          <w:tcPr>
            <w:tcW w:w="0" w:type="auto"/>
            <w:tcBorders>
              <w:tl2br w:val="nil"/>
              <w:tr2bl w:val="nil"/>
            </w:tcBorders>
            <w:vAlign w:val="center"/>
          </w:tcPr>
          <w:p w14:paraId="2429F5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控制对策</w:t>
            </w:r>
          </w:p>
        </w:tc>
      </w:tr>
      <w:tr w14:paraId="2200D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98" w:hRule="atLeast"/>
          <w:jc w:val="center"/>
        </w:trPr>
        <w:tc>
          <w:tcPr>
            <w:tcW w:w="0" w:type="auto"/>
            <w:tcBorders>
              <w:tl2br w:val="nil"/>
              <w:tr2bl w:val="nil"/>
            </w:tcBorders>
            <w:vAlign w:val="center"/>
          </w:tcPr>
          <w:p w14:paraId="44D03B3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0" w:type="auto"/>
            <w:tcBorders>
              <w:tl2br w:val="nil"/>
              <w:tr2bl w:val="nil"/>
            </w:tcBorders>
            <w:vAlign w:val="center"/>
          </w:tcPr>
          <w:p w14:paraId="037CE8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含医疗废物的废旧塑料</w:t>
            </w:r>
          </w:p>
        </w:tc>
        <w:tc>
          <w:tcPr>
            <w:tcW w:w="0" w:type="auto"/>
            <w:tcBorders>
              <w:tl2br w:val="nil"/>
              <w:tr2bl w:val="nil"/>
            </w:tcBorders>
            <w:vAlign w:val="center"/>
          </w:tcPr>
          <w:p w14:paraId="69E010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指医疗卫生机构在医疗、预防、保健以及其他相关活动中产生的具有直接或者间接感染性、毒性以及其他危害性的废物</w:t>
            </w:r>
          </w:p>
        </w:tc>
        <w:tc>
          <w:tcPr>
            <w:tcW w:w="0" w:type="auto"/>
            <w:tcBorders>
              <w:tl2br w:val="nil"/>
              <w:tr2bl w:val="nil"/>
            </w:tcBorders>
            <w:vAlign w:val="center"/>
          </w:tcPr>
          <w:p w14:paraId="53D657D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主要为一次性医疗器具、手术后的废弃品，包括塑料药瓶、塑料输液瓶、输液器、针管等（详见医疗废物分类目录）</w:t>
            </w:r>
          </w:p>
        </w:tc>
        <w:tc>
          <w:tcPr>
            <w:tcW w:w="0" w:type="auto"/>
            <w:tcBorders>
              <w:tl2br w:val="nil"/>
              <w:tr2bl w:val="nil"/>
            </w:tcBorders>
            <w:vAlign w:val="center"/>
          </w:tcPr>
          <w:p w14:paraId="60F494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禁止收购或用作原料用于生产</w:t>
            </w:r>
          </w:p>
        </w:tc>
      </w:tr>
      <w:tr w14:paraId="6BB93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3" w:hRule="atLeast"/>
          <w:jc w:val="center"/>
        </w:trPr>
        <w:tc>
          <w:tcPr>
            <w:tcW w:w="0" w:type="auto"/>
            <w:tcBorders>
              <w:tl2br w:val="nil"/>
              <w:tr2bl w:val="nil"/>
            </w:tcBorders>
            <w:vAlign w:val="center"/>
          </w:tcPr>
          <w:p w14:paraId="15E239F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0" w:type="auto"/>
            <w:tcBorders>
              <w:tl2br w:val="nil"/>
              <w:tr2bl w:val="nil"/>
            </w:tcBorders>
            <w:vAlign w:val="center"/>
          </w:tcPr>
          <w:p w14:paraId="22D71B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含危险废物的废旧塑料</w:t>
            </w:r>
          </w:p>
        </w:tc>
        <w:tc>
          <w:tcPr>
            <w:tcW w:w="0" w:type="auto"/>
            <w:tcBorders>
              <w:tl2br w:val="nil"/>
              <w:tr2bl w:val="nil"/>
            </w:tcBorders>
            <w:vAlign w:val="center"/>
          </w:tcPr>
          <w:p w14:paraId="313CD0D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指列入国家危险废物名录或者根据国家规定的危险废物鉴别标准和鉴别方法认定的具有危险特性的废物</w:t>
            </w:r>
          </w:p>
        </w:tc>
        <w:tc>
          <w:tcPr>
            <w:tcW w:w="0" w:type="auto"/>
            <w:tcBorders>
              <w:tl2br w:val="nil"/>
              <w:tr2bl w:val="nil"/>
            </w:tcBorders>
            <w:vAlign w:val="center"/>
          </w:tcPr>
          <w:p w14:paraId="0523E415">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农药废弃包装物、盛装过危险废物的塑料容器等，详见</w:t>
            </w:r>
            <w:r>
              <w:rPr>
                <w:rFonts w:hint="eastAsia" w:eastAsia="宋体" w:cs="宋体"/>
                <w:snapToGrid/>
                <w:color w:val="auto"/>
                <w:lang w:eastAsia="zh-CN"/>
              </w:rPr>
              <w:t>《国家危险废物名录》（</w:t>
            </w:r>
            <w:r>
              <w:rPr>
                <w:rFonts w:hint="eastAsia" w:eastAsia="宋体" w:cs="宋体"/>
                <w:snapToGrid/>
                <w:color w:val="auto"/>
                <w:lang w:val="en-US" w:eastAsia="zh-CN"/>
              </w:rPr>
              <w:t>2025</w:t>
            </w:r>
            <w:r>
              <w:rPr>
                <w:rFonts w:hint="eastAsia" w:eastAsia="宋体" w:cs="宋体"/>
                <w:snapToGrid/>
                <w:color w:val="auto"/>
                <w:lang w:eastAsia="zh-CN"/>
              </w:rPr>
              <w:t>年版）</w:t>
            </w:r>
          </w:p>
        </w:tc>
        <w:tc>
          <w:tcPr>
            <w:tcW w:w="0" w:type="auto"/>
            <w:tcBorders>
              <w:tl2br w:val="nil"/>
              <w:tr2bl w:val="nil"/>
            </w:tcBorders>
            <w:vAlign w:val="center"/>
          </w:tcPr>
          <w:p w14:paraId="4CF19A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禁止收购或用作原料用于生产</w:t>
            </w:r>
          </w:p>
        </w:tc>
      </w:tr>
      <w:tr w14:paraId="1391D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0" w:type="auto"/>
            <w:tcBorders>
              <w:tl2br w:val="nil"/>
              <w:tr2bl w:val="nil"/>
            </w:tcBorders>
            <w:vAlign w:val="center"/>
          </w:tcPr>
          <w:p w14:paraId="3B7D938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0" w:type="auto"/>
            <w:tcBorders>
              <w:tl2br w:val="nil"/>
              <w:tr2bl w:val="nil"/>
            </w:tcBorders>
            <w:vAlign w:val="center"/>
          </w:tcPr>
          <w:p w14:paraId="5B9112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含聚氯乙烯的废旧塑料</w:t>
            </w:r>
          </w:p>
        </w:tc>
        <w:tc>
          <w:tcPr>
            <w:tcW w:w="0" w:type="auto"/>
            <w:tcBorders>
              <w:tl2br w:val="nil"/>
              <w:tr2bl w:val="nil"/>
            </w:tcBorders>
            <w:vAlign w:val="center"/>
          </w:tcPr>
          <w:p w14:paraId="677B14DD">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eastAsia="宋体" w:cs="宋体"/>
                <w:snapToGrid/>
                <w:color w:val="auto"/>
                <w:lang w:eastAsia="zh-CN"/>
              </w:rPr>
              <w:t>是氯乙烯单体在过氧化物、偶氮化合物等引发剂；或在光、热作用下按自由基聚合反应机理聚合而成的聚合物简称</w:t>
            </w:r>
            <w:r>
              <w:rPr>
                <w:rFonts w:ascii="Times New Roman" w:hAnsi="Times New Roman" w:eastAsia="宋体"/>
                <w:snapToGrid/>
                <w:color w:val="auto"/>
                <w:lang w:eastAsia="zh-CN"/>
              </w:rPr>
              <w:t>PVC</w:t>
            </w:r>
          </w:p>
        </w:tc>
        <w:tc>
          <w:tcPr>
            <w:tcW w:w="0" w:type="auto"/>
            <w:tcBorders>
              <w:tl2br w:val="nil"/>
              <w:tr2bl w:val="nil"/>
            </w:tcBorders>
            <w:vAlign w:val="center"/>
          </w:tcPr>
          <w:p w14:paraId="77DC454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包括保温板、</w:t>
            </w:r>
            <w:r>
              <w:rPr>
                <w:rFonts w:eastAsia="宋体"/>
                <w:snapToGrid/>
                <w:color w:val="auto"/>
                <w:lang w:eastAsia="zh-CN"/>
              </w:rPr>
              <w:t>PVC</w:t>
            </w:r>
            <w:r>
              <w:rPr>
                <w:rFonts w:eastAsia="宋体" w:cs="宋体"/>
                <w:snapToGrid/>
                <w:color w:val="auto"/>
                <w:lang w:eastAsia="zh-CN"/>
              </w:rPr>
              <w:t>管材、电线电缆、包装膜、瓶、发泡材料、</w:t>
            </w:r>
            <w:r>
              <w:rPr>
                <w:rFonts w:eastAsia="宋体"/>
                <w:snapToGrid/>
                <w:color w:val="auto"/>
                <w:lang w:eastAsia="zh-CN"/>
              </w:rPr>
              <w:t>PVC</w:t>
            </w:r>
            <w:r>
              <w:rPr>
                <w:rFonts w:eastAsia="宋体" w:cs="宋体"/>
                <w:snapToGrid/>
                <w:color w:val="auto"/>
                <w:lang w:eastAsia="zh-CN"/>
              </w:rPr>
              <w:t>密封材料、鞋底、塑料玩具、塑料门窗、电线外皮、塑料文具等</w:t>
            </w:r>
          </w:p>
        </w:tc>
        <w:tc>
          <w:tcPr>
            <w:tcW w:w="0" w:type="auto"/>
            <w:tcBorders>
              <w:tl2br w:val="nil"/>
              <w:tr2bl w:val="nil"/>
            </w:tcBorders>
            <w:vAlign w:val="center"/>
          </w:tcPr>
          <w:p w14:paraId="585A198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禁止收购或用作原料用于生产</w:t>
            </w:r>
          </w:p>
        </w:tc>
      </w:tr>
      <w:tr w14:paraId="5C7A2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0" w:type="auto"/>
            <w:tcBorders>
              <w:tl2br w:val="nil"/>
              <w:tr2bl w:val="nil"/>
            </w:tcBorders>
            <w:vAlign w:val="center"/>
          </w:tcPr>
          <w:p w14:paraId="5D31A0F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w:t>
            </w:r>
          </w:p>
        </w:tc>
        <w:tc>
          <w:tcPr>
            <w:tcW w:w="0" w:type="auto"/>
            <w:tcBorders>
              <w:tl2br w:val="nil"/>
              <w:tr2bl w:val="nil"/>
            </w:tcBorders>
            <w:vAlign w:val="center"/>
          </w:tcPr>
          <w:p w14:paraId="53F8E7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含聚苯乙烯的废旧塑料</w:t>
            </w:r>
          </w:p>
        </w:tc>
        <w:tc>
          <w:tcPr>
            <w:tcW w:w="0" w:type="auto"/>
            <w:tcBorders>
              <w:tl2br w:val="nil"/>
              <w:tr2bl w:val="nil"/>
            </w:tcBorders>
            <w:vAlign w:val="center"/>
          </w:tcPr>
          <w:p w14:paraId="0EE3013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是指由苯乙烯单体经自由基加聚反应合成的聚合物</w:t>
            </w:r>
          </w:p>
        </w:tc>
        <w:tc>
          <w:tcPr>
            <w:tcW w:w="0" w:type="auto"/>
            <w:tcBorders>
              <w:tl2br w:val="nil"/>
              <w:tr2bl w:val="nil"/>
            </w:tcBorders>
            <w:vAlign w:val="center"/>
          </w:tcPr>
          <w:p w14:paraId="1B0764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包括一次性餐具、塑料汽车部件、包装材料、塑料玩具、塑料音像制品、光盘磁盘盒、灯具和室内饰件等</w:t>
            </w:r>
          </w:p>
        </w:tc>
        <w:tc>
          <w:tcPr>
            <w:tcW w:w="0" w:type="auto"/>
            <w:tcBorders>
              <w:tl2br w:val="nil"/>
              <w:tr2bl w:val="nil"/>
            </w:tcBorders>
            <w:vAlign w:val="center"/>
          </w:tcPr>
          <w:p w14:paraId="05AD17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禁止收购或用作原料用于生产</w:t>
            </w:r>
          </w:p>
        </w:tc>
      </w:tr>
      <w:tr w14:paraId="6EB14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8" w:hRule="atLeast"/>
          <w:jc w:val="center"/>
        </w:trPr>
        <w:tc>
          <w:tcPr>
            <w:tcW w:w="0" w:type="auto"/>
            <w:tcBorders>
              <w:tl2br w:val="nil"/>
              <w:tr2bl w:val="nil"/>
            </w:tcBorders>
            <w:vAlign w:val="center"/>
          </w:tcPr>
          <w:p w14:paraId="5482BEB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w:t>
            </w:r>
          </w:p>
        </w:tc>
        <w:tc>
          <w:tcPr>
            <w:tcW w:w="0" w:type="auto"/>
            <w:tcBorders>
              <w:tl2br w:val="nil"/>
              <w:tr2bl w:val="nil"/>
            </w:tcBorders>
            <w:vAlign w:val="center"/>
          </w:tcPr>
          <w:p w14:paraId="36DB24A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含苯乙烯</w:t>
            </w:r>
            <w:r>
              <w:rPr>
                <w:rFonts w:eastAsia="宋体"/>
                <w:snapToGrid/>
                <w:color w:val="auto"/>
                <w:lang w:eastAsia="zh-CN"/>
              </w:rPr>
              <w:t>-</w:t>
            </w:r>
            <w:r>
              <w:rPr>
                <w:rFonts w:eastAsia="宋体" w:cs="宋体"/>
                <w:snapToGrid/>
                <w:color w:val="auto"/>
                <w:lang w:eastAsia="zh-CN"/>
              </w:rPr>
              <w:t>丙</w:t>
            </w:r>
          </w:p>
          <w:p w14:paraId="101B1B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烯腈的废旧</w:t>
            </w:r>
          </w:p>
          <w:p w14:paraId="7B0933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塑料</w:t>
            </w:r>
          </w:p>
        </w:tc>
        <w:tc>
          <w:tcPr>
            <w:tcW w:w="0" w:type="auto"/>
            <w:tcBorders>
              <w:tl2br w:val="nil"/>
              <w:tr2bl w:val="nil"/>
            </w:tcBorders>
            <w:vAlign w:val="center"/>
          </w:tcPr>
          <w:p w14:paraId="3962BA0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lang w:eastAsia="zh-CN"/>
              </w:rPr>
              <w:t>以丙烯腈和苯乙烯为原料用悬浮法聚合而得到的，使用热引发剂引发亦可，</w:t>
            </w:r>
            <w:r>
              <w:rPr>
                <w:rFonts w:ascii="Times New Roman" w:hAnsi="Times New Roman" w:eastAsia="宋体" w:cs="宋体"/>
                <w:snapToGrid/>
                <w:color w:val="auto"/>
              </w:rPr>
              <w:t>也可采用乳液聚合法制得。</w:t>
            </w:r>
            <w:r>
              <w:rPr>
                <w:rFonts w:ascii="Times New Roman" w:hAnsi="Times New Roman" w:eastAsia="宋体" w:cs="宋体"/>
                <w:snapToGrid/>
                <w:color w:val="auto"/>
                <w:lang w:eastAsia="zh-CN"/>
              </w:rPr>
              <w:t>由于该树脂固有的透明性，故非常</w:t>
            </w:r>
            <w:r>
              <w:rPr>
                <w:rFonts w:hint="eastAsia" w:ascii="Times New Roman" w:hAnsi="Times New Roman" w:eastAsia="宋体" w:cs="宋体"/>
                <w:snapToGrid/>
                <w:color w:val="auto"/>
                <w:lang w:eastAsia="zh-CN"/>
              </w:rPr>
              <w:t>普遍</w:t>
            </w:r>
            <w:r>
              <w:rPr>
                <w:rFonts w:ascii="Times New Roman" w:hAnsi="Times New Roman" w:eastAsia="宋体" w:cs="宋体"/>
                <w:snapToGrid/>
                <w:color w:val="auto"/>
                <w:lang w:eastAsia="zh-CN"/>
              </w:rPr>
              <w:t>地用于</w:t>
            </w:r>
            <w:r>
              <w:rPr>
                <w:rFonts w:ascii="Times New Roman" w:hAnsi="Times New Roman" w:eastAsia="宋体" w:cs="宋体"/>
                <w:snapToGrid/>
                <w:color w:val="auto"/>
              </w:rPr>
              <w:t>制造透明塑料制品</w:t>
            </w:r>
          </w:p>
        </w:tc>
        <w:tc>
          <w:tcPr>
            <w:tcW w:w="0" w:type="auto"/>
            <w:tcBorders>
              <w:tl2br w:val="nil"/>
              <w:tr2bl w:val="nil"/>
            </w:tcBorders>
            <w:vAlign w:val="center"/>
          </w:tcPr>
          <w:p w14:paraId="1B86F05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包括冷藏柜抽屉、搅拌器、真空吸尘器部件、加湿器部件和洗衣机洗涤剂喷洒器、汽车仪表盘、磁带盒和磁带盒上透明窗、唱机盖、仪表透明外壳、计算机卷纸器、蓄电池箱、按键帽、计算器和打印机工作台、化妆盒、口红套管、睫毛膏盖瓶子、罩盖、帽盖喷雾器和喷嘴、一次性打火机外壳、刷子基材和硬毛、渔具、假牙、牙刷柄、笔杆、乐器管口等</w:t>
            </w:r>
          </w:p>
        </w:tc>
        <w:tc>
          <w:tcPr>
            <w:tcW w:w="0" w:type="auto"/>
            <w:tcBorders>
              <w:tl2br w:val="nil"/>
              <w:tr2bl w:val="nil"/>
            </w:tcBorders>
            <w:vAlign w:val="center"/>
          </w:tcPr>
          <w:p w14:paraId="22BE04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禁止收购或用作原料用于生产</w:t>
            </w:r>
          </w:p>
        </w:tc>
      </w:tr>
    </w:tbl>
    <w:p w14:paraId="214C354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77" w:name="_Toc14703"/>
      <w:bookmarkStart w:id="378" w:name="_Toc28833"/>
      <w:bookmarkStart w:id="379" w:name="_Toc32495"/>
      <w:r>
        <w:rPr>
          <w:rFonts w:hint="eastAsia" w:ascii="Times New Roman" w:hAnsi="Times New Roman" w:eastAsia="宋体" w:cs="Times New Roman"/>
          <w:snapToGrid/>
          <w:color w:val="auto"/>
          <w:lang w:eastAsia="zh-CN"/>
        </w:rPr>
        <w:t>3.1.4主要生产设备</w:t>
      </w:r>
      <w:bookmarkEnd w:id="377"/>
      <w:bookmarkEnd w:id="378"/>
      <w:bookmarkEnd w:id="379"/>
    </w:p>
    <w:p w14:paraId="03A53E9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本项目主要生产设备见表3.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-7。</w:t>
      </w:r>
    </w:p>
    <w:p w14:paraId="755FC1A2">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表3.</w:t>
      </w:r>
      <w:r>
        <w:rPr>
          <w:rFonts w:hint="eastAsia" w:ascii="Times New Roman" w:hAnsi="Times New Roman"/>
          <w:b/>
          <w:bCs/>
          <w:snapToGrid/>
          <w:color w:val="auto"/>
          <w:sz w:val="24"/>
          <w:lang w:eastAsia="zh-CN"/>
        </w:rPr>
        <w:t>1</w:t>
      </w:r>
      <w:r>
        <w:rPr>
          <w:rFonts w:ascii="Times New Roman" w:hAnsi="Times New Roman"/>
          <w:b/>
          <w:bCs/>
          <w:snapToGrid/>
          <w:color w:val="auto"/>
          <w:sz w:val="24"/>
        </w:rPr>
        <w:t>-7主要生产设备一览表</w:t>
      </w:r>
    </w:p>
    <w:tbl>
      <w:tblPr>
        <w:tblStyle w:val="36"/>
        <w:tblW w:w="501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52"/>
        <w:gridCol w:w="3424"/>
        <w:gridCol w:w="1151"/>
        <w:gridCol w:w="1088"/>
        <w:gridCol w:w="2124"/>
      </w:tblGrid>
      <w:tr w14:paraId="16CAA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440" w:type="pct"/>
            <w:tcBorders>
              <w:tl2br w:val="nil"/>
              <w:tr2bl w:val="nil"/>
            </w:tcBorders>
            <w:vAlign w:val="center"/>
          </w:tcPr>
          <w:p w14:paraId="759451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2004" w:type="pct"/>
            <w:tcBorders>
              <w:tl2br w:val="nil"/>
              <w:tr2bl w:val="nil"/>
            </w:tcBorders>
            <w:vAlign w:val="center"/>
          </w:tcPr>
          <w:p w14:paraId="56009F2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设备名称</w:t>
            </w:r>
          </w:p>
        </w:tc>
        <w:tc>
          <w:tcPr>
            <w:tcW w:w="674" w:type="pct"/>
            <w:tcBorders>
              <w:tl2br w:val="nil"/>
              <w:tr2bl w:val="nil"/>
            </w:tcBorders>
            <w:vAlign w:val="center"/>
          </w:tcPr>
          <w:p w14:paraId="70E6E92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单位</w:t>
            </w:r>
          </w:p>
        </w:tc>
        <w:tc>
          <w:tcPr>
            <w:tcW w:w="637" w:type="pct"/>
            <w:tcBorders>
              <w:tl2br w:val="nil"/>
              <w:tr2bl w:val="nil"/>
            </w:tcBorders>
            <w:vAlign w:val="center"/>
          </w:tcPr>
          <w:p w14:paraId="658B16F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数量</w:t>
            </w:r>
          </w:p>
        </w:tc>
        <w:tc>
          <w:tcPr>
            <w:tcW w:w="1243" w:type="pct"/>
            <w:tcBorders>
              <w:tl2br w:val="nil"/>
              <w:tr2bl w:val="nil"/>
            </w:tcBorders>
            <w:vAlign w:val="center"/>
          </w:tcPr>
          <w:p w14:paraId="23FC07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备注</w:t>
            </w:r>
          </w:p>
        </w:tc>
      </w:tr>
      <w:tr w14:paraId="7B84A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440" w:type="pct"/>
            <w:tcBorders>
              <w:tl2br w:val="nil"/>
              <w:tr2bl w:val="nil"/>
            </w:tcBorders>
            <w:vAlign w:val="center"/>
          </w:tcPr>
          <w:p w14:paraId="78A5A14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2004" w:type="pct"/>
            <w:tcBorders>
              <w:tl2br w:val="nil"/>
              <w:tr2bl w:val="nil"/>
            </w:tcBorders>
            <w:vAlign w:val="center"/>
          </w:tcPr>
          <w:p w14:paraId="0528D8D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购置贴片滴灌带生产线</w:t>
            </w:r>
          </w:p>
        </w:tc>
        <w:tc>
          <w:tcPr>
            <w:tcW w:w="674" w:type="pct"/>
            <w:tcBorders>
              <w:tl2br w:val="nil"/>
              <w:tr2bl w:val="nil"/>
            </w:tcBorders>
            <w:vAlign w:val="center"/>
          </w:tcPr>
          <w:p w14:paraId="0B1384D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套</w:t>
            </w:r>
          </w:p>
        </w:tc>
        <w:tc>
          <w:tcPr>
            <w:tcW w:w="637" w:type="pct"/>
            <w:tcBorders>
              <w:tl2br w:val="nil"/>
              <w:tr2bl w:val="nil"/>
            </w:tcBorders>
            <w:vAlign w:val="center"/>
          </w:tcPr>
          <w:p w14:paraId="06DC636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w:t>
            </w:r>
          </w:p>
        </w:tc>
        <w:tc>
          <w:tcPr>
            <w:tcW w:w="1243" w:type="pct"/>
            <w:tcBorders>
              <w:tl2br w:val="nil"/>
              <w:tr2bl w:val="nil"/>
            </w:tcBorders>
            <w:vAlign w:val="center"/>
          </w:tcPr>
          <w:p w14:paraId="4FDD6551">
            <w:pPr>
              <w:widowControl w:val="0"/>
              <w:shd w:val="clear"/>
              <w:kinsoku/>
              <w:autoSpaceDE/>
              <w:autoSpaceDN/>
              <w:adjustRightInd/>
              <w:snapToGrid/>
              <w:spacing w:line="360" w:lineRule="auto"/>
              <w:jc w:val="center"/>
              <w:textAlignment w:val="auto"/>
              <w:rPr>
                <w:rFonts w:hint="default" w:ascii="Times New Roman" w:hAnsi="Times New Roman" w:eastAsia="宋体"/>
                <w:snapToGrid/>
                <w:color w:val="auto"/>
                <w:lang w:val="en-US" w:eastAsia="zh-CN"/>
              </w:rPr>
            </w:pPr>
            <w:r>
              <w:rPr>
                <w:rFonts w:hint="eastAsia" w:ascii="Times New Roman" w:hAnsi="Times New Roman" w:eastAsia="宋体"/>
                <w:snapToGrid/>
                <w:color w:val="auto"/>
                <w:lang w:eastAsia="zh-CN"/>
              </w:rPr>
              <w:t>（</w:t>
            </w:r>
            <w:r>
              <w:rPr>
                <w:rFonts w:hint="eastAsia" w:ascii="Times New Roman" w:hAnsi="Times New Roman" w:eastAsia="宋体"/>
                <w:snapToGrid/>
                <w:color w:val="auto"/>
                <w:lang w:val="en-US" w:eastAsia="zh-CN"/>
              </w:rPr>
              <w:t>10条生产线）</w:t>
            </w:r>
          </w:p>
        </w:tc>
      </w:tr>
      <w:tr w14:paraId="09975D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440" w:type="pct"/>
            <w:tcBorders>
              <w:tl2br w:val="nil"/>
              <w:tr2bl w:val="nil"/>
            </w:tcBorders>
            <w:vAlign w:val="center"/>
          </w:tcPr>
          <w:p w14:paraId="2CE954E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val="en-US" w:eastAsia="zh-CN"/>
              </w:rPr>
              <w:t>2</w:t>
            </w:r>
          </w:p>
        </w:tc>
        <w:tc>
          <w:tcPr>
            <w:tcW w:w="2004" w:type="pct"/>
            <w:tcBorders>
              <w:tl2br w:val="nil"/>
              <w:tr2bl w:val="nil"/>
            </w:tcBorders>
            <w:vAlign w:val="center"/>
          </w:tcPr>
          <w:p w14:paraId="0E6A37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塑料颗粒生产线</w:t>
            </w:r>
          </w:p>
        </w:tc>
        <w:tc>
          <w:tcPr>
            <w:tcW w:w="674" w:type="pct"/>
            <w:tcBorders>
              <w:tl2br w:val="nil"/>
              <w:tr2bl w:val="nil"/>
            </w:tcBorders>
            <w:vAlign w:val="center"/>
          </w:tcPr>
          <w:p w14:paraId="1BD2668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套</w:t>
            </w:r>
          </w:p>
        </w:tc>
        <w:tc>
          <w:tcPr>
            <w:tcW w:w="637" w:type="pct"/>
            <w:tcBorders>
              <w:tl2br w:val="nil"/>
              <w:tr2bl w:val="nil"/>
            </w:tcBorders>
            <w:vAlign w:val="center"/>
          </w:tcPr>
          <w:p w14:paraId="71B3111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w:t>
            </w:r>
          </w:p>
        </w:tc>
        <w:tc>
          <w:tcPr>
            <w:tcW w:w="1243" w:type="pct"/>
            <w:tcBorders>
              <w:tl2br w:val="nil"/>
              <w:tr2bl w:val="nil"/>
            </w:tcBorders>
            <w:vAlign w:val="center"/>
          </w:tcPr>
          <w:p w14:paraId="7DA3A25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6C3A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440" w:type="pct"/>
            <w:tcBorders>
              <w:tl2br w:val="nil"/>
              <w:tr2bl w:val="nil"/>
            </w:tcBorders>
            <w:vAlign w:val="center"/>
          </w:tcPr>
          <w:p w14:paraId="0EF7B52F">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3</w:t>
            </w:r>
          </w:p>
        </w:tc>
        <w:tc>
          <w:tcPr>
            <w:tcW w:w="2004" w:type="pct"/>
            <w:tcBorders>
              <w:tl2br w:val="nil"/>
              <w:tr2bl w:val="nil"/>
            </w:tcBorders>
            <w:vAlign w:val="center"/>
          </w:tcPr>
          <w:p w14:paraId="4FEE88C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活性炭吸附+蓄热式催化燃烧</w:t>
            </w:r>
          </w:p>
        </w:tc>
        <w:tc>
          <w:tcPr>
            <w:tcW w:w="674" w:type="pct"/>
            <w:tcBorders>
              <w:tl2br w:val="nil"/>
              <w:tr2bl w:val="nil"/>
            </w:tcBorders>
            <w:vAlign w:val="center"/>
          </w:tcPr>
          <w:p w14:paraId="0D01A5F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套</w:t>
            </w:r>
          </w:p>
        </w:tc>
        <w:tc>
          <w:tcPr>
            <w:tcW w:w="637" w:type="pct"/>
            <w:tcBorders>
              <w:tl2br w:val="nil"/>
              <w:tr2bl w:val="nil"/>
            </w:tcBorders>
            <w:vAlign w:val="center"/>
          </w:tcPr>
          <w:p w14:paraId="1349AC2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w:t>
            </w:r>
          </w:p>
        </w:tc>
        <w:tc>
          <w:tcPr>
            <w:tcW w:w="1243" w:type="pct"/>
            <w:tcBorders>
              <w:tl2br w:val="nil"/>
              <w:tr2bl w:val="nil"/>
            </w:tcBorders>
            <w:vAlign w:val="center"/>
          </w:tcPr>
          <w:p w14:paraId="0C5D6A4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6B8FE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40" w:type="pct"/>
            <w:tcBorders>
              <w:tl2br w:val="nil"/>
              <w:tr2bl w:val="nil"/>
            </w:tcBorders>
            <w:vAlign w:val="center"/>
          </w:tcPr>
          <w:p w14:paraId="4ACBBC08">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4</w:t>
            </w:r>
          </w:p>
        </w:tc>
        <w:tc>
          <w:tcPr>
            <w:tcW w:w="2004" w:type="pct"/>
            <w:tcBorders>
              <w:tl2br w:val="nil"/>
              <w:tr2bl w:val="nil"/>
            </w:tcBorders>
            <w:vAlign w:val="center"/>
          </w:tcPr>
          <w:p w14:paraId="04F960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三级沉淀池</w:t>
            </w:r>
          </w:p>
        </w:tc>
        <w:tc>
          <w:tcPr>
            <w:tcW w:w="674" w:type="pct"/>
            <w:tcBorders>
              <w:tl2br w:val="nil"/>
              <w:tr2bl w:val="nil"/>
            </w:tcBorders>
            <w:vAlign w:val="center"/>
          </w:tcPr>
          <w:p w14:paraId="6DE81C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座</w:t>
            </w:r>
          </w:p>
        </w:tc>
        <w:tc>
          <w:tcPr>
            <w:tcW w:w="637" w:type="pct"/>
            <w:tcBorders>
              <w:tl2br w:val="nil"/>
              <w:tr2bl w:val="nil"/>
            </w:tcBorders>
            <w:vAlign w:val="center"/>
          </w:tcPr>
          <w:p w14:paraId="7C95C71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243" w:type="pct"/>
            <w:tcBorders>
              <w:tl2br w:val="nil"/>
              <w:tr2bl w:val="nil"/>
            </w:tcBorders>
            <w:vAlign w:val="center"/>
          </w:tcPr>
          <w:p w14:paraId="1904E348">
            <w:pPr>
              <w:pStyle w:val="37"/>
              <w:widowControl w:val="0"/>
              <w:shd w:val="clear"/>
              <w:kinsoku/>
              <w:autoSpaceDE/>
              <w:autoSpaceDN/>
              <w:adjustRightInd/>
              <w:snapToGrid/>
              <w:spacing w:line="360" w:lineRule="auto"/>
              <w:jc w:val="center"/>
              <w:textAlignment w:val="auto"/>
              <w:rPr>
                <w:rFonts w:eastAsia="宋体"/>
                <w:snapToGrid/>
                <w:color w:val="auto"/>
                <w:szCs w:val="13"/>
              </w:rPr>
            </w:pPr>
          </w:p>
        </w:tc>
      </w:tr>
      <w:tr w14:paraId="259F0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440" w:type="pct"/>
            <w:tcBorders>
              <w:tl2br w:val="nil"/>
              <w:tr2bl w:val="nil"/>
            </w:tcBorders>
            <w:vAlign w:val="center"/>
          </w:tcPr>
          <w:p w14:paraId="0BA0486D">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5</w:t>
            </w:r>
          </w:p>
        </w:tc>
        <w:tc>
          <w:tcPr>
            <w:tcW w:w="2004" w:type="pct"/>
            <w:tcBorders>
              <w:tl2br w:val="nil"/>
              <w:tr2bl w:val="nil"/>
            </w:tcBorders>
            <w:vAlign w:val="center"/>
          </w:tcPr>
          <w:p w14:paraId="1F072C4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循环水池</w:t>
            </w:r>
          </w:p>
        </w:tc>
        <w:tc>
          <w:tcPr>
            <w:tcW w:w="674" w:type="pct"/>
            <w:tcBorders>
              <w:tl2br w:val="nil"/>
              <w:tr2bl w:val="nil"/>
            </w:tcBorders>
            <w:vAlign w:val="center"/>
          </w:tcPr>
          <w:p w14:paraId="713A7FD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座</w:t>
            </w:r>
          </w:p>
        </w:tc>
        <w:tc>
          <w:tcPr>
            <w:tcW w:w="637" w:type="pct"/>
            <w:tcBorders>
              <w:tl2br w:val="nil"/>
              <w:tr2bl w:val="nil"/>
            </w:tcBorders>
            <w:vAlign w:val="center"/>
          </w:tcPr>
          <w:p w14:paraId="6C47A2C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243" w:type="pct"/>
            <w:tcBorders>
              <w:tl2br w:val="nil"/>
              <w:tr2bl w:val="nil"/>
            </w:tcBorders>
            <w:vAlign w:val="center"/>
          </w:tcPr>
          <w:p w14:paraId="133CFC12">
            <w:pPr>
              <w:pStyle w:val="37"/>
              <w:widowControl w:val="0"/>
              <w:shd w:val="clear"/>
              <w:kinsoku/>
              <w:autoSpaceDE/>
              <w:autoSpaceDN/>
              <w:adjustRightInd/>
              <w:snapToGrid/>
              <w:spacing w:line="360" w:lineRule="auto"/>
              <w:jc w:val="center"/>
              <w:textAlignment w:val="auto"/>
              <w:rPr>
                <w:rFonts w:eastAsia="宋体"/>
                <w:snapToGrid/>
                <w:color w:val="auto"/>
                <w:szCs w:val="13"/>
              </w:rPr>
            </w:pPr>
          </w:p>
        </w:tc>
      </w:tr>
    </w:tbl>
    <w:p w14:paraId="61B0E758">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80" w:name="_Toc20610"/>
      <w:bookmarkStart w:id="381" w:name="_Toc31056"/>
      <w:bookmarkStart w:id="382" w:name="_Toc4228"/>
      <w:r>
        <w:rPr>
          <w:rFonts w:hint="eastAsia" w:ascii="Times New Roman" w:hAnsi="Times New Roman" w:eastAsia="宋体" w:cs="Times New Roman"/>
          <w:snapToGrid/>
          <w:color w:val="auto"/>
          <w:lang w:eastAsia="zh-CN"/>
        </w:rPr>
        <w:t>3.1.5项目总平面布置</w:t>
      </w:r>
      <w:bookmarkEnd w:id="380"/>
      <w:bookmarkEnd w:id="381"/>
      <w:bookmarkEnd w:id="382"/>
    </w:p>
    <w:p w14:paraId="5AA7F34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（1）用地现状</w:t>
      </w:r>
    </w:p>
    <w:p w14:paraId="782DFD7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w:t>
      </w:r>
      <w:r>
        <w:rPr>
          <w:rFonts w:hint="eastAsia" w:ascii="Times New Roman" w:hAnsi="Times New Roman"/>
          <w:snapToGrid/>
          <w:color w:val="auto"/>
          <w:sz w:val="24"/>
          <w:szCs w:val="24"/>
          <w:lang w:eastAsia="zh-CN"/>
        </w:rPr>
        <w:t>目在木垒哈萨克自治县雀仁乡</w:t>
      </w:r>
      <w:r>
        <w:rPr>
          <w:rFonts w:ascii="Times New Roman" w:hAnsi="Times New Roman"/>
          <w:snapToGrid/>
          <w:color w:val="auto"/>
          <w:sz w:val="24"/>
          <w:szCs w:val="24"/>
          <w:lang w:eastAsia="zh-CN"/>
        </w:rPr>
        <w:t>，所在厂区用地类型属于</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范围。</w:t>
      </w:r>
    </w:p>
    <w:p w14:paraId="1761509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2</w:t>
      </w:r>
      <w:r>
        <w:rPr>
          <w:rFonts w:ascii="Times New Roman" w:hAnsi="Times New Roman"/>
          <w:snapToGrid/>
          <w:color w:val="auto"/>
          <w:sz w:val="24"/>
          <w:szCs w:val="24"/>
          <w:lang w:eastAsia="zh-CN"/>
        </w:rPr>
        <w:t>）外环境布置</w:t>
      </w:r>
    </w:p>
    <w:p w14:paraId="0B5D77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项目所在地南侧紧邻内部道路，</w:t>
      </w:r>
      <w:r>
        <w:rPr>
          <w:rFonts w:hint="eastAsia" w:ascii="Times New Roman" w:hAnsi="Times New Roman"/>
          <w:snapToGrid/>
          <w:color w:val="auto"/>
          <w:sz w:val="24"/>
          <w:szCs w:val="24"/>
          <w:lang w:eastAsia="zh-CN"/>
        </w:rPr>
        <w:t>四周均为空地</w:t>
      </w:r>
      <w:r>
        <w:rPr>
          <w:rFonts w:ascii="Times New Roman" w:hAnsi="Times New Roman"/>
          <w:snapToGrid/>
          <w:color w:val="auto"/>
          <w:sz w:val="24"/>
          <w:szCs w:val="24"/>
          <w:lang w:eastAsia="zh-CN"/>
        </w:rPr>
        <w:t>。</w:t>
      </w:r>
    </w:p>
    <w:p w14:paraId="1BC4813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3</w:t>
      </w:r>
      <w:r>
        <w:rPr>
          <w:rFonts w:ascii="Times New Roman" w:hAnsi="Times New Roman"/>
          <w:snapToGrid/>
          <w:color w:val="auto"/>
          <w:sz w:val="24"/>
          <w:szCs w:val="24"/>
          <w:lang w:eastAsia="zh-CN"/>
        </w:rPr>
        <w:t>）平面布置</w:t>
      </w:r>
    </w:p>
    <w:p w14:paraId="5C9CCC6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本项目总占地面积</w:t>
      </w:r>
      <w:r>
        <w:rPr>
          <w:rFonts w:hint="eastAsia" w:ascii="Times New Roman" w:hAnsi="Times New Roman"/>
          <w:snapToGrid/>
          <w:color w:val="auto"/>
          <w:sz w:val="24"/>
          <w:szCs w:val="24"/>
          <w:lang w:eastAsia="zh-CN"/>
        </w:rPr>
        <w:t>9442.97</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2</w:t>
      </w:r>
      <w:r>
        <w:rPr>
          <w:rFonts w:ascii="Times New Roman" w:hAnsi="Times New Roman"/>
          <w:snapToGrid/>
          <w:color w:val="auto"/>
          <w:sz w:val="24"/>
          <w:szCs w:val="24"/>
          <w:lang w:eastAsia="zh-CN"/>
        </w:rPr>
        <w:t>，厂区布置按照功能分区分为办公生活区、生产加工区、存储区。</w:t>
      </w:r>
    </w:p>
    <w:p w14:paraId="065A6D9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本项目为矩形，大门位于项目区的南侧，厂区由南至北依次为办公室、生产车间1#、原料库房。</w:t>
      </w:r>
      <w:r>
        <w:rPr>
          <w:rFonts w:hint="eastAsia" w:ascii="Times New Roman" w:hAnsi="Times New Roman"/>
          <w:snapToGrid/>
          <w:color w:val="auto"/>
          <w:sz w:val="24"/>
          <w:szCs w:val="24"/>
          <w:lang w:val="en-US" w:eastAsia="zh-CN"/>
        </w:rPr>
        <w:t>破碎区、再生造粒区和滴灌带生产区均位于1#厂房内。</w:t>
      </w:r>
      <w:r>
        <w:rPr>
          <w:rFonts w:ascii="Times New Roman" w:hAnsi="Times New Roman"/>
          <w:snapToGrid/>
          <w:color w:val="auto"/>
          <w:sz w:val="24"/>
          <w:szCs w:val="24"/>
          <w:lang w:eastAsia="zh-CN"/>
        </w:rPr>
        <w:t>循环沉淀池紧邻造粒生产车间，便于冷却水循环。</w:t>
      </w:r>
    </w:p>
    <w:p w14:paraId="562A784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废旧塑料堆场</w:t>
      </w:r>
      <w:r>
        <w:rPr>
          <w:rFonts w:ascii="Times New Roman" w:hAnsi="Times New Roman"/>
          <w:snapToGrid/>
          <w:color w:val="auto"/>
          <w:sz w:val="24"/>
          <w:szCs w:val="24"/>
          <w:lang w:eastAsia="zh-CN"/>
        </w:rPr>
        <w:t>位于</w:t>
      </w:r>
      <w:r>
        <w:rPr>
          <w:rFonts w:hint="eastAsia" w:ascii="Times New Roman" w:hAnsi="Times New Roman"/>
          <w:snapToGrid/>
          <w:color w:val="auto"/>
          <w:sz w:val="24"/>
          <w:szCs w:val="24"/>
          <w:lang w:val="en-US" w:eastAsia="zh-CN"/>
        </w:rPr>
        <w:t>1#</w:t>
      </w:r>
      <w:r>
        <w:rPr>
          <w:rFonts w:ascii="Times New Roman" w:hAnsi="Times New Roman"/>
          <w:snapToGrid/>
          <w:color w:val="auto"/>
          <w:sz w:val="24"/>
          <w:szCs w:val="24"/>
          <w:lang w:eastAsia="zh-CN"/>
        </w:rPr>
        <w:t>厂房</w:t>
      </w:r>
      <w:r>
        <w:rPr>
          <w:rFonts w:hint="eastAsia" w:ascii="Times New Roman" w:hAnsi="Times New Roman"/>
          <w:snapToGrid/>
          <w:color w:val="auto"/>
          <w:sz w:val="24"/>
          <w:szCs w:val="24"/>
          <w:lang w:val="en-US" w:eastAsia="zh-CN"/>
        </w:rPr>
        <w:t>西南</w:t>
      </w:r>
      <w:r>
        <w:rPr>
          <w:rFonts w:ascii="Times New Roman" w:hAnsi="Times New Roman"/>
          <w:snapToGrid/>
          <w:color w:val="auto"/>
          <w:sz w:val="24"/>
          <w:szCs w:val="24"/>
          <w:lang w:eastAsia="zh-CN"/>
        </w:rPr>
        <w:t>侧，用于存储废滴灌带等原料，采用半封闭式结构，要求地面进行硬化，周边设置围挡并加盖防尘抑尘网等防护措施，同时配备消防设施，消防供水网和消防栓应采取防冻措施，应安装消防报警设备等防火措施。</w:t>
      </w:r>
    </w:p>
    <w:p w14:paraId="3655B18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厂区内道路为混凝土地面，厂内各构筑物之间由厂区道路相连，道路环状布置，并在四周进行绿化，可以满足消防车辆</w:t>
      </w:r>
      <w:r>
        <w:rPr>
          <w:rFonts w:hint="eastAsia" w:ascii="Times New Roman" w:hAnsi="Times New Roman"/>
          <w:snapToGrid/>
          <w:color w:val="auto"/>
          <w:sz w:val="24"/>
          <w:szCs w:val="24"/>
          <w:lang w:eastAsia="zh-CN"/>
        </w:rPr>
        <w:t>及其他</w:t>
      </w:r>
      <w:r>
        <w:rPr>
          <w:rFonts w:ascii="Times New Roman" w:hAnsi="Times New Roman"/>
          <w:snapToGrid/>
          <w:color w:val="auto"/>
          <w:sz w:val="24"/>
          <w:szCs w:val="24"/>
          <w:lang w:eastAsia="zh-CN"/>
        </w:rPr>
        <w:t>车辆通行要求。</w:t>
      </w:r>
    </w:p>
    <w:p w14:paraId="10898C6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厂区除建筑物以外均为硬化地面，以满足消防运输要求。安全距离符合《</w:t>
      </w:r>
      <w:r>
        <w:rPr>
          <w:rFonts w:hint="eastAsia" w:ascii="Times New Roman" w:hAnsi="Times New Roman"/>
          <w:snapToGrid/>
          <w:color w:val="auto"/>
          <w:sz w:val="24"/>
          <w:szCs w:val="24"/>
          <w:lang w:eastAsia="zh-CN"/>
        </w:rPr>
        <w:t>建筑防火通用规范</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GB55037-2022</w:t>
      </w:r>
      <w:r>
        <w:rPr>
          <w:rFonts w:ascii="Times New Roman" w:hAnsi="Times New Roman"/>
          <w:snapToGrid/>
          <w:color w:val="auto"/>
          <w:sz w:val="24"/>
          <w:szCs w:val="24"/>
          <w:lang w:eastAsia="zh-CN"/>
        </w:rPr>
        <w:t>）的要求。</w:t>
      </w:r>
    </w:p>
    <w:p w14:paraId="07DBE98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项目区主导风向为西南风，办公生活区位于厂区西侧，本项目办公区及生活区布置于废气处理设施侧风向，距离生产车间较远。在加强废气治理的情况下，可减少对工作人员的影响。河东村位于项目区东南侧，在项目区侧风向，在加强废气治理的情况下，对居民基本不会产生影响。厂区总平面布置基本合理。</w:t>
      </w:r>
    </w:p>
    <w:p w14:paraId="1A9B2D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各区域功能布置明确，各单元由厂内道路衔接。平面布置按照企业生产要求，合理划分场内的功能区域，布置紧凑合理，生产线结构紧凑，工艺流程顺畅，交通运输安全方便。项目总平面布置图及周边环境关系图见图3</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-3。</w:t>
      </w:r>
    </w:p>
    <w:p w14:paraId="4E35DCD6">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83" w:name="_Toc11396"/>
      <w:bookmarkStart w:id="384" w:name="_Toc17360"/>
      <w:bookmarkStart w:id="385" w:name="_Toc12798"/>
      <w:r>
        <w:rPr>
          <w:rFonts w:hint="eastAsia" w:ascii="Times New Roman" w:hAnsi="Times New Roman" w:eastAsia="宋体" w:cs="Times New Roman"/>
          <w:snapToGrid/>
          <w:color w:val="auto"/>
          <w:lang w:eastAsia="zh-CN"/>
        </w:rPr>
        <w:t>3.1.6生产定员与工作制度</w:t>
      </w:r>
      <w:bookmarkEnd w:id="383"/>
      <w:bookmarkEnd w:id="384"/>
      <w:bookmarkEnd w:id="385"/>
    </w:p>
    <w:p w14:paraId="0365D44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本项目劳动定员为20人，三班制，每班工作8小时，全年工作约240天。</w:t>
      </w:r>
    </w:p>
    <w:p w14:paraId="748DC67D">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386" w:name="bookmark20"/>
      <w:bookmarkEnd w:id="386"/>
      <w:bookmarkStart w:id="387" w:name="_Toc18992"/>
      <w:bookmarkStart w:id="388" w:name="_Toc13435"/>
      <w:bookmarkStart w:id="389" w:name="_Toc9544"/>
      <w:r>
        <w:rPr>
          <w:rFonts w:hint="eastAsia" w:ascii="Times New Roman" w:hAnsi="Times New Roman" w:eastAsia="宋体"/>
          <w:snapToGrid/>
          <w:color w:val="auto"/>
          <w:lang w:eastAsia="zh-CN"/>
        </w:rPr>
        <w:t>3.2公用工程</w:t>
      </w:r>
      <w:bookmarkEnd w:id="387"/>
      <w:bookmarkEnd w:id="388"/>
      <w:bookmarkEnd w:id="389"/>
    </w:p>
    <w:p w14:paraId="7E049EA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90" w:name="_Toc31060"/>
      <w:bookmarkStart w:id="391" w:name="_Toc24099"/>
      <w:bookmarkStart w:id="392" w:name="_Toc12840"/>
      <w:r>
        <w:rPr>
          <w:rFonts w:hint="eastAsia" w:ascii="Times New Roman" w:hAnsi="Times New Roman" w:eastAsia="宋体" w:cs="Times New Roman"/>
          <w:snapToGrid/>
          <w:color w:val="auto"/>
          <w:lang w:eastAsia="zh-CN"/>
        </w:rPr>
        <w:t>3.2.1给水</w:t>
      </w:r>
      <w:bookmarkEnd w:id="390"/>
      <w:bookmarkEnd w:id="391"/>
      <w:bookmarkEnd w:id="392"/>
    </w:p>
    <w:p w14:paraId="124810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项目工程用水水源来自</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供水管线，可以满足项目生产、生活需要。</w:t>
      </w:r>
    </w:p>
    <w:p w14:paraId="71B41E0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项目用水主要有：</w:t>
      </w:r>
    </w:p>
    <w:p w14:paraId="25F1BFD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（1）生活用水</w:t>
      </w:r>
    </w:p>
    <w:p w14:paraId="4658D91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劳动定员为20人，在厂区内住宿，根据《排放源统计调查产排污核算方法和系数手册》—“生活污染源产排污系数手册”—第二部分农村生活污水污染物产生与排放系数（新疆昌吉回族自治州）中污水排放系数为28.07L/人·d，项目全年有效生产运营240d，则项目员工办公生活污水量约为0.56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/d（134.7m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/a），生活污水产生量按用水量的80%计，则生活用水量为0.7m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/d（168m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w:t>
      </w:r>
    </w:p>
    <w:p w14:paraId="598D46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（2）生产用水</w:t>
      </w:r>
    </w:p>
    <w:p w14:paraId="1BD9AC4E">
      <w:pPr>
        <w:pStyle w:val="2"/>
        <w:widowControl w:val="0"/>
        <w:shd w:val="clear"/>
        <w:kinsoku/>
        <w:autoSpaceDE/>
        <w:autoSpaceDN/>
        <w:adjustRightInd/>
        <w:snapToGrid/>
        <w:spacing w:line="360" w:lineRule="auto"/>
        <w:ind w:firstLine="480" w:firstLineChars="200"/>
        <w:jc w:val="both"/>
        <w:textAlignment w:val="auto"/>
        <w:rPr>
          <w:color w:val="auto"/>
        </w:rPr>
      </w:pPr>
      <w:r>
        <w:rPr>
          <w:rFonts w:ascii="Times New Roman" w:hAnsi="Times New Roman"/>
          <w:snapToGrid/>
          <w:color w:val="auto"/>
          <w:sz w:val="24"/>
          <w:szCs w:val="24"/>
          <w:lang w:eastAsia="zh-CN"/>
        </w:rPr>
        <w:t>生产用水主要为废旧滴灌带清洗用水，废旧塑料颗粒加工造粒工序及滴灌带生产过程中产品冷却用水。生产用水循环利用，废旧滴灌带清洗用水补充新鲜水量为4m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/d，废旧滴灌带造粒工段冷却用水补充新鲜用水量为</w:t>
      </w:r>
      <w:r>
        <w:rPr>
          <w:rFonts w:hint="eastAsia" w:ascii="Times New Roman" w:hAnsi="Times New Roman"/>
          <w:snapToGrid/>
          <w:color w:val="auto"/>
          <w:sz w:val="24"/>
          <w:szCs w:val="24"/>
          <w:lang w:val="en-US" w:eastAsia="zh-CN"/>
        </w:rPr>
        <w:t>2.4</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w:t>
      </w:r>
    </w:p>
    <w:p w14:paraId="0A69D0D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3）绿化用水</w:t>
      </w:r>
    </w:p>
    <w:p w14:paraId="7846479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sz w:val="24"/>
          <w:lang w:eastAsia="zh-CN"/>
        </w:rPr>
      </w:pPr>
      <w:r>
        <w:rPr>
          <w:rFonts w:hint="eastAsia" w:ascii="Times New Roman" w:hAnsi="Times New Roman"/>
          <w:color w:val="auto"/>
          <w:sz w:val="24"/>
          <w:lang w:eastAsia="zh-CN"/>
        </w:rPr>
        <w:t>本项目绿化面积为</w:t>
      </w:r>
      <w:r>
        <w:rPr>
          <w:rFonts w:hint="eastAsia" w:ascii="Times New Roman" w:hAnsi="Times New Roman"/>
          <w:color w:val="auto"/>
          <w:sz w:val="24"/>
          <w:lang w:val="en-US" w:eastAsia="zh-CN"/>
        </w:rPr>
        <w:t>1842.76</w:t>
      </w:r>
      <w:r>
        <w:rPr>
          <w:rFonts w:hint="eastAsia" w:ascii="Times New Roman" w:hAnsi="Times New Roman"/>
          <w:color w:val="auto"/>
          <w:sz w:val="24"/>
          <w:lang w:eastAsia="zh-CN"/>
        </w:rPr>
        <w:t>m</w:t>
      </w:r>
      <w:r>
        <w:rPr>
          <w:rFonts w:hint="eastAsia" w:ascii="Times New Roman" w:hAnsi="Times New Roman"/>
          <w:color w:val="auto"/>
          <w:sz w:val="24"/>
          <w:vertAlign w:val="superscript"/>
          <w:lang w:eastAsia="zh-CN"/>
        </w:rPr>
        <w:t>2</w:t>
      </w:r>
      <w:r>
        <w:rPr>
          <w:rFonts w:hint="eastAsia" w:ascii="Times New Roman" w:hAnsi="Times New Roman"/>
          <w:color w:val="auto"/>
          <w:sz w:val="24"/>
          <w:lang w:eastAsia="zh-CN"/>
        </w:rPr>
        <w:t>（约</w:t>
      </w:r>
      <w:r>
        <w:rPr>
          <w:rFonts w:hint="eastAsia" w:ascii="Times New Roman" w:hAnsi="Times New Roman"/>
          <w:color w:val="auto"/>
          <w:sz w:val="24"/>
          <w:lang w:val="en-US" w:eastAsia="zh-CN"/>
        </w:rPr>
        <w:t>2.76</w:t>
      </w:r>
      <w:r>
        <w:rPr>
          <w:rFonts w:hint="eastAsia" w:ascii="Times New Roman" w:hAnsi="Times New Roman"/>
          <w:color w:val="auto"/>
          <w:sz w:val="24"/>
          <w:lang w:eastAsia="zh-CN"/>
        </w:rPr>
        <w:t>亩），根据《新疆维吾尔自治区生活用水定额》中规定绿地用水量为500-600m</w:t>
      </w:r>
      <w:r>
        <w:rPr>
          <w:rFonts w:hint="eastAsia" w:ascii="Times New Roman" w:hAnsi="Times New Roman"/>
          <w:color w:val="auto"/>
          <w:sz w:val="24"/>
          <w:vertAlign w:val="superscript"/>
          <w:lang w:eastAsia="zh-CN"/>
        </w:rPr>
        <w:t>3</w:t>
      </w:r>
      <w:r>
        <w:rPr>
          <w:rFonts w:hint="eastAsia" w:ascii="Times New Roman" w:hAnsi="Times New Roman"/>
          <w:color w:val="auto"/>
          <w:sz w:val="24"/>
          <w:lang w:eastAsia="zh-CN"/>
        </w:rPr>
        <w:t>/</w:t>
      </w:r>
      <w:r>
        <w:rPr>
          <w:rFonts w:hint="default" w:ascii="Times New Roman" w:hAnsi="Times New Roman"/>
          <w:color w:val="auto"/>
          <w:sz w:val="24"/>
          <w:lang w:eastAsia="zh-CN"/>
        </w:rPr>
        <w:t>亩·a</w:t>
      </w:r>
      <w:r>
        <w:rPr>
          <w:rFonts w:hint="eastAsia" w:ascii="Times New Roman" w:hAnsi="Times New Roman"/>
          <w:color w:val="auto"/>
          <w:sz w:val="24"/>
          <w:lang w:eastAsia="zh-CN"/>
        </w:rPr>
        <w:t>，本项目取600m</w:t>
      </w:r>
      <w:r>
        <w:rPr>
          <w:rFonts w:hint="eastAsia" w:ascii="Times New Roman" w:hAnsi="Times New Roman"/>
          <w:color w:val="auto"/>
          <w:sz w:val="24"/>
          <w:vertAlign w:val="superscript"/>
          <w:lang w:eastAsia="zh-CN"/>
        </w:rPr>
        <w:t>3</w:t>
      </w:r>
      <w:r>
        <w:rPr>
          <w:rFonts w:hint="eastAsia" w:ascii="Times New Roman" w:hAnsi="Times New Roman"/>
          <w:color w:val="auto"/>
          <w:sz w:val="24"/>
          <w:lang w:eastAsia="zh-CN"/>
        </w:rPr>
        <w:t>/</w:t>
      </w:r>
      <w:r>
        <w:rPr>
          <w:rFonts w:hint="default" w:ascii="Times New Roman" w:hAnsi="Times New Roman"/>
          <w:color w:val="auto"/>
          <w:sz w:val="24"/>
          <w:lang w:eastAsia="zh-CN"/>
        </w:rPr>
        <w:t>亩·a</w:t>
      </w:r>
      <w:r>
        <w:rPr>
          <w:rFonts w:hint="eastAsia" w:ascii="Times New Roman" w:hAnsi="Times New Roman"/>
          <w:color w:val="auto"/>
          <w:sz w:val="24"/>
          <w:lang w:eastAsia="zh-CN"/>
        </w:rPr>
        <w:t>，则绿化用水量为</w:t>
      </w:r>
      <w:r>
        <w:rPr>
          <w:rFonts w:hint="eastAsia" w:ascii="Times New Roman" w:hAnsi="Times New Roman"/>
          <w:color w:val="auto"/>
          <w:sz w:val="24"/>
          <w:lang w:val="en-US" w:eastAsia="zh-CN"/>
        </w:rPr>
        <w:t>1656</w:t>
      </w:r>
      <w:r>
        <w:rPr>
          <w:rFonts w:hint="eastAsia" w:ascii="Times New Roman" w:hAnsi="Times New Roman"/>
          <w:color w:val="auto"/>
          <w:sz w:val="24"/>
          <w:lang w:eastAsia="zh-CN"/>
        </w:rPr>
        <w:t>m</w:t>
      </w:r>
      <w:r>
        <w:rPr>
          <w:rFonts w:hint="eastAsia" w:ascii="Times New Roman" w:hAnsi="Times New Roman"/>
          <w:color w:val="auto"/>
          <w:sz w:val="24"/>
          <w:vertAlign w:val="superscript"/>
          <w:lang w:eastAsia="zh-CN"/>
        </w:rPr>
        <w:t>3</w:t>
      </w:r>
      <w:r>
        <w:rPr>
          <w:rFonts w:hint="eastAsia" w:ascii="Times New Roman" w:hAnsi="Times New Roman"/>
          <w:color w:val="auto"/>
          <w:sz w:val="24"/>
          <w:lang w:eastAsia="zh-CN"/>
        </w:rPr>
        <w:t>/a，</w:t>
      </w:r>
      <w:r>
        <w:rPr>
          <w:rFonts w:hint="eastAsia" w:ascii="Times New Roman" w:hAnsi="Times New Roman"/>
          <w:color w:val="auto"/>
          <w:sz w:val="24"/>
          <w:lang w:val="en-US" w:eastAsia="zh-CN"/>
        </w:rPr>
        <w:t>灌溉期按240天计算，每天绿化用水量6.9m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/d</w:t>
      </w:r>
      <w:r>
        <w:rPr>
          <w:rFonts w:hint="eastAsia" w:ascii="Times New Roman" w:hAnsi="Times New Roman"/>
          <w:color w:val="auto"/>
          <w:sz w:val="24"/>
          <w:lang w:eastAsia="zh-CN"/>
        </w:rPr>
        <w:t>。</w:t>
      </w:r>
    </w:p>
    <w:p w14:paraId="08B3EE94">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93" w:name="_Toc29129"/>
      <w:bookmarkStart w:id="394" w:name="_Toc2413"/>
      <w:bookmarkStart w:id="395" w:name="_Toc3419"/>
      <w:r>
        <w:rPr>
          <w:rFonts w:hint="eastAsia" w:ascii="Times New Roman" w:hAnsi="Times New Roman" w:eastAsia="宋体" w:cs="Times New Roman"/>
          <w:snapToGrid/>
          <w:color w:val="auto"/>
          <w:lang w:eastAsia="zh-CN"/>
        </w:rPr>
        <w:t>3.2.2排水</w:t>
      </w:r>
      <w:bookmarkEnd w:id="393"/>
      <w:bookmarkEnd w:id="394"/>
      <w:bookmarkEnd w:id="395"/>
    </w:p>
    <w:p w14:paraId="79D446C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水主要为工作人员的生活污水和生产废水，其中生产废水主要为清洗废旧滴灌带产生的废水及滴灌带产品冷却废水。废旧滴灌带清洗废水经厂区沉淀池沉淀处理后可继续回用。冷却废水仅温度较高，经降温处理后可循环利用。本项目生产废水全部循环利用，不外排。生活污水排放量约为134.7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定期拉运至木垒哈萨克自治县污水处理厂处理</w:t>
      </w:r>
      <w:r>
        <w:rPr>
          <w:rFonts w:ascii="Times New Roman" w:hAnsi="Times New Roman"/>
          <w:snapToGrid/>
          <w:color w:val="auto"/>
          <w:sz w:val="24"/>
          <w:szCs w:val="24"/>
          <w:lang w:eastAsia="zh-CN"/>
        </w:rPr>
        <w:t>。</w:t>
      </w:r>
    </w:p>
    <w:p w14:paraId="5FAB53A5">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96" w:name="_Toc30009"/>
      <w:bookmarkStart w:id="397" w:name="_Toc16088"/>
      <w:bookmarkStart w:id="398" w:name="_Toc12936"/>
      <w:r>
        <w:rPr>
          <w:rFonts w:hint="eastAsia" w:ascii="Times New Roman" w:hAnsi="Times New Roman" w:eastAsia="宋体" w:cs="Times New Roman"/>
          <w:snapToGrid/>
          <w:color w:val="auto"/>
          <w:lang w:eastAsia="zh-CN"/>
        </w:rPr>
        <w:t>3.2.3供电</w:t>
      </w:r>
      <w:bookmarkEnd w:id="396"/>
      <w:bookmarkEnd w:id="397"/>
      <w:bookmarkEnd w:id="398"/>
    </w:p>
    <w:p w14:paraId="4AB4D2C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本项目工程供电由工业区供给，电网10千伏供电线路</w:t>
      </w:r>
      <w:r>
        <w:rPr>
          <w:rFonts w:hint="eastAsia" w:ascii="Times New Roman" w:hAnsi="Times New Roman"/>
          <w:snapToGrid/>
          <w:color w:val="auto"/>
          <w:sz w:val="24"/>
          <w:szCs w:val="24"/>
          <w:lang w:eastAsia="zh-CN"/>
        </w:rPr>
        <w:t>覆盖</w:t>
      </w:r>
      <w:r>
        <w:rPr>
          <w:rFonts w:ascii="Times New Roman" w:hAnsi="Times New Roman"/>
          <w:snapToGrid/>
          <w:color w:val="auto"/>
          <w:sz w:val="24"/>
          <w:szCs w:val="24"/>
          <w:lang w:eastAsia="zh-CN"/>
        </w:rPr>
        <w:t>，本项目厂区架设变压器1台，可满足项目需要。</w:t>
      </w:r>
    </w:p>
    <w:p w14:paraId="160632F2">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399" w:name="_Toc14020"/>
      <w:bookmarkStart w:id="400" w:name="_Toc5226"/>
      <w:bookmarkStart w:id="401" w:name="_Toc21816"/>
      <w:r>
        <w:rPr>
          <w:rFonts w:hint="eastAsia" w:ascii="Times New Roman" w:hAnsi="Times New Roman" w:eastAsia="宋体" w:cs="Times New Roman"/>
          <w:snapToGrid/>
          <w:color w:val="auto"/>
          <w:lang w:eastAsia="zh-CN"/>
        </w:rPr>
        <w:t>3.2.4供暖</w:t>
      </w:r>
      <w:bookmarkEnd w:id="399"/>
      <w:bookmarkEnd w:id="400"/>
      <w:bookmarkEnd w:id="401"/>
    </w:p>
    <w:p w14:paraId="06DD38E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本项目为季节性生产项目，生产时间为每年9月至次年4月，有效生产时间约为240天，项目生产热熔工序采用电加热，办公供暖采用一台1t/h的电锅炉。</w:t>
      </w:r>
    </w:p>
    <w:p w14:paraId="6FDD6264">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402" w:name="_Toc10472"/>
      <w:bookmarkStart w:id="403" w:name="_Toc22626"/>
      <w:bookmarkStart w:id="404" w:name="_Toc21649"/>
      <w:r>
        <w:rPr>
          <w:rFonts w:hint="eastAsia" w:ascii="Times New Roman" w:hAnsi="Times New Roman" w:eastAsia="宋体" w:cs="Times New Roman"/>
          <w:snapToGrid/>
          <w:color w:val="auto"/>
          <w:lang w:eastAsia="zh-CN"/>
        </w:rPr>
        <w:t>3.2.5消防工程</w:t>
      </w:r>
      <w:bookmarkEnd w:id="402"/>
      <w:bookmarkEnd w:id="403"/>
      <w:bookmarkEnd w:id="404"/>
    </w:p>
    <w:p w14:paraId="1B147A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w:t>
      </w:r>
      <w:r>
        <w:rPr>
          <w:rFonts w:hint="eastAsia" w:ascii="Times New Roman" w:hAnsi="Times New Roman"/>
          <w:snapToGrid/>
          <w:color w:val="auto"/>
          <w:sz w:val="24"/>
          <w:szCs w:val="24"/>
          <w:lang w:eastAsia="zh-CN"/>
        </w:rPr>
        <w:t>建筑防火通用规范</w:t>
      </w:r>
      <w:r>
        <w:rPr>
          <w:rFonts w:ascii="Times New Roman" w:hAnsi="Times New Roman"/>
          <w:snapToGrid/>
          <w:color w:val="auto"/>
          <w:sz w:val="24"/>
          <w:szCs w:val="24"/>
          <w:lang w:eastAsia="zh-CN"/>
        </w:rPr>
        <w:t>》的要求，本项目建设需要满足规范要求，并配套安装消防设施。</w:t>
      </w:r>
    </w:p>
    <w:p w14:paraId="7B9B624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厂区建构筑物的布置均按满足最小防火间距进行布置，对易燃、易爆设施皆沿厂区边缘地带布置，以确保运行安全，减少火灾影响。</w:t>
      </w:r>
    </w:p>
    <w:p w14:paraId="1316D714">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05" w:name="bookmark21"/>
      <w:bookmarkEnd w:id="405"/>
      <w:bookmarkStart w:id="406" w:name="_Toc7156"/>
      <w:bookmarkStart w:id="407" w:name="_Toc29168"/>
      <w:bookmarkStart w:id="408" w:name="_Toc9042"/>
      <w:r>
        <w:rPr>
          <w:rFonts w:hint="eastAsia" w:ascii="Times New Roman" w:hAnsi="Times New Roman" w:eastAsia="宋体"/>
          <w:snapToGrid/>
          <w:color w:val="auto"/>
          <w:lang w:eastAsia="zh-CN"/>
        </w:rPr>
        <w:t>3.3工程分析</w:t>
      </w:r>
      <w:bookmarkEnd w:id="406"/>
      <w:bookmarkEnd w:id="407"/>
      <w:bookmarkEnd w:id="408"/>
    </w:p>
    <w:p w14:paraId="6E45C93E">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409" w:name="_Toc3927"/>
      <w:bookmarkStart w:id="410" w:name="_Toc17008"/>
      <w:bookmarkStart w:id="411" w:name="_Toc11586"/>
      <w:r>
        <w:rPr>
          <w:rFonts w:hint="eastAsia" w:ascii="Times New Roman" w:hAnsi="Times New Roman" w:eastAsia="宋体" w:cs="Times New Roman"/>
          <w:snapToGrid/>
          <w:color w:val="auto"/>
          <w:lang w:eastAsia="zh-CN"/>
        </w:rPr>
        <w:t>3.3.1工艺流程及产污环节分析</w:t>
      </w:r>
      <w:bookmarkEnd w:id="409"/>
      <w:bookmarkEnd w:id="410"/>
      <w:bookmarkEnd w:id="411"/>
    </w:p>
    <w:p w14:paraId="06464B75">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"file:///C:\\Users\\jobezho\\AppData\\Local\\Temp\\Rar$DIa13476.12779\\3.4.1.1" </w:instrText>
      </w:r>
      <w:r>
        <w:rPr>
          <w:color w:val="auto"/>
        </w:rPr>
        <w:fldChar w:fldCharType="separate"/>
      </w:r>
      <w:r>
        <w:rPr>
          <w:rFonts w:hint="eastAsia" w:ascii="Times New Roman" w:hAnsi="Times New Roman" w:eastAsia="宋体"/>
          <w:snapToGrid/>
          <w:color w:val="auto"/>
          <w:sz w:val="24"/>
          <w:lang w:eastAsia="zh-CN"/>
        </w:rPr>
        <w:t>3.3.1.1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废旧塑料造粒工序</w:t>
      </w:r>
    </w:p>
    <w:p w14:paraId="51C98BC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lang w:eastAsia="zh-CN"/>
        </w:rPr>
        <w:t>本项目回收废旧滴灌带直接从各回收网点直接回收，各回收网点在田间回收滴灌带过程进行了初步分选，除掉了大部分杂质，本项目废旧塑料颗粒加工的生产工艺主要是将回收的废旧滴灌带破碎、清洗、热熔挤出、冷却、切粒、包装。</w:t>
      </w:r>
      <w:r>
        <w:rPr>
          <w:rFonts w:ascii="Times New Roman" w:hAnsi="Times New Roman"/>
          <w:snapToGrid/>
          <w:color w:val="auto"/>
          <w:sz w:val="24"/>
          <w:szCs w:val="24"/>
        </w:rPr>
        <w:t>生产工艺流程及产污环节详见图</w:t>
      </w:r>
      <w:r>
        <w:rPr>
          <w:rFonts w:hint="eastAsia" w:ascii="Times New Roman" w:hAnsi="Times New Roman"/>
          <w:snapToGrid/>
          <w:color w:val="auto"/>
          <w:sz w:val="24"/>
          <w:szCs w:val="24"/>
          <w:lang w:eastAsia="zh-CN"/>
        </w:rPr>
        <w:t>3.3-1</w:t>
      </w:r>
      <w:r>
        <w:rPr>
          <w:rFonts w:ascii="Times New Roman" w:hAnsi="Times New Roman"/>
          <w:snapToGrid/>
          <w:color w:val="auto"/>
          <w:sz w:val="24"/>
          <w:szCs w:val="24"/>
        </w:rPr>
        <w:t>。</w:t>
      </w:r>
    </w:p>
    <w:p w14:paraId="3C03A3E3">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eastAsia="zh-CN"/>
        </w:rPr>
      </w:pPr>
      <w:r>
        <w:rPr>
          <w:rFonts w:hint="eastAsia" w:ascii="Times New Roman" w:hAnsi="Times New Roman" w:eastAsia="宋体"/>
          <w:snapToGrid/>
          <w:color w:val="auto"/>
          <w:lang w:eastAsia="zh-CN"/>
        </w:rPr>
        <w:drawing>
          <wp:inline distT="0" distB="0" distL="114300" distR="114300">
            <wp:extent cx="5383530" cy="4859020"/>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56"/>
                    <a:stretch>
                      <a:fillRect/>
                    </a:stretch>
                  </pic:blipFill>
                  <pic:spPr>
                    <a:xfrm>
                      <a:off x="0" y="0"/>
                      <a:ext cx="5383530" cy="4859020"/>
                    </a:xfrm>
                    <a:prstGeom prst="rect">
                      <a:avLst/>
                    </a:prstGeom>
                  </pic:spPr>
                </pic:pic>
              </a:graphicData>
            </a:graphic>
          </wp:inline>
        </w:drawing>
      </w:r>
    </w:p>
    <w:p w14:paraId="72B31274">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图</w:t>
      </w:r>
      <w:r>
        <w:rPr>
          <w:rFonts w:hint="eastAsia" w:ascii="Times New Roman" w:hAnsi="Times New Roman"/>
          <w:b/>
          <w:bCs/>
          <w:snapToGrid/>
          <w:color w:val="auto"/>
          <w:sz w:val="24"/>
          <w:lang w:eastAsia="zh-CN"/>
        </w:rPr>
        <w:t>3.3-1</w:t>
      </w:r>
      <w:r>
        <w:rPr>
          <w:rFonts w:ascii="Times New Roman" w:hAnsi="Times New Roman"/>
          <w:b/>
          <w:bCs/>
          <w:snapToGrid/>
          <w:color w:val="auto"/>
          <w:sz w:val="24"/>
          <w:lang w:eastAsia="zh-CN"/>
        </w:rPr>
        <w:t>造粒工艺流程及产污环节图</w:t>
      </w:r>
    </w:p>
    <w:p w14:paraId="5AD7E7E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工艺流程简述：</w:t>
      </w:r>
    </w:p>
    <w:p w14:paraId="27E9254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（1）分拣：对回收的废旧滴灌带进行人工挑拣，将其中杂物（主要为石块、土块、作物残渣等）清理出来，以方便后续加工。分拣工序主要产生分拣废物。</w:t>
      </w:r>
    </w:p>
    <w:p w14:paraId="25B0801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产污环节：</w:t>
      </w:r>
      <w:r>
        <w:rPr>
          <w:rFonts w:hint="eastAsia" w:ascii="Times New Roman" w:hAnsi="Times New Roman"/>
          <w:snapToGrid/>
          <w:color w:val="auto"/>
          <w:sz w:val="24"/>
          <w:szCs w:val="24"/>
          <w:lang w:eastAsia="zh-CN"/>
        </w:rPr>
        <w:t>分拣工序主要产生分拣</w:t>
      </w:r>
      <w:r>
        <w:rPr>
          <w:rFonts w:hint="eastAsia" w:ascii="Times New Roman" w:hAnsi="Times New Roman"/>
          <w:snapToGrid/>
          <w:color w:val="auto"/>
          <w:sz w:val="24"/>
          <w:szCs w:val="24"/>
          <w:lang w:val="en-US" w:eastAsia="zh-CN"/>
        </w:rPr>
        <w:t>固废和粉尘产生</w:t>
      </w:r>
      <w:r>
        <w:rPr>
          <w:rFonts w:hint="eastAsia" w:ascii="Times New Roman" w:hAnsi="Times New Roman"/>
          <w:snapToGrid/>
          <w:color w:val="auto"/>
          <w:sz w:val="24"/>
          <w:szCs w:val="24"/>
          <w:lang w:eastAsia="zh-CN"/>
        </w:rPr>
        <w:t>。</w:t>
      </w:r>
    </w:p>
    <w:p w14:paraId="3647AE6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（2）破碎：</w:t>
      </w:r>
      <w:r>
        <w:rPr>
          <w:rFonts w:hint="eastAsia" w:ascii="Times New Roman" w:hAnsi="Times New Roman"/>
          <w:snapToGrid/>
          <w:color w:val="auto"/>
          <w:sz w:val="24"/>
          <w:szCs w:val="24"/>
          <w:lang w:eastAsia="zh-CN"/>
        </w:rPr>
        <w:t>将回收的废旧滴灌带</w:t>
      </w:r>
      <w:r>
        <w:rPr>
          <w:rFonts w:ascii="Times New Roman" w:hAnsi="Times New Roman"/>
          <w:snapToGrid/>
          <w:color w:val="auto"/>
          <w:sz w:val="24"/>
          <w:szCs w:val="24"/>
          <w:lang w:eastAsia="zh-CN"/>
        </w:rPr>
        <w:t>、水带</w:t>
      </w:r>
      <w:r>
        <w:rPr>
          <w:rFonts w:hint="eastAsia" w:ascii="Times New Roman" w:hAnsi="Times New Roman"/>
          <w:snapToGrid/>
          <w:color w:val="auto"/>
          <w:sz w:val="24"/>
          <w:szCs w:val="24"/>
          <w:lang w:eastAsia="zh-CN"/>
        </w:rPr>
        <w:t>直接送入破碎机，</w:t>
      </w:r>
      <w:r>
        <w:rPr>
          <w:rFonts w:ascii="Times New Roman" w:hAnsi="Times New Roman"/>
          <w:snapToGrid/>
          <w:color w:val="auto"/>
          <w:sz w:val="24"/>
          <w:szCs w:val="24"/>
          <w:lang w:eastAsia="zh-CN"/>
        </w:rPr>
        <w:t>用破碎机将需要破碎的废旧塑料破碎，以方便在热熔造粒工序内加工，提高原料利用率，</w:t>
      </w:r>
      <w:r>
        <w:rPr>
          <w:rFonts w:hint="eastAsia" w:ascii="Times New Roman" w:hAnsi="Times New Roman"/>
          <w:snapToGrid/>
          <w:color w:val="auto"/>
          <w:sz w:val="24"/>
          <w:szCs w:val="24"/>
          <w:lang w:eastAsia="zh-CN"/>
        </w:rPr>
        <w:t>粉碎为较小的颗粒，且破碎采用湿式破碎法，基本无</w:t>
      </w:r>
      <w:r>
        <w:rPr>
          <w:rFonts w:ascii="Times New Roman" w:hAnsi="Times New Roman"/>
          <w:snapToGrid/>
          <w:color w:val="auto"/>
          <w:sz w:val="24"/>
          <w:szCs w:val="24"/>
          <w:lang w:eastAsia="zh-CN"/>
        </w:rPr>
        <w:t>颗粒物排放</w:t>
      </w:r>
      <w:r>
        <w:rPr>
          <w:rFonts w:hint="eastAsia" w:ascii="Times New Roman" w:hAnsi="Times New Roman"/>
          <w:snapToGrid/>
          <w:color w:val="auto"/>
          <w:sz w:val="24"/>
          <w:szCs w:val="24"/>
          <w:lang w:eastAsia="zh-CN"/>
        </w:rPr>
        <w:t>。</w:t>
      </w:r>
    </w:p>
    <w:p w14:paraId="0B0BBC0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产污环节：破碎</w:t>
      </w:r>
      <w:r>
        <w:rPr>
          <w:rFonts w:hint="eastAsia" w:ascii="Times New Roman" w:hAnsi="Times New Roman"/>
          <w:snapToGrid/>
          <w:color w:val="auto"/>
          <w:sz w:val="24"/>
          <w:szCs w:val="24"/>
          <w:lang w:eastAsia="zh-CN"/>
        </w:rPr>
        <w:t>工序主要产生</w:t>
      </w:r>
      <w:r>
        <w:rPr>
          <w:rFonts w:hint="eastAsia" w:ascii="Times New Roman" w:hAnsi="Times New Roman"/>
          <w:snapToGrid/>
          <w:color w:val="auto"/>
          <w:sz w:val="24"/>
          <w:szCs w:val="24"/>
          <w:lang w:val="en-US" w:eastAsia="zh-CN"/>
        </w:rPr>
        <w:t>废水</w:t>
      </w:r>
      <w:r>
        <w:rPr>
          <w:rFonts w:hint="eastAsia" w:ascii="Times New Roman" w:hAnsi="Times New Roman"/>
          <w:snapToGrid/>
          <w:color w:val="auto"/>
          <w:sz w:val="24"/>
          <w:szCs w:val="24"/>
          <w:lang w:eastAsia="zh-CN"/>
        </w:rPr>
        <w:t>。</w:t>
      </w:r>
    </w:p>
    <w:p w14:paraId="76FB1D5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（3）清洗：</w:t>
      </w:r>
      <w:r>
        <w:rPr>
          <w:rFonts w:hint="eastAsia" w:ascii="Times New Roman" w:hAnsi="Times New Roman"/>
          <w:snapToGrid/>
          <w:color w:val="auto"/>
          <w:sz w:val="24"/>
          <w:szCs w:val="24"/>
          <w:lang w:eastAsia="zh-CN"/>
        </w:rPr>
        <w:t>通过上料机将破碎的废旧塑料送入清洗槽进行清洗，采用节水的机械物理清洗工艺，</w:t>
      </w:r>
      <w:r>
        <w:rPr>
          <w:rFonts w:ascii="Times New Roman" w:hAnsi="Times New Roman"/>
          <w:snapToGrid/>
          <w:color w:val="auto"/>
          <w:sz w:val="24"/>
          <w:szCs w:val="24"/>
          <w:lang w:eastAsia="zh-CN"/>
        </w:rPr>
        <w:t>清洗过程中不使用洗涤剂，此过程有清洗废水和噪声产生，清洗后的塑料经提料机送入造粒工序。</w:t>
      </w:r>
      <w:r>
        <w:rPr>
          <w:rFonts w:hint="eastAsia" w:ascii="Times New Roman" w:hAnsi="Times New Roman"/>
          <w:snapToGrid/>
          <w:color w:val="auto"/>
          <w:sz w:val="24"/>
          <w:szCs w:val="24"/>
          <w:lang w:eastAsia="zh-CN"/>
        </w:rPr>
        <w:t>清洗工序主要产生废水、噪声，清洗废水经沉淀池沉淀处理后回用，不外排，沉淀池产生的污染物为污泥（主要为泥沙）。</w:t>
      </w:r>
    </w:p>
    <w:p w14:paraId="7C72291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FF0000"/>
          <w:sz w:val="24"/>
          <w:szCs w:val="24"/>
          <w:lang w:eastAsia="zh-CN"/>
        </w:rPr>
      </w:pPr>
      <w:r>
        <w:rPr>
          <w:rFonts w:hint="eastAsia" w:ascii="Times New Roman" w:hAnsi="Times New Roman"/>
          <w:snapToGrid/>
          <w:color w:val="FF0000"/>
          <w:sz w:val="24"/>
          <w:szCs w:val="24"/>
          <w:lang w:eastAsia="zh-CN"/>
        </w:rPr>
        <w:t>（</w:t>
      </w:r>
      <w:r>
        <w:rPr>
          <w:rFonts w:hint="eastAsia" w:ascii="Times New Roman" w:hAnsi="Times New Roman"/>
          <w:snapToGrid/>
          <w:color w:val="FF0000"/>
          <w:sz w:val="24"/>
          <w:szCs w:val="24"/>
          <w:lang w:val="en-US" w:eastAsia="zh-CN"/>
        </w:rPr>
        <w:t>4</w:t>
      </w:r>
      <w:r>
        <w:rPr>
          <w:rFonts w:hint="eastAsia" w:ascii="Times New Roman" w:hAnsi="Times New Roman"/>
          <w:snapToGrid/>
          <w:color w:val="FF0000"/>
          <w:sz w:val="24"/>
          <w:szCs w:val="24"/>
          <w:lang w:eastAsia="zh-CN"/>
        </w:rPr>
        <w:t>）</w:t>
      </w:r>
      <w:r>
        <w:rPr>
          <w:rFonts w:hint="eastAsia" w:ascii="Times New Roman" w:hAnsi="Times New Roman"/>
          <w:snapToGrid/>
          <w:color w:val="FF0000"/>
          <w:sz w:val="24"/>
          <w:szCs w:val="24"/>
          <w:lang w:val="en-US" w:eastAsia="zh-CN"/>
        </w:rPr>
        <w:t>上料：将配比混合后的原料经双螺旋上料机密闭式分别输送至各类锥形双螺杆挤出机内。物料经密闭式上料机送入挤出机核心部位，因此不会有颗粒物产生，仅产生噪声。</w:t>
      </w:r>
    </w:p>
    <w:p w14:paraId="1AA207C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5</w:t>
      </w:r>
      <w:r>
        <w:rPr>
          <w:rFonts w:ascii="Times New Roman" w:hAnsi="Times New Roman"/>
          <w:snapToGrid/>
          <w:color w:val="auto"/>
          <w:sz w:val="24"/>
          <w:szCs w:val="24"/>
          <w:lang w:eastAsia="zh-CN"/>
        </w:rPr>
        <w:t>）熔融、挤出、切粒：造粒机由挤出机、水槽、切粒机组成，塑料的挤出成型就是塑料在挤出机中，在一定的温度（180-200℃左右）和一定的压力下熔融塑料，并连续通过有固定截面的模型，得到具有特定断面形状连续型材的加工方法，塑料在料筒中借助料筒外部的加热和螺杆转动的剪切挤压作用而熔融，同时熔体在压力的推动下被连续挤出，被挤出的型材失去塑性变为条状，再经过冷却水槽冷却，以免发生变形。最后进入切粒机切成圆柱状颗粒。再生塑料颗粒的粒径在0.7</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1.5mm范围内，塑料颗粒由于粒径较大，因此不易起尘。熔融、挤出、切粒工序产生的污染包括非甲烷总烃、异味、噪声。</w:t>
      </w:r>
    </w:p>
    <w:p w14:paraId="5510F6FE">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"file:///C:\\Users\\jobezho\\AppData\\Local\\Temp\\Rar$DIa13476.12779\\3.4.1.2" </w:instrText>
      </w:r>
      <w:r>
        <w:rPr>
          <w:color w:val="auto"/>
        </w:rPr>
        <w:fldChar w:fldCharType="separate"/>
      </w:r>
      <w:r>
        <w:rPr>
          <w:rFonts w:hint="eastAsia" w:ascii="Times New Roman" w:hAnsi="Times New Roman" w:eastAsia="宋体"/>
          <w:snapToGrid/>
          <w:color w:val="auto"/>
          <w:sz w:val="24"/>
          <w:lang w:eastAsia="zh-CN"/>
        </w:rPr>
        <w:t>3.3.1.2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滴灌带生产工序</w:t>
      </w:r>
    </w:p>
    <w:p w14:paraId="06E053B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滴灌带生产工艺流程详见图</w:t>
      </w:r>
      <w:r>
        <w:rPr>
          <w:rFonts w:hint="eastAsia" w:ascii="Times New Roman" w:hAnsi="Times New Roman"/>
          <w:snapToGrid/>
          <w:color w:val="auto"/>
          <w:sz w:val="24"/>
          <w:szCs w:val="24"/>
          <w:lang w:eastAsia="zh-CN"/>
        </w:rPr>
        <w:t>3.3-2</w:t>
      </w:r>
      <w:r>
        <w:rPr>
          <w:rFonts w:ascii="Times New Roman" w:hAnsi="Times New Roman"/>
          <w:snapToGrid/>
          <w:color w:val="auto"/>
          <w:sz w:val="24"/>
          <w:szCs w:val="24"/>
          <w:lang w:eastAsia="zh-CN"/>
        </w:rPr>
        <w:t>。</w:t>
      </w:r>
    </w:p>
    <w:p w14:paraId="66F8DE29">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eastAsia="zh-CN"/>
        </w:rPr>
      </w:pPr>
      <w:r>
        <w:rPr>
          <w:rFonts w:hint="eastAsia" w:ascii="Times New Roman" w:hAnsi="Times New Roman" w:eastAsia="宋体"/>
          <w:snapToGrid/>
          <w:color w:val="auto"/>
          <w:lang w:eastAsia="zh-CN"/>
        </w:rPr>
        <w:drawing>
          <wp:inline distT="0" distB="0" distL="114300" distR="114300">
            <wp:extent cx="5380355" cy="5946140"/>
            <wp:effectExtent l="0" t="0" r="0" b="0"/>
            <wp:docPr id="1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2" descr="wps"/>
                    <pic:cNvPicPr>
                      <a:picLocks noChangeAspect="1"/>
                    </pic:cNvPicPr>
                  </pic:nvPicPr>
                  <pic:blipFill>
                    <a:blip r:embed="rId57"/>
                    <a:stretch>
                      <a:fillRect/>
                    </a:stretch>
                  </pic:blipFill>
                  <pic:spPr>
                    <a:xfrm>
                      <a:off x="0" y="0"/>
                      <a:ext cx="5380355" cy="5946140"/>
                    </a:xfrm>
                    <a:prstGeom prst="rect">
                      <a:avLst/>
                    </a:prstGeom>
                  </pic:spPr>
                </pic:pic>
              </a:graphicData>
            </a:graphic>
          </wp:inline>
        </w:drawing>
      </w:r>
    </w:p>
    <w:p w14:paraId="746FB1B1">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图</w:t>
      </w:r>
      <w:r>
        <w:rPr>
          <w:rFonts w:hint="eastAsia" w:ascii="Times New Roman" w:hAnsi="Times New Roman"/>
          <w:b/>
          <w:bCs/>
          <w:snapToGrid/>
          <w:color w:val="auto"/>
          <w:sz w:val="24"/>
          <w:lang w:eastAsia="zh-CN"/>
        </w:rPr>
        <w:t>3.3-2</w:t>
      </w:r>
      <w:r>
        <w:rPr>
          <w:rFonts w:ascii="Times New Roman" w:hAnsi="Times New Roman"/>
          <w:b/>
          <w:bCs/>
          <w:snapToGrid/>
          <w:color w:val="auto"/>
          <w:sz w:val="24"/>
          <w:lang w:eastAsia="zh-CN"/>
        </w:rPr>
        <w:t>滴灌带加工工艺流程及产污环节图</w:t>
      </w:r>
    </w:p>
    <w:p w14:paraId="7C00DB9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工艺流程简述：</w:t>
      </w:r>
    </w:p>
    <w:p w14:paraId="47F53F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①混料</w:t>
      </w:r>
    </w:p>
    <w:p w14:paraId="2697664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将再生聚乙烯颗粒料、黑色母料、抗老化剂按照配比</w:t>
      </w:r>
      <w:r>
        <w:rPr>
          <w:rFonts w:hint="eastAsia" w:ascii="Times New Roman" w:hAnsi="Times New Roman"/>
          <w:snapToGrid/>
          <w:color w:val="auto"/>
          <w:sz w:val="24"/>
          <w:szCs w:val="24"/>
          <w:lang w:eastAsia="zh-CN"/>
        </w:rPr>
        <w:t>好后，经过人工上料方式倒入搅拌罐内，此过程产生无组织粉尘。</w:t>
      </w:r>
      <w:r>
        <w:rPr>
          <w:rFonts w:ascii="Times New Roman" w:hAnsi="Times New Roman"/>
          <w:snapToGrid/>
          <w:color w:val="auto"/>
          <w:sz w:val="24"/>
          <w:szCs w:val="24"/>
          <w:lang w:eastAsia="zh-CN"/>
        </w:rPr>
        <w:t>混合搅拌均匀</w:t>
      </w:r>
      <w:r>
        <w:rPr>
          <w:rFonts w:hint="eastAsia" w:ascii="Times New Roman" w:hAnsi="Times New Roman"/>
          <w:snapToGrid/>
          <w:color w:val="auto"/>
          <w:sz w:val="24"/>
          <w:szCs w:val="24"/>
          <w:lang w:eastAsia="zh-CN"/>
        </w:rPr>
        <w:t>后</w:t>
      </w:r>
      <w:r>
        <w:rPr>
          <w:rFonts w:ascii="Times New Roman" w:hAnsi="Times New Roman"/>
          <w:snapToGrid/>
          <w:color w:val="auto"/>
          <w:sz w:val="24"/>
          <w:szCs w:val="24"/>
          <w:lang w:eastAsia="zh-CN"/>
        </w:rPr>
        <w:t>，进行预热以除去物料携带的水分。</w:t>
      </w:r>
      <w:r>
        <w:rPr>
          <w:rFonts w:hint="eastAsia" w:ascii="Times New Roman" w:hAnsi="Times New Roman"/>
          <w:snapToGrid/>
          <w:color w:val="auto"/>
          <w:sz w:val="24"/>
          <w:szCs w:val="24"/>
          <w:lang w:eastAsia="zh-CN"/>
        </w:rPr>
        <w:t>该工序主要产生噪声。</w:t>
      </w:r>
    </w:p>
    <w:p w14:paraId="193C44C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②挤出成型</w:t>
      </w:r>
    </w:p>
    <w:p w14:paraId="382777F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物料从上料斗进入双螺杆挤出机，在挤出机内塑料杯加热融化，加热方式为电加热，控制温度在170-200℃</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颗粒料经加热融化变为可塑性的粘流体，粘流体在螺杆旋转和压力的作用下，通过模具而成为截面与口模形状相仿的连续体，连续体经过冷却，定型为固态，后经切割而得到具有一定几何形状和尺寸的滴灌带成品，最后进行包装入库待售。</w:t>
      </w:r>
    </w:p>
    <w:p w14:paraId="5D31E0E5">
      <w:pPr>
        <w:pStyle w:val="52"/>
        <w:shd w:val="clear"/>
        <w:spacing w:before="0" w:after="0" w:line="360" w:lineRule="auto"/>
        <w:outlineLvl w:val="2"/>
        <w:rPr>
          <w:rFonts w:ascii="Times New Roman" w:hAnsi="Times New Roman" w:eastAsia="宋体" w:cs="Times New Roman"/>
          <w:snapToGrid/>
          <w:color w:val="auto"/>
          <w:sz w:val="28"/>
          <w:szCs w:val="32"/>
          <w:lang w:eastAsia="zh-CN"/>
        </w:rPr>
      </w:pPr>
      <w:bookmarkStart w:id="412" w:name="_Toc15300"/>
      <w:bookmarkStart w:id="413" w:name="_Toc18375"/>
      <w:bookmarkStart w:id="414" w:name="_Toc15047"/>
      <w:bookmarkStart w:id="415" w:name="_Toc27843"/>
      <w:bookmarkStart w:id="416" w:name="_Toc16435"/>
      <w:bookmarkStart w:id="417" w:name="_Toc131063353"/>
      <w:bookmarkStart w:id="418" w:name="_Toc144587542"/>
      <w:bookmarkStart w:id="419" w:name="_Toc4606"/>
      <w:r>
        <w:rPr>
          <w:rFonts w:hint="eastAsia" w:ascii="Times New Roman" w:hAnsi="Times New Roman" w:eastAsia="宋体" w:cs="Times New Roman"/>
          <w:snapToGrid/>
          <w:color w:val="auto"/>
          <w:sz w:val="28"/>
          <w:szCs w:val="32"/>
          <w:lang w:eastAsia="zh-CN"/>
        </w:rPr>
        <w:t>3.3.1物料平衡</w:t>
      </w:r>
      <w:bookmarkEnd w:id="412"/>
      <w:bookmarkEnd w:id="413"/>
      <w:bookmarkEnd w:id="414"/>
      <w:bookmarkEnd w:id="415"/>
      <w:bookmarkEnd w:id="416"/>
      <w:bookmarkEnd w:id="417"/>
      <w:bookmarkEnd w:id="418"/>
      <w:bookmarkEnd w:id="419"/>
      <w:r>
        <w:rPr>
          <w:rFonts w:hint="eastAsia" w:ascii="Times New Roman" w:hAnsi="Times New Roman" w:eastAsia="宋体" w:cs="Times New Roman"/>
          <w:snapToGrid/>
          <w:color w:val="auto"/>
          <w:sz w:val="28"/>
          <w:szCs w:val="32"/>
          <w:lang w:eastAsia="zh-CN"/>
        </w:rPr>
        <w:t>及水平衡</w:t>
      </w:r>
    </w:p>
    <w:p w14:paraId="5D8DAACC">
      <w:pPr>
        <w:pStyle w:val="47"/>
        <w:shd w:val="clear"/>
        <w:spacing w:line="360" w:lineRule="auto"/>
        <w:rPr>
          <w:rFonts w:eastAsia="宋体" w:cs="Times New Roman"/>
          <w:color w:val="auto"/>
          <w:lang w:eastAsia="zh-CN"/>
        </w:rPr>
      </w:pPr>
      <w:bookmarkStart w:id="420" w:name="_Toc20545"/>
      <w:r>
        <w:rPr>
          <w:rFonts w:hint="eastAsia" w:eastAsia="宋体" w:cs="Times New Roman"/>
          <w:color w:val="auto"/>
          <w:lang w:eastAsia="zh-CN"/>
        </w:rPr>
        <w:t>（1）物料平衡</w:t>
      </w:r>
    </w:p>
    <w:p w14:paraId="1EDE4CBF">
      <w:pPr>
        <w:pStyle w:val="47"/>
        <w:shd w:val="clear"/>
        <w:spacing w:line="360" w:lineRule="auto"/>
        <w:rPr>
          <w:rFonts w:eastAsia="宋体" w:cs="Times New Roman"/>
          <w:color w:val="auto"/>
        </w:rPr>
      </w:pPr>
      <w:r>
        <w:rPr>
          <w:rFonts w:hint="eastAsia" w:eastAsia="宋体" w:cs="Times New Roman"/>
          <w:color w:val="auto"/>
          <w:lang w:eastAsia="zh-CN"/>
        </w:rPr>
        <w:t>本项目废旧塑料颗粒加工造粒工序原料为废旧滴灌带、水带，产品为再生聚乙烯塑料颗粒；滴灌带生产线原料为再生塑料颗粒、聚乙烯颗粒（新料）、黑色母料、抗老化剂等，产品为滴灌带。</w:t>
      </w:r>
      <w:r>
        <w:rPr>
          <w:rFonts w:hint="eastAsia" w:eastAsia="宋体" w:cs="Times New Roman"/>
          <w:color w:val="auto"/>
        </w:rPr>
        <w:t>具体物料平衡见表3.3-1和图3.3-1。</w:t>
      </w:r>
    </w:p>
    <w:bookmarkEnd w:id="420"/>
    <w:p w14:paraId="5132FFCC">
      <w:pPr>
        <w:pStyle w:val="47"/>
        <w:shd w:val="clear"/>
        <w:spacing w:line="360" w:lineRule="auto"/>
        <w:ind w:firstLine="482"/>
        <w:jc w:val="center"/>
        <w:rPr>
          <w:rFonts w:eastAsia="宋体" w:cs="Times New Roman"/>
          <w:b/>
          <w:color w:val="auto"/>
          <w:szCs w:val="21"/>
        </w:rPr>
      </w:pPr>
      <w:r>
        <w:rPr>
          <w:rFonts w:eastAsia="宋体" w:cs="Times New Roman"/>
          <w:b/>
          <w:color w:val="auto"/>
          <w:szCs w:val="21"/>
        </w:rPr>
        <w:t>表3.</w:t>
      </w:r>
      <w:r>
        <w:rPr>
          <w:rFonts w:hint="eastAsia" w:eastAsia="宋体" w:cs="Times New Roman"/>
          <w:b/>
          <w:color w:val="auto"/>
          <w:szCs w:val="21"/>
        </w:rPr>
        <w:t>3</w:t>
      </w:r>
      <w:r>
        <w:rPr>
          <w:rFonts w:eastAsia="宋体" w:cs="Times New Roman"/>
          <w:b/>
          <w:color w:val="auto"/>
          <w:szCs w:val="21"/>
        </w:rPr>
        <w:t>-</w:t>
      </w:r>
      <w:r>
        <w:rPr>
          <w:rFonts w:hint="eastAsia" w:eastAsia="宋体" w:cs="Times New Roman"/>
          <w:b/>
          <w:color w:val="auto"/>
          <w:szCs w:val="21"/>
        </w:rPr>
        <w:t>1</w:t>
      </w:r>
      <w:r>
        <w:rPr>
          <w:rFonts w:eastAsia="宋体" w:cs="Times New Roman"/>
          <w:b/>
          <w:color w:val="auto"/>
          <w:szCs w:val="21"/>
        </w:rPr>
        <w:t>本项目物料平衡表</w:t>
      </w:r>
    </w:p>
    <w:tbl>
      <w:tblPr>
        <w:tblStyle w:val="2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21"/>
        <w:gridCol w:w="1590"/>
        <w:gridCol w:w="1770"/>
        <w:gridCol w:w="1620"/>
        <w:gridCol w:w="1603"/>
      </w:tblGrid>
      <w:tr w14:paraId="5C4E5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1" w:type="dxa"/>
            <w:gridSpan w:val="2"/>
            <w:tcBorders>
              <w:tl2br w:val="nil"/>
              <w:tr2bl w:val="nil"/>
            </w:tcBorders>
            <w:shd w:val="clear" w:color="auto" w:fill="auto"/>
            <w:vAlign w:val="center"/>
          </w:tcPr>
          <w:p w14:paraId="2C8C08BB">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投入</w:t>
            </w:r>
          </w:p>
        </w:tc>
        <w:tc>
          <w:tcPr>
            <w:tcW w:w="4993" w:type="dxa"/>
            <w:gridSpan w:val="3"/>
            <w:tcBorders>
              <w:tl2br w:val="nil"/>
              <w:tr2bl w:val="nil"/>
            </w:tcBorders>
            <w:shd w:val="clear" w:color="auto" w:fill="auto"/>
            <w:vAlign w:val="center"/>
          </w:tcPr>
          <w:p w14:paraId="1337BCB0">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产出</w:t>
            </w:r>
          </w:p>
        </w:tc>
      </w:tr>
      <w:tr w14:paraId="5819B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45225D84">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名称</w:t>
            </w:r>
          </w:p>
        </w:tc>
        <w:tc>
          <w:tcPr>
            <w:tcW w:w="1590" w:type="dxa"/>
            <w:tcBorders>
              <w:tl2br w:val="nil"/>
              <w:tr2bl w:val="nil"/>
            </w:tcBorders>
            <w:shd w:val="clear" w:color="auto" w:fill="auto"/>
            <w:vAlign w:val="center"/>
          </w:tcPr>
          <w:p w14:paraId="526A7475">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数量（t/a）</w:t>
            </w:r>
          </w:p>
        </w:tc>
        <w:tc>
          <w:tcPr>
            <w:tcW w:w="1770" w:type="dxa"/>
            <w:tcBorders>
              <w:tl2br w:val="nil"/>
              <w:tr2bl w:val="nil"/>
            </w:tcBorders>
            <w:shd w:val="clear" w:color="auto" w:fill="auto"/>
            <w:vAlign w:val="center"/>
          </w:tcPr>
          <w:p w14:paraId="59028EBC">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名称</w:t>
            </w:r>
          </w:p>
        </w:tc>
        <w:tc>
          <w:tcPr>
            <w:tcW w:w="1620" w:type="dxa"/>
            <w:tcBorders>
              <w:tl2br w:val="nil"/>
              <w:tr2bl w:val="nil"/>
            </w:tcBorders>
            <w:shd w:val="clear" w:color="auto" w:fill="auto"/>
            <w:vAlign w:val="center"/>
          </w:tcPr>
          <w:p w14:paraId="522AA128">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数量（t/a）</w:t>
            </w:r>
          </w:p>
        </w:tc>
        <w:tc>
          <w:tcPr>
            <w:tcW w:w="1603" w:type="dxa"/>
            <w:tcBorders>
              <w:tl2br w:val="nil"/>
              <w:tr2bl w:val="nil"/>
            </w:tcBorders>
            <w:shd w:val="clear" w:color="auto" w:fill="auto"/>
            <w:vAlign w:val="center"/>
          </w:tcPr>
          <w:p w14:paraId="487553B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备注</w:t>
            </w:r>
          </w:p>
        </w:tc>
      </w:tr>
      <w:tr w14:paraId="73E83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4" w:type="dxa"/>
            <w:gridSpan w:val="5"/>
            <w:tcBorders>
              <w:tl2br w:val="nil"/>
              <w:tr2bl w:val="nil"/>
            </w:tcBorders>
            <w:shd w:val="clear" w:color="auto" w:fill="auto"/>
            <w:vAlign w:val="center"/>
          </w:tcPr>
          <w:p w14:paraId="6CCF9DDE">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再生聚乙烯颗粒加工造粒工序</w:t>
            </w:r>
          </w:p>
        </w:tc>
      </w:tr>
      <w:tr w14:paraId="15FB1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2F05B84A">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废旧滴灌带</w:t>
            </w:r>
          </w:p>
        </w:tc>
        <w:tc>
          <w:tcPr>
            <w:tcW w:w="1590" w:type="dxa"/>
            <w:tcBorders>
              <w:tl2br w:val="nil"/>
              <w:tr2bl w:val="nil"/>
            </w:tcBorders>
            <w:shd w:val="clear" w:color="auto" w:fill="auto"/>
            <w:vAlign w:val="center"/>
          </w:tcPr>
          <w:p w14:paraId="097BC1D5">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5517.2</w:t>
            </w:r>
          </w:p>
        </w:tc>
        <w:tc>
          <w:tcPr>
            <w:tcW w:w="1770" w:type="dxa"/>
            <w:tcBorders>
              <w:tl2br w:val="nil"/>
              <w:tr2bl w:val="nil"/>
            </w:tcBorders>
            <w:shd w:val="clear" w:color="auto" w:fill="auto"/>
            <w:vAlign w:val="center"/>
          </w:tcPr>
          <w:p w14:paraId="6BC7BEC6">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再生颗粒</w:t>
            </w:r>
          </w:p>
        </w:tc>
        <w:tc>
          <w:tcPr>
            <w:tcW w:w="1620" w:type="dxa"/>
            <w:tcBorders>
              <w:tl2br w:val="nil"/>
              <w:tr2bl w:val="nil"/>
            </w:tcBorders>
            <w:shd w:val="clear" w:color="auto" w:fill="auto"/>
            <w:vAlign w:val="center"/>
          </w:tcPr>
          <w:p w14:paraId="68EEAD2F">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5000</w:t>
            </w:r>
          </w:p>
        </w:tc>
        <w:tc>
          <w:tcPr>
            <w:tcW w:w="1603" w:type="dxa"/>
            <w:tcBorders>
              <w:tl2br w:val="nil"/>
              <w:tr2bl w:val="nil"/>
            </w:tcBorders>
            <w:shd w:val="clear" w:color="auto" w:fill="auto"/>
            <w:vAlign w:val="center"/>
          </w:tcPr>
          <w:p w14:paraId="2776DCA3">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w:t>
            </w:r>
          </w:p>
        </w:tc>
      </w:tr>
      <w:tr w14:paraId="6163E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5CA102C5">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590" w:type="dxa"/>
            <w:tcBorders>
              <w:tl2br w:val="nil"/>
              <w:tr2bl w:val="nil"/>
            </w:tcBorders>
            <w:shd w:val="clear" w:color="auto" w:fill="auto"/>
            <w:vAlign w:val="center"/>
          </w:tcPr>
          <w:p w14:paraId="27F4344E">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770" w:type="dxa"/>
            <w:tcBorders>
              <w:tl2br w:val="nil"/>
              <w:tr2bl w:val="nil"/>
            </w:tcBorders>
            <w:shd w:val="clear" w:color="auto" w:fill="auto"/>
            <w:vAlign w:val="center"/>
          </w:tcPr>
          <w:p w14:paraId="5E876E06">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非甲烷总烃</w:t>
            </w:r>
          </w:p>
        </w:tc>
        <w:tc>
          <w:tcPr>
            <w:tcW w:w="1620" w:type="dxa"/>
            <w:tcBorders>
              <w:tl2br w:val="nil"/>
              <w:tr2bl w:val="nil"/>
            </w:tcBorders>
            <w:shd w:val="clear" w:color="auto" w:fill="auto"/>
            <w:vAlign w:val="center"/>
          </w:tcPr>
          <w:p w14:paraId="0C94C648">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1.75</w:t>
            </w:r>
          </w:p>
        </w:tc>
        <w:tc>
          <w:tcPr>
            <w:tcW w:w="1603" w:type="dxa"/>
            <w:tcBorders>
              <w:tl2br w:val="nil"/>
              <w:tr2bl w:val="nil"/>
            </w:tcBorders>
            <w:shd w:val="clear" w:color="auto" w:fill="auto"/>
            <w:vAlign w:val="center"/>
          </w:tcPr>
          <w:p w14:paraId="4287736D">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废气</w:t>
            </w:r>
          </w:p>
        </w:tc>
      </w:tr>
      <w:tr w14:paraId="5A70D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4592FCE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590" w:type="dxa"/>
            <w:tcBorders>
              <w:tl2br w:val="nil"/>
              <w:tr2bl w:val="nil"/>
            </w:tcBorders>
            <w:shd w:val="clear" w:color="auto" w:fill="auto"/>
            <w:vAlign w:val="center"/>
          </w:tcPr>
          <w:p w14:paraId="16DBA01E">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770" w:type="dxa"/>
            <w:tcBorders>
              <w:tl2br w:val="nil"/>
              <w:tr2bl w:val="nil"/>
            </w:tcBorders>
            <w:shd w:val="clear" w:color="auto" w:fill="auto"/>
            <w:vAlign w:val="center"/>
          </w:tcPr>
          <w:p w14:paraId="46EEF08B">
            <w:pPr>
              <w:pStyle w:val="54"/>
              <w:widowControl/>
              <w:shd w:val="clear" w:color="auto"/>
              <w:adjustRightInd/>
              <w:snapToGrid/>
              <w:spacing w:line="360" w:lineRule="auto"/>
              <w:rPr>
                <w:rFonts w:hint="eastAsia"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颗粒物</w:t>
            </w:r>
          </w:p>
        </w:tc>
        <w:tc>
          <w:tcPr>
            <w:tcW w:w="1620" w:type="dxa"/>
            <w:tcBorders>
              <w:tl2br w:val="nil"/>
              <w:tr2bl w:val="nil"/>
            </w:tcBorders>
            <w:shd w:val="clear" w:color="auto" w:fill="auto"/>
            <w:vAlign w:val="center"/>
          </w:tcPr>
          <w:p w14:paraId="3D999CF7">
            <w:pPr>
              <w:pStyle w:val="54"/>
              <w:widowControl/>
              <w:shd w:val="clear" w:color="auto"/>
              <w:adjustRightInd/>
              <w:snapToGrid/>
              <w:spacing w:line="360" w:lineRule="auto"/>
              <w:rPr>
                <w:rFonts w:hint="default"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2.4</w:t>
            </w:r>
          </w:p>
        </w:tc>
        <w:tc>
          <w:tcPr>
            <w:tcW w:w="1603" w:type="dxa"/>
            <w:tcBorders>
              <w:tl2br w:val="nil"/>
              <w:tr2bl w:val="nil"/>
            </w:tcBorders>
            <w:shd w:val="clear" w:color="auto" w:fill="auto"/>
            <w:vAlign w:val="center"/>
          </w:tcPr>
          <w:p w14:paraId="5F3F55FD">
            <w:pPr>
              <w:pStyle w:val="54"/>
              <w:widowControl/>
              <w:shd w:val="clear" w:color="auto"/>
              <w:adjustRightInd/>
              <w:snapToGrid/>
              <w:spacing w:line="360" w:lineRule="auto"/>
              <w:rPr>
                <w:rFonts w:hint="eastAsia"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废气</w:t>
            </w:r>
          </w:p>
        </w:tc>
      </w:tr>
      <w:tr w14:paraId="5AA13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5C94E2FF">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590" w:type="dxa"/>
            <w:tcBorders>
              <w:tl2br w:val="nil"/>
              <w:tr2bl w:val="nil"/>
            </w:tcBorders>
            <w:shd w:val="clear" w:color="auto" w:fill="auto"/>
            <w:vAlign w:val="center"/>
          </w:tcPr>
          <w:p w14:paraId="146F7ADB">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770" w:type="dxa"/>
            <w:tcBorders>
              <w:tl2br w:val="nil"/>
              <w:tr2bl w:val="nil"/>
            </w:tcBorders>
            <w:shd w:val="clear" w:color="auto" w:fill="auto"/>
            <w:vAlign w:val="center"/>
          </w:tcPr>
          <w:p w14:paraId="13C8DA56">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分拣废物</w:t>
            </w:r>
          </w:p>
        </w:tc>
        <w:tc>
          <w:tcPr>
            <w:tcW w:w="1620" w:type="dxa"/>
            <w:tcBorders>
              <w:tl2br w:val="nil"/>
              <w:tr2bl w:val="nil"/>
            </w:tcBorders>
            <w:shd w:val="clear" w:color="auto" w:fill="auto"/>
            <w:vAlign w:val="center"/>
          </w:tcPr>
          <w:p w14:paraId="1B6CC041">
            <w:pPr>
              <w:pStyle w:val="54"/>
              <w:widowControl/>
              <w:shd w:val="clear" w:color="auto"/>
              <w:adjustRightInd/>
              <w:snapToGrid/>
              <w:spacing w:line="360" w:lineRule="auto"/>
              <w:rPr>
                <w:rFonts w:hint="default"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205.3</w:t>
            </w:r>
          </w:p>
        </w:tc>
        <w:tc>
          <w:tcPr>
            <w:tcW w:w="1603" w:type="dxa"/>
            <w:tcBorders>
              <w:tl2br w:val="nil"/>
              <w:tr2bl w:val="nil"/>
            </w:tcBorders>
            <w:shd w:val="clear" w:color="auto" w:fill="auto"/>
            <w:vAlign w:val="center"/>
          </w:tcPr>
          <w:p w14:paraId="36183B2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固废</w:t>
            </w:r>
          </w:p>
        </w:tc>
      </w:tr>
      <w:tr w14:paraId="4C5F7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77158047">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590" w:type="dxa"/>
            <w:tcBorders>
              <w:tl2br w:val="nil"/>
              <w:tr2bl w:val="nil"/>
            </w:tcBorders>
            <w:shd w:val="clear" w:color="auto" w:fill="auto"/>
            <w:vAlign w:val="center"/>
          </w:tcPr>
          <w:p w14:paraId="0EE7243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770" w:type="dxa"/>
            <w:tcBorders>
              <w:tl2br w:val="nil"/>
              <w:tr2bl w:val="nil"/>
            </w:tcBorders>
            <w:shd w:val="clear" w:color="auto" w:fill="auto"/>
            <w:vAlign w:val="center"/>
          </w:tcPr>
          <w:p w14:paraId="54655F12">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沉淀池污泥</w:t>
            </w:r>
          </w:p>
        </w:tc>
        <w:tc>
          <w:tcPr>
            <w:tcW w:w="1620" w:type="dxa"/>
            <w:tcBorders>
              <w:tl2br w:val="nil"/>
              <w:tr2bl w:val="nil"/>
            </w:tcBorders>
            <w:shd w:val="clear" w:color="auto" w:fill="auto"/>
            <w:vAlign w:val="center"/>
          </w:tcPr>
          <w:p w14:paraId="4FFD1080">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307.75</w:t>
            </w:r>
          </w:p>
        </w:tc>
        <w:tc>
          <w:tcPr>
            <w:tcW w:w="1603" w:type="dxa"/>
            <w:tcBorders>
              <w:tl2br w:val="nil"/>
              <w:tr2bl w:val="nil"/>
            </w:tcBorders>
            <w:shd w:val="clear" w:color="auto" w:fill="auto"/>
            <w:vAlign w:val="center"/>
          </w:tcPr>
          <w:p w14:paraId="3A6EEBF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固废</w:t>
            </w:r>
          </w:p>
        </w:tc>
      </w:tr>
      <w:tr w14:paraId="4655B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048E038A">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小计</w:t>
            </w:r>
          </w:p>
        </w:tc>
        <w:tc>
          <w:tcPr>
            <w:tcW w:w="1590" w:type="dxa"/>
            <w:tcBorders>
              <w:tl2br w:val="nil"/>
              <w:tr2bl w:val="nil"/>
            </w:tcBorders>
            <w:shd w:val="clear" w:color="auto" w:fill="auto"/>
            <w:vAlign w:val="center"/>
          </w:tcPr>
          <w:p w14:paraId="572A826C">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5517.2</w:t>
            </w:r>
          </w:p>
        </w:tc>
        <w:tc>
          <w:tcPr>
            <w:tcW w:w="1770" w:type="dxa"/>
            <w:tcBorders>
              <w:tl2br w:val="nil"/>
              <w:tr2bl w:val="nil"/>
            </w:tcBorders>
            <w:shd w:val="clear" w:color="auto" w:fill="auto"/>
            <w:vAlign w:val="center"/>
          </w:tcPr>
          <w:p w14:paraId="14DA5968">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小计</w:t>
            </w:r>
          </w:p>
        </w:tc>
        <w:tc>
          <w:tcPr>
            <w:tcW w:w="1620" w:type="dxa"/>
            <w:tcBorders>
              <w:tl2br w:val="nil"/>
              <w:tr2bl w:val="nil"/>
            </w:tcBorders>
            <w:shd w:val="clear" w:color="auto" w:fill="auto"/>
            <w:vAlign w:val="center"/>
          </w:tcPr>
          <w:p w14:paraId="17A49B0A">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5517.2</w:t>
            </w:r>
          </w:p>
        </w:tc>
        <w:tc>
          <w:tcPr>
            <w:tcW w:w="1603" w:type="dxa"/>
            <w:tcBorders>
              <w:tl2br w:val="nil"/>
              <w:tr2bl w:val="nil"/>
            </w:tcBorders>
            <w:shd w:val="clear" w:color="auto" w:fill="auto"/>
            <w:vAlign w:val="center"/>
          </w:tcPr>
          <w:p w14:paraId="20DC8136">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r>
      <w:tr w14:paraId="25A1E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4" w:type="dxa"/>
            <w:gridSpan w:val="5"/>
            <w:tcBorders>
              <w:tl2br w:val="nil"/>
              <w:tr2bl w:val="nil"/>
            </w:tcBorders>
            <w:shd w:val="clear" w:color="auto" w:fill="auto"/>
            <w:vAlign w:val="center"/>
          </w:tcPr>
          <w:p w14:paraId="629C6A2B">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滴灌带生产线</w:t>
            </w:r>
          </w:p>
        </w:tc>
      </w:tr>
      <w:tr w14:paraId="60F0E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4EA9B32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再生颗粒</w:t>
            </w:r>
          </w:p>
        </w:tc>
        <w:tc>
          <w:tcPr>
            <w:tcW w:w="1590" w:type="dxa"/>
            <w:tcBorders>
              <w:tl2br w:val="nil"/>
              <w:tr2bl w:val="nil"/>
            </w:tcBorders>
            <w:shd w:val="clear" w:color="auto" w:fill="auto"/>
            <w:vAlign w:val="center"/>
          </w:tcPr>
          <w:p w14:paraId="5F49D60C">
            <w:pPr>
              <w:pStyle w:val="54"/>
              <w:widowControl/>
              <w:shd w:val="clear" w:color="auto"/>
              <w:adjustRightInd/>
              <w:snapToGrid/>
              <w:spacing w:line="360" w:lineRule="auto"/>
              <w:rPr>
                <w:rFonts w:hint="default"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3523.3</w:t>
            </w:r>
          </w:p>
        </w:tc>
        <w:tc>
          <w:tcPr>
            <w:tcW w:w="1770" w:type="dxa"/>
            <w:tcBorders>
              <w:tl2br w:val="nil"/>
              <w:tr2bl w:val="nil"/>
            </w:tcBorders>
            <w:shd w:val="clear" w:color="auto" w:fill="auto"/>
            <w:vAlign w:val="center"/>
          </w:tcPr>
          <w:p w14:paraId="2EA57B2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滴灌带</w:t>
            </w:r>
          </w:p>
        </w:tc>
        <w:tc>
          <w:tcPr>
            <w:tcW w:w="1620" w:type="dxa"/>
            <w:tcBorders>
              <w:tl2br w:val="nil"/>
              <w:tr2bl w:val="nil"/>
            </w:tcBorders>
            <w:shd w:val="clear" w:color="auto" w:fill="auto"/>
            <w:vAlign w:val="center"/>
          </w:tcPr>
          <w:p w14:paraId="1D7162A1">
            <w:pPr>
              <w:pStyle w:val="54"/>
              <w:widowControl/>
              <w:shd w:val="clear" w:color="auto"/>
              <w:adjustRightInd/>
              <w:snapToGrid/>
              <w:spacing w:line="360" w:lineRule="auto"/>
              <w:rPr>
                <w:rFonts w:hint="default"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350</w:t>
            </w:r>
            <w:r>
              <w:rPr>
                <w:rFonts w:hint="eastAsia" w:ascii="Times New Roman" w:hAnsi="Times New Roman" w:eastAsia="宋体" w:cs="Times New Roman"/>
                <w:b w:val="0"/>
                <w:bCs w:val="0"/>
                <w:color w:val="auto"/>
                <w:sz w:val="21"/>
                <w:szCs w:val="21"/>
                <w:highlight w:val="none"/>
                <w:shd w:val="clear" w:color="auto" w:fill="auto"/>
                <w:lang w:val="en-US" w:eastAsia="zh-CN" w:bidi="en-US"/>
              </w:rPr>
              <w:t>0</w:t>
            </w:r>
          </w:p>
        </w:tc>
        <w:tc>
          <w:tcPr>
            <w:tcW w:w="1603" w:type="dxa"/>
            <w:tcBorders>
              <w:tl2br w:val="nil"/>
              <w:tr2bl w:val="nil"/>
            </w:tcBorders>
            <w:shd w:val="clear" w:color="auto" w:fill="auto"/>
            <w:vAlign w:val="center"/>
          </w:tcPr>
          <w:p w14:paraId="21E17276">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产品</w:t>
            </w:r>
          </w:p>
        </w:tc>
      </w:tr>
      <w:tr w14:paraId="548FB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14CD1040">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聚乙烯颗粒（新料）</w:t>
            </w:r>
          </w:p>
        </w:tc>
        <w:tc>
          <w:tcPr>
            <w:tcW w:w="1590" w:type="dxa"/>
            <w:tcBorders>
              <w:tl2br w:val="nil"/>
              <w:tr2bl w:val="nil"/>
            </w:tcBorders>
            <w:shd w:val="clear" w:color="auto" w:fill="auto"/>
            <w:vAlign w:val="center"/>
          </w:tcPr>
          <w:p w14:paraId="19F52598">
            <w:pPr>
              <w:widowControl w:val="0"/>
              <w:shd w:val="clear"/>
              <w:kinsoku/>
              <w:autoSpaceDE/>
              <w:autoSpaceDN/>
              <w:adjustRightInd/>
              <w:snapToGrid/>
              <w:spacing w:line="360" w:lineRule="auto"/>
              <w:jc w:val="center"/>
              <w:textAlignment w:val="auto"/>
              <w:rPr>
                <w:rFonts w:ascii="Times New Roman" w:hAnsi="Times New Roman" w:eastAsia="宋体" w:cs="Times New Roman"/>
                <w:color w:val="auto"/>
                <w:highlight w:val="none"/>
                <w:shd w:val="clear" w:color="auto" w:fill="auto"/>
                <w:lang w:bidi="en-US"/>
              </w:rPr>
            </w:pPr>
            <w:r>
              <w:rPr>
                <w:rFonts w:hint="eastAsia" w:ascii="Times New Roman" w:hAnsi="Times New Roman" w:eastAsia="宋体"/>
                <w:color w:val="auto"/>
                <w:highlight w:val="none"/>
                <w:shd w:val="clear" w:color="auto" w:fill="auto"/>
                <w:lang w:eastAsia="zh-CN"/>
              </w:rPr>
              <w:t>14</w:t>
            </w:r>
          </w:p>
        </w:tc>
        <w:tc>
          <w:tcPr>
            <w:tcW w:w="1770" w:type="dxa"/>
            <w:tcBorders>
              <w:tl2br w:val="nil"/>
              <w:tr2bl w:val="nil"/>
            </w:tcBorders>
            <w:shd w:val="clear" w:color="auto" w:fill="auto"/>
            <w:vAlign w:val="center"/>
          </w:tcPr>
          <w:p w14:paraId="6CAFF07D">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残次品及边角料</w:t>
            </w:r>
          </w:p>
        </w:tc>
        <w:tc>
          <w:tcPr>
            <w:tcW w:w="1620" w:type="dxa"/>
            <w:tcBorders>
              <w:tl2br w:val="nil"/>
              <w:tr2bl w:val="nil"/>
            </w:tcBorders>
            <w:shd w:val="clear" w:color="auto" w:fill="auto"/>
            <w:vAlign w:val="center"/>
          </w:tcPr>
          <w:p w14:paraId="34A9D50F">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52.05</w:t>
            </w:r>
          </w:p>
        </w:tc>
        <w:tc>
          <w:tcPr>
            <w:tcW w:w="1603" w:type="dxa"/>
            <w:tcBorders>
              <w:tl2br w:val="nil"/>
              <w:tr2bl w:val="nil"/>
            </w:tcBorders>
            <w:shd w:val="clear" w:color="auto" w:fill="auto"/>
            <w:vAlign w:val="center"/>
          </w:tcPr>
          <w:p w14:paraId="725F7EC8">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固废</w:t>
            </w:r>
          </w:p>
        </w:tc>
      </w:tr>
      <w:tr w14:paraId="59FB1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27CB049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抗老化剂</w:t>
            </w:r>
          </w:p>
        </w:tc>
        <w:tc>
          <w:tcPr>
            <w:tcW w:w="1590" w:type="dxa"/>
            <w:tcBorders>
              <w:tl2br w:val="nil"/>
              <w:tr2bl w:val="nil"/>
            </w:tcBorders>
            <w:shd w:val="clear" w:color="auto" w:fill="auto"/>
            <w:vAlign w:val="center"/>
          </w:tcPr>
          <w:p w14:paraId="327AFAF4">
            <w:pPr>
              <w:widowControl w:val="0"/>
              <w:shd w:val="clear"/>
              <w:kinsoku/>
              <w:autoSpaceDE/>
              <w:autoSpaceDN/>
              <w:adjustRightInd/>
              <w:snapToGrid/>
              <w:spacing w:line="360" w:lineRule="auto"/>
              <w:jc w:val="center"/>
              <w:textAlignment w:val="auto"/>
              <w:rPr>
                <w:rFonts w:ascii="Times New Roman" w:hAnsi="Times New Roman" w:eastAsia="宋体" w:cs="Times New Roman"/>
                <w:color w:val="auto"/>
                <w:highlight w:val="none"/>
                <w:shd w:val="clear" w:color="auto" w:fill="auto"/>
                <w:lang w:bidi="en-US"/>
              </w:rPr>
            </w:pPr>
            <w:r>
              <w:rPr>
                <w:rFonts w:hint="eastAsia" w:ascii="Times New Roman" w:hAnsi="Times New Roman" w:eastAsia="宋体"/>
                <w:color w:val="auto"/>
                <w:highlight w:val="none"/>
                <w:shd w:val="clear" w:color="auto" w:fill="auto"/>
                <w:lang w:eastAsia="zh-CN"/>
              </w:rPr>
              <w:t>10</w:t>
            </w:r>
          </w:p>
        </w:tc>
        <w:tc>
          <w:tcPr>
            <w:tcW w:w="1770" w:type="dxa"/>
            <w:tcBorders>
              <w:tl2br w:val="nil"/>
              <w:tr2bl w:val="nil"/>
            </w:tcBorders>
            <w:shd w:val="clear" w:color="auto" w:fill="auto"/>
            <w:vAlign w:val="center"/>
          </w:tcPr>
          <w:p w14:paraId="32FA390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非甲烷总烃</w:t>
            </w:r>
          </w:p>
        </w:tc>
        <w:tc>
          <w:tcPr>
            <w:tcW w:w="1620" w:type="dxa"/>
            <w:tcBorders>
              <w:tl2br w:val="nil"/>
              <w:tr2bl w:val="nil"/>
            </w:tcBorders>
            <w:shd w:val="clear" w:color="auto" w:fill="auto"/>
            <w:vAlign w:val="center"/>
          </w:tcPr>
          <w:p w14:paraId="446AD24E">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eastAsia="zh-CN" w:bidi="en-US"/>
              </w:rPr>
            </w:pPr>
            <w:r>
              <w:rPr>
                <w:rFonts w:hint="eastAsia" w:ascii="Times New Roman" w:hAnsi="Times New Roman" w:eastAsia="宋体" w:cs="Times New Roman"/>
                <w:b w:val="0"/>
                <w:bCs w:val="0"/>
                <w:color w:val="auto"/>
                <w:sz w:val="21"/>
                <w:szCs w:val="21"/>
                <w:highlight w:val="none"/>
                <w:shd w:val="clear" w:color="auto" w:fill="auto"/>
                <w:lang w:eastAsia="zh-CN" w:bidi="en-US"/>
              </w:rPr>
              <w:t>5.25</w:t>
            </w:r>
          </w:p>
        </w:tc>
        <w:tc>
          <w:tcPr>
            <w:tcW w:w="1603" w:type="dxa"/>
            <w:tcBorders>
              <w:tl2br w:val="nil"/>
              <w:tr2bl w:val="nil"/>
            </w:tcBorders>
            <w:shd w:val="clear" w:color="auto" w:fill="auto"/>
            <w:vAlign w:val="center"/>
          </w:tcPr>
          <w:p w14:paraId="5112D17A">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废气</w:t>
            </w:r>
          </w:p>
        </w:tc>
      </w:tr>
      <w:tr w14:paraId="0D412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10EE7925">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黑色母</w:t>
            </w:r>
          </w:p>
        </w:tc>
        <w:tc>
          <w:tcPr>
            <w:tcW w:w="1590" w:type="dxa"/>
            <w:tcBorders>
              <w:tl2br w:val="nil"/>
              <w:tr2bl w:val="nil"/>
            </w:tcBorders>
            <w:shd w:val="clear" w:color="auto" w:fill="auto"/>
            <w:vAlign w:val="center"/>
          </w:tcPr>
          <w:p w14:paraId="27AA412E">
            <w:pPr>
              <w:widowControl w:val="0"/>
              <w:shd w:val="clear"/>
              <w:kinsoku/>
              <w:autoSpaceDE/>
              <w:autoSpaceDN/>
              <w:adjustRightInd/>
              <w:snapToGrid/>
              <w:spacing w:line="360" w:lineRule="auto"/>
              <w:jc w:val="center"/>
              <w:textAlignment w:val="auto"/>
              <w:rPr>
                <w:rFonts w:ascii="Times New Roman" w:hAnsi="Times New Roman" w:eastAsia="宋体" w:cs="Times New Roman"/>
                <w:color w:val="auto"/>
                <w:highlight w:val="none"/>
                <w:shd w:val="clear" w:color="auto" w:fill="auto"/>
                <w:lang w:bidi="en-US"/>
              </w:rPr>
            </w:pPr>
            <w:r>
              <w:rPr>
                <w:rFonts w:hint="eastAsia" w:ascii="Times New Roman" w:hAnsi="Times New Roman" w:eastAsia="宋体"/>
                <w:color w:val="auto"/>
                <w:highlight w:val="none"/>
                <w:shd w:val="clear" w:color="auto" w:fill="auto"/>
              </w:rPr>
              <w:t>10</w:t>
            </w:r>
          </w:p>
        </w:tc>
        <w:tc>
          <w:tcPr>
            <w:tcW w:w="1770" w:type="dxa"/>
            <w:tcBorders>
              <w:tl2br w:val="nil"/>
              <w:tr2bl w:val="nil"/>
            </w:tcBorders>
            <w:shd w:val="clear" w:color="auto" w:fill="auto"/>
            <w:vAlign w:val="center"/>
          </w:tcPr>
          <w:p w14:paraId="49935927">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620" w:type="dxa"/>
            <w:tcBorders>
              <w:tl2br w:val="nil"/>
              <w:tr2bl w:val="nil"/>
            </w:tcBorders>
            <w:shd w:val="clear" w:color="auto" w:fill="auto"/>
            <w:vAlign w:val="center"/>
          </w:tcPr>
          <w:p w14:paraId="34D0060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c>
          <w:tcPr>
            <w:tcW w:w="1603" w:type="dxa"/>
            <w:tcBorders>
              <w:tl2br w:val="nil"/>
              <w:tr2bl w:val="nil"/>
            </w:tcBorders>
            <w:shd w:val="clear" w:color="auto" w:fill="auto"/>
            <w:vAlign w:val="center"/>
          </w:tcPr>
          <w:p w14:paraId="2B844B15">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r>
      <w:tr w14:paraId="1BC33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tcBorders>
              <w:tl2br w:val="nil"/>
              <w:tr2bl w:val="nil"/>
            </w:tcBorders>
            <w:shd w:val="clear" w:color="auto" w:fill="auto"/>
            <w:vAlign w:val="center"/>
          </w:tcPr>
          <w:p w14:paraId="177CDC02">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小计</w:t>
            </w:r>
          </w:p>
        </w:tc>
        <w:tc>
          <w:tcPr>
            <w:tcW w:w="1590" w:type="dxa"/>
            <w:tcBorders>
              <w:tl2br w:val="nil"/>
              <w:tr2bl w:val="nil"/>
            </w:tcBorders>
            <w:shd w:val="clear" w:color="auto" w:fill="auto"/>
            <w:vAlign w:val="center"/>
          </w:tcPr>
          <w:p w14:paraId="2C10E589">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3557.3</w:t>
            </w:r>
          </w:p>
        </w:tc>
        <w:tc>
          <w:tcPr>
            <w:tcW w:w="1770" w:type="dxa"/>
            <w:tcBorders>
              <w:tl2br w:val="nil"/>
              <w:tr2bl w:val="nil"/>
            </w:tcBorders>
            <w:shd w:val="clear" w:color="auto" w:fill="auto"/>
            <w:vAlign w:val="center"/>
          </w:tcPr>
          <w:p w14:paraId="1F428413">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r>
              <w:rPr>
                <w:rFonts w:hint="eastAsia" w:ascii="Times New Roman" w:hAnsi="Times New Roman" w:eastAsia="宋体" w:cs="Times New Roman"/>
                <w:b w:val="0"/>
                <w:bCs w:val="0"/>
                <w:color w:val="auto"/>
                <w:sz w:val="21"/>
                <w:szCs w:val="21"/>
                <w:highlight w:val="none"/>
                <w:shd w:val="clear" w:color="auto" w:fill="auto"/>
                <w:lang w:bidi="en-US"/>
              </w:rPr>
              <w:t>小计</w:t>
            </w:r>
          </w:p>
        </w:tc>
        <w:tc>
          <w:tcPr>
            <w:tcW w:w="1620" w:type="dxa"/>
            <w:tcBorders>
              <w:tl2br w:val="nil"/>
              <w:tr2bl w:val="nil"/>
            </w:tcBorders>
            <w:shd w:val="clear" w:color="auto" w:fill="auto"/>
            <w:vAlign w:val="center"/>
          </w:tcPr>
          <w:p w14:paraId="55D1956F">
            <w:pPr>
              <w:pStyle w:val="54"/>
              <w:widowControl/>
              <w:shd w:val="clear" w:color="auto"/>
              <w:adjustRightInd/>
              <w:snapToGrid/>
              <w:spacing w:line="360" w:lineRule="auto"/>
              <w:rPr>
                <w:rFonts w:hint="default" w:ascii="Times New Roman" w:hAnsi="Times New Roman" w:eastAsia="宋体" w:cs="Times New Roman"/>
                <w:b w:val="0"/>
                <w:bCs w:val="0"/>
                <w:color w:val="auto"/>
                <w:sz w:val="21"/>
                <w:szCs w:val="21"/>
                <w:highlight w:val="none"/>
                <w:shd w:val="clear" w:color="auto" w:fill="auto"/>
                <w:lang w:val="en-US" w:eastAsia="zh-CN" w:bidi="en-US"/>
              </w:rPr>
            </w:pPr>
            <w:r>
              <w:rPr>
                <w:rFonts w:hint="eastAsia" w:ascii="Times New Roman" w:hAnsi="Times New Roman" w:eastAsia="宋体" w:cs="Times New Roman"/>
                <w:b w:val="0"/>
                <w:bCs w:val="0"/>
                <w:color w:val="auto"/>
                <w:sz w:val="21"/>
                <w:szCs w:val="21"/>
                <w:highlight w:val="none"/>
                <w:shd w:val="clear" w:color="auto" w:fill="auto"/>
                <w:lang w:val="en-US" w:eastAsia="zh-CN" w:bidi="en-US"/>
              </w:rPr>
              <w:t>3557.3</w:t>
            </w:r>
          </w:p>
        </w:tc>
        <w:tc>
          <w:tcPr>
            <w:tcW w:w="1603" w:type="dxa"/>
            <w:tcBorders>
              <w:tl2br w:val="nil"/>
              <w:tr2bl w:val="nil"/>
            </w:tcBorders>
            <w:shd w:val="clear" w:color="auto" w:fill="auto"/>
            <w:vAlign w:val="center"/>
          </w:tcPr>
          <w:p w14:paraId="645E9691">
            <w:pPr>
              <w:pStyle w:val="54"/>
              <w:widowControl/>
              <w:shd w:val="clear" w:color="auto"/>
              <w:adjustRightInd/>
              <w:snapToGrid/>
              <w:spacing w:line="360" w:lineRule="auto"/>
              <w:rPr>
                <w:rFonts w:ascii="Times New Roman" w:hAnsi="Times New Roman" w:eastAsia="宋体" w:cs="Times New Roman"/>
                <w:b w:val="0"/>
                <w:bCs w:val="0"/>
                <w:color w:val="auto"/>
                <w:sz w:val="21"/>
                <w:szCs w:val="21"/>
                <w:highlight w:val="none"/>
                <w:shd w:val="clear" w:color="auto" w:fill="auto"/>
                <w:lang w:bidi="en-US"/>
              </w:rPr>
            </w:pPr>
          </w:p>
        </w:tc>
      </w:tr>
    </w:tbl>
    <w:p w14:paraId="2A478E79">
      <w:pPr>
        <w:pStyle w:val="47"/>
        <w:widowControl w:val="0"/>
        <w:shd w:val="clear"/>
        <w:kinsoku/>
        <w:autoSpaceDE/>
        <w:autoSpaceDN/>
        <w:adjustRightInd/>
        <w:snapToGrid/>
        <w:spacing w:line="360" w:lineRule="auto"/>
        <w:jc w:val="both"/>
        <w:textAlignment w:val="auto"/>
        <w:rPr>
          <w:rFonts w:eastAsia="宋体" w:cs="Times New Roman"/>
          <w:color w:val="auto"/>
          <w:szCs w:val="21"/>
          <w:lang w:eastAsia="zh-CN"/>
        </w:rPr>
      </w:pPr>
      <w:r>
        <w:rPr>
          <w:rFonts w:hint="eastAsia" w:eastAsia="宋体" w:cs="Times New Roman"/>
          <w:color w:val="auto"/>
          <w:szCs w:val="21"/>
          <w:lang w:eastAsia="zh-CN"/>
        </w:rPr>
        <w:t>（2）水平衡</w:t>
      </w:r>
    </w:p>
    <w:p w14:paraId="16318B94">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olor w:val="auto"/>
          <w:sz w:val="24"/>
          <w:lang w:eastAsia="zh-CN"/>
        </w:rPr>
      </w:pPr>
      <w:r>
        <w:rPr>
          <w:rFonts w:hint="eastAsia" w:ascii="Times New Roman" w:hAnsi="Times New Roman" w:eastAsia="宋体"/>
          <w:color w:val="auto"/>
          <w:sz w:val="24"/>
          <w:lang w:val="en-US" w:eastAsia="zh-CN"/>
        </w:rPr>
        <w:t>本项目废旧滴灌带清洗用水量为26.98m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/d，循环水量为22.98m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/d，需补充新鲜水量为4m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/d；造粒工段及滴灌带冷却用水量为28m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/d，循环水量为25.6m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/d，需补充新鲜水量为2.4m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绿化用水6.9m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/d。</w:t>
      </w:r>
      <w:r>
        <w:rPr>
          <w:rFonts w:hint="eastAsia" w:ascii="Times New Roman" w:hAnsi="Times New Roman" w:eastAsia="宋体"/>
          <w:color w:val="auto"/>
          <w:sz w:val="24"/>
          <w:lang w:eastAsia="zh-CN"/>
        </w:rPr>
        <w:t>水平衡见下图。</w:t>
      </w:r>
    </w:p>
    <w:p w14:paraId="05C47B85">
      <w:pPr>
        <w:widowControl w:val="0"/>
        <w:shd w:val="clear"/>
        <w:kinsoku/>
        <w:autoSpaceDE/>
        <w:autoSpaceDN/>
        <w:adjustRightInd/>
        <w:snapToGrid/>
        <w:spacing w:line="360" w:lineRule="auto"/>
        <w:jc w:val="center"/>
        <w:textAlignment w:val="auto"/>
        <w:rPr>
          <w:rFonts w:ascii="Times New Roman" w:hAnsi="Times New Roman" w:eastAsia="宋体"/>
          <w:color w:val="auto"/>
          <w:sz w:val="24"/>
          <w:lang w:eastAsia="zh-CN"/>
        </w:rPr>
      </w:pPr>
      <w:r>
        <w:rPr>
          <w:rFonts w:ascii="Times New Roman" w:hAnsi="Times New Roman" w:eastAsia="宋体"/>
          <w:color w:val="auto"/>
          <w:sz w:val="24"/>
          <w:lang w:eastAsia="zh-CN"/>
        </w:rPr>
        <w:drawing>
          <wp:inline distT="0" distB="0" distL="114300" distR="114300">
            <wp:extent cx="4749165" cy="3954145"/>
            <wp:effectExtent l="0" t="0" r="13335" b="8255"/>
            <wp:docPr id="10" name="F360BE8B-6686-4F3D-AEAF-501FE73E4058-3" descr="C:/Users/Administrator/AppData/Local/Temp/水平衡(2).png水平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3" descr="C:/Users/Administrator/AppData/Local/Temp/水平衡(2).png水平衡(2)"/>
                    <pic:cNvPicPr>
                      <a:picLocks noChangeAspect="1"/>
                    </pic:cNvPicPr>
                  </pic:nvPicPr>
                  <pic:blipFill>
                    <a:blip r:embed="rId58"/>
                    <a:stretch>
                      <a:fillRect/>
                    </a:stretch>
                  </pic:blipFill>
                  <pic:spPr>
                    <a:xfrm>
                      <a:off x="0" y="0"/>
                      <a:ext cx="4749165" cy="3954145"/>
                    </a:xfrm>
                    <a:prstGeom prst="rect">
                      <a:avLst/>
                    </a:prstGeom>
                  </pic:spPr>
                </pic:pic>
              </a:graphicData>
            </a:graphic>
          </wp:inline>
        </w:drawing>
      </w:r>
    </w:p>
    <w:p w14:paraId="5DC34D1F">
      <w:pPr>
        <w:widowControl w:val="0"/>
        <w:shd w:val="clear"/>
        <w:kinsoku/>
        <w:autoSpaceDE/>
        <w:autoSpaceDN/>
        <w:adjustRightInd/>
        <w:snapToGrid/>
        <w:spacing w:line="360" w:lineRule="auto"/>
        <w:jc w:val="center"/>
        <w:textAlignment w:val="auto"/>
        <w:rPr>
          <w:rFonts w:ascii="Times New Roman" w:hAnsi="Times New Roman" w:eastAsia="宋体"/>
          <w:b/>
          <w:bCs/>
          <w:color w:val="auto"/>
          <w:sz w:val="24"/>
          <w:lang w:eastAsia="zh-CN"/>
        </w:rPr>
      </w:pPr>
      <w:r>
        <w:rPr>
          <w:rFonts w:hint="eastAsia" w:ascii="Times New Roman" w:hAnsi="Times New Roman" w:eastAsia="宋体"/>
          <w:b/>
          <w:bCs/>
          <w:color w:val="auto"/>
          <w:sz w:val="24"/>
          <w:lang w:eastAsia="zh-CN"/>
        </w:rPr>
        <w:t>图3.3-3水平衡图（m</w:t>
      </w:r>
      <w:r>
        <w:rPr>
          <w:rFonts w:hint="eastAsia" w:ascii="Times New Roman" w:hAnsi="Times New Roman" w:eastAsia="宋体"/>
          <w:b/>
          <w:bCs/>
          <w:color w:val="auto"/>
          <w:sz w:val="24"/>
          <w:vertAlign w:val="superscript"/>
          <w:lang w:eastAsia="zh-CN"/>
        </w:rPr>
        <w:t>3</w:t>
      </w:r>
      <w:r>
        <w:rPr>
          <w:rFonts w:hint="eastAsia" w:ascii="Times New Roman" w:hAnsi="Times New Roman" w:eastAsia="宋体"/>
          <w:b/>
          <w:bCs/>
          <w:color w:val="auto"/>
          <w:sz w:val="24"/>
          <w:lang w:eastAsia="zh-CN"/>
        </w:rPr>
        <w:t>/d）</w:t>
      </w:r>
    </w:p>
    <w:p w14:paraId="287273C2">
      <w:pPr>
        <w:pStyle w:val="8"/>
        <w:shd w:val="clear"/>
        <w:rPr>
          <w:rFonts w:ascii="Times New Roman" w:hAnsi="Times New Roman" w:eastAsia="宋体"/>
          <w:color w:val="auto"/>
          <w:sz w:val="24"/>
          <w:lang w:eastAsia="zh-CN"/>
        </w:rPr>
      </w:pPr>
    </w:p>
    <w:p w14:paraId="49CF969E">
      <w:pPr>
        <w:shd w:val="clear"/>
        <w:rPr>
          <w:color w:val="auto"/>
          <w:lang w:eastAsia="zh-CN"/>
        </w:rPr>
      </w:pPr>
    </w:p>
    <w:p w14:paraId="3B4A8060">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snapToGrid/>
          <w:color w:val="auto"/>
          <w:sz w:val="24"/>
          <w:szCs w:val="24"/>
          <w:lang w:eastAsia="zh-CN"/>
        </w:rPr>
        <w:sectPr>
          <w:headerReference r:id="rId19" w:type="default"/>
          <w:footerReference r:id="rId20" w:type="default"/>
          <w:pgSz w:w="11906" w:h="16838"/>
          <w:pgMar w:top="1136" w:right="1712" w:bottom="1157" w:left="1711" w:header="868" w:footer="994" w:gutter="0"/>
          <w:pgBorders>
            <w:top w:val="none" w:sz="0" w:space="0"/>
            <w:left w:val="none" w:sz="0" w:space="0"/>
            <w:bottom w:val="none" w:sz="0" w:space="0"/>
            <w:right w:val="none" w:sz="0" w:space="0"/>
          </w:pgBorders>
          <w:cols w:space="720" w:num="1"/>
        </w:sectPr>
      </w:pPr>
    </w:p>
    <w:p w14:paraId="0461B85A">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3</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2</w:t>
      </w:r>
      <w:r>
        <w:rPr>
          <w:rFonts w:ascii="Times New Roman" w:hAnsi="Times New Roman"/>
          <w:b/>
          <w:bCs/>
          <w:snapToGrid/>
          <w:color w:val="auto"/>
          <w:sz w:val="24"/>
          <w:lang w:eastAsia="zh-CN"/>
        </w:rPr>
        <w:t>本项目主要产污节点及污染物一览表</w:t>
      </w:r>
    </w:p>
    <w:tbl>
      <w:tblPr>
        <w:tblStyle w:val="36"/>
        <w:tblW w:w="513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0"/>
        <w:gridCol w:w="1138"/>
        <w:gridCol w:w="1262"/>
        <w:gridCol w:w="1915"/>
        <w:gridCol w:w="1442"/>
        <w:gridCol w:w="1193"/>
        <w:gridCol w:w="5841"/>
        <w:gridCol w:w="1107"/>
      </w:tblGrid>
      <w:tr w14:paraId="034F90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187" w:type="pct"/>
            <w:vMerge w:val="restart"/>
            <w:tcBorders>
              <w:tl2br w:val="nil"/>
              <w:tr2bl w:val="nil"/>
            </w:tcBorders>
            <w:textDirection w:val="tbRlV"/>
            <w:vAlign w:val="center"/>
          </w:tcPr>
          <w:p w14:paraId="33EA06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类别</w:t>
            </w:r>
          </w:p>
        </w:tc>
        <w:tc>
          <w:tcPr>
            <w:tcW w:w="394" w:type="pct"/>
            <w:vMerge w:val="restart"/>
            <w:tcBorders>
              <w:tl2br w:val="nil"/>
              <w:tr2bl w:val="nil"/>
            </w:tcBorders>
            <w:vAlign w:val="center"/>
          </w:tcPr>
          <w:p w14:paraId="3409148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主要生产单元</w:t>
            </w:r>
          </w:p>
        </w:tc>
        <w:tc>
          <w:tcPr>
            <w:tcW w:w="437" w:type="pct"/>
            <w:vMerge w:val="restart"/>
            <w:tcBorders>
              <w:tl2br w:val="nil"/>
              <w:tr2bl w:val="nil"/>
            </w:tcBorders>
            <w:vAlign w:val="center"/>
          </w:tcPr>
          <w:p w14:paraId="5B6459D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产污设施</w:t>
            </w:r>
          </w:p>
        </w:tc>
        <w:tc>
          <w:tcPr>
            <w:tcW w:w="663" w:type="pct"/>
            <w:vMerge w:val="restart"/>
            <w:tcBorders>
              <w:tl2br w:val="nil"/>
              <w:tr2bl w:val="nil"/>
            </w:tcBorders>
            <w:vAlign w:val="center"/>
          </w:tcPr>
          <w:p w14:paraId="33D6E0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产污环节</w:t>
            </w:r>
          </w:p>
        </w:tc>
        <w:tc>
          <w:tcPr>
            <w:tcW w:w="499" w:type="pct"/>
            <w:vMerge w:val="restart"/>
            <w:tcBorders>
              <w:tl2br w:val="nil"/>
              <w:tr2bl w:val="nil"/>
            </w:tcBorders>
            <w:vAlign w:val="center"/>
          </w:tcPr>
          <w:p w14:paraId="555C2C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413" w:type="pct"/>
            <w:vMerge w:val="restart"/>
            <w:tcBorders>
              <w:tl2br w:val="nil"/>
              <w:tr2bl w:val="nil"/>
            </w:tcBorders>
            <w:vAlign w:val="center"/>
          </w:tcPr>
          <w:p w14:paraId="4C2415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排放方式</w:t>
            </w:r>
          </w:p>
        </w:tc>
        <w:tc>
          <w:tcPr>
            <w:tcW w:w="2405" w:type="pct"/>
            <w:gridSpan w:val="2"/>
            <w:tcBorders>
              <w:tl2br w:val="nil"/>
              <w:tr2bl w:val="nil"/>
            </w:tcBorders>
            <w:vAlign w:val="center"/>
          </w:tcPr>
          <w:p w14:paraId="1F6511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污染防治设施</w:t>
            </w:r>
          </w:p>
        </w:tc>
      </w:tr>
      <w:tr w14:paraId="3AC62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187" w:type="pct"/>
            <w:vMerge w:val="continue"/>
            <w:tcBorders>
              <w:tl2br w:val="nil"/>
              <w:tr2bl w:val="nil"/>
            </w:tcBorders>
            <w:textDirection w:val="tbRlV"/>
            <w:vAlign w:val="center"/>
          </w:tcPr>
          <w:p w14:paraId="1E6F488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94" w:type="pct"/>
            <w:vMerge w:val="continue"/>
            <w:tcBorders>
              <w:tl2br w:val="nil"/>
              <w:tr2bl w:val="nil"/>
            </w:tcBorders>
            <w:vAlign w:val="center"/>
          </w:tcPr>
          <w:p w14:paraId="2E3EDFB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37" w:type="pct"/>
            <w:vMerge w:val="continue"/>
            <w:tcBorders>
              <w:tl2br w:val="nil"/>
              <w:tr2bl w:val="nil"/>
            </w:tcBorders>
            <w:vAlign w:val="center"/>
          </w:tcPr>
          <w:p w14:paraId="3D18D9C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3" w:type="pct"/>
            <w:vMerge w:val="continue"/>
            <w:tcBorders>
              <w:tl2br w:val="nil"/>
              <w:tr2bl w:val="nil"/>
            </w:tcBorders>
            <w:vAlign w:val="center"/>
          </w:tcPr>
          <w:p w14:paraId="7D66810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99" w:type="pct"/>
            <w:vMerge w:val="continue"/>
            <w:tcBorders>
              <w:tl2br w:val="nil"/>
              <w:tr2bl w:val="nil"/>
            </w:tcBorders>
            <w:vAlign w:val="center"/>
          </w:tcPr>
          <w:p w14:paraId="6070C10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13" w:type="pct"/>
            <w:vMerge w:val="continue"/>
            <w:tcBorders>
              <w:tl2br w:val="nil"/>
              <w:tr2bl w:val="nil"/>
            </w:tcBorders>
            <w:vAlign w:val="center"/>
          </w:tcPr>
          <w:p w14:paraId="60AB3C4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022" w:type="pct"/>
            <w:tcBorders>
              <w:tl2br w:val="nil"/>
              <w:tr2bl w:val="nil"/>
            </w:tcBorders>
            <w:vAlign w:val="center"/>
          </w:tcPr>
          <w:p w14:paraId="24347C3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污染防治设施及工艺</w:t>
            </w:r>
          </w:p>
        </w:tc>
        <w:tc>
          <w:tcPr>
            <w:tcW w:w="383" w:type="pct"/>
            <w:tcBorders>
              <w:tl2br w:val="nil"/>
              <w:tr2bl w:val="nil"/>
            </w:tcBorders>
            <w:vAlign w:val="center"/>
          </w:tcPr>
          <w:p w14:paraId="0C8DE63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是否为可行技术</w:t>
            </w:r>
          </w:p>
        </w:tc>
      </w:tr>
      <w:tr w14:paraId="72C08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187" w:type="pct"/>
            <w:vMerge w:val="restart"/>
            <w:tcBorders>
              <w:tl2br w:val="nil"/>
              <w:tr2bl w:val="nil"/>
            </w:tcBorders>
            <w:vAlign w:val="center"/>
          </w:tcPr>
          <w:p w14:paraId="5F76B4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szCs w:val="13"/>
              </w:rPr>
              <w:t>废</w:t>
            </w:r>
            <w:r>
              <w:rPr>
                <w:rFonts w:ascii="Times New Roman" w:hAnsi="Times New Roman" w:eastAsia="宋体" w:cs="宋体"/>
                <w:snapToGrid/>
                <w:color w:val="auto"/>
              </w:rPr>
              <w:t>气</w:t>
            </w:r>
          </w:p>
        </w:tc>
        <w:tc>
          <w:tcPr>
            <w:tcW w:w="394" w:type="pct"/>
            <w:tcBorders>
              <w:tl2br w:val="nil"/>
              <w:tr2bl w:val="nil"/>
            </w:tcBorders>
            <w:vAlign w:val="center"/>
          </w:tcPr>
          <w:p w14:paraId="67FC780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预处理工序</w:t>
            </w:r>
          </w:p>
        </w:tc>
        <w:tc>
          <w:tcPr>
            <w:tcW w:w="437" w:type="pct"/>
            <w:tcBorders>
              <w:tl2br w:val="nil"/>
              <w:tr2bl w:val="nil"/>
            </w:tcBorders>
            <w:vAlign w:val="center"/>
          </w:tcPr>
          <w:p w14:paraId="5B9581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破碎机</w:t>
            </w:r>
          </w:p>
        </w:tc>
        <w:tc>
          <w:tcPr>
            <w:tcW w:w="663" w:type="pct"/>
            <w:tcBorders>
              <w:tl2br w:val="nil"/>
              <w:tr2bl w:val="nil"/>
            </w:tcBorders>
            <w:vAlign w:val="center"/>
          </w:tcPr>
          <w:p w14:paraId="11A281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废旧滴灌带转运、破碎</w:t>
            </w:r>
          </w:p>
        </w:tc>
        <w:tc>
          <w:tcPr>
            <w:tcW w:w="499" w:type="pct"/>
            <w:tcBorders>
              <w:tl2br w:val="nil"/>
              <w:tr2bl w:val="nil"/>
            </w:tcBorders>
            <w:vAlign w:val="center"/>
          </w:tcPr>
          <w:p w14:paraId="224828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413" w:type="pct"/>
            <w:tcBorders>
              <w:tl2br w:val="nil"/>
              <w:tr2bl w:val="nil"/>
            </w:tcBorders>
            <w:vAlign w:val="center"/>
          </w:tcPr>
          <w:p w14:paraId="4551AC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2022" w:type="pct"/>
            <w:tcBorders>
              <w:tl2br w:val="nil"/>
              <w:tr2bl w:val="nil"/>
            </w:tcBorders>
            <w:vAlign w:val="center"/>
          </w:tcPr>
          <w:p w14:paraId="69609D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喷淋降尘、湿法破碎</w:t>
            </w:r>
          </w:p>
        </w:tc>
        <w:tc>
          <w:tcPr>
            <w:tcW w:w="383" w:type="pct"/>
            <w:vMerge w:val="restart"/>
            <w:tcBorders>
              <w:tl2br w:val="nil"/>
              <w:tr2bl w:val="nil"/>
            </w:tcBorders>
            <w:vAlign w:val="center"/>
          </w:tcPr>
          <w:p w14:paraId="3A8DF3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w:t>
            </w:r>
          </w:p>
        </w:tc>
      </w:tr>
      <w:tr w14:paraId="3E3DB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187" w:type="pct"/>
            <w:vMerge w:val="continue"/>
            <w:tcBorders>
              <w:tl2br w:val="nil"/>
              <w:tr2bl w:val="nil"/>
            </w:tcBorders>
            <w:vAlign w:val="center"/>
          </w:tcPr>
          <w:p w14:paraId="5F04DBE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94" w:type="pct"/>
            <w:tcBorders>
              <w:tl2br w:val="nil"/>
              <w:tr2bl w:val="nil"/>
            </w:tcBorders>
            <w:vAlign w:val="center"/>
          </w:tcPr>
          <w:p w14:paraId="58753AE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直接造粒工序</w:t>
            </w:r>
          </w:p>
        </w:tc>
        <w:tc>
          <w:tcPr>
            <w:tcW w:w="437" w:type="pct"/>
            <w:tcBorders>
              <w:tl2br w:val="nil"/>
              <w:tr2bl w:val="nil"/>
            </w:tcBorders>
            <w:vAlign w:val="center"/>
          </w:tcPr>
          <w:p w14:paraId="2461B8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挤出机、切粒机</w:t>
            </w:r>
          </w:p>
        </w:tc>
        <w:tc>
          <w:tcPr>
            <w:tcW w:w="663" w:type="pct"/>
            <w:tcBorders>
              <w:tl2br w:val="nil"/>
              <w:tr2bl w:val="nil"/>
            </w:tcBorders>
            <w:vAlign w:val="center"/>
          </w:tcPr>
          <w:p w14:paraId="53E1F9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废旧塑料颗粒加工造粒工序</w:t>
            </w:r>
          </w:p>
        </w:tc>
        <w:tc>
          <w:tcPr>
            <w:tcW w:w="499" w:type="pct"/>
            <w:tcBorders>
              <w:tl2br w:val="nil"/>
              <w:tr2bl w:val="nil"/>
            </w:tcBorders>
            <w:vAlign w:val="center"/>
          </w:tcPr>
          <w:p w14:paraId="1F1DFA8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413" w:type="pct"/>
            <w:tcBorders>
              <w:tl2br w:val="nil"/>
              <w:tr2bl w:val="nil"/>
            </w:tcBorders>
            <w:vAlign w:val="center"/>
          </w:tcPr>
          <w:p w14:paraId="5C2069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有组织无组织</w:t>
            </w:r>
          </w:p>
        </w:tc>
        <w:tc>
          <w:tcPr>
            <w:tcW w:w="2022" w:type="pct"/>
            <w:tcBorders>
              <w:tl2br w:val="nil"/>
              <w:tr2bl w:val="nil"/>
            </w:tcBorders>
            <w:vAlign w:val="center"/>
          </w:tcPr>
          <w:p w14:paraId="628B957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设负压集气罩对废气进行收集，由</w:t>
            </w:r>
            <w:r>
              <w:rPr>
                <w:rFonts w:eastAsia="宋体"/>
                <w:snapToGrid/>
                <w:color w:val="auto"/>
                <w:lang w:eastAsia="zh-CN"/>
              </w:rPr>
              <w:t>1</w:t>
            </w:r>
            <w:r>
              <w:rPr>
                <w:rFonts w:eastAsia="宋体" w:cs="宋体"/>
                <w:snapToGrid/>
                <w:color w:val="auto"/>
                <w:lang w:eastAsia="zh-CN"/>
              </w:rPr>
              <w:t>套“</w:t>
            </w:r>
            <w:r>
              <w:rPr>
                <w:rFonts w:hint="eastAsia" w:eastAsia="宋体" w:cs="宋体"/>
                <w:snapToGrid/>
                <w:color w:val="auto"/>
                <w:lang w:eastAsia="zh-CN"/>
              </w:rPr>
              <w:t>活性炭吸附+蓄热式催化燃烧</w:t>
            </w:r>
            <w:r>
              <w:rPr>
                <w:rFonts w:eastAsia="宋体" w:cs="宋体"/>
                <w:snapToGrid/>
                <w:color w:val="auto"/>
                <w:lang w:eastAsia="zh-CN"/>
              </w:rPr>
              <w:t>”处理后，最后由</w:t>
            </w:r>
            <w:r>
              <w:rPr>
                <w:rFonts w:eastAsia="宋体"/>
                <w:snapToGrid/>
                <w:color w:val="auto"/>
                <w:lang w:eastAsia="zh-CN"/>
              </w:rPr>
              <w:t>1</w:t>
            </w:r>
            <w:r>
              <w:rPr>
                <w:rFonts w:eastAsia="宋体" w:cs="宋体"/>
                <w:snapToGrid/>
                <w:color w:val="auto"/>
                <w:lang w:eastAsia="zh-CN"/>
              </w:rPr>
              <w:t>根</w:t>
            </w:r>
            <w:r>
              <w:rPr>
                <w:rFonts w:eastAsia="宋体"/>
                <w:snapToGrid/>
                <w:color w:val="auto"/>
                <w:lang w:eastAsia="zh-CN"/>
              </w:rPr>
              <w:t>15m</w:t>
            </w:r>
            <w:r>
              <w:rPr>
                <w:rFonts w:eastAsia="宋体" w:cs="宋体"/>
                <w:snapToGrid/>
                <w:color w:val="auto"/>
                <w:lang w:eastAsia="zh-CN"/>
              </w:rPr>
              <w:t>高排气筒（</w:t>
            </w:r>
            <w:r>
              <w:rPr>
                <w:rFonts w:eastAsia="宋体"/>
                <w:snapToGrid/>
                <w:color w:val="auto"/>
                <w:lang w:eastAsia="zh-CN"/>
              </w:rPr>
              <w:t>DA001</w:t>
            </w:r>
            <w:r>
              <w:rPr>
                <w:rFonts w:eastAsia="宋体" w:cs="宋体"/>
                <w:snapToGrid/>
                <w:color w:val="auto"/>
                <w:lang w:eastAsia="zh-CN"/>
              </w:rPr>
              <w:t>）排放，无组织废气采取造粒车间设置换气扇，通风换气</w:t>
            </w:r>
          </w:p>
        </w:tc>
        <w:tc>
          <w:tcPr>
            <w:tcW w:w="383" w:type="pct"/>
            <w:vMerge w:val="continue"/>
            <w:tcBorders>
              <w:tl2br w:val="nil"/>
              <w:tr2bl w:val="nil"/>
            </w:tcBorders>
            <w:vAlign w:val="center"/>
          </w:tcPr>
          <w:p w14:paraId="1FF2BCB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7B7191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1" w:hRule="atLeast"/>
          <w:jc w:val="center"/>
        </w:trPr>
        <w:tc>
          <w:tcPr>
            <w:tcW w:w="187" w:type="pct"/>
            <w:vMerge w:val="continue"/>
            <w:tcBorders>
              <w:tl2br w:val="nil"/>
              <w:tr2bl w:val="nil"/>
            </w:tcBorders>
            <w:vAlign w:val="center"/>
          </w:tcPr>
          <w:p w14:paraId="615A77B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394" w:type="pct"/>
            <w:vMerge w:val="restart"/>
            <w:tcBorders>
              <w:tl2br w:val="nil"/>
              <w:tr2bl w:val="nil"/>
            </w:tcBorders>
            <w:vAlign w:val="center"/>
          </w:tcPr>
          <w:p w14:paraId="66AFBC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滴灌带生产工序</w:t>
            </w:r>
          </w:p>
        </w:tc>
        <w:tc>
          <w:tcPr>
            <w:tcW w:w="437" w:type="pct"/>
            <w:vMerge w:val="restart"/>
            <w:tcBorders>
              <w:tl2br w:val="nil"/>
              <w:tr2bl w:val="nil"/>
            </w:tcBorders>
            <w:vAlign w:val="center"/>
          </w:tcPr>
          <w:p w14:paraId="7ED732A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挤出机</w:t>
            </w:r>
          </w:p>
        </w:tc>
        <w:tc>
          <w:tcPr>
            <w:tcW w:w="663" w:type="pct"/>
            <w:vMerge w:val="restart"/>
            <w:tcBorders>
              <w:tl2br w:val="nil"/>
              <w:tr2bl w:val="nil"/>
            </w:tcBorders>
            <w:vAlign w:val="center"/>
          </w:tcPr>
          <w:p w14:paraId="20C0283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滴灌带挤出成型工序</w:t>
            </w:r>
          </w:p>
        </w:tc>
        <w:tc>
          <w:tcPr>
            <w:tcW w:w="499" w:type="pct"/>
            <w:vMerge w:val="restart"/>
            <w:tcBorders>
              <w:tl2br w:val="nil"/>
              <w:tr2bl w:val="nil"/>
            </w:tcBorders>
            <w:vAlign w:val="center"/>
          </w:tcPr>
          <w:p w14:paraId="06D361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413" w:type="pct"/>
            <w:vMerge w:val="restart"/>
            <w:tcBorders>
              <w:tl2br w:val="nil"/>
              <w:tr2bl w:val="nil"/>
            </w:tcBorders>
            <w:vAlign w:val="center"/>
          </w:tcPr>
          <w:p w14:paraId="765AF80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有组织无组织</w:t>
            </w:r>
          </w:p>
        </w:tc>
        <w:tc>
          <w:tcPr>
            <w:tcW w:w="2022" w:type="pct"/>
            <w:vMerge w:val="restart"/>
            <w:tcBorders>
              <w:tl2br w:val="nil"/>
              <w:tr2bl w:val="nil"/>
            </w:tcBorders>
            <w:vAlign w:val="center"/>
          </w:tcPr>
          <w:p w14:paraId="1AEA954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废气经收集后，由</w:t>
            </w:r>
            <w:r>
              <w:rPr>
                <w:rFonts w:hint="eastAsia" w:eastAsia="宋体" w:cs="宋体"/>
                <w:snapToGrid/>
                <w:color w:val="auto"/>
                <w:lang w:eastAsia="zh-CN"/>
              </w:rPr>
              <w:t>用一套</w:t>
            </w:r>
            <w:r>
              <w:rPr>
                <w:rFonts w:eastAsia="宋体"/>
                <w:snapToGrid/>
                <w:color w:val="auto"/>
                <w:lang w:eastAsia="zh-CN"/>
              </w:rPr>
              <w:t>1</w:t>
            </w:r>
            <w:r>
              <w:rPr>
                <w:rFonts w:eastAsia="宋体" w:cs="宋体"/>
                <w:snapToGrid/>
                <w:color w:val="auto"/>
                <w:lang w:eastAsia="zh-CN"/>
              </w:rPr>
              <w:t>套“</w:t>
            </w:r>
            <w:r>
              <w:rPr>
                <w:rFonts w:hint="eastAsia" w:eastAsia="宋体" w:cs="宋体"/>
                <w:snapToGrid/>
                <w:color w:val="auto"/>
                <w:lang w:eastAsia="zh-CN"/>
              </w:rPr>
              <w:t>活性炭吸附+蓄热式催化燃烧</w:t>
            </w:r>
            <w:r>
              <w:rPr>
                <w:rFonts w:eastAsia="宋体" w:cs="宋体"/>
                <w:snapToGrid/>
                <w:color w:val="auto"/>
                <w:lang w:eastAsia="zh-CN"/>
              </w:rPr>
              <w:t>”处理后，最后由</w:t>
            </w:r>
            <w:r>
              <w:rPr>
                <w:rFonts w:eastAsia="宋体"/>
                <w:snapToGrid/>
                <w:color w:val="auto"/>
                <w:lang w:eastAsia="zh-CN"/>
              </w:rPr>
              <w:t>1</w:t>
            </w:r>
            <w:r>
              <w:rPr>
                <w:rFonts w:eastAsia="宋体" w:cs="宋体"/>
                <w:snapToGrid/>
                <w:color w:val="auto"/>
                <w:lang w:eastAsia="zh-CN"/>
              </w:rPr>
              <w:t>根</w:t>
            </w:r>
            <w:r>
              <w:rPr>
                <w:rFonts w:eastAsia="宋体"/>
                <w:snapToGrid/>
                <w:color w:val="auto"/>
                <w:lang w:eastAsia="zh-CN"/>
              </w:rPr>
              <w:t>15m</w:t>
            </w:r>
            <w:r>
              <w:rPr>
                <w:rFonts w:eastAsia="宋体" w:cs="宋体"/>
                <w:snapToGrid/>
                <w:color w:val="auto"/>
                <w:lang w:eastAsia="zh-CN"/>
              </w:rPr>
              <w:t>高排气筒（</w:t>
            </w:r>
            <w:r>
              <w:rPr>
                <w:rFonts w:eastAsia="宋体"/>
                <w:snapToGrid/>
                <w:color w:val="auto"/>
                <w:lang w:eastAsia="zh-CN"/>
              </w:rPr>
              <w:t>DA00</w:t>
            </w:r>
            <w:r>
              <w:rPr>
                <w:rFonts w:hint="eastAsia" w:eastAsia="宋体"/>
                <w:snapToGrid/>
                <w:color w:val="auto"/>
                <w:lang w:eastAsia="zh-CN"/>
              </w:rPr>
              <w:t>1</w:t>
            </w:r>
            <w:r>
              <w:rPr>
                <w:rFonts w:eastAsia="宋体" w:cs="宋体"/>
                <w:snapToGrid/>
                <w:color w:val="auto"/>
                <w:lang w:eastAsia="zh-CN"/>
              </w:rPr>
              <w:t>）排放；无组织废气采取滴灌带车间设置换气扇，通风换气</w:t>
            </w:r>
          </w:p>
        </w:tc>
        <w:tc>
          <w:tcPr>
            <w:tcW w:w="383" w:type="pct"/>
            <w:tcBorders>
              <w:tl2br w:val="nil"/>
              <w:tr2bl w:val="nil"/>
            </w:tcBorders>
            <w:vAlign w:val="center"/>
          </w:tcPr>
          <w:p w14:paraId="346E02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r>
      <w:tr w14:paraId="0B502E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3" w:hRule="atLeast"/>
          <w:jc w:val="center"/>
        </w:trPr>
        <w:tc>
          <w:tcPr>
            <w:tcW w:w="187" w:type="pct"/>
            <w:vMerge w:val="continue"/>
            <w:tcBorders>
              <w:tl2br w:val="nil"/>
              <w:tr2bl w:val="nil"/>
            </w:tcBorders>
            <w:vAlign w:val="center"/>
          </w:tcPr>
          <w:p w14:paraId="4EE725C7">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394" w:type="pct"/>
            <w:vMerge w:val="continue"/>
            <w:tcBorders>
              <w:tl2br w:val="nil"/>
              <w:tr2bl w:val="nil"/>
            </w:tcBorders>
            <w:vAlign w:val="center"/>
          </w:tcPr>
          <w:p w14:paraId="14A11425">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437" w:type="pct"/>
            <w:vMerge w:val="continue"/>
            <w:tcBorders>
              <w:tl2br w:val="nil"/>
              <w:tr2bl w:val="nil"/>
            </w:tcBorders>
            <w:vAlign w:val="center"/>
          </w:tcPr>
          <w:p w14:paraId="028E82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663" w:type="pct"/>
            <w:vMerge w:val="continue"/>
            <w:tcBorders>
              <w:tl2br w:val="nil"/>
              <w:tr2bl w:val="nil"/>
            </w:tcBorders>
            <w:vAlign w:val="center"/>
          </w:tcPr>
          <w:p w14:paraId="3032E3B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499" w:type="pct"/>
            <w:vMerge w:val="continue"/>
            <w:tcBorders>
              <w:tl2br w:val="nil"/>
              <w:tr2bl w:val="nil"/>
            </w:tcBorders>
            <w:vAlign w:val="center"/>
          </w:tcPr>
          <w:p w14:paraId="2B55C4F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413" w:type="pct"/>
            <w:vMerge w:val="continue"/>
            <w:tcBorders>
              <w:tl2br w:val="nil"/>
              <w:tr2bl w:val="nil"/>
            </w:tcBorders>
            <w:vAlign w:val="center"/>
          </w:tcPr>
          <w:p w14:paraId="1470E8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2022" w:type="pct"/>
            <w:vMerge w:val="continue"/>
            <w:tcBorders>
              <w:tl2br w:val="nil"/>
              <w:tr2bl w:val="nil"/>
            </w:tcBorders>
            <w:vAlign w:val="center"/>
          </w:tcPr>
          <w:p w14:paraId="4A880101">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p>
        </w:tc>
        <w:tc>
          <w:tcPr>
            <w:tcW w:w="383" w:type="pct"/>
            <w:tcBorders>
              <w:tl2br w:val="nil"/>
              <w:tr2bl w:val="nil"/>
            </w:tcBorders>
            <w:vAlign w:val="center"/>
          </w:tcPr>
          <w:p w14:paraId="5E9B6A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w:t>
            </w:r>
          </w:p>
        </w:tc>
      </w:tr>
      <w:tr w14:paraId="0FB32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87" w:type="pct"/>
            <w:vMerge w:val="restart"/>
            <w:tcBorders>
              <w:tl2br w:val="nil"/>
              <w:tr2bl w:val="nil"/>
            </w:tcBorders>
            <w:vAlign w:val="center"/>
          </w:tcPr>
          <w:p w14:paraId="1E1B55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废水</w:t>
            </w:r>
          </w:p>
        </w:tc>
        <w:tc>
          <w:tcPr>
            <w:tcW w:w="394" w:type="pct"/>
            <w:vMerge w:val="restart"/>
            <w:tcBorders>
              <w:tl2br w:val="nil"/>
              <w:tr2bl w:val="nil"/>
            </w:tcBorders>
            <w:vAlign w:val="center"/>
          </w:tcPr>
          <w:p w14:paraId="19A621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w:t>
            </w:r>
          </w:p>
        </w:tc>
        <w:tc>
          <w:tcPr>
            <w:tcW w:w="1100" w:type="pct"/>
            <w:gridSpan w:val="2"/>
            <w:tcBorders>
              <w:tl2br w:val="nil"/>
              <w:tr2bl w:val="nil"/>
            </w:tcBorders>
            <w:vAlign w:val="center"/>
          </w:tcPr>
          <w:p w14:paraId="15603A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废旧滴灌带破碎工序、废旧滴灌带清洗工序</w:t>
            </w:r>
          </w:p>
        </w:tc>
        <w:tc>
          <w:tcPr>
            <w:tcW w:w="499" w:type="pct"/>
            <w:tcBorders>
              <w:tl2br w:val="nil"/>
              <w:tr2bl w:val="nil"/>
            </w:tcBorders>
            <w:vAlign w:val="center"/>
          </w:tcPr>
          <w:p w14:paraId="27AFB0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喷淋废水、清洗废水</w:t>
            </w:r>
          </w:p>
        </w:tc>
        <w:tc>
          <w:tcPr>
            <w:tcW w:w="2435" w:type="pct"/>
            <w:gridSpan w:val="2"/>
            <w:vMerge w:val="restart"/>
            <w:tcBorders>
              <w:tl2br w:val="nil"/>
              <w:tr2bl w:val="nil"/>
            </w:tcBorders>
            <w:vAlign w:val="center"/>
          </w:tcPr>
          <w:p w14:paraId="1A163D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生产废水全部循环利用不外排</w:t>
            </w:r>
          </w:p>
        </w:tc>
        <w:tc>
          <w:tcPr>
            <w:tcW w:w="383" w:type="pct"/>
            <w:vMerge w:val="restart"/>
            <w:tcBorders>
              <w:tl2br w:val="nil"/>
              <w:tr2bl w:val="nil"/>
            </w:tcBorders>
            <w:vAlign w:val="center"/>
          </w:tcPr>
          <w:p w14:paraId="62486E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w:t>
            </w:r>
          </w:p>
        </w:tc>
      </w:tr>
      <w:tr w14:paraId="488D13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187" w:type="pct"/>
            <w:vMerge w:val="continue"/>
            <w:tcBorders>
              <w:tl2br w:val="nil"/>
              <w:tr2bl w:val="nil"/>
            </w:tcBorders>
            <w:textDirection w:val="tbRlV"/>
            <w:vAlign w:val="center"/>
          </w:tcPr>
          <w:p w14:paraId="6686173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94" w:type="pct"/>
            <w:vMerge w:val="continue"/>
            <w:tcBorders>
              <w:tl2br w:val="nil"/>
              <w:tr2bl w:val="nil"/>
            </w:tcBorders>
            <w:vAlign w:val="center"/>
          </w:tcPr>
          <w:p w14:paraId="41356B4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00" w:type="pct"/>
            <w:gridSpan w:val="2"/>
            <w:tcBorders>
              <w:tl2br w:val="nil"/>
              <w:tr2bl w:val="nil"/>
            </w:tcBorders>
            <w:vAlign w:val="center"/>
          </w:tcPr>
          <w:p w14:paraId="396061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造粒和滴灌带生产循环冷却工序</w:t>
            </w:r>
          </w:p>
        </w:tc>
        <w:tc>
          <w:tcPr>
            <w:tcW w:w="499" w:type="pct"/>
            <w:tcBorders>
              <w:tl2br w:val="nil"/>
              <w:tr2bl w:val="nil"/>
            </w:tcBorders>
            <w:vAlign w:val="center"/>
          </w:tcPr>
          <w:p w14:paraId="4176F6C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循环冷却水</w:t>
            </w:r>
          </w:p>
        </w:tc>
        <w:tc>
          <w:tcPr>
            <w:tcW w:w="2435" w:type="pct"/>
            <w:gridSpan w:val="2"/>
            <w:vMerge w:val="continue"/>
            <w:tcBorders>
              <w:tl2br w:val="nil"/>
              <w:tr2bl w:val="nil"/>
            </w:tcBorders>
            <w:vAlign w:val="center"/>
          </w:tcPr>
          <w:p w14:paraId="0BE6E53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33F491E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40EEF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87" w:type="pct"/>
            <w:vMerge w:val="continue"/>
            <w:tcBorders>
              <w:tl2br w:val="nil"/>
              <w:tr2bl w:val="nil"/>
            </w:tcBorders>
            <w:vAlign w:val="center"/>
          </w:tcPr>
          <w:p w14:paraId="67400F2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1F922D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w:t>
            </w:r>
          </w:p>
        </w:tc>
        <w:tc>
          <w:tcPr>
            <w:tcW w:w="663" w:type="pct"/>
            <w:tcBorders>
              <w:tl2br w:val="nil"/>
              <w:tr2bl w:val="nil"/>
            </w:tcBorders>
            <w:vAlign w:val="center"/>
          </w:tcPr>
          <w:p w14:paraId="45E480E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办公及生活区</w:t>
            </w:r>
          </w:p>
        </w:tc>
        <w:tc>
          <w:tcPr>
            <w:tcW w:w="499" w:type="pct"/>
            <w:tcBorders>
              <w:tl2br w:val="nil"/>
              <w:tr2bl w:val="nil"/>
            </w:tcBorders>
            <w:vAlign w:val="center"/>
          </w:tcPr>
          <w:p w14:paraId="6A32693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生活污水</w:t>
            </w:r>
          </w:p>
        </w:tc>
        <w:tc>
          <w:tcPr>
            <w:tcW w:w="2435" w:type="pct"/>
            <w:gridSpan w:val="2"/>
            <w:tcBorders>
              <w:tl2br w:val="nil"/>
              <w:tr2bl w:val="nil"/>
            </w:tcBorders>
            <w:vAlign w:val="center"/>
          </w:tcPr>
          <w:p w14:paraId="2AFA9B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排入</w:t>
            </w:r>
            <w:r>
              <w:rPr>
                <w:rFonts w:hint="eastAsia" w:eastAsia="宋体"/>
                <w:color w:val="auto"/>
                <w:lang w:val="en-US" w:eastAsia="zh-CN"/>
              </w:rPr>
              <w:t>防渗</w:t>
            </w:r>
            <w:r>
              <w:rPr>
                <w:rFonts w:hint="eastAsia" w:ascii="Times New Roman" w:hAnsi="Times New Roman" w:eastAsia="宋体" w:cs="宋体"/>
                <w:snapToGrid/>
                <w:color w:val="auto"/>
                <w:lang w:eastAsia="zh-CN"/>
              </w:rPr>
              <w:t>化粪池，定期</w:t>
            </w:r>
            <w:r>
              <w:rPr>
                <w:rFonts w:hint="eastAsia" w:ascii="Times New Roman" w:hAnsi="Times New Roman" w:eastAsia="宋体" w:cs="宋体"/>
                <w:snapToGrid/>
                <w:color w:val="auto"/>
                <w:lang w:val="en-US" w:eastAsia="zh-CN"/>
              </w:rPr>
              <w:t>抽</w:t>
            </w:r>
            <w:r>
              <w:rPr>
                <w:rFonts w:hint="eastAsia" w:ascii="Times New Roman" w:hAnsi="Times New Roman" w:eastAsia="宋体" w:cs="宋体"/>
                <w:snapToGrid/>
                <w:color w:val="auto"/>
                <w:lang w:eastAsia="zh-CN"/>
              </w:rPr>
              <w:t>运至木垒哈萨克自治县污水处理厂处理</w:t>
            </w:r>
          </w:p>
        </w:tc>
        <w:tc>
          <w:tcPr>
            <w:tcW w:w="383" w:type="pct"/>
            <w:tcBorders>
              <w:tl2br w:val="nil"/>
              <w:tr2bl w:val="nil"/>
            </w:tcBorders>
            <w:vAlign w:val="center"/>
          </w:tcPr>
          <w:p w14:paraId="6B268CA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w:t>
            </w:r>
          </w:p>
        </w:tc>
      </w:tr>
      <w:tr w14:paraId="6E54F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7" w:type="pct"/>
            <w:vMerge w:val="restart"/>
            <w:tcBorders>
              <w:tl2br w:val="nil"/>
              <w:tr2bl w:val="nil"/>
            </w:tcBorders>
            <w:vAlign w:val="center"/>
          </w:tcPr>
          <w:p w14:paraId="2A4856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831" w:type="pct"/>
            <w:gridSpan w:val="2"/>
            <w:tcBorders>
              <w:tl2br w:val="nil"/>
              <w:tr2bl w:val="nil"/>
            </w:tcBorders>
            <w:vAlign w:val="center"/>
          </w:tcPr>
          <w:p w14:paraId="343A3BB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破碎机</w:t>
            </w:r>
          </w:p>
        </w:tc>
        <w:tc>
          <w:tcPr>
            <w:tcW w:w="1162" w:type="pct"/>
            <w:gridSpan w:val="2"/>
            <w:tcBorders>
              <w:tl2br w:val="nil"/>
              <w:tr2bl w:val="nil"/>
            </w:tcBorders>
            <w:vAlign w:val="center"/>
          </w:tcPr>
          <w:p w14:paraId="391117D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2435" w:type="pct"/>
            <w:gridSpan w:val="2"/>
            <w:vMerge w:val="restart"/>
            <w:tcBorders>
              <w:tl2br w:val="nil"/>
              <w:tr2bl w:val="nil"/>
            </w:tcBorders>
            <w:vAlign w:val="center"/>
          </w:tcPr>
          <w:p w14:paraId="5FCBAC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厂房隔音、基础减震，柔性连接等措施降噪</w:t>
            </w:r>
          </w:p>
        </w:tc>
        <w:tc>
          <w:tcPr>
            <w:tcW w:w="383" w:type="pct"/>
            <w:vMerge w:val="restart"/>
            <w:tcBorders>
              <w:tl2br w:val="nil"/>
              <w:tr2bl w:val="nil"/>
            </w:tcBorders>
            <w:vAlign w:val="center"/>
          </w:tcPr>
          <w:p w14:paraId="239DFE16">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p w14:paraId="7F294BF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4A1DC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7" w:type="pct"/>
            <w:vMerge w:val="continue"/>
            <w:tcBorders>
              <w:tl2br w:val="nil"/>
              <w:tr2bl w:val="nil"/>
            </w:tcBorders>
            <w:textDirection w:val="tbRlV"/>
            <w:vAlign w:val="center"/>
          </w:tcPr>
          <w:p w14:paraId="4BFBACA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111B788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造粒机</w:t>
            </w:r>
          </w:p>
        </w:tc>
        <w:tc>
          <w:tcPr>
            <w:tcW w:w="1162" w:type="pct"/>
            <w:gridSpan w:val="2"/>
            <w:tcBorders>
              <w:tl2br w:val="nil"/>
              <w:tr2bl w:val="nil"/>
            </w:tcBorders>
            <w:vAlign w:val="center"/>
          </w:tcPr>
          <w:p w14:paraId="65EBC88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2435" w:type="pct"/>
            <w:gridSpan w:val="2"/>
            <w:vMerge w:val="continue"/>
            <w:tcBorders>
              <w:tl2br w:val="nil"/>
              <w:tr2bl w:val="nil"/>
            </w:tcBorders>
            <w:vAlign w:val="center"/>
          </w:tcPr>
          <w:p w14:paraId="2178DC0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349EC5F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D31BA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87" w:type="pct"/>
            <w:vMerge w:val="continue"/>
            <w:tcBorders>
              <w:tl2br w:val="nil"/>
              <w:tr2bl w:val="nil"/>
            </w:tcBorders>
            <w:textDirection w:val="tbRlV"/>
            <w:vAlign w:val="center"/>
          </w:tcPr>
          <w:p w14:paraId="7361D05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0A836AB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切粒机</w:t>
            </w:r>
          </w:p>
        </w:tc>
        <w:tc>
          <w:tcPr>
            <w:tcW w:w="1162" w:type="pct"/>
            <w:gridSpan w:val="2"/>
            <w:tcBorders>
              <w:tl2br w:val="nil"/>
              <w:tr2bl w:val="nil"/>
            </w:tcBorders>
            <w:vAlign w:val="center"/>
          </w:tcPr>
          <w:p w14:paraId="6EA183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2435" w:type="pct"/>
            <w:gridSpan w:val="2"/>
            <w:vMerge w:val="continue"/>
            <w:tcBorders>
              <w:tl2br w:val="nil"/>
              <w:tr2bl w:val="nil"/>
            </w:tcBorders>
            <w:vAlign w:val="center"/>
          </w:tcPr>
          <w:p w14:paraId="453A3A7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65E0D3F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F398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87" w:type="pct"/>
            <w:vMerge w:val="continue"/>
            <w:tcBorders>
              <w:tl2br w:val="nil"/>
              <w:tr2bl w:val="nil"/>
            </w:tcBorders>
            <w:vAlign w:val="center"/>
          </w:tcPr>
          <w:p w14:paraId="77C8AFF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6912CF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挤出机</w:t>
            </w:r>
          </w:p>
        </w:tc>
        <w:tc>
          <w:tcPr>
            <w:tcW w:w="1162" w:type="pct"/>
            <w:gridSpan w:val="2"/>
            <w:tcBorders>
              <w:tl2br w:val="nil"/>
              <w:tr2bl w:val="nil"/>
            </w:tcBorders>
            <w:vAlign w:val="center"/>
          </w:tcPr>
          <w:p w14:paraId="11AE38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2435" w:type="pct"/>
            <w:gridSpan w:val="2"/>
            <w:vMerge w:val="continue"/>
            <w:tcBorders>
              <w:tl2br w:val="nil"/>
              <w:tr2bl w:val="nil"/>
            </w:tcBorders>
            <w:vAlign w:val="center"/>
          </w:tcPr>
          <w:p w14:paraId="63C7487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restart"/>
            <w:tcBorders>
              <w:tl2br w:val="nil"/>
              <w:tr2bl w:val="nil"/>
            </w:tcBorders>
            <w:vAlign w:val="center"/>
          </w:tcPr>
          <w:p w14:paraId="6F33546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202A7C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87" w:type="pct"/>
            <w:vMerge w:val="continue"/>
            <w:tcBorders>
              <w:tl2br w:val="nil"/>
              <w:tr2bl w:val="nil"/>
            </w:tcBorders>
            <w:vAlign w:val="center"/>
          </w:tcPr>
          <w:p w14:paraId="7C0D52D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262FDD1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搅拌机</w:t>
            </w:r>
          </w:p>
        </w:tc>
        <w:tc>
          <w:tcPr>
            <w:tcW w:w="1162" w:type="pct"/>
            <w:gridSpan w:val="2"/>
            <w:tcBorders>
              <w:tl2br w:val="nil"/>
              <w:tr2bl w:val="nil"/>
            </w:tcBorders>
            <w:vAlign w:val="center"/>
          </w:tcPr>
          <w:p w14:paraId="1540C2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2435" w:type="pct"/>
            <w:gridSpan w:val="2"/>
            <w:vMerge w:val="continue"/>
            <w:tcBorders>
              <w:tl2br w:val="nil"/>
              <w:tr2bl w:val="nil"/>
            </w:tcBorders>
            <w:vAlign w:val="center"/>
          </w:tcPr>
          <w:p w14:paraId="707DDBF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276D1E2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889C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87" w:type="pct"/>
            <w:vMerge w:val="continue"/>
            <w:tcBorders>
              <w:tl2br w:val="nil"/>
              <w:tr2bl w:val="nil"/>
            </w:tcBorders>
            <w:vAlign w:val="center"/>
          </w:tcPr>
          <w:p w14:paraId="18EEC64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1B3854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水泵</w:t>
            </w:r>
          </w:p>
        </w:tc>
        <w:tc>
          <w:tcPr>
            <w:tcW w:w="1162" w:type="pct"/>
            <w:gridSpan w:val="2"/>
            <w:tcBorders>
              <w:tl2br w:val="nil"/>
              <w:tr2bl w:val="nil"/>
            </w:tcBorders>
            <w:vAlign w:val="center"/>
          </w:tcPr>
          <w:p w14:paraId="5B1DD8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空气动力噪声</w:t>
            </w:r>
          </w:p>
        </w:tc>
        <w:tc>
          <w:tcPr>
            <w:tcW w:w="2435" w:type="pct"/>
            <w:gridSpan w:val="2"/>
            <w:vMerge w:val="continue"/>
            <w:tcBorders>
              <w:tl2br w:val="nil"/>
              <w:tr2bl w:val="nil"/>
            </w:tcBorders>
            <w:vAlign w:val="center"/>
          </w:tcPr>
          <w:p w14:paraId="230BEF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1BFB737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0DF89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87" w:type="pct"/>
            <w:vMerge w:val="continue"/>
            <w:tcBorders>
              <w:tl2br w:val="nil"/>
              <w:tr2bl w:val="nil"/>
            </w:tcBorders>
            <w:vAlign w:val="center"/>
          </w:tcPr>
          <w:p w14:paraId="78AF560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7983EC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风机</w:t>
            </w:r>
          </w:p>
        </w:tc>
        <w:tc>
          <w:tcPr>
            <w:tcW w:w="1162" w:type="pct"/>
            <w:gridSpan w:val="2"/>
            <w:tcBorders>
              <w:tl2br w:val="nil"/>
              <w:tr2bl w:val="nil"/>
            </w:tcBorders>
            <w:vAlign w:val="center"/>
          </w:tcPr>
          <w:p w14:paraId="551435D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空气动力噪声</w:t>
            </w:r>
          </w:p>
        </w:tc>
        <w:tc>
          <w:tcPr>
            <w:tcW w:w="2435" w:type="pct"/>
            <w:gridSpan w:val="2"/>
            <w:vMerge w:val="continue"/>
            <w:tcBorders>
              <w:tl2br w:val="nil"/>
              <w:tr2bl w:val="nil"/>
            </w:tcBorders>
            <w:vAlign w:val="center"/>
          </w:tcPr>
          <w:p w14:paraId="0361C55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58DC14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4B2690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87" w:type="pct"/>
            <w:vMerge w:val="restart"/>
            <w:tcBorders>
              <w:tl2br w:val="nil"/>
              <w:tr2bl w:val="nil"/>
            </w:tcBorders>
            <w:vAlign w:val="center"/>
          </w:tcPr>
          <w:p w14:paraId="13F3CB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固废</w:t>
            </w:r>
          </w:p>
        </w:tc>
        <w:tc>
          <w:tcPr>
            <w:tcW w:w="831" w:type="pct"/>
            <w:gridSpan w:val="2"/>
            <w:tcBorders>
              <w:tl2br w:val="nil"/>
              <w:tr2bl w:val="nil"/>
            </w:tcBorders>
            <w:vAlign w:val="center"/>
          </w:tcPr>
          <w:p w14:paraId="0AC35CD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沉淀池</w:t>
            </w:r>
          </w:p>
        </w:tc>
        <w:tc>
          <w:tcPr>
            <w:tcW w:w="1162" w:type="pct"/>
            <w:gridSpan w:val="2"/>
            <w:tcBorders>
              <w:tl2br w:val="nil"/>
              <w:tr2bl w:val="nil"/>
            </w:tcBorders>
            <w:vAlign w:val="center"/>
          </w:tcPr>
          <w:p w14:paraId="03CE81E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泥沙</w:t>
            </w:r>
          </w:p>
        </w:tc>
        <w:tc>
          <w:tcPr>
            <w:tcW w:w="2435" w:type="pct"/>
            <w:gridSpan w:val="2"/>
            <w:tcBorders>
              <w:tl2br w:val="nil"/>
              <w:tr2bl w:val="nil"/>
            </w:tcBorders>
            <w:vAlign w:val="center"/>
          </w:tcPr>
          <w:p w14:paraId="24591DF5">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待生产季结束后统一清掏，泥土经</w:t>
            </w:r>
            <w:r>
              <w:rPr>
                <w:rFonts w:hint="eastAsia" w:eastAsia="宋体" w:cs="宋体"/>
                <w:snapToGrid/>
                <w:color w:val="auto"/>
                <w:lang w:eastAsia="zh-CN"/>
              </w:rPr>
              <w:t>自然风干</w:t>
            </w:r>
            <w:r>
              <w:rPr>
                <w:rFonts w:eastAsia="宋体" w:cs="宋体"/>
                <w:snapToGrid/>
                <w:color w:val="auto"/>
                <w:lang w:eastAsia="zh-CN"/>
              </w:rPr>
              <w:t>至含水率低于</w:t>
            </w:r>
            <w:r>
              <w:rPr>
                <w:rFonts w:eastAsia="宋体"/>
                <w:snapToGrid/>
                <w:color w:val="auto"/>
                <w:lang w:eastAsia="zh-CN"/>
              </w:rPr>
              <w:t>60%</w:t>
            </w:r>
            <w:r>
              <w:rPr>
                <w:rFonts w:eastAsia="宋体" w:cs="宋体"/>
                <w:snapToGrid/>
                <w:color w:val="auto"/>
                <w:lang w:eastAsia="zh-CN"/>
              </w:rPr>
              <w:t>后，交由环卫部门外运填埋处理。</w:t>
            </w:r>
          </w:p>
        </w:tc>
        <w:tc>
          <w:tcPr>
            <w:tcW w:w="383" w:type="pct"/>
            <w:tcBorders>
              <w:tl2br w:val="nil"/>
              <w:tr2bl w:val="nil"/>
            </w:tcBorders>
            <w:vAlign w:val="center"/>
          </w:tcPr>
          <w:p w14:paraId="09DF009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36945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87" w:type="pct"/>
            <w:vMerge w:val="continue"/>
            <w:tcBorders>
              <w:tl2br w:val="nil"/>
              <w:tr2bl w:val="nil"/>
            </w:tcBorders>
            <w:vAlign w:val="center"/>
          </w:tcPr>
          <w:p w14:paraId="218AEA5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694BE87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造粒生产线</w:t>
            </w:r>
          </w:p>
        </w:tc>
        <w:tc>
          <w:tcPr>
            <w:tcW w:w="1162" w:type="pct"/>
            <w:gridSpan w:val="2"/>
            <w:tcBorders>
              <w:tl2br w:val="nil"/>
              <w:tr2bl w:val="nil"/>
            </w:tcBorders>
            <w:vAlign w:val="center"/>
          </w:tcPr>
          <w:p w14:paraId="2022CCB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废滤网</w:t>
            </w:r>
          </w:p>
        </w:tc>
        <w:tc>
          <w:tcPr>
            <w:tcW w:w="2435" w:type="pct"/>
            <w:gridSpan w:val="2"/>
            <w:tcBorders>
              <w:tl2br w:val="nil"/>
              <w:tr2bl w:val="nil"/>
            </w:tcBorders>
            <w:vAlign w:val="center"/>
          </w:tcPr>
          <w:p w14:paraId="72136E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定点收集后定期由厂家回收</w:t>
            </w:r>
          </w:p>
        </w:tc>
        <w:tc>
          <w:tcPr>
            <w:tcW w:w="383" w:type="pct"/>
            <w:tcBorders>
              <w:tl2br w:val="nil"/>
              <w:tr2bl w:val="nil"/>
            </w:tcBorders>
            <w:vAlign w:val="center"/>
          </w:tcPr>
          <w:p w14:paraId="6E831A4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1E81B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87" w:type="pct"/>
            <w:vMerge w:val="continue"/>
            <w:tcBorders>
              <w:tl2br w:val="nil"/>
              <w:tr2bl w:val="nil"/>
            </w:tcBorders>
            <w:textDirection w:val="tbRlV"/>
            <w:vAlign w:val="center"/>
          </w:tcPr>
          <w:p w14:paraId="72F5C3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831" w:type="pct"/>
            <w:gridSpan w:val="2"/>
            <w:vMerge w:val="restart"/>
            <w:tcBorders>
              <w:tl2br w:val="nil"/>
              <w:tr2bl w:val="nil"/>
            </w:tcBorders>
            <w:vAlign w:val="center"/>
          </w:tcPr>
          <w:p w14:paraId="5958E6C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滴灌带生产线</w:t>
            </w:r>
          </w:p>
        </w:tc>
        <w:tc>
          <w:tcPr>
            <w:tcW w:w="1162" w:type="pct"/>
            <w:gridSpan w:val="2"/>
            <w:tcBorders>
              <w:tl2br w:val="nil"/>
              <w:tr2bl w:val="nil"/>
            </w:tcBorders>
            <w:vAlign w:val="center"/>
          </w:tcPr>
          <w:p w14:paraId="429B2B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不合格产品和边角料</w:t>
            </w:r>
          </w:p>
        </w:tc>
        <w:tc>
          <w:tcPr>
            <w:tcW w:w="2435" w:type="pct"/>
            <w:gridSpan w:val="2"/>
            <w:tcBorders>
              <w:tl2br w:val="nil"/>
              <w:tr2bl w:val="nil"/>
            </w:tcBorders>
            <w:vAlign w:val="center"/>
          </w:tcPr>
          <w:p w14:paraId="55DCDB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返回废旧滴灌带造粒生产线熔融造粒</w:t>
            </w:r>
          </w:p>
        </w:tc>
        <w:tc>
          <w:tcPr>
            <w:tcW w:w="383" w:type="pct"/>
            <w:tcBorders>
              <w:tl2br w:val="nil"/>
              <w:tr2bl w:val="nil"/>
            </w:tcBorders>
            <w:vAlign w:val="center"/>
          </w:tcPr>
          <w:p w14:paraId="14E1338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00277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87" w:type="pct"/>
            <w:vMerge w:val="continue"/>
            <w:tcBorders>
              <w:tl2br w:val="nil"/>
              <w:tr2bl w:val="nil"/>
            </w:tcBorders>
            <w:textDirection w:val="tbRlV"/>
            <w:vAlign w:val="center"/>
          </w:tcPr>
          <w:p w14:paraId="71F6629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vMerge w:val="continue"/>
            <w:tcBorders>
              <w:tl2br w:val="nil"/>
              <w:tr2bl w:val="nil"/>
            </w:tcBorders>
            <w:vAlign w:val="center"/>
          </w:tcPr>
          <w:p w14:paraId="14324D3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62" w:type="pct"/>
            <w:gridSpan w:val="2"/>
            <w:tcBorders>
              <w:tl2br w:val="nil"/>
              <w:tr2bl w:val="nil"/>
            </w:tcBorders>
            <w:vAlign w:val="center"/>
          </w:tcPr>
          <w:p w14:paraId="68C947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除尘灰</w:t>
            </w:r>
          </w:p>
        </w:tc>
        <w:tc>
          <w:tcPr>
            <w:tcW w:w="2435" w:type="pct"/>
            <w:gridSpan w:val="2"/>
            <w:tcBorders>
              <w:tl2br w:val="nil"/>
              <w:tr2bl w:val="nil"/>
            </w:tcBorders>
            <w:vAlign w:val="center"/>
          </w:tcPr>
          <w:p w14:paraId="0CB83C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回用于造粒工序</w:t>
            </w:r>
          </w:p>
        </w:tc>
        <w:tc>
          <w:tcPr>
            <w:tcW w:w="383" w:type="pct"/>
            <w:tcBorders>
              <w:tl2br w:val="nil"/>
              <w:tr2bl w:val="nil"/>
            </w:tcBorders>
            <w:vAlign w:val="center"/>
          </w:tcPr>
          <w:p w14:paraId="12EF449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4E927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7" w:type="pct"/>
            <w:vMerge w:val="continue"/>
            <w:tcBorders>
              <w:tl2br w:val="nil"/>
              <w:tr2bl w:val="nil"/>
            </w:tcBorders>
            <w:vAlign w:val="center"/>
          </w:tcPr>
          <w:p w14:paraId="04609F4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09CBF7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活性炭吸附装置</w:t>
            </w:r>
          </w:p>
        </w:tc>
        <w:tc>
          <w:tcPr>
            <w:tcW w:w="1162" w:type="pct"/>
            <w:gridSpan w:val="2"/>
            <w:tcBorders>
              <w:tl2br w:val="nil"/>
              <w:tr2bl w:val="nil"/>
            </w:tcBorders>
            <w:vAlign w:val="center"/>
          </w:tcPr>
          <w:p w14:paraId="70E9CAF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废活性炭</w:t>
            </w:r>
          </w:p>
        </w:tc>
        <w:tc>
          <w:tcPr>
            <w:tcW w:w="2435" w:type="pct"/>
            <w:gridSpan w:val="2"/>
            <w:vMerge w:val="restart"/>
            <w:tcBorders>
              <w:tl2br w:val="nil"/>
              <w:tr2bl w:val="nil"/>
            </w:tcBorders>
            <w:vAlign w:val="center"/>
          </w:tcPr>
          <w:p w14:paraId="541BC6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经收集后暂存于危废暂存间，定期交由有危险废物处置资质的单位安全处置</w:t>
            </w:r>
          </w:p>
        </w:tc>
        <w:tc>
          <w:tcPr>
            <w:tcW w:w="383" w:type="pct"/>
            <w:vMerge w:val="restart"/>
            <w:tcBorders>
              <w:tl2br w:val="nil"/>
              <w:tr2bl w:val="nil"/>
            </w:tcBorders>
            <w:vAlign w:val="center"/>
          </w:tcPr>
          <w:p w14:paraId="762A447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5410AF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7" w:type="pct"/>
            <w:vMerge w:val="continue"/>
            <w:tcBorders>
              <w:tl2br w:val="nil"/>
              <w:tr2bl w:val="nil"/>
            </w:tcBorders>
            <w:vAlign w:val="center"/>
          </w:tcPr>
          <w:p w14:paraId="2CF876B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4B041333">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蓄热式催化燃烧</w:t>
            </w:r>
          </w:p>
        </w:tc>
        <w:tc>
          <w:tcPr>
            <w:tcW w:w="1162" w:type="pct"/>
            <w:gridSpan w:val="2"/>
            <w:tcBorders>
              <w:tl2br w:val="nil"/>
              <w:tr2bl w:val="nil"/>
            </w:tcBorders>
            <w:vAlign w:val="center"/>
          </w:tcPr>
          <w:p w14:paraId="31440374">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废催化剂</w:t>
            </w:r>
          </w:p>
        </w:tc>
        <w:tc>
          <w:tcPr>
            <w:tcW w:w="2435" w:type="pct"/>
            <w:gridSpan w:val="2"/>
            <w:vMerge w:val="continue"/>
            <w:tcBorders>
              <w:tl2br w:val="nil"/>
              <w:tr2bl w:val="nil"/>
            </w:tcBorders>
            <w:vAlign w:val="center"/>
          </w:tcPr>
          <w:p w14:paraId="116C41D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383" w:type="pct"/>
            <w:vMerge w:val="continue"/>
            <w:tcBorders>
              <w:tl2br w:val="nil"/>
              <w:tr2bl w:val="nil"/>
            </w:tcBorders>
            <w:vAlign w:val="center"/>
          </w:tcPr>
          <w:p w14:paraId="6F9D312E">
            <w:pPr>
              <w:pStyle w:val="37"/>
              <w:widowControl w:val="0"/>
              <w:shd w:val="clear"/>
              <w:kinsoku/>
              <w:autoSpaceDE/>
              <w:autoSpaceDN/>
              <w:adjustRightInd/>
              <w:snapToGrid/>
              <w:spacing w:line="360" w:lineRule="auto"/>
              <w:jc w:val="center"/>
              <w:textAlignment w:val="auto"/>
              <w:rPr>
                <w:rFonts w:eastAsia="宋体"/>
                <w:snapToGrid/>
                <w:color w:val="auto"/>
              </w:rPr>
            </w:pPr>
          </w:p>
        </w:tc>
      </w:tr>
      <w:tr w14:paraId="2298B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87" w:type="pct"/>
            <w:vMerge w:val="continue"/>
            <w:tcBorders>
              <w:tl2br w:val="nil"/>
              <w:tr2bl w:val="nil"/>
            </w:tcBorders>
            <w:vAlign w:val="center"/>
          </w:tcPr>
          <w:p w14:paraId="24422E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vMerge w:val="restart"/>
            <w:tcBorders>
              <w:tl2br w:val="nil"/>
              <w:tr2bl w:val="nil"/>
            </w:tcBorders>
            <w:vAlign w:val="center"/>
          </w:tcPr>
          <w:p w14:paraId="000FA43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设备维护</w:t>
            </w:r>
          </w:p>
        </w:tc>
        <w:tc>
          <w:tcPr>
            <w:tcW w:w="1162" w:type="pct"/>
            <w:gridSpan w:val="2"/>
            <w:tcBorders>
              <w:tl2br w:val="nil"/>
              <w:tr2bl w:val="nil"/>
            </w:tcBorders>
            <w:vAlign w:val="center"/>
          </w:tcPr>
          <w:p w14:paraId="731B51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废润滑油</w:t>
            </w:r>
          </w:p>
        </w:tc>
        <w:tc>
          <w:tcPr>
            <w:tcW w:w="2435" w:type="pct"/>
            <w:gridSpan w:val="2"/>
            <w:vMerge w:val="continue"/>
            <w:tcBorders>
              <w:tl2br w:val="nil"/>
              <w:tr2bl w:val="nil"/>
            </w:tcBorders>
            <w:vAlign w:val="center"/>
          </w:tcPr>
          <w:p w14:paraId="7A10C4E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vMerge w:val="continue"/>
            <w:tcBorders>
              <w:tl2br w:val="nil"/>
              <w:tr2bl w:val="nil"/>
            </w:tcBorders>
            <w:vAlign w:val="center"/>
          </w:tcPr>
          <w:p w14:paraId="705FB46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01421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87" w:type="pct"/>
            <w:vMerge w:val="continue"/>
            <w:tcBorders>
              <w:tl2br w:val="nil"/>
              <w:tr2bl w:val="nil"/>
            </w:tcBorders>
            <w:vAlign w:val="center"/>
          </w:tcPr>
          <w:p w14:paraId="32D3E61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vMerge w:val="continue"/>
            <w:tcBorders>
              <w:tl2br w:val="nil"/>
              <w:tr2bl w:val="nil"/>
            </w:tcBorders>
            <w:vAlign w:val="center"/>
          </w:tcPr>
          <w:p w14:paraId="06AB248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1162" w:type="pct"/>
            <w:gridSpan w:val="2"/>
            <w:tcBorders>
              <w:tl2br w:val="nil"/>
              <w:tr2bl w:val="nil"/>
            </w:tcBorders>
            <w:vAlign w:val="center"/>
          </w:tcPr>
          <w:p w14:paraId="22B79B59">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废油桶</w:t>
            </w:r>
          </w:p>
        </w:tc>
        <w:tc>
          <w:tcPr>
            <w:tcW w:w="2435" w:type="pct"/>
            <w:gridSpan w:val="2"/>
            <w:vMerge w:val="continue"/>
            <w:tcBorders>
              <w:tl2br w:val="nil"/>
              <w:tr2bl w:val="nil"/>
            </w:tcBorders>
            <w:vAlign w:val="center"/>
          </w:tcPr>
          <w:p w14:paraId="4735786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3" w:type="pct"/>
            <w:tcBorders>
              <w:tl2br w:val="nil"/>
              <w:tr2bl w:val="nil"/>
            </w:tcBorders>
            <w:vAlign w:val="center"/>
          </w:tcPr>
          <w:p w14:paraId="72ED66F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B75F1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87" w:type="pct"/>
            <w:vMerge w:val="continue"/>
            <w:tcBorders>
              <w:tl2br w:val="nil"/>
              <w:tr2bl w:val="nil"/>
            </w:tcBorders>
            <w:vAlign w:val="center"/>
          </w:tcPr>
          <w:p w14:paraId="515CA6D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31" w:type="pct"/>
            <w:gridSpan w:val="2"/>
            <w:tcBorders>
              <w:tl2br w:val="nil"/>
              <w:tr2bl w:val="nil"/>
            </w:tcBorders>
            <w:vAlign w:val="center"/>
          </w:tcPr>
          <w:p w14:paraId="1647FC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办公生活</w:t>
            </w:r>
          </w:p>
        </w:tc>
        <w:tc>
          <w:tcPr>
            <w:tcW w:w="1162" w:type="pct"/>
            <w:gridSpan w:val="2"/>
            <w:tcBorders>
              <w:tl2br w:val="nil"/>
              <w:tr2bl w:val="nil"/>
            </w:tcBorders>
            <w:vAlign w:val="center"/>
          </w:tcPr>
          <w:p w14:paraId="62A7BB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2435" w:type="pct"/>
            <w:gridSpan w:val="2"/>
            <w:tcBorders>
              <w:tl2br w:val="nil"/>
              <w:tr2bl w:val="nil"/>
            </w:tcBorders>
            <w:vAlign w:val="center"/>
          </w:tcPr>
          <w:p w14:paraId="57CFB0B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厂区设垃圾桶，分类收集后定期由环卫部门清运统一处置</w:t>
            </w:r>
          </w:p>
        </w:tc>
        <w:tc>
          <w:tcPr>
            <w:tcW w:w="383" w:type="pct"/>
            <w:tcBorders>
              <w:tl2br w:val="nil"/>
              <w:tr2bl w:val="nil"/>
            </w:tcBorders>
            <w:vAlign w:val="center"/>
          </w:tcPr>
          <w:p w14:paraId="55BBAA0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16C96472">
      <w:pPr>
        <w:widowControl w:val="0"/>
        <w:shd w:val="clear"/>
        <w:kinsoku/>
        <w:autoSpaceDE/>
        <w:autoSpaceDN/>
        <w:adjustRightInd/>
        <w:snapToGrid/>
        <w:textAlignment w:val="auto"/>
        <w:rPr>
          <w:rFonts w:ascii="Times New Roman" w:hAnsi="Times New Roman" w:eastAsia="宋体"/>
          <w:snapToGrid/>
          <w:color w:val="auto"/>
        </w:rPr>
      </w:pPr>
    </w:p>
    <w:p w14:paraId="0BBA0D68">
      <w:pPr>
        <w:widowControl w:val="0"/>
        <w:shd w:val="clear"/>
        <w:kinsoku/>
        <w:autoSpaceDE/>
        <w:autoSpaceDN/>
        <w:adjustRightInd/>
        <w:snapToGrid/>
        <w:textAlignment w:val="auto"/>
        <w:rPr>
          <w:rFonts w:ascii="Times New Roman" w:hAnsi="Times New Roman" w:eastAsia="宋体"/>
          <w:snapToGrid/>
          <w:color w:val="auto"/>
        </w:rPr>
        <w:sectPr>
          <w:headerReference r:id="rId21" w:type="default"/>
          <w:footerReference r:id="rId22" w:type="default"/>
          <w:pgSz w:w="16838" w:h="11906"/>
          <w:pgMar w:top="1136" w:right="1410" w:bottom="1161" w:left="1411" w:header="868" w:footer="999" w:gutter="0"/>
          <w:pgBorders>
            <w:top w:val="none" w:sz="0" w:space="0"/>
            <w:left w:val="none" w:sz="0" w:space="0"/>
            <w:bottom w:val="none" w:sz="0" w:space="0"/>
            <w:right w:val="none" w:sz="0" w:space="0"/>
          </w:pgBorders>
          <w:cols w:space="720" w:num="1"/>
        </w:sectPr>
      </w:pPr>
    </w:p>
    <w:p w14:paraId="0E599760">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21" w:name="bookmark22"/>
      <w:bookmarkEnd w:id="421"/>
      <w:bookmarkStart w:id="422" w:name="_Toc15996"/>
      <w:bookmarkStart w:id="423" w:name="_Toc4155"/>
      <w:bookmarkStart w:id="424" w:name="_Toc11416"/>
      <w:r>
        <w:rPr>
          <w:rFonts w:hint="eastAsia" w:ascii="Times New Roman" w:hAnsi="Times New Roman" w:eastAsia="宋体"/>
          <w:snapToGrid/>
          <w:color w:val="auto"/>
          <w:lang w:eastAsia="zh-CN"/>
        </w:rPr>
        <w:t>3.4工程污染源分析及产排情况</w:t>
      </w:r>
      <w:bookmarkEnd w:id="422"/>
      <w:bookmarkEnd w:id="423"/>
      <w:bookmarkEnd w:id="424"/>
    </w:p>
    <w:p w14:paraId="1E10FE77">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425" w:name="_Toc31846"/>
      <w:bookmarkStart w:id="426" w:name="_Toc6987"/>
      <w:bookmarkStart w:id="427" w:name="_Toc562"/>
      <w:r>
        <w:rPr>
          <w:rFonts w:hint="eastAsia" w:ascii="Times New Roman" w:hAnsi="Times New Roman" w:eastAsia="宋体" w:cs="Times New Roman"/>
          <w:snapToGrid/>
          <w:color w:val="auto"/>
          <w:lang w:eastAsia="zh-CN"/>
        </w:rPr>
        <w:t>3.4.1施工期污染源分析</w:t>
      </w:r>
      <w:bookmarkEnd w:id="425"/>
      <w:bookmarkEnd w:id="426"/>
      <w:bookmarkEnd w:id="427"/>
    </w:p>
    <w:p w14:paraId="0CFEE4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施工期工程内容主要为厂房的建设及设备的安装，</w:t>
      </w:r>
      <w:r>
        <w:rPr>
          <w:rFonts w:hint="eastAsia" w:ascii="Times New Roman" w:hAnsi="Times New Roman"/>
          <w:snapToGrid/>
          <w:color w:val="auto"/>
          <w:sz w:val="24"/>
          <w:szCs w:val="24"/>
          <w:lang w:val="en-US" w:eastAsia="zh-CN"/>
        </w:rPr>
        <w:t>施工</w:t>
      </w:r>
      <w:r>
        <w:rPr>
          <w:rFonts w:ascii="Times New Roman" w:hAnsi="Times New Roman"/>
          <w:snapToGrid/>
          <w:color w:val="auto"/>
          <w:sz w:val="24"/>
          <w:szCs w:val="24"/>
          <w:lang w:eastAsia="zh-CN"/>
        </w:rPr>
        <w:t>期间产生施工扬尘、装修废气，噪声、建筑垃圾等，其生产工艺流程及产污节点见图</w:t>
      </w:r>
      <w:r>
        <w:rPr>
          <w:rFonts w:hint="eastAsia" w:ascii="Times New Roman" w:hAnsi="Times New Roman"/>
          <w:snapToGrid/>
          <w:color w:val="auto"/>
          <w:sz w:val="24"/>
          <w:szCs w:val="24"/>
          <w:lang w:eastAsia="zh-CN"/>
        </w:rPr>
        <w:t>3.4-1</w:t>
      </w:r>
      <w:r>
        <w:rPr>
          <w:rFonts w:ascii="Times New Roman" w:hAnsi="Times New Roman"/>
          <w:snapToGrid/>
          <w:color w:val="auto"/>
          <w:sz w:val="24"/>
          <w:szCs w:val="24"/>
          <w:lang w:eastAsia="zh-CN"/>
        </w:rPr>
        <w:t>。</w:t>
      </w:r>
    </w:p>
    <w:p w14:paraId="2999E16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5354955" cy="176466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9"/>
                    <a:stretch>
                      <a:fillRect/>
                    </a:stretch>
                  </pic:blipFill>
                  <pic:spPr>
                    <a:xfrm>
                      <a:off x="0" y="0"/>
                      <a:ext cx="5355335" cy="1764791"/>
                    </a:xfrm>
                    <a:prstGeom prst="rect">
                      <a:avLst/>
                    </a:prstGeom>
                  </pic:spPr>
                </pic:pic>
              </a:graphicData>
            </a:graphic>
          </wp:inline>
        </w:drawing>
      </w:r>
    </w:p>
    <w:p w14:paraId="0F6915D8">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图</w:t>
      </w:r>
      <w:r>
        <w:rPr>
          <w:rFonts w:hint="eastAsia" w:ascii="Times New Roman" w:hAnsi="Times New Roman"/>
          <w:b/>
          <w:bCs/>
          <w:snapToGrid/>
          <w:color w:val="auto"/>
          <w:sz w:val="24"/>
          <w:lang w:eastAsia="zh-CN"/>
        </w:rPr>
        <w:t>3.4-1</w:t>
      </w:r>
      <w:r>
        <w:rPr>
          <w:rFonts w:ascii="Times New Roman" w:hAnsi="Times New Roman"/>
          <w:b/>
          <w:bCs/>
          <w:snapToGrid/>
          <w:color w:val="auto"/>
          <w:sz w:val="24"/>
          <w:lang w:eastAsia="zh-CN"/>
        </w:rPr>
        <w:t>施工工艺流程及产污节点图</w:t>
      </w:r>
    </w:p>
    <w:p w14:paraId="4D77C8C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（1）废气</w:t>
      </w:r>
    </w:p>
    <w:p w14:paraId="075D39F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施工期的大气污染源主要来自施工期建筑材料运输所产生的扬尘、各类运输及动力设备运行产</w:t>
      </w:r>
      <w:r>
        <w:rPr>
          <w:rFonts w:hint="eastAsia" w:ascii="Times New Roman" w:hAnsi="Times New Roman"/>
          <w:snapToGrid/>
          <w:color w:val="auto"/>
          <w:sz w:val="24"/>
          <w:szCs w:val="24"/>
          <w:lang w:eastAsia="zh-CN"/>
        </w:rPr>
        <w:t>生的</w:t>
      </w:r>
      <w:r>
        <w:rPr>
          <w:rFonts w:ascii="Times New Roman" w:hAnsi="Times New Roman"/>
          <w:snapToGrid/>
          <w:color w:val="auto"/>
          <w:sz w:val="24"/>
          <w:szCs w:val="24"/>
          <w:lang w:eastAsia="zh-CN"/>
        </w:rPr>
        <w:t>燃料燃烧废气。</w:t>
      </w:r>
    </w:p>
    <w:p w14:paraId="1E8515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①扬尘</w:t>
      </w:r>
    </w:p>
    <w:p w14:paraId="7285F55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一般情况下，在自然风作用下，扬尘受重力、浮力和气流运动的作用，可以发生沉降、上升和扩散，扬尘影响范围在80m以内。在大风天气，扬尘量及影响范围将有所扩大。施工中的弃土、砂料、石灰等，若堆放时被覆不当或装卸运输时散落，也会造成施工扬尘，影响范围在50m左右。</w:t>
      </w:r>
    </w:p>
    <w:p w14:paraId="182194A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根据类比资料可知，在4级风情况下，施工现场下风向1m处扬尘浓度可达3mg/m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，25m处扬尘浓度为1.5mg/m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，50m处扬尘浓度为0.5mg/m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，下风向60m范围内TSP浓度均超标。</w:t>
      </w:r>
    </w:p>
    <w:p w14:paraId="5B5064F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②燃油废气</w:t>
      </w:r>
    </w:p>
    <w:p w14:paraId="363E4E9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施工期，材料运输车辆、施工小型柴油机运行等将产生一定量的燃油废气，以CO、NOx、THC为主，对大气环境有一定影响，但其产生量小，影响范围仅限于施工区局部地区，机动车污染源主要为NO</w:t>
      </w:r>
      <w:r>
        <w:rPr>
          <w:rFonts w:ascii="Times New Roman" w:hAnsi="Times New Roman"/>
          <w:snapToGrid/>
          <w:color w:val="auto"/>
          <w:sz w:val="24"/>
          <w:szCs w:val="24"/>
          <w:vertAlign w:val="subscript"/>
          <w:lang w:eastAsia="zh-CN"/>
        </w:rPr>
        <w:t>X</w:t>
      </w:r>
      <w:r>
        <w:rPr>
          <w:rFonts w:ascii="Times New Roman" w:hAnsi="Times New Roman"/>
          <w:snapToGrid/>
          <w:color w:val="auto"/>
          <w:sz w:val="24"/>
          <w:szCs w:val="24"/>
          <w:lang w:eastAsia="zh-CN"/>
        </w:rPr>
        <w:t>的排放。</w:t>
      </w:r>
    </w:p>
    <w:p w14:paraId="0F58EDA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（2）废水</w:t>
      </w:r>
    </w:p>
    <w:p w14:paraId="61A2563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①施工人员生活污水</w:t>
      </w:r>
    </w:p>
    <w:p w14:paraId="2BD181E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施工人员以15人计，人均用水量0.05m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/d，排水系数按80%计，生活污水产生量约为0.6m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/d。生活污水中主要污染因子CODcr、BOD</w:t>
      </w:r>
      <w:r>
        <w:rPr>
          <w:rFonts w:ascii="Times New Roman" w:hAnsi="Times New Roman"/>
          <w:snapToGrid/>
          <w:color w:val="auto"/>
          <w:sz w:val="24"/>
          <w:szCs w:val="24"/>
          <w:vertAlign w:val="subscript"/>
          <w:lang w:eastAsia="zh-CN"/>
        </w:rPr>
        <w:t>5</w:t>
      </w:r>
      <w:r>
        <w:rPr>
          <w:rFonts w:ascii="Times New Roman" w:hAnsi="Times New Roman"/>
          <w:snapToGrid/>
          <w:color w:val="auto"/>
          <w:sz w:val="24"/>
          <w:szCs w:val="24"/>
          <w:lang w:eastAsia="zh-CN"/>
        </w:rPr>
        <w:t>、SS和氨氮，污染物浓度分别为：COD</w:t>
      </w:r>
      <w:r>
        <w:rPr>
          <w:rFonts w:ascii="Times New Roman" w:hAnsi="Times New Roman"/>
          <w:snapToGrid/>
          <w:color w:val="auto"/>
          <w:sz w:val="24"/>
          <w:szCs w:val="24"/>
          <w:vertAlign w:val="subscript"/>
          <w:lang w:eastAsia="zh-CN"/>
        </w:rPr>
        <w:t>cr</w:t>
      </w:r>
      <w:r>
        <w:rPr>
          <w:rFonts w:ascii="Times New Roman" w:hAnsi="Times New Roman"/>
          <w:snapToGrid/>
          <w:color w:val="auto"/>
          <w:sz w:val="24"/>
          <w:szCs w:val="24"/>
          <w:lang w:eastAsia="zh-CN"/>
        </w:rPr>
        <w:t>350mg/L、BOD</w:t>
      </w:r>
      <w:r>
        <w:rPr>
          <w:rFonts w:ascii="Times New Roman" w:hAnsi="Times New Roman"/>
          <w:snapToGrid/>
          <w:color w:val="auto"/>
          <w:sz w:val="24"/>
          <w:szCs w:val="24"/>
          <w:vertAlign w:val="subscript"/>
          <w:lang w:eastAsia="zh-CN"/>
        </w:rPr>
        <w:t>5</w:t>
      </w:r>
      <w:r>
        <w:rPr>
          <w:rFonts w:ascii="Times New Roman" w:hAnsi="Times New Roman"/>
          <w:snapToGrid/>
          <w:color w:val="auto"/>
          <w:sz w:val="24"/>
          <w:szCs w:val="24"/>
          <w:lang w:eastAsia="zh-CN"/>
        </w:rPr>
        <w:t>200mg/L、SS200mg/L，氨氮35mg/L，依托卫生间，生活污水</w:t>
      </w:r>
      <w:r>
        <w:rPr>
          <w:rFonts w:hint="eastAsia" w:ascii="Times New Roman" w:hAnsi="Times New Roman"/>
          <w:snapToGrid/>
          <w:color w:val="auto"/>
          <w:sz w:val="24"/>
          <w:szCs w:val="24"/>
          <w:lang w:eastAsia="zh-CN"/>
        </w:rPr>
        <w:t>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p>
    <w:p w14:paraId="1F7218B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②施工</w:t>
      </w:r>
      <w:r>
        <w:rPr>
          <w:rFonts w:hint="eastAsia" w:ascii="Times New Roman" w:hAnsi="Times New Roman"/>
          <w:snapToGrid/>
          <w:color w:val="auto"/>
          <w:sz w:val="24"/>
          <w:szCs w:val="24"/>
          <w:lang w:eastAsia="zh-CN"/>
        </w:rPr>
        <w:t>场地</w:t>
      </w:r>
      <w:r>
        <w:rPr>
          <w:rFonts w:ascii="Times New Roman" w:hAnsi="Times New Roman"/>
          <w:snapToGrid/>
          <w:color w:val="auto"/>
          <w:sz w:val="24"/>
          <w:szCs w:val="24"/>
          <w:lang w:eastAsia="zh-CN"/>
        </w:rPr>
        <w:t>废水</w:t>
      </w:r>
    </w:p>
    <w:p w14:paraId="772A35F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车辆冲洗废水可利用沉淀池，经沉淀后，用于厂区洒水降尘。</w:t>
      </w:r>
    </w:p>
    <w:p w14:paraId="2964FB4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（3）噪声</w:t>
      </w:r>
    </w:p>
    <w:p w14:paraId="2208B5A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工程施工中的噪声源可分为连续噪声源和流动噪声源。连续噪声源主要是厂房、原料棚搭建以及原有设备拆除噪声；流动噪声源主要是机动车辆及其他作业设备产生的噪声。</w:t>
      </w:r>
    </w:p>
    <w:p w14:paraId="432C850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（4）固体废物</w:t>
      </w:r>
    </w:p>
    <w:p w14:paraId="1DF754F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①施工土石方及建筑垃圾</w:t>
      </w:r>
    </w:p>
    <w:p w14:paraId="3482C31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期基础开挖产生的土石方，产生量较少，可就地用于场区平整。产生的建筑垃圾，主要包括石块、废金属、废钢筋等杂物，可回收的应尽量回收，不能回收的经集中收集后由施工单位及时清运，以免影响施工和环境卫生。</w:t>
      </w:r>
    </w:p>
    <w:p w14:paraId="1783613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②施工人员生活垃圾</w:t>
      </w:r>
    </w:p>
    <w:p w14:paraId="26361BC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本项目施工人员共15人，施工现场不提供食宿，工人从当地招募，生活垃圾按0.3kg/d·人计，产生量约4.5kg/d，集中、分类收集后，集中收集后由环卫部门转运垃圾填埋场进行无害化处理。</w:t>
      </w:r>
    </w:p>
    <w:p w14:paraId="04D3969B">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428" w:name="_Toc19868"/>
      <w:bookmarkStart w:id="429" w:name="_Toc29270"/>
      <w:bookmarkStart w:id="430" w:name="_Toc28660"/>
      <w:r>
        <w:rPr>
          <w:rFonts w:hint="eastAsia" w:ascii="Times New Roman" w:hAnsi="Times New Roman" w:eastAsia="宋体" w:cs="Times New Roman"/>
          <w:snapToGrid/>
          <w:color w:val="auto"/>
          <w:lang w:eastAsia="zh-CN"/>
        </w:rPr>
        <w:t>3.4.2运营期污染源分析</w:t>
      </w:r>
      <w:bookmarkEnd w:id="428"/>
      <w:bookmarkEnd w:id="429"/>
      <w:bookmarkEnd w:id="430"/>
    </w:p>
    <w:p w14:paraId="4445637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根据《排污许可证申请与核发技术规范</w:t>
      </w:r>
      <w:r>
        <w:rPr>
          <w:rFonts w:hint="eastAsia"/>
          <w:color w:val="auto"/>
          <w:lang w:val="en-US" w:eastAsia="zh-CN"/>
        </w:rPr>
        <w:t xml:space="preserve"> </w:t>
      </w:r>
      <w:r>
        <w:rPr>
          <w:rFonts w:ascii="Times New Roman" w:hAnsi="Times New Roman"/>
          <w:snapToGrid/>
          <w:color w:val="auto"/>
          <w:sz w:val="24"/>
          <w:szCs w:val="24"/>
          <w:lang w:eastAsia="zh-CN"/>
        </w:rPr>
        <w:t>废弃资源加工工业》（HJ1034-2019）表14废塑料加工工业排污单位废气产污环节、污染物种类、排放形式及污染防治设施一览表，分析项目运营期工艺流程产污环节以及主要污染物种类表3.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-1。</w:t>
      </w:r>
    </w:p>
    <w:p w14:paraId="3505BE0C">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-1项目产污环节及主要污染物一览表</w:t>
      </w:r>
    </w:p>
    <w:tbl>
      <w:tblPr>
        <w:tblStyle w:val="36"/>
        <w:tblW w:w="501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41"/>
        <w:gridCol w:w="3582"/>
        <w:gridCol w:w="3889"/>
      </w:tblGrid>
      <w:tr w14:paraId="740F5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712" w:type="pct"/>
            <w:tcBorders>
              <w:tl2br w:val="nil"/>
              <w:tr2bl w:val="nil"/>
            </w:tcBorders>
            <w:vAlign w:val="center"/>
          </w:tcPr>
          <w:p w14:paraId="3858A8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2055" w:type="pct"/>
            <w:tcBorders>
              <w:tl2br w:val="nil"/>
              <w:tr2bl w:val="nil"/>
            </w:tcBorders>
            <w:vAlign w:val="center"/>
          </w:tcPr>
          <w:p w14:paraId="3C5198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产污环节</w:t>
            </w:r>
          </w:p>
        </w:tc>
        <w:tc>
          <w:tcPr>
            <w:tcW w:w="2231" w:type="pct"/>
            <w:tcBorders>
              <w:tl2br w:val="nil"/>
              <w:tr2bl w:val="nil"/>
            </w:tcBorders>
            <w:vAlign w:val="center"/>
          </w:tcPr>
          <w:p w14:paraId="2141CA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主要污染物</w:t>
            </w:r>
          </w:p>
        </w:tc>
      </w:tr>
      <w:tr w14:paraId="45A578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712" w:type="pct"/>
            <w:vMerge w:val="restart"/>
            <w:tcBorders>
              <w:tl2br w:val="nil"/>
              <w:tr2bl w:val="nil"/>
            </w:tcBorders>
            <w:vAlign w:val="center"/>
          </w:tcPr>
          <w:p w14:paraId="0B9B8D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w:t>
            </w:r>
          </w:p>
        </w:tc>
        <w:tc>
          <w:tcPr>
            <w:tcW w:w="2055" w:type="pct"/>
            <w:vMerge w:val="restart"/>
            <w:tcBorders>
              <w:tl2br w:val="nil"/>
              <w:tr2bl w:val="nil"/>
            </w:tcBorders>
            <w:vAlign w:val="center"/>
          </w:tcPr>
          <w:p w14:paraId="699911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废塑料造粒</w:t>
            </w:r>
          </w:p>
        </w:tc>
        <w:tc>
          <w:tcPr>
            <w:tcW w:w="2231" w:type="pct"/>
            <w:tcBorders>
              <w:tl2br w:val="nil"/>
              <w:tr2bl w:val="nil"/>
            </w:tcBorders>
            <w:vAlign w:val="center"/>
          </w:tcPr>
          <w:p w14:paraId="304442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非甲烷总烃（有组织）</w:t>
            </w:r>
          </w:p>
        </w:tc>
      </w:tr>
      <w:tr w14:paraId="5F0024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712" w:type="pct"/>
            <w:vMerge w:val="continue"/>
            <w:tcBorders>
              <w:tl2br w:val="nil"/>
              <w:tr2bl w:val="nil"/>
            </w:tcBorders>
            <w:vAlign w:val="center"/>
          </w:tcPr>
          <w:p w14:paraId="78195400">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55" w:type="pct"/>
            <w:vMerge w:val="continue"/>
            <w:tcBorders>
              <w:tl2br w:val="nil"/>
              <w:tr2bl w:val="nil"/>
            </w:tcBorders>
            <w:vAlign w:val="center"/>
          </w:tcPr>
          <w:p w14:paraId="7EB86E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2231" w:type="pct"/>
            <w:tcBorders>
              <w:tl2br w:val="nil"/>
              <w:tr2bl w:val="nil"/>
            </w:tcBorders>
            <w:vAlign w:val="center"/>
          </w:tcPr>
          <w:p w14:paraId="048435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非甲烷总烃（无组织）</w:t>
            </w:r>
          </w:p>
        </w:tc>
      </w:tr>
      <w:tr w14:paraId="5A481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712" w:type="pct"/>
            <w:vMerge w:val="continue"/>
            <w:tcBorders>
              <w:tl2br w:val="nil"/>
              <w:tr2bl w:val="nil"/>
            </w:tcBorders>
            <w:vAlign w:val="center"/>
          </w:tcPr>
          <w:p w14:paraId="238CC0CB">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55" w:type="pct"/>
            <w:tcBorders>
              <w:tl2br w:val="nil"/>
              <w:tr2bl w:val="nil"/>
            </w:tcBorders>
            <w:vAlign w:val="center"/>
          </w:tcPr>
          <w:p w14:paraId="69CCF67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废塑料破碎</w:t>
            </w:r>
          </w:p>
        </w:tc>
        <w:tc>
          <w:tcPr>
            <w:tcW w:w="2231" w:type="pct"/>
            <w:tcBorders>
              <w:tl2br w:val="nil"/>
              <w:tr2bl w:val="nil"/>
            </w:tcBorders>
            <w:vAlign w:val="center"/>
          </w:tcPr>
          <w:p w14:paraId="771777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颗粒物（无组织）</w:t>
            </w:r>
          </w:p>
        </w:tc>
      </w:tr>
      <w:tr w14:paraId="693D2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712" w:type="pct"/>
            <w:vMerge w:val="continue"/>
            <w:tcBorders>
              <w:tl2br w:val="nil"/>
              <w:tr2bl w:val="nil"/>
            </w:tcBorders>
            <w:vAlign w:val="center"/>
          </w:tcPr>
          <w:p w14:paraId="1BF63EA6">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55" w:type="pct"/>
            <w:vMerge w:val="restart"/>
            <w:tcBorders>
              <w:tl2br w:val="nil"/>
              <w:tr2bl w:val="nil"/>
            </w:tcBorders>
            <w:vAlign w:val="center"/>
          </w:tcPr>
          <w:p w14:paraId="50CE277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滴灌带生产</w:t>
            </w:r>
          </w:p>
        </w:tc>
        <w:tc>
          <w:tcPr>
            <w:tcW w:w="2231" w:type="pct"/>
            <w:tcBorders>
              <w:tl2br w:val="nil"/>
              <w:tr2bl w:val="nil"/>
            </w:tcBorders>
            <w:vAlign w:val="center"/>
          </w:tcPr>
          <w:p w14:paraId="0FCDE7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非甲烷总烃（有组织）</w:t>
            </w:r>
          </w:p>
        </w:tc>
      </w:tr>
      <w:tr w14:paraId="45A369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712" w:type="pct"/>
            <w:vMerge w:val="continue"/>
            <w:tcBorders>
              <w:tl2br w:val="nil"/>
              <w:tr2bl w:val="nil"/>
            </w:tcBorders>
            <w:vAlign w:val="center"/>
          </w:tcPr>
          <w:p w14:paraId="69BD519C">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055" w:type="pct"/>
            <w:vMerge w:val="continue"/>
            <w:tcBorders>
              <w:tl2br w:val="nil"/>
              <w:tr2bl w:val="nil"/>
            </w:tcBorders>
            <w:vAlign w:val="center"/>
          </w:tcPr>
          <w:p w14:paraId="1EF0C7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2231" w:type="pct"/>
            <w:tcBorders>
              <w:tl2br w:val="nil"/>
              <w:tr2bl w:val="nil"/>
            </w:tcBorders>
            <w:vAlign w:val="center"/>
          </w:tcPr>
          <w:p w14:paraId="162287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非甲烷总烃（无组织）</w:t>
            </w:r>
          </w:p>
        </w:tc>
      </w:tr>
      <w:tr w14:paraId="70195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712" w:type="pct"/>
            <w:vMerge w:val="restart"/>
            <w:tcBorders>
              <w:tl2br w:val="nil"/>
              <w:tr2bl w:val="nil"/>
            </w:tcBorders>
            <w:vAlign w:val="center"/>
          </w:tcPr>
          <w:p w14:paraId="29019F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固废</w:t>
            </w:r>
          </w:p>
        </w:tc>
        <w:tc>
          <w:tcPr>
            <w:tcW w:w="2055" w:type="pct"/>
            <w:tcBorders>
              <w:tl2br w:val="nil"/>
              <w:tr2bl w:val="nil"/>
            </w:tcBorders>
            <w:vAlign w:val="center"/>
          </w:tcPr>
          <w:p w14:paraId="3E5A003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废塑料造粒堆棚卸料分拣</w:t>
            </w:r>
          </w:p>
        </w:tc>
        <w:tc>
          <w:tcPr>
            <w:tcW w:w="2231" w:type="pct"/>
            <w:tcBorders>
              <w:tl2br w:val="nil"/>
              <w:tr2bl w:val="nil"/>
            </w:tcBorders>
            <w:vAlign w:val="center"/>
          </w:tcPr>
          <w:p w14:paraId="1DC6D65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灰土及杂质</w:t>
            </w:r>
          </w:p>
        </w:tc>
      </w:tr>
      <w:tr w14:paraId="680D38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2" w:type="pct"/>
            <w:vMerge w:val="continue"/>
            <w:tcBorders>
              <w:tl2br w:val="nil"/>
              <w:tr2bl w:val="nil"/>
            </w:tcBorders>
            <w:vAlign w:val="center"/>
          </w:tcPr>
          <w:p w14:paraId="1704C65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055" w:type="pct"/>
            <w:tcBorders>
              <w:tl2br w:val="nil"/>
              <w:tr2bl w:val="nil"/>
            </w:tcBorders>
            <w:vAlign w:val="center"/>
          </w:tcPr>
          <w:p w14:paraId="2D38F18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废塑料造粒三级清洗池</w:t>
            </w:r>
          </w:p>
        </w:tc>
        <w:tc>
          <w:tcPr>
            <w:tcW w:w="2231" w:type="pct"/>
            <w:tcBorders>
              <w:tl2br w:val="nil"/>
              <w:tr2bl w:val="nil"/>
            </w:tcBorders>
            <w:vAlign w:val="center"/>
          </w:tcPr>
          <w:p w14:paraId="7C97D6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沉淀池污泥</w:t>
            </w:r>
          </w:p>
        </w:tc>
      </w:tr>
      <w:tr w14:paraId="25F89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2" w:type="pct"/>
            <w:vMerge w:val="continue"/>
            <w:tcBorders>
              <w:tl2br w:val="nil"/>
              <w:tr2bl w:val="nil"/>
            </w:tcBorders>
            <w:vAlign w:val="center"/>
          </w:tcPr>
          <w:p w14:paraId="5E2D450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055" w:type="pct"/>
            <w:tcBorders>
              <w:tl2br w:val="nil"/>
              <w:tr2bl w:val="nil"/>
            </w:tcBorders>
            <w:vAlign w:val="center"/>
          </w:tcPr>
          <w:p w14:paraId="09BE48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滴灌带生产</w:t>
            </w:r>
          </w:p>
        </w:tc>
        <w:tc>
          <w:tcPr>
            <w:tcW w:w="2231" w:type="pct"/>
            <w:tcBorders>
              <w:tl2br w:val="nil"/>
              <w:tr2bl w:val="nil"/>
            </w:tcBorders>
            <w:vAlign w:val="center"/>
          </w:tcPr>
          <w:p w14:paraId="63E010F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废弃边角料、废料</w:t>
            </w:r>
          </w:p>
        </w:tc>
      </w:tr>
    </w:tbl>
    <w:p w14:paraId="4DFB0AE5">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"file:///C:\\Users\\jobezho\\AppData\\Local\\Temp\\Rar$DIa13476.12779\\3.5.2.1" </w:instrText>
      </w:r>
      <w:r>
        <w:rPr>
          <w:color w:val="auto"/>
        </w:rPr>
        <w:fldChar w:fldCharType="separate"/>
      </w:r>
      <w:r>
        <w:rPr>
          <w:rFonts w:hint="eastAsia" w:ascii="Times New Roman" w:hAnsi="Times New Roman" w:eastAsia="宋体"/>
          <w:snapToGrid/>
          <w:color w:val="auto"/>
          <w:sz w:val="24"/>
          <w:lang w:eastAsia="zh-CN"/>
        </w:rPr>
        <w:t>3.4.2.1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废气</w:t>
      </w:r>
    </w:p>
    <w:p w14:paraId="32DDC41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本项目运营后产生的废气主要为卸车及物料堆存粉尘、废旧塑料颗粒加工生产过程造粒工序和滴灌带生产过程挤出成型工序中产生的有机废气及臭气浓度和食堂油烟。</w:t>
      </w:r>
    </w:p>
    <w:p w14:paraId="00B96CF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431" w:name="_Toc18286"/>
      <w:bookmarkStart w:id="432" w:name="_Toc29661"/>
      <w:bookmarkStart w:id="433" w:name="_Toc3170"/>
      <w:r>
        <w:rPr>
          <w:rFonts w:ascii="Times New Roman" w:hAnsi="Times New Roman"/>
          <w:snapToGrid/>
          <w:color w:val="auto"/>
          <w:sz w:val="24"/>
          <w:szCs w:val="24"/>
          <w:lang w:eastAsia="zh-CN"/>
        </w:rPr>
        <w:t>1、粉尘</w:t>
      </w:r>
      <w:bookmarkEnd w:id="431"/>
      <w:bookmarkEnd w:id="432"/>
      <w:bookmarkEnd w:id="433"/>
    </w:p>
    <w:p w14:paraId="248D9DD4">
      <w:pPr>
        <w:pStyle w:val="47"/>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color w:val="auto"/>
          <w:position w:val="0"/>
          <w:sz w:val="24"/>
        </w:rPr>
      </w:pPr>
      <w:r>
        <w:rPr>
          <w:rFonts w:ascii="Times New Roman" w:hAnsi="Times New Roman" w:eastAsia="宋体" w:cs="Times New Roman"/>
          <w:snapToGrid w:val="0"/>
          <w:color w:val="auto"/>
          <w:kern w:val="0"/>
          <w:position w:val="0"/>
          <w:sz w:val="24"/>
        </w:rPr>
        <w:t>①</w:t>
      </w:r>
      <w:r>
        <w:rPr>
          <w:rFonts w:ascii="Times New Roman" w:hAnsi="Times New Roman" w:eastAsia="宋体" w:cs="Times New Roman"/>
          <w:color w:val="auto"/>
          <w:position w:val="0"/>
          <w:sz w:val="24"/>
        </w:rPr>
        <w:t>装卸</w:t>
      </w:r>
      <w:r>
        <w:rPr>
          <w:rFonts w:hint="eastAsia" w:ascii="Times New Roman" w:hAnsi="Times New Roman" w:eastAsia="宋体" w:cs="Times New Roman"/>
          <w:color w:val="auto"/>
          <w:position w:val="0"/>
          <w:sz w:val="24"/>
        </w:rPr>
        <w:t>粉尘</w:t>
      </w:r>
    </w:p>
    <w:p w14:paraId="67EC9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rPr>
      </w:pPr>
      <w:r>
        <w:rPr>
          <w:rFonts w:ascii="Times New Roman" w:hAnsi="Times New Roman" w:eastAsia="宋体"/>
          <w:color w:val="auto"/>
          <w:position w:val="0"/>
          <w:sz w:val="24"/>
        </w:rPr>
        <w:t>本次环评采用《无组织排放源常用分析与估算方法》（西北铀矿地质，2005年10月）推荐的室外污染物无组织排放量</w:t>
      </w:r>
      <w:r>
        <w:rPr>
          <w:rFonts w:hint="eastAsia" w:ascii="Times New Roman" w:hAnsi="Times New Roman" w:eastAsia="宋体"/>
          <w:color w:val="auto"/>
          <w:position w:val="0"/>
          <w:sz w:val="24"/>
          <w:lang w:eastAsia="zh-CN"/>
        </w:rPr>
        <w:t>计算公式</w:t>
      </w:r>
      <w:r>
        <w:rPr>
          <w:rFonts w:ascii="Times New Roman" w:hAnsi="Times New Roman" w:eastAsia="宋体"/>
          <w:color w:val="auto"/>
          <w:position w:val="0"/>
          <w:sz w:val="24"/>
        </w:rPr>
        <w:t>进行计算：</w:t>
      </w:r>
    </w:p>
    <w:p w14:paraId="7A8C09C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lang w:val="de-DE"/>
        </w:rPr>
      </w:pPr>
      <w:r>
        <w:rPr>
          <w:rFonts w:ascii="Times New Roman" w:hAnsi="Times New Roman" w:eastAsia="宋体"/>
          <w:color w:val="auto"/>
          <w:position w:val="0"/>
          <w:sz w:val="24"/>
        </w:rPr>
        <w:object>
          <v:shape id="_x0000_i1025" o:spt="75" type="#_x0000_t75" style="height:18pt;width:186pt;" o:ole="t" filled="f" o:preferrelative="t" stroked="f" coordsize="21600,21600">
            <v:path/>
            <v:fill on="f" focussize="0,0"/>
            <v:stroke on="f" joinstyle="miter"/>
            <v:imagedata r:id="rId61" o:title=""/>
            <o:lock v:ext="edit" aspectratio="t"/>
            <w10:wrap type="none"/>
            <w10:anchorlock/>
          </v:shape>
          <o:OLEObject Type="Embed" ProgID="Equation.3" ShapeID="_x0000_i1025" DrawAspect="Content" ObjectID="_1468075725" r:id="rId60">
            <o:LockedField>false</o:LockedField>
          </o:OLEObject>
        </w:object>
      </w:r>
    </w:p>
    <w:p w14:paraId="695FEC1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rPr>
      </w:pPr>
      <w:r>
        <w:rPr>
          <w:rFonts w:ascii="Times New Roman" w:hAnsi="Times New Roman" w:eastAsia="宋体"/>
          <w:color w:val="auto"/>
          <w:position w:val="0"/>
          <w:sz w:val="24"/>
        </w:rPr>
        <w:t>计算参数：</w:t>
      </w:r>
      <w:r>
        <w:rPr>
          <w:rFonts w:ascii="Times New Roman" w:hAnsi="Times New Roman" w:eastAsia="宋体"/>
          <w:color w:val="auto"/>
          <w:position w:val="0"/>
          <w:sz w:val="24"/>
          <w:lang w:val="de-DE"/>
        </w:rPr>
        <w:t>Q</w:t>
      </w:r>
      <w:r>
        <w:rPr>
          <w:rFonts w:ascii="Times New Roman" w:hAnsi="Times New Roman" w:eastAsia="宋体"/>
          <w:color w:val="auto"/>
          <w:position w:val="0"/>
          <w:sz w:val="24"/>
          <w:vertAlign w:val="subscript"/>
          <w:lang w:val="de-DE"/>
        </w:rPr>
        <w:t>2</w:t>
      </w:r>
      <w:r>
        <w:rPr>
          <w:rFonts w:ascii="Times New Roman" w:hAnsi="Times New Roman" w:eastAsia="宋体"/>
          <w:color w:val="auto"/>
          <w:position w:val="0"/>
          <w:sz w:val="24"/>
        </w:rPr>
        <w:t>——装卸扬尘量，（g/次）；</w:t>
      </w:r>
    </w:p>
    <w:p w14:paraId="1FF1DF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rPr>
      </w:pPr>
      <w:r>
        <w:rPr>
          <w:rFonts w:ascii="Times New Roman" w:hAnsi="Times New Roman" w:eastAsia="宋体"/>
          <w:color w:val="auto"/>
          <w:position w:val="0"/>
          <w:sz w:val="24"/>
        </w:rPr>
        <w:t>M——车辆吨位，（20t）；</w:t>
      </w:r>
    </w:p>
    <w:p w14:paraId="1D1F43E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rPr>
      </w:pPr>
      <w:r>
        <w:rPr>
          <w:rFonts w:ascii="Times New Roman" w:hAnsi="Times New Roman" w:eastAsia="宋体"/>
          <w:color w:val="auto"/>
          <w:position w:val="0"/>
          <w:sz w:val="24"/>
        </w:rPr>
        <w:t>U——风速，（</w:t>
      </w:r>
      <w:r>
        <w:rPr>
          <w:rFonts w:hint="eastAsia" w:ascii="Times New Roman" w:hAnsi="Times New Roman" w:eastAsia="宋体"/>
          <w:color w:val="auto"/>
          <w:position w:val="0"/>
          <w:sz w:val="24"/>
        </w:rPr>
        <w:t>4.8</w:t>
      </w:r>
      <w:r>
        <w:rPr>
          <w:rFonts w:ascii="Times New Roman" w:hAnsi="Times New Roman" w:eastAsia="宋体"/>
          <w:color w:val="auto"/>
          <w:position w:val="0"/>
          <w:sz w:val="24"/>
        </w:rPr>
        <w:t>m/s）；</w:t>
      </w:r>
    </w:p>
    <w:p w14:paraId="537C83A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position w:val="0"/>
          <w:sz w:val="24"/>
        </w:rPr>
      </w:pPr>
      <w:r>
        <w:rPr>
          <w:rFonts w:ascii="Times New Roman" w:hAnsi="Times New Roman" w:eastAsia="宋体"/>
          <w:color w:val="auto"/>
          <w:position w:val="0"/>
          <w:sz w:val="24"/>
        </w:rPr>
        <w:t>H——装卸高度，（1.5m）。</w:t>
      </w:r>
    </w:p>
    <w:p w14:paraId="6AD47BBB">
      <w:pPr>
        <w:pStyle w:val="47"/>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napToGrid w:val="0"/>
          <w:color w:val="auto"/>
          <w:kern w:val="0"/>
          <w:position w:val="0"/>
          <w:sz w:val="24"/>
        </w:rPr>
      </w:pPr>
      <w:r>
        <w:rPr>
          <w:rFonts w:ascii="Times New Roman" w:hAnsi="Times New Roman" w:eastAsia="宋体" w:cs="Times New Roman"/>
          <w:snapToGrid w:val="0"/>
          <w:color w:val="auto"/>
          <w:kern w:val="0"/>
          <w:position w:val="0"/>
          <w:sz w:val="24"/>
        </w:rPr>
        <w:t>由上式计算可知：</w:t>
      </w:r>
      <w:r>
        <w:rPr>
          <w:rFonts w:hint="eastAsia" w:eastAsia="宋体" w:cs="Times New Roman"/>
          <w:snapToGrid w:val="0"/>
          <w:color w:val="auto"/>
          <w:kern w:val="0"/>
          <w:position w:val="0"/>
          <w:sz w:val="24"/>
          <w:lang w:val="en-US" w:eastAsia="zh-CN"/>
        </w:rPr>
        <w:t>本项目废旧滴灌带装卸重量为5517.2t/a，装卸次数为276次，</w:t>
      </w:r>
      <w:r>
        <w:rPr>
          <w:rFonts w:ascii="Times New Roman" w:hAnsi="Times New Roman" w:eastAsia="宋体" w:cs="Times New Roman"/>
          <w:snapToGrid w:val="0"/>
          <w:color w:val="auto"/>
          <w:kern w:val="0"/>
          <w:position w:val="0"/>
          <w:sz w:val="24"/>
        </w:rPr>
        <w:t>在不采取抑尘措施的情况下装卸过程中产尘量为</w:t>
      </w:r>
      <w:r>
        <w:rPr>
          <w:rFonts w:hint="eastAsia" w:eastAsia="宋体" w:cs="Times New Roman"/>
          <w:snapToGrid w:val="0"/>
          <w:color w:val="auto"/>
          <w:kern w:val="0"/>
          <w:position w:val="0"/>
          <w:sz w:val="24"/>
          <w:lang w:val="en-US" w:eastAsia="zh-CN"/>
        </w:rPr>
        <w:t>2.4</w:t>
      </w:r>
      <w:r>
        <w:rPr>
          <w:rFonts w:ascii="Times New Roman" w:hAnsi="Times New Roman" w:eastAsia="宋体" w:cs="Times New Roman"/>
          <w:snapToGrid w:val="0"/>
          <w:color w:val="auto"/>
          <w:kern w:val="0"/>
          <w:position w:val="0"/>
          <w:sz w:val="24"/>
        </w:rPr>
        <w:t>t/a，采取控制落差、洒水降尘等措施后可以减少扬尘80％，采取措施后扬尘量为</w:t>
      </w:r>
      <w:r>
        <w:rPr>
          <w:rFonts w:hint="eastAsia" w:eastAsia="宋体" w:cs="Times New Roman"/>
          <w:snapToGrid w:val="0"/>
          <w:color w:val="auto"/>
          <w:kern w:val="0"/>
          <w:position w:val="0"/>
          <w:sz w:val="24"/>
          <w:lang w:val="en-US" w:eastAsia="zh-CN"/>
        </w:rPr>
        <w:t>0.48</w:t>
      </w:r>
      <w:r>
        <w:rPr>
          <w:rFonts w:ascii="Times New Roman" w:hAnsi="Times New Roman" w:eastAsia="宋体" w:cs="Times New Roman"/>
          <w:snapToGrid w:val="0"/>
          <w:color w:val="auto"/>
          <w:kern w:val="0"/>
          <w:position w:val="0"/>
          <w:sz w:val="24"/>
        </w:rPr>
        <w:t>t/a，对外环境影响较小。</w:t>
      </w:r>
    </w:p>
    <w:p w14:paraId="749BA6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z w:val="24"/>
        </w:rPr>
      </w:pPr>
      <w:r>
        <w:rPr>
          <w:rFonts w:hint="eastAsia" w:ascii="Times New Roman" w:hAnsi="Times New Roman" w:eastAsia="宋体" w:cs="宋体"/>
          <w:color w:val="auto"/>
          <w:sz w:val="24"/>
        </w:rPr>
        <w:t>②</w:t>
      </w:r>
      <w:r>
        <w:rPr>
          <w:rFonts w:ascii="Times New Roman" w:hAnsi="Times New Roman" w:eastAsia="宋体" w:cs="宋体"/>
          <w:color w:val="auto"/>
          <w:sz w:val="24"/>
        </w:rPr>
        <w:t>堆</w:t>
      </w:r>
      <w:r>
        <w:rPr>
          <w:rFonts w:ascii="Times New Roman" w:hAnsi="Times New Roman" w:eastAsia="宋体"/>
          <w:color w:val="auto"/>
          <w:sz w:val="24"/>
        </w:rPr>
        <w:t>存</w:t>
      </w:r>
      <w:r>
        <w:rPr>
          <w:rFonts w:hint="eastAsia" w:ascii="Times New Roman" w:hAnsi="Times New Roman" w:eastAsia="宋体"/>
          <w:color w:val="auto"/>
          <w:sz w:val="24"/>
        </w:rPr>
        <w:t>及分拣粉尘</w:t>
      </w:r>
    </w:p>
    <w:p w14:paraId="1258EA4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z w:val="24"/>
        </w:rPr>
      </w:pPr>
      <w:r>
        <w:rPr>
          <w:rFonts w:ascii="Times New Roman" w:hAnsi="Times New Roman" w:eastAsia="宋体"/>
          <w:color w:val="auto"/>
          <w:sz w:val="24"/>
        </w:rPr>
        <w:t>本项目回收的废旧滴灌带</w:t>
      </w:r>
      <w:r>
        <w:rPr>
          <w:rFonts w:hint="eastAsia" w:ascii="Times New Roman" w:hAnsi="Times New Roman" w:eastAsia="宋体"/>
          <w:color w:val="auto"/>
          <w:sz w:val="24"/>
        </w:rPr>
        <w:t>在进入堆场前进行分拣，然后</w:t>
      </w:r>
      <w:r>
        <w:rPr>
          <w:rFonts w:ascii="Times New Roman" w:hAnsi="Times New Roman" w:eastAsia="宋体"/>
          <w:color w:val="auto"/>
          <w:sz w:val="24"/>
        </w:rPr>
        <w:t>暂存至堆场，废旧滴灌带</w:t>
      </w:r>
      <w:r>
        <w:rPr>
          <w:rFonts w:hint="eastAsia" w:ascii="Times New Roman" w:hAnsi="Times New Roman" w:eastAsia="宋体"/>
          <w:color w:val="auto"/>
          <w:sz w:val="24"/>
        </w:rPr>
        <w:t>、水带</w:t>
      </w:r>
      <w:r>
        <w:rPr>
          <w:rFonts w:ascii="Times New Roman" w:hAnsi="Times New Roman" w:eastAsia="宋体"/>
          <w:color w:val="auto"/>
          <w:sz w:val="24"/>
        </w:rPr>
        <w:t>表面会有少量浮尘及泥沙，</w:t>
      </w:r>
      <w:r>
        <w:rPr>
          <w:rFonts w:hint="eastAsia" w:ascii="Times New Roman" w:hAnsi="Times New Roman" w:eastAsia="宋体"/>
          <w:color w:val="auto"/>
          <w:sz w:val="24"/>
        </w:rPr>
        <w:t>在分拣及堆存期间</w:t>
      </w:r>
      <w:r>
        <w:rPr>
          <w:rFonts w:ascii="Times New Roman" w:hAnsi="Times New Roman" w:eastAsia="宋体"/>
          <w:color w:val="auto"/>
          <w:sz w:val="24"/>
        </w:rPr>
        <w:t>如遇有风天气会产生少量的扬尘。本次环评要求，建设单位对废旧滴灌带</w:t>
      </w:r>
      <w:r>
        <w:rPr>
          <w:rFonts w:hint="eastAsia" w:ascii="Times New Roman" w:hAnsi="Times New Roman" w:eastAsia="宋体"/>
          <w:color w:val="auto"/>
          <w:sz w:val="24"/>
        </w:rPr>
        <w:t>、水带</w:t>
      </w:r>
      <w:r>
        <w:rPr>
          <w:rFonts w:ascii="Times New Roman" w:hAnsi="Times New Roman" w:eastAsia="宋体"/>
          <w:color w:val="auto"/>
          <w:sz w:val="24"/>
        </w:rPr>
        <w:t>堆放区采用</w:t>
      </w:r>
      <w:r>
        <w:rPr>
          <w:rFonts w:hint="eastAsia" w:ascii="Times New Roman" w:hAnsi="Times New Roman" w:eastAsia="宋体"/>
          <w:color w:val="auto"/>
          <w:sz w:val="24"/>
        </w:rPr>
        <w:t>半</w:t>
      </w:r>
      <w:r>
        <w:rPr>
          <w:rFonts w:ascii="Times New Roman" w:hAnsi="Times New Roman" w:eastAsia="宋体"/>
          <w:color w:val="auto"/>
          <w:sz w:val="24"/>
        </w:rPr>
        <w:t>封闭措施，</w:t>
      </w:r>
      <w:r>
        <w:rPr>
          <w:rFonts w:hint="eastAsia" w:ascii="Times New Roman" w:hAnsi="Times New Roman" w:eastAsia="宋体"/>
          <w:color w:val="auto"/>
          <w:sz w:val="24"/>
        </w:rPr>
        <w:t>三面和顶部设置围挡，地面采取硬化处理，严禁敞开式作业，</w:t>
      </w:r>
      <w:r>
        <w:rPr>
          <w:rFonts w:ascii="Times New Roman" w:hAnsi="Times New Roman" w:eastAsia="宋体"/>
          <w:color w:val="auto"/>
          <w:sz w:val="24"/>
        </w:rPr>
        <w:t>保证周围环境整洁</w:t>
      </w:r>
      <w:r>
        <w:rPr>
          <w:rFonts w:hint="eastAsia" w:ascii="Times New Roman" w:hAnsi="Times New Roman" w:eastAsia="宋体"/>
          <w:color w:val="auto"/>
          <w:sz w:val="24"/>
        </w:rPr>
        <w:t>，并在堆存过程进行洒水降尘</w:t>
      </w:r>
      <w:r>
        <w:rPr>
          <w:rFonts w:ascii="Times New Roman" w:hAnsi="Times New Roman" w:eastAsia="宋体"/>
          <w:color w:val="auto"/>
          <w:sz w:val="24"/>
        </w:rPr>
        <w:t>。在采取上述措施后，可有效防止堆存颗粒物的污染，并有效抑制扬尘，产生极少量的无组织扬尘。</w:t>
      </w:r>
    </w:p>
    <w:p w14:paraId="7821114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宋体"/>
          <w:color w:val="auto"/>
          <w:sz w:val="24"/>
        </w:rPr>
      </w:pPr>
      <w:r>
        <w:rPr>
          <w:rFonts w:hint="eastAsia" w:ascii="Times New Roman" w:hAnsi="Times New Roman" w:eastAsia="宋体" w:cs="宋体"/>
          <w:color w:val="auto"/>
          <w:sz w:val="24"/>
        </w:rPr>
        <w:t>③破碎粉尘</w:t>
      </w:r>
    </w:p>
    <w:p w14:paraId="14E357D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eastAsia="宋体" w:cs="Times New Roman"/>
          <w:snapToGrid w:val="0"/>
          <w:color w:val="auto"/>
          <w:kern w:val="0"/>
          <w:sz w:val="24"/>
        </w:rPr>
        <w:t>本项目对回收的废旧滴灌带</w:t>
      </w:r>
      <w:r>
        <w:rPr>
          <w:rFonts w:hint="eastAsia" w:ascii="Times New Roman" w:hAnsi="Times New Roman" w:eastAsia="宋体" w:cs="Times New Roman"/>
          <w:snapToGrid w:val="0"/>
          <w:color w:val="auto"/>
          <w:kern w:val="0"/>
          <w:sz w:val="24"/>
        </w:rPr>
        <w:t>、水带</w:t>
      </w:r>
      <w:r>
        <w:rPr>
          <w:rFonts w:ascii="Times New Roman" w:hAnsi="Times New Roman" w:eastAsia="宋体" w:cs="Times New Roman"/>
          <w:snapToGrid w:val="0"/>
          <w:color w:val="auto"/>
          <w:kern w:val="0"/>
          <w:sz w:val="24"/>
        </w:rPr>
        <w:t>进行破碎，破碎后废塑料成</w:t>
      </w:r>
      <w:r>
        <w:rPr>
          <w:rFonts w:hint="eastAsia" w:ascii="Times New Roman" w:hAnsi="Times New Roman" w:eastAsia="宋体" w:cs="Times New Roman"/>
          <w:snapToGrid w:val="0"/>
          <w:color w:val="auto"/>
          <w:kern w:val="0"/>
          <w:sz w:val="24"/>
        </w:rPr>
        <w:t>≤10</w:t>
      </w:r>
      <w:r>
        <w:rPr>
          <w:rFonts w:ascii="Times New Roman" w:hAnsi="Times New Roman" w:eastAsia="宋体" w:cs="Times New Roman"/>
          <w:snapToGrid w:val="0"/>
          <w:color w:val="auto"/>
          <w:kern w:val="0"/>
          <w:sz w:val="24"/>
        </w:rPr>
        <w:t>cm的碎片，碎片本身粒径较大，</w:t>
      </w:r>
      <w:r>
        <w:rPr>
          <w:rFonts w:hint="eastAsia" w:ascii="Times New Roman" w:hAnsi="Times New Roman" w:eastAsia="宋体" w:cs="Times New Roman"/>
          <w:snapToGrid w:val="0"/>
          <w:color w:val="auto"/>
          <w:kern w:val="0"/>
          <w:sz w:val="24"/>
        </w:rPr>
        <w:t>因此破碎过程中废旧滴灌带、水带本身不会产生粉尘。但是由于废旧滴灌带携带一定量的泥沙、尘土等，本项目破碎工序采用湿法破碎，可有效减少破碎粉尘的产生。根据《全国污染源普查产排污量核算系数手册》（2019，二污普）“4220非金属废料和碎屑加工处理行业”中破碎环节的备注：“此处破碎指湿法破碎”“此处清洗指湿法破碎加清洗”，湿法破碎可视为基本无粉尘产生</w:t>
      </w:r>
      <w:r>
        <w:rPr>
          <w:rFonts w:ascii="Times New Roman" w:hAnsi="Times New Roman"/>
          <w:snapToGrid/>
          <w:color w:val="auto"/>
          <w:sz w:val="24"/>
          <w:szCs w:val="24"/>
          <w:lang w:eastAsia="zh-CN"/>
        </w:rPr>
        <w:t>。</w:t>
      </w:r>
    </w:p>
    <w:p w14:paraId="70AD64C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434" w:name="_Toc29329"/>
      <w:bookmarkStart w:id="435" w:name="_Toc11928"/>
      <w:bookmarkStart w:id="436" w:name="_Toc24125"/>
      <w:r>
        <w:rPr>
          <w:rFonts w:ascii="Times New Roman" w:hAnsi="Times New Roman"/>
          <w:snapToGrid/>
          <w:color w:val="auto"/>
          <w:sz w:val="24"/>
          <w:szCs w:val="24"/>
          <w:lang w:eastAsia="zh-CN"/>
        </w:rPr>
        <w:t>2、有机废气</w:t>
      </w:r>
      <w:bookmarkEnd w:id="434"/>
      <w:bookmarkEnd w:id="435"/>
      <w:bookmarkEnd w:id="436"/>
    </w:p>
    <w:p w14:paraId="47006E2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根据《污染源源强核算技术指南</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准则》（HJ884-2018）中污染源源强核算可采用实测法、物料衡算法、产污系数法、排污系数法、类比法、实验法等，本项目污染物核算采用产污系数法。</w:t>
      </w:r>
    </w:p>
    <w:p w14:paraId="768DAC3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437" w:name="_Toc1109"/>
      <w:bookmarkStart w:id="438" w:name="_Toc9489"/>
      <w:bookmarkStart w:id="439" w:name="_Toc6611"/>
      <w:r>
        <w:rPr>
          <w:rFonts w:ascii="Times New Roman" w:hAnsi="Times New Roman"/>
          <w:snapToGrid/>
          <w:color w:val="auto"/>
          <w:sz w:val="24"/>
          <w:szCs w:val="24"/>
          <w:lang w:eastAsia="zh-CN"/>
        </w:rPr>
        <w:t>①废旧滴灌带造粒生产线</w:t>
      </w:r>
      <w:bookmarkEnd w:id="437"/>
      <w:bookmarkEnd w:id="438"/>
      <w:bookmarkEnd w:id="439"/>
    </w:p>
    <w:p w14:paraId="3415D8E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滴灌带造粒生产线使用的原料废旧滴灌带主要为聚乙烯材料，采用电加热方式对料筒进行加热，热熔挤出工序不添加任何阻燃剂、增塑剂等添加剂，采用直接再生方式，挤出造粒、成型过程为单纯物理熔融变化过程，聚乙烯加热温度控制在170～200℃左右，聚乙烯裂解温度为≥380℃</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因加热温度控制在不发生裂解的温度条件下，故无裂解废气产生，但在实际操作过程中，因料筒局部过热等</w:t>
      </w:r>
      <w:r>
        <w:rPr>
          <w:rFonts w:hint="eastAsia" w:ascii="Times New Roman" w:hAnsi="Times New Roman"/>
          <w:snapToGrid/>
          <w:color w:val="auto"/>
          <w:sz w:val="24"/>
          <w:szCs w:val="24"/>
          <w:lang w:eastAsia="zh-CN"/>
        </w:rPr>
        <w:t>其他</w:t>
      </w:r>
      <w:r>
        <w:rPr>
          <w:rFonts w:ascii="Times New Roman" w:hAnsi="Times New Roman"/>
          <w:snapToGrid/>
          <w:color w:val="auto"/>
          <w:sz w:val="24"/>
          <w:szCs w:val="24"/>
          <w:lang w:eastAsia="zh-CN"/>
        </w:rPr>
        <w:t>原因，会有少量单体产生，主要为乙烯单体。因此热熔挤出过程中会产生一定量的废气，主要为有机废气VOCs，本次环评以非甲烷总烃计。</w:t>
      </w:r>
    </w:p>
    <w:p w14:paraId="45301FF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废塑料造粒工段根据《排放源统计调查产排污核算方法42废弃资源综合利用行业系数手册》中“4220非金属废料和碎屑加工处理行业系数表”中废PE挤出造粒产污系数。具体产污系数见表3.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w:t>
      </w:r>
    </w:p>
    <w:p w14:paraId="62472A15">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2</w:t>
      </w:r>
      <w:r>
        <w:rPr>
          <w:rFonts w:ascii="Times New Roman" w:hAnsi="Times New Roman"/>
          <w:b/>
          <w:bCs/>
          <w:snapToGrid/>
          <w:color w:val="auto"/>
          <w:sz w:val="24"/>
          <w:lang w:eastAsia="zh-CN"/>
        </w:rPr>
        <w:t>非金属废料和碎屑加工处理行业系数表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40"/>
        <w:gridCol w:w="1239"/>
        <w:gridCol w:w="1242"/>
        <w:gridCol w:w="1239"/>
        <w:gridCol w:w="1241"/>
        <w:gridCol w:w="1314"/>
        <w:gridCol w:w="1168"/>
      </w:tblGrid>
      <w:tr w14:paraId="57197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714" w:type="pct"/>
            <w:tcBorders>
              <w:tl2br w:val="nil"/>
              <w:tr2bl w:val="nil"/>
            </w:tcBorders>
            <w:vAlign w:val="center"/>
          </w:tcPr>
          <w:p w14:paraId="5F2662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原料名称</w:t>
            </w:r>
          </w:p>
        </w:tc>
        <w:tc>
          <w:tcPr>
            <w:tcW w:w="713" w:type="pct"/>
            <w:tcBorders>
              <w:tl2br w:val="nil"/>
              <w:tr2bl w:val="nil"/>
            </w:tcBorders>
            <w:vAlign w:val="center"/>
          </w:tcPr>
          <w:p w14:paraId="5E9571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产品名称</w:t>
            </w:r>
          </w:p>
        </w:tc>
        <w:tc>
          <w:tcPr>
            <w:tcW w:w="715" w:type="pct"/>
            <w:tcBorders>
              <w:tl2br w:val="nil"/>
              <w:tr2bl w:val="nil"/>
            </w:tcBorders>
            <w:vAlign w:val="center"/>
          </w:tcPr>
          <w:p w14:paraId="2634B8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工艺名称</w:t>
            </w:r>
          </w:p>
        </w:tc>
        <w:tc>
          <w:tcPr>
            <w:tcW w:w="713" w:type="pct"/>
            <w:tcBorders>
              <w:tl2br w:val="nil"/>
              <w:tr2bl w:val="nil"/>
            </w:tcBorders>
            <w:vAlign w:val="center"/>
          </w:tcPr>
          <w:p w14:paraId="4F8B7B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规模等级</w:t>
            </w:r>
          </w:p>
        </w:tc>
        <w:tc>
          <w:tcPr>
            <w:tcW w:w="714" w:type="pct"/>
            <w:tcBorders>
              <w:tl2br w:val="nil"/>
              <w:tr2bl w:val="nil"/>
            </w:tcBorders>
            <w:vAlign w:val="center"/>
          </w:tcPr>
          <w:p w14:paraId="3517854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污染物指标</w:t>
            </w:r>
          </w:p>
        </w:tc>
        <w:tc>
          <w:tcPr>
            <w:tcW w:w="756" w:type="pct"/>
            <w:tcBorders>
              <w:tl2br w:val="nil"/>
              <w:tr2bl w:val="nil"/>
            </w:tcBorders>
            <w:vAlign w:val="center"/>
          </w:tcPr>
          <w:p w14:paraId="62612A1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单位</w:t>
            </w:r>
          </w:p>
        </w:tc>
        <w:tc>
          <w:tcPr>
            <w:tcW w:w="672" w:type="pct"/>
            <w:tcBorders>
              <w:tl2br w:val="nil"/>
              <w:tr2bl w:val="nil"/>
            </w:tcBorders>
            <w:vAlign w:val="center"/>
          </w:tcPr>
          <w:p w14:paraId="4499B09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产排系数</w:t>
            </w:r>
          </w:p>
        </w:tc>
      </w:tr>
      <w:tr w14:paraId="057260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714" w:type="pct"/>
            <w:vMerge w:val="restart"/>
            <w:tcBorders>
              <w:tl2br w:val="nil"/>
              <w:tr2bl w:val="nil"/>
            </w:tcBorders>
            <w:vAlign w:val="center"/>
          </w:tcPr>
          <w:p w14:paraId="06005C5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废</w:t>
            </w:r>
            <w:r>
              <w:rPr>
                <w:rFonts w:eastAsia="宋体"/>
                <w:snapToGrid/>
                <w:color w:val="auto"/>
              </w:rPr>
              <w:t>PE/PP</w:t>
            </w:r>
          </w:p>
        </w:tc>
        <w:tc>
          <w:tcPr>
            <w:tcW w:w="713" w:type="pct"/>
            <w:vMerge w:val="restart"/>
            <w:tcBorders>
              <w:tl2br w:val="nil"/>
              <w:tr2bl w:val="nil"/>
            </w:tcBorders>
            <w:vAlign w:val="center"/>
          </w:tcPr>
          <w:p w14:paraId="56E364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再生塑料粒子</w:t>
            </w:r>
          </w:p>
        </w:tc>
        <w:tc>
          <w:tcPr>
            <w:tcW w:w="715" w:type="pct"/>
            <w:vMerge w:val="restart"/>
            <w:tcBorders>
              <w:tl2br w:val="nil"/>
              <w:tr2bl w:val="nil"/>
            </w:tcBorders>
            <w:vAlign w:val="center"/>
          </w:tcPr>
          <w:p w14:paraId="6C9355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基础造粒</w:t>
            </w:r>
          </w:p>
        </w:tc>
        <w:tc>
          <w:tcPr>
            <w:tcW w:w="713" w:type="pct"/>
            <w:vMerge w:val="restart"/>
            <w:tcBorders>
              <w:tl2br w:val="nil"/>
              <w:tr2bl w:val="nil"/>
            </w:tcBorders>
            <w:vAlign w:val="center"/>
          </w:tcPr>
          <w:p w14:paraId="6B4D52A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所有规模</w:t>
            </w:r>
          </w:p>
        </w:tc>
        <w:tc>
          <w:tcPr>
            <w:tcW w:w="714" w:type="pct"/>
            <w:tcBorders>
              <w:tl2br w:val="nil"/>
              <w:tr2bl w:val="nil"/>
            </w:tcBorders>
            <w:vAlign w:val="center"/>
          </w:tcPr>
          <w:p w14:paraId="1068E1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工业废气量</w:t>
            </w:r>
          </w:p>
        </w:tc>
        <w:tc>
          <w:tcPr>
            <w:tcW w:w="756" w:type="pct"/>
            <w:tcBorders>
              <w:tl2br w:val="nil"/>
              <w:tr2bl w:val="nil"/>
            </w:tcBorders>
            <w:vAlign w:val="center"/>
          </w:tcPr>
          <w:p w14:paraId="22B12F4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标立方米/吨</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rPr>
              <w:t>原料</w:t>
            </w:r>
          </w:p>
        </w:tc>
        <w:tc>
          <w:tcPr>
            <w:tcW w:w="672" w:type="pct"/>
            <w:tcBorders>
              <w:tl2br w:val="nil"/>
              <w:tr2bl w:val="nil"/>
            </w:tcBorders>
            <w:vAlign w:val="center"/>
          </w:tcPr>
          <w:p w14:paraId="026F5DE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4000</w:t>
            </w:r>
          </w:p>
        </w:tc>
      </w:tr>
      <w:tr w14:paraId="4713D0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714" w:type="pct"/>
            <w:vMerge w:val="continue"/>
            <w:tcBorders>
              <w:tl2br w:val="nil"/>
              <w:tr2bl w:val="nil"/>
            </w:tcBorders>
            <w:vAlign w:val="center"/>
          </w:tcPr>
          <w:p w14:paraId="0FDCAE1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3" w:type="pct"/>
            <w:vMerge w:val="continue"/>
            <w:tcBorders>
              <w:tl2br w:val="nil"/>
              <w:tr2bl w:val="nil"/>
            </w:tcBorders>
            <w:vAlign w:val="center"/>
          </w:tcPr>
          <w:p w14:paraId="200F9C7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5" w:type="pct"/>
            <w:vMerge w:val="continue"/>
            <w:tcBorders>
              <w:tl2br w:val="nil"/>
              <w:tr2bl w:val="nil"/>
            </w:tcBorders>
            <w:vAlign w:val="center"/>
          </w:tcPr>
          <w:p w14:paraId="11F3207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3" w:type="pct"/>
            <w:vMerge w:val="continue"/>
            <w:tcBorders>
              <w:tl2br w:val="nil"/>
              <w:tr2bl w:val="nil"/>
            </w:tcBorders>
            <w:vAlign w:val="center"/>
          </w:tcPr>
          <w:p w14:paraId="37316E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14" w:type="pct"/>
            <w:tcBorders>
              <w:tl2br w:val="nil"/>
              <w:tr2bl w:val="nil"/>
            </w:tcBorders>
            <w:vAlign w:val="center"/>
          </w:tcPr>
          <w:p w14:paraId="7E6910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挥发性有机物</w:t>
            </w:r>
          </w:p>
        </w:tc>
        <w:tc>
          <w:tcPr>
            <w:tcW w:w="756" w:type="pct"/>
            <w:tcBorders>
              <w:tl2br w:val="nil"/>
              <w:tr2bl w:val="nil"/>
            </w:tcBorders>
            <w:vAlign w:val="center"/>
          </w:tcPr>
          <w:p w14:paraId="1FBC711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克/吨-原料</w:t>
            </w:r>
          </w:p>
        </w:tc>
        <w:tc>
          <w:tcPr>
            <w:tcW w:w="672" w:type="pct"/>
            <w:tcBorders>
              <w:tl2br w:val="nil"/>
              <w:tr2bl w:val="nil"/>
            </w:tcBorders>
            <w:vAlign w:val="center"/>
          </w:tcPr>
          <w:p w14:paraId="1B4BD41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350</w:t>
            </w:r>
          </w:p>
        </w:tc>
      </w:tr>
    </w:tbl>
    <w:p w14:paraId="5E3BDBD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滴灌带挤出成型工序根据《排放源统计调查产排污核算方法292塑料制品业系数手册》中“2922塑料板、管、型材制造行业系数表”中“配料、混合、挤出”产污系数。具体产污系数见表3.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3</w:t>
      </w:r>
      <w:r>
        <w:rPr>
          <w:rFonts w:ascii="Times New Roman" w:hAnsi="Times New Roman"/>
          <w:snapToGrid/>
          <w:color w:val="auto"/>
          <w:sz w:val="24"/>
          <w:szCs w:val="24"/>
          <w:lang w:eastAsia="zh-CN"/>
        </w:rPr>
        <w:t>。</w:t>
      </w:r>
    </w:p>
    <w:p w14:paraId="396CD61D">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3</w:t>
      </w:r>
      <w:r>
        <w:rPr>
          <w:rFonts w:ascii="Times New Roman" w:hAnsi="Times New Roman"/>
          <w:b/>
          <w:bCs/>
          <w:snapToGrid/>
          <w:color w:val="auto"/>
          <w:sz w:val="24"/>
          <w:lang w:eastAsia="zh-CN"/>
        </w:rPr>
        <w:t>塑料板、管、型材制造行业系数表</w:t>
      </w:r>
    </w:p>
    <w:tbl>
      <w:tblPr>
        <w:tblStyle w:val="36"/>
        <w:tblW w:w="8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4"/>
        <w:gridCol w:w="1233"/>
        <w:gridCol w:w="1236"/>
        <w:gridCol w:w="1233"/>
        <w:gridCol w:w="1234"/>
        <w:gridCol w:w="1308"/>
        <w:gridCol w:w="1161"/>
      </w:tblGrid>
      <w:tr w14:paraId="2F993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34" w:type="dxa"/>
            <w:tcBorders>
              <w:tl2br w:val="nil"/>
              <w:tr2bl w:val="nil"/>
            </w:tcBorders>
            <w:vAlign w:val="center"/>
          </w:tcPr>
          <w:p w14:paraId="1F5EF3A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原料名称</w:t>
            </w:r>
          </w:p>
        </w:tc>
        <w:tc>
          <w:tcPr>
            <w:tcW w:w="1233" w:type="dxa"/>
            <w:tcBorders>
              <w:tl2br w:val="nil"/>
              <w:tr2bl w:val="nil"/>
            </w:tcBorders>
            <w:vAlign w:val="center"/>
          </w:tcPr>
          <w:p w14:paraId="18B6DED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产品名称</w:t>
            </w:r>
          </w:p>
        </w:tc>
        <w:tc>
          <w:tcPr>
            <w:tcW w:w="1236" w:type="dxa"/>
            <w:tcBorders>
              <w:tl2br w:val="nil"/>
              <w:tr2bl w:val="nil"/>
            </w:tcBorders>
            <w:vAlign w:val="center"/>
          </w:tcPr>
          <w:p w14:paraId="3A905B7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工艺名称</w:t>
            </w:r>
          </w:p>
        </w:tc>
        <w:tc>
          <w:tcPr>
            <w:tcW w:w="1233" w:type="dxa"/>
            <w:tcBorders>
              <w:tl2br w:val="nil"/>
              <w:tr2bl w:val="nil"/>
            </w:tcBorders>
            <w:vAlign w:val="center"/>
          </w:tcPr>
          <w:p w14:paraId="4F10B6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规模等级</w:t>
            </w:r>
          </w:p>
        </w:tc>
        <w:tc>
          <w:tcPr>
            <w:tcW w:w="1234" w:type="dxa"/>
            <w:tcBorders>
              <w:tl2br w:val="nil"/>
              <w:tr2bl w:val="nil"/>
            </w:tcBorders>
            <w:vAlign w:val="center"/>
          </w:tcPr>
          <w:p w14:paraId="4F3231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污染物指标</w:t>
            </w:r>
          </w:p>
        </w:tc>
        <w:tc>
          <w:tcPr>
            <w:tcW w:w="1308" w:type="dxa"/>
            <w:tcBorders>
              <w:tl2br w:val="nil"/>
              <w:tr2bl w:val="nil"/>
            </w:tcBorders>
            <w:vAlign w:val="center"/>
          </w:tcPr>
          <w:p w14:paraId="539A7DC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单位</w:t>
            </w:r>
          </w:p>
        </w:tc>
        <w:tc>
          <w:tcPr>
            <w:tcW w:w="1161" w:type="dxa"/>
            <w:tcBorders>
              <w:tl2br w:val="nil"/>
              <w:tr2bl w:val="nil"/>
            </w:tcBorders>
            <w:vAlign w:val="center"/>
          </w:tcPr>
          <w:p w14:paraId="68D7886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产排系数</w:t>
            </w:r>
          </w:p>
        </w:tc>
      </w:tr>
      <w:tr w14:paraId="5FFB3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234" w:type="dxa"/>
            <w:vMerge w:val="restart"/>
            <w:tcBorders>
              <w:tl2br w:val="nil"/>
              <w:tr2bl w:val="nil"/>
            </w:tcBorders>
            <w:vAlign w:val="center"/>
          </w:tcPr>
          <w:p w14:paraId="24E86FE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塑料、板、管、型材</w:t>
            </w:r>
          </w:p>
        </w:tc>
        <w:tc>
          <w:tcPr>
            <w:tcW w:w="1233" w:type="dxa"/>
            <w:vMerge w:val="restart"/>
            <w:tcBorders>
              <w:tl2br w:val="nil"/>
              <w:tr2bl w:val="nil"/>
            </w:tcBorders>
            <w:vAlign w:val="center"/>
          </w:tcPr>
          <w:p w14:paraId="0419D8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树脂、助剂</w:t>
            </w:r>
          </w:p>
        </w:tc>
        <w:tc>
          <w:tcPr>
            <w:tcW w:w="1236" w:type="dxa"/>
            <w:vMerge w:val="restart"/>
            <w:tcBorders>
              <w:tl2br w:val="nil"/>
              <w:tr2bl w:val="nil"/>
            </w:tcBorders>
            <w:vAlign w:val="center"/>
          </w:tcPr>
          <w:p w14:paraId="6E924E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配料、混合、挤出</w:t>
            </w:r>
          </w:p>
        </w:tc>
        <w:tc>
          <w:tcPr>
            <w:tcW w:w="1233" w:type="dxa"/>
            <w:vMerge w:val="restart"/>
            <w:tcBorders>
              <w:tl2br w:val="nil"/>
              <w:tr2bl w:val="nil"/>
            </w:tcBorders>
            <w:vAlign w:val="center"/>
          </w:tcPr>
          <w:p w14:paraId="7DD9AB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所有规模</w:t>
            </w:r>
          </w:p>
        </w:tc>
        <w:tc>
          <w:tcPr>
            <w:tcW w:w="1234" w:type="dxa"/>
            <w:tcBorders>
              <w:tl2br w:val="nil"/>
              <w:tr2bl w:val="nil"/>
            </w:tcBorders>
            <w:vAlign w:val="center"/>
          </w:tcPr>
          <w:p w14:paraId="2289167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工业废气量</w:t>
            </w:r>
          </w:p>
        </w:tc>
        <w:tc>
          <w:tcPr>
            <w:tcW w:w="1308" w:type="dxa"/>
            <w:tcBorders>
              <w:tl2br w:val="nil"/>
              <w:tr2bl w:val="nil"/>
            </w:tcBorders>
            <w:vAlign w:val="center"/>
          </w:tcPr>
          <w:p w14:paraId="0030D9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标立方米/吨</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rPr>
              <w:t>产品</w:t>
            </w:r>
          </w:p>
        </w:tc>
        <w:tc>
          <w:tcPr>
            <w:tcW w:w="1161" w:type="dxa"/>
            <w:tcBorders>
              <w:tl2br w:val="nil"/>
              <w:tr2bl w:val="nil"/>
            </w:tcBorders>
            <w:vAlign w:val="center"/>
          </w:tcPr>
          <w:p w14:paraId="6D1BD65A">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snapToGrid/>
                <w:color w:val="auto"/>
              </w:rPr>
              <w:t>7.00×10</w:t>
            </w:r>
            <w:r>
              <w:rPr>
                <w:rFonts w:eastAsia="宋体"/>
                <w:snapToGrid/>
                <w:color w:val="auto"/>
                <w:szCs w:val="13"/>
                <w:vertAlign w:val="superscript"/>
              </w:rPr>
              <w:t>4</w:t>
            </w:r>
          </w:p>
        </w:tc>
      </w:tr>
      <w:tr w14:paraId="41B1A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234" w:type="dxa"/>
            <w:vMerge w:val="continue"/>
            <w:tcBorders>
              <w:tl2br w:val="nil"/>
              <w:tr2bl w:val="nil"/>
            </w:tcBorders>
            <w:vAlign w:val="center"/>
          </w:tcPr>
          <w:p w14:paraId="4420A8E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33" w:type="dxa"/>
            <w:vMerge w:val="continue"/>
            <w:tcBorders>
              <w:tl2br w:val="nil"/>
              <w:tr2bl w:val="nil"/>
            </w:tcBorders>
            <w:vAlign w:val="center"/>
          </w:tcPr>
          <w:p w14:paraId="33FCDB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36" w:type="dxa"/>
            <w:vMerge w:val="continue"/>
            <w:tcBorders>
              <w:tl2br w:val="nil"/>
              <w:tr2bl w:val="nil"/>
            </w:tcBorders>
            <w:vAlign w:val="center"/>
          </w:tcPr>
          <w:p w14:paraId="068AC83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33" w:type="dxa"/>
            <w:vMerge w:val="continue"/>
            <w:tcBorders>
              <w:tl2br w:val="nil"/>
              <w:tr2bl w:val="nil"/>
            </w:tcBorders>
            <w:vAlign w:val="center"/>
          </w:tcPr>
          <w:p w14:paraId="152F71D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34" w:type="dxa"/>
            <w:tcBorders>
              <w:tl2br w:val="nil"/>
              <w:tr2bl w:val="nil"/>
            </w:tcBorders>
            <w:vAlign w:val="center"/>
          </w:tcPr>
          <w:p w14:paraId="582E539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挥发性有机物</w:t>
            </w:r>
          </w:p>
        </w:tc>
        <w:tc>
          <w:tcPr>
            <w:tcW w:w="1308" w:type="dxa"/>
            <w:tcBorders>
              <w:tl2br w:val="nil"/>
              <w:tr2bl w:val="nil"/>
            </w:tcBorders>
            <w:vAlign w:val="center"/>
          </w:tcPr>
          <w:p w14:paraId="04499A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千克/吨</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rPr>
              <w:t>产品</w:t>
            </w:r>
          </w:p>
        </w:tc>
        <w:tc>
          <w:tcPr>
            <w:tcW w:w="1161" w:type="dxa"/>
            <w:tcBorders>
              <w:tl2br w:val="nil"/>
              <w:tr2bl w:val="nil"/>
            </w:tcBorders>
            <w:vAlign w:val="center"/>
          </w:tcPr>
          <w:p w14:paraId="16BBE7A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r>
    </w:tbl>
    <w:p w14:paraId="5654B0D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本项目造粒工段处理废旧滴灌带</w:t>
      </w:r>
      <w:r>
        <w:rPr>
          <w:rFonts w:hint="eastAsia" w:ascii="Times New Roman" w:hAnsi="Times New Roman"/>
          <w:snapToGrid/>
          <w:color w:val="auto"/>
          <w:sz w:val="24"/>
          <w:szCs w:val="24"/>
          <w:lang w:val="en-US" w:eastAsia="zh-CN"/>
        </w:rPr>
        <w:t>5000</w:t>
      </w:r>
      <w:r>
        <w:rPr>
          <w:rFonts w:ascii="Times New Roman" w:hAnsi="Times New Roman"/>
          <w:snapToGrid/>
          <w:color w:val="auto"/>
          <w:sz w:val="24"/>
          <w:szCs w:val="24"/>
          <w:lang w:eastAsia="zh-CN"/>
        </w:rPr>
        <w:t>t/a。</w:t>
      </w:r>
    </w:p>
    <w:p w14:paraId="0A1002F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滴灌带生产工段产品数量</w:t>
      </w:r>
      <w:r>
        <w:rPr>
          <w:rFonts w:hint="eastAsia" w:ascii="Times New Roman" w:hAnsi="Times New Roman"/>
          <w:snapToGrid/>
          <w:color w:val="auto"/>
          <w:sz w:val="24"/>
          <w:szCs w:val="24"/>
          <w:lang w:eastAsia="zh-CN"/>
        </w:rPr>
        <w:t>35</w:t>
      </w:r>
      <w:r>
        <w:rPr>
          <w:rFonts w:hint="eastAsia" w:ascii="Times New Roman" w:hAnsi="Times New Roman"/>
          <w:snapToGrid/>
          <w:color w:val="auto"/>
          <w:sz w:val="24"/>
          <w:szCs w:val="24"/>
          <w:lang w:val="en-US" w:eastAsia="zh-CN"/>
        </w:rPr>
        <w:t>0</w:t>
      </w:r>
      <w:r>
        <w:rPr>
          <w:rFonts w:hint="eastAsia" w:ascii="Times New Roman" w:hAnsi="Times New Roman"/>
          <w:snapToGrid/>
          <w:color w:val="auto"/>
          <w:sz w:val="24"/>
          <w:szCs w:val="24"/>
          <w:lang w:eastAsia="zh-CN"/>
        </w:rPr>
        <w:t>0t</w:t>
      </w:r>
      <w:r>
        <w:rPr>
          <w:rFonts w:ascii="Times New Roman" w:hAnsi="Times New Roman"/>
          <w:snapToGrid/>
          <w:color w:val="auto"/>
          <w:sz w:val="24"/>
          <w:szCs w:val="24"/>
          <w:lang w:eastAsia="zh-CN"/>
        </w:rPr>
        <w:t>/a。本项目造粒工序和挤出成型工序中非甲烷总烃产生量见表3.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w:t>
      </w:r>
    </w:p>
    <w:p w14:paraId="234E8AAF">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本项目各生产车间非甲烷总烃产生量</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2"/>
        <w:gridCol w:w="2184"/>
        <w:gridCol w:w="1418"/>
        <w:gridCol w:w="1937"/>
        <w:gridCol w:w="2312"/>
      </w:tblGrid>
      <w:tr w14:paraId="2AE6E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79" w:type="pct"/>
            <w:tcBorders>
              <w:tl2br w:val="nil"/>
              <w:tr2bl w:val="nil"/>
            </w:tcBorders>
            <w:vAlign w:val="center"/>
          </w:tcPr>
          <w:p w14:paraId="172B23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257" w:type="pct"/>
            <w:tcBorders>
              <w:tl2br w:val="nil"/>
              <w:tr2bl w:val="nil"/>
            </w:tcBorders>
            <w:vAlign w:val="center"/>
          </w:tcPr>
          <w:p w14:paraId="6D0F33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工序</w:t>
            </w:r>
          </w:p>
        </w:tc>
        <w:tc>
          <w:tcPr>
            <w:tcW w:w="816" w:type="pct"/>
            <w:tcBorders>
              <w:tl2br w:val="nil"/>
              <w:tr2bl w:val="nil"/>
            </w:tcBorders>
            <w:vAlign w:val="center"/>
          </w:tcPr>
          <w:p w14:paraId="7B305E9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数量（</w:t>
            </w:r>
            <w:r>
              <w:rPr>
                <w:rFonts w:eastAsia="宋体"/>
                <w:b/>
                <w:bCs/>
                <w:snapToGrid/>
                <w:color w:val="auto"/>
              </w:rPr>
              <w:t>t/a</w:t>
            </w:r>
            <w:r>
              <w:rPr>
                <w:rFonts w:eastAsia="宋体" w:cs="宋体"/>
                <w:b/>
                <w:bCs/>
                <w:snapToGrid/>
                <w:color w:val="auto"/>
              </w:rPr>
              <w:t>）</w:t>
            </w:r>
          </w:p>
        </w:tc>
        <w:tc>
          <w:tcPr>
            <w:tcW w:w="1115" w:type="pct"/>
            <w:tcBorders>
              <w:tl2br w:val="nil"/>
              <w:tr2bl w:val="nil"/>
            </w:tcBorders>
            <w:vAlign w:val="center"/>
          </w:tcPr>
          <w:p w14:paraId="09A917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b/>
                <w:bCs/>
                <w:snapToGrid/>
                <w:color w:val="auto"/>
                <w:lang w:eastAsia="zh-CN"/>
              </w:rPr>
              <w:t>非甲烷总烃产生量</w:t>
            </w:r>
          </w:p>
          <w:p w14:paraId="36F48B56">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b/>
                <w:bCs/>
                <w:snapToGrid/>
                <w:color w:val="auto"/>
                <w:lang w:eastAsia="zh-CN"/>
              </w:rPr>
              <w:t>(</w:t>
            </w:r>
            <w:r>
              <w:rPr>
                <w:rFonts w:eastAsia="宋体"/>
                <w:b/>
                <w:bCs/>
                <w:snapToGrid/>
                <w:color w:val="auto"/>
                <w:lang w:eastAsia="zh-CN"/>
              </w:rPr>
              <w:t>t/a</w:t>
            </w:r>
            <w:r>
              <w:rPr>
                <w:rFonts w:hint="eastAsia" w:eastAsia="宋体"/>
                <w:b/>
                <w:bCs/>
                <w:snapToGrid/>
                <w:color w:val="auto"/>
                <w:lang w:eastAsia="zh-CN"/>
              </w:rPr>
              <w:t>)</w:t>
            </w:r>
          </w:p>
        </w:tc>
        <w:tc>
          <w:tcPr>
            <w:tcW w:w="1331" w:type="pct"/>
            <w:tcBorders>
              <w:tl2br w:val="nil"/>
              <w:tr2bl w:val="nil"/>
            </w:tcBorders>
            <w:vAlign w:val="center"/>
          </w:tcPr>
          <w:p w14:paraId="5E923ACE">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废气量（</w:t>
            </w:r>
            <w:r>
              <w:rPr>
                <w:rFonts w:eastAsia="宋体"/>
                <w:b/>
                <w:bCs/>
                <w:snapToGrid/>
                <w:color w:val="auto"/>
              </w:rPr>
              <w:t>m</w:t>
            </w:r>
            <w:r>
              <w:rPr>
                <w:rFonts w:eastAsia="宋体"/>
                <w:snapToGrid/>
                <w:color w:val="auto"/>
                <w:szCs w:val="16"/>
                <w:vertAlign w:val="superscript"/>
              </w:rPr>
              <w:t>3</w:t>
            </w:r>
            <w:r>
              <w:rPr>
                <w:rFonts w:eastAsia="宋体" w:cs="宋体"/>
                <w:b/>
                <w:bCs/>
                <w:snapToGrid/>
                <w:color w:val="auto"/>
              </w:rPr>
              <w:t>）</w:t>
            </w:r>
          </w:p>
        </w:tc>
      </w:tr>
      <w:tr w14:paraId="2B3B6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479" w:type="pct"/>
            <w:tcBorders>
              <w:tl2br w:val="nil"/>
              <w:tr2bl w:val="nil"/>
            </w:tcBorders>
            <w:vAlign w:val="center"/>
          </w:tcPr>
          <w:p w14:paraId="76FF323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257" w:type="pct"/>
            <w:tcBorders>
              <w:tl2br w:val="nil"/>
              <w:tr2bl w:val="nil"/>
            </w:tcBorders>
            <w:vAlign w:val="center"/>
          </w:tcPr>
          <w:p w14:paraId="37367C9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废塑料加工造粒工序</w:t>
            </w:r>
          </w:p>
        </w:tc>
        <w:tc>
          <w:tcPr>
            <w:tcW w:w="816" w:type="pct"/>
            <w:tcBorders>
              <w:tl2br w:val="nil"/>
              <w:tr2bl w:val="nil"/>
            </w:tcBorders>
            <w:vAlign w:val="center"/>
          </w:tcPr>
          <w:p w14:paraId="405581A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5000</w:t>
            </w:r>
          </w:p>
        </w:tc>
        <w:tc>
          <w:tcPr>
            <w:tcW w:w="1115" w:type="pct"/>
            <w:tcBorders>
              <w:tl2br w:val="nil"/>
              <w:tr2bl w:val="nil"/>
            </w:tcBorders>
            <w:vAlign w:val="center"/>
          </w:tcPr>
          <w:p w14:paraId="2B5B6EE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1.75</w:t>
            </w:r>
          </w:p>
        </w:tc>
        <w:tc>
          <w:tcPr>
            <w:tcW w:w="1331" w:type="pct"/>
            <w:tcBorders>
              <w:tl2br w:val="nil"/>
              <w:tr2bl w:val="nil"/>
            </w:tcBorders>
            <w:vAlign w:val="center"/>
          </w:tcPr>
          <w:p w14:paraId="6DBA9D8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2000</w:t>
            </w:r>
            <w:r>
              <w:rPr>
                <w:rFonts w:eastAsia="宋体" w:cs="宋体"/>
                <w:snapToGrid/>
                <w:color w:val="auto"/>
              </w:rPr>
              <w:t>万</w:t>
            </w:r>
          </w:p>
        </w:tc>
      </w:tr>
      <w:tr w14:paraId="662B0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479" w:type="pct"/>
            <w:tcBorders>
              <w:tl2br w:val="nil"/>
              <w:tr2bl w:val="nil"/>
            </w:tcBorders>
            <w:vAlign w:val="center"/>
          </w:tcPr>
          <w:p w14:paraId="2176DA7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1257" w:type="pct"/>
            <w:tcBorders>
              <w:tl2br w:val="nil"/>
              <w:tr2bl w:val="nil"/>
            </w:tcBorders>
            <w:vAlign w:val="center"/>
          </w:tcPr>
          <w:p w14:paraId="67A6D1C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滴灌带生产挤出成型工序</w:t>
            </w:r>
          </w:p>
        </w:tc>
        <w:tc>
          <w:tcPr>
            <w:tcW w:w="816" w:type="pct"/>
            <w:tcBorders>
              <w:tl2br w:val="nil"/>
              <w:tr2bl w:val="nil"/>
            </w:tcBorders>
            <w:vAlign w:val="center"/>
          </w:tcPr>
          <w:p w14:paraId="05C9B58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eastAsia="zh-CN"/>
              </w:rPr>
              <w:t>350</w:t>
            </w:r>
            <w:r>
              <w:rPr>
                <w:rFonts w:hint="eastAsia" w:eastAsia="宋体"/>
                <w:snapToGrid/>
                <w:color w:val="auto"/>
                <w:lang w:val="en-US" w:eastAsia="zh-CN"/>
              </w:rPr>
              <w:t>0</w:t>
            </w:r>
          </w:p>
        </w:tc>
        <w:tc>
          <w:tcPr>
            <w:tcW w:w="1115" w:type="pct"/>
            <w:tcBorders>
              <w:tl2br w:val="nil"/>
              <w:tr2bl w:val="nil"/>
            </w:tcBorders>
            <w:vAlign w:val="center"/>
          </w:tcPr>
          <w:p w14:paraId="2644C7E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5.25</w:t>
            </w:r>
          </w:p>
        </w:tc>
        <w:tc>
          <w:tcPr>
            <w:tcW w:w="1331" w:type="pct"/>
            <w:tcBorders>
              <w:tl2br w:val="nil"/>
              <w:tr2bl w:val="nil"/>
            </w:tcBorders>
            <w:vAlign w:val="center"/>
          </w:tcPr>
          <w:p w14:paraId="37B642BC">
            <w:pPr>
              <w:pStyle w:val="37"/>
              <w:widowControl w:val="0"/>
              <w:shd w:val="clear"/>
              <w:kinsoku/>
              <w:autoSpaceDE/>
              <w:autoSpaceDN/>
              <w:adjustRightInd/>
              <w:snapToGrid/>
              <w:spacing w:line="360" w:lineRule="auto"/>
              <w:jc w:val="center"/>
              <w:textAlignment w:val="auto"/>
              <w:rPr>
                <w:rFonts w:eastAsia="宋体"/>
                <w:snapToGrid/>
                <w:color w:val="auto"/>
                <w:szCs w:val="13"/>
                <w:lang w:eastAsia="zh-CN"/>
              </w:rPr>
            </w:pPr>
            <w:r>
              <w:rPr>
                <w:rFonts w:hint="eastAsia" w:eastAsia="宋体"/>
                <w:snapToGrid/>
                <w:color w:val="auto"/>
                <w:lang w:eastAsia="zh-CN"/>
              </w:rPr>
              <w:t>2450</w:t>
            </w:r>
            <w:r>
              <w:rPr>
                <w:rFonts w:hint="eastAsia" w:eastAsia="宋体"/>
                <w:snapToGrid/>
                <w:color w:val="auto"/>
                <w:lang w:val="en-US" w:eastAsia="zh-CN"/>
              </w:rPr>
              <w:t>0</w:t>
            </w:r>
            <w:r>
              <w:rPr>
                <w:rFonts w:hint="eastAsia" w:eastAsia="宋体"/>
                <w:snapToGrid/>
                <w:color w:val="auto"/>
                <w:lang w:eastAsia="zh-CN"/>
              </w:rPr>
              <w:t>万</w:t>
            </w:r>
          </w:p>
        </w:tc>
      </w:tr>
      <w:tr w14:paraId="4288B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79" w:type="pct"/>
            <w:tcBorders>
              <w:tl2br w:val="nil"/>
              <w:tr2bl w:val="nil"/>
            </w:tcBorders>
            <w:vAlign w:val="center"/>
          </w:tcPr>
          <w:p w14:paraId="1ADC2E7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57" w:type="pct"/>
            <w:tcBorders>
              <w:tl2br w:val="nil"/>
              <w:tr2bl w:val="nil"/>
            </w:tcBorders>
            <w:vAlign w:val="center"/>
          </w:tcPr>
          <w:p w14:paraId="0BEEB3B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合计</w:t>
            </w:r>
          </w:p>
        </w:tc>
        <w:tc>
          <w:tcPr>
            <w:tcW w:w="816" w:type="pct"/>
            <w:tcBorders>
              <w:tl2br w:val="nil"/>
              <w:tr2bl w:val="nil"/>
            </w:tcBorders>
            <w:vAlign w:val="center"/>
          </w:tcPr>
          <w:p w14:paraId="5F714753">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w:t>
            </w:r>
          </w:p>
        </w:tc>
        <w:tc>
          <w:tcPr>
            <w:tcW w:w="1115" w:type="pct"/>
            <w:tcBorders>
              <w:tl2br w:val="nil"/>
              <w:tr2bl w:val="nil"/>
            </w:tcBorders>
            <w:vAlign w:val="center"/>
          </w:tcPr>
          <w:p w14:paraId="17CA1ECF">
            <w:pPr>
              <w:pStyle w:val="37"/>
              <w:widowControl w:val="0"/>
              <w:shd w:val="clear"/>
              <w:kinsoku/>
              <w:autoSpaceDE/>
              <w:autoSpaceDN/>
              <w:adjustRightInd/>
              <w:snapToGrid/>
              <w:spacing w:line="360" w:lineRule="auto"/>
              <w:jc w:val="center"/>
              <w:textAlignment w:val="auto"/>
              <w:rPr>
                <w:rFonts w:hint="default" w:eastAsia="宋体"/>
                <w:snapToGrid/>
                <w:color w:val="auto"/>
                <w:highlight w:val="none"/>
                <w:lang w:val="en-US" w:eastAsia="zh-CN"/>
              </w:rPr>
            </w:pPr>
            <w:r>
              <w:rPr>
                <w:rFonts w:hint="eastAsia" w:eastAsia="宋体"/>
                <w:snapToGrid/>
                <w:color w:val="auto"/>
                <w:highlight w:val="none"/>
                <w:lang w:val="en-US" w:eastAsia="zh-CN"/>
              </w:rPr>
              <w:t>7</w:t>
            </w:r>
          </w:p>
        </w:tc>
        <w:tc>
          <w:tcPr>
            <w:tcW w:w="1331" w:type="pct"/>
            <w:tcBorders>
              <w:tl2br w:val="nil"/>
              <w:tr2bl w:val="nil"/>
            </w:tcBorders>
            <w:vAlign w:val="center"/>
          </w:tcPr>
          <w:p w14:paraId="400CB501">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29500万</w:t>
            </w:r>
          </w:p>
        </w:tc>
      </w:tr>
    </w:tbl>
    <w:p w14:paraId="12ED1F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bookmarkStart w:id="440" w:name="_Toc17516"/>
      <w:bookmarkStart w:id="441" w:name="_Toc18815"/>
      <w:r>
        <w:rPr>
          <w:rFonts w:ascii="Times New Roman" w:hAnsi="Times New Roman"/>
          <w:snapToGrid/>
          <w:color w:val="auto"/>
          <w:sz w:val="24"/>
          <w:szCs w:val="24"/>
        </w:rPr>
        <w:t>（1）有组织废气</w:t>
      </w:r>
      <w:bookmarkEnd w:id="440"/>
      <w:bookmarkEnd w:id="441"/>
    </w:p>
    <w:p w14:paraId="2DCFD9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为了降低造粒工序和挤出成型工序产生的非甲烷总烃对车间内生产人员及外环境造成的影响，</w:t>
      </w:r>
      <w:r>
        <w:rPr>
          <w:rFonts w:hint="eastAsia" w:ascii="Times New Roman" w:hAnsi="Times New Roman"/>
          <w:snapToGrid/>
          <w:color w:val="auto"/>
          <w:sz w:val="24"/>
          <w:szCs w:val="24"/>
          <w:lang w:eastAsia="zh-CN"/>
        </w:rPr>
        <w:t>本项目造粒及滴灌带生产在同一车间内，因此在造粒及滴灌带生产工段各设置一个集气罩，由</w:t>
      </w:r>
      <w:r>
        <w:rPr>
          <w:rFonts w:ascii="Times New Roman" w:hAnsi="Times New Roman"/>
          <w:snapToGrid/>
          <w:color w:val="auto"/>
          <w:sz w:val="24"/>
          <w:szCs w:val="24"/>
          <w:lang w:eastAsia="zh-CN"/>
        </w:rPr>
        <w:t>引风机将收集后的废气引至车间外设置的一套</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处置措施处置后通过1根15m高排气筒（DA00</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）外排。</w:t>
      </w:r>
      <w:r>
        <w:rPr>
          <w:rFonts w:hint="eastAsia" w:ascii="Times New Roman" w:hAnsi="Times New Roman"/>
          <w:snapToGrid/>
          <w:color w:val="auto"/>
          <w:sz w:val="24"/>
          <w:szCs w:val="24"/>
          <w:lang w:eastAsia="zh-CN"/>
        </w:rPr>
        <w:t>本项目所有工序均设置在一个厂房中，在生产阶段产生的污染物一致，因此本项目产生的废气经一套活性炭吸附+蓄热式催化燃烧后，由1</w:t>
      </w:r>
      <w:r>
        <w:rPr>
          <w:rFonts w:hint="eastAsia" w:ascii="Times New Roman" w:hAnsi="Times New Roman"/>
          <w:snapToGrid/>
          <w:color w:val="auto"/>
          <w:sz w:val="24"/>
          <w:szCs w:val="24"/>
          <w:lang w:val="en-US" w:eastAsia="zh-CN"/>
        </w:rPr>
        <w:t>根</w:t>
      </w:r>
      <w:r>
        <w:rPr>
          <w:rFonts w:hint="eastAsia" w:ascii="Times New Roman" w:hAnsi="Times New Roman"/>
          <w:snapToGrid/>
          <w:color w:val="auto"/>
          <w:sz w:val="24"/>
          <w:szCs w:val="24"/>
          <w:lang w:eastAsia="zh-CN"/>
        </w:rPr>
        <w:t>15</w:t>
      </w:r>
      <w:r>
        <w:rPr>
          <w:rFonts w:hint="eastAsia" w:ascii="Times New Roman" w:hAnsi="Times New Roman"/>
          <w:snapToGrid/>
          <w:color w:val="auto"/>
          <w:sz w:val="24"/>
          <w:szCs w:val="24"/>
          <w:lang w:val="en-US" w:eastAsia="zh-CN"/>
        </w:rPr>
        <w:t>米</w:t>
      </w:r>
      <w:r>
        <w:rPr>
          <w:rFonts w:hint="eastAsia" w:ascii="Times New Roman" w:hAnsi="Times New Roman"/>
          <w:snapToGrid/>
          <w:color w:val="auto"/>
          <w:sz w:val="24"/>
          <w:szCs w:val="24"/>
          <w:lang w:eastAsia="zh-CN"/>
        </w:rPr>
        <w:t>高烟筒排出可行。</w:t>
      </w:r>
    </w:p>
    <w:p w14:paraId="19D428E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对项目生产流程中涉及VOCs的生产环节或服务活动</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应当在密闭空间或者设备中进行，废气经废气收集系统和</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或</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处理设施后排放。如经过论证不能密闭</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则应采取局部气体收集处理措施。VOCs废气收集效率原则上不低于90%。本项目集气罩废气收集效率按照90%计，剩余10%废气呈无组织排放。</w:t>
      </w:r>
      <w:r>
        <w:rPr>
          <w:rFonts w:hint="eastAsia" w:ascii="Times New Roman" w:hAnsi="Times New Roman"/>
          <w:snapToGrid/>
          <w:color w:val="auto"/>
          <w:sz w:val="24"/>
          <w:szCs w:val="24"/>
          <w:lang w:eastAsia="zh-CN"/>
        </w:rPr>
        <w:t>则无组织非甲烷总烃废气量为0.7t/a。</w:t>
      </w:r>
      <w:r>
        <w:rPr>
          <w:rFonts w:ascii="Times New Roman" w:hAnsi="Times New Roman"/>
          <w:snapToGrid/>
          <w:color w:val="auto"/>
          <w:sz w:val="24"/>
          <w:szCs w:val="24"/>
          <w:lang w:eastAsia="zh-CN"/>
        </w:rPr>
        <w:t>根据《排放源统计调查产排污核算方法和系数手册》中</w:t>
      </w:r>
      <w:r>
        <w:rPr>
          <w:rFonts w:hint="default" w:ascii="Times New Roman" w:hAnsi="Times New Roman"/>
          <w:snapToGrid/>
          <w:color w:val="auto"/>
          <w:sz w:val="24"/>
          <w:szCs w:val="24"/>
          <w:lang w:val="en-US" w:eastAsia="zh-CN"/>
        </w:rPr>
        <w:t>《292塑料制品业系数手册》中“2922塑料板、管、型材制造行业系数表”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处理效率为</w:t>
      </w:r>
      <w:r>
        <w:rPr>
          <w:rFonts w:hint="eastAsia" w:ascii="Times New Roman" w:hAnsi="Times New Roman"/>
          <w:snapToGrid/>
          <w:color w:val="auto"/>
          <w:sz w:val="24"/>
          <w:szCs w:val="24"/>
          <w:lang w:val="en-US" w:eastAsia="zh-CN"/>
        </w:rPr>
        <w:t>85</w:t>
      </w:r>
      <w:r>
        <w:rPr>
          <w:rFonts w:ascii="Times New Roman" w:hAnsi="Times New Roman"/>
          <w:snapToGrid/>
          <w:color w:val="auto"/>
          <w:sz w:val="24"/>
          <w:szCs w:val="24"/>
          <w:lang w:eastAsia="zh-CN"/>
        </w:rPr>
        <w:t>%，故本项目</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处理效率为</w:t>
      </w:r>
      <w:r>
        <w:rPr>
          <w:rFonts w:hint="eastAsia" w:ascii="Times New Roman" w:hAnsi="Times New Roman"/>
          <w:snapToGrid/>
          <w:color w:val="auto"/>
          <w:sz w:val="24"/>
          <w:szCs w:val="24"/>
          <w:lang w:val="en-US" w:eastAsia="zh-CN"/>
        </w:rPr>
        <w:t>85</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计。本项目年生产时间5760h，生产车间非甲烷总烃产生及排放情况见表3.</w:t>
      </w:r>
      <w:r>
        <w:rPr>
          <w:rFonts w:hint="eastAsia" w:ascii="Times New Roman" w:hAnsi="Times New Roman"/>
          <w:snapToGrid/>
          <w:color w:val="auto"/>
          <w:sz w:val="24"/>
          <w:szCs w:val="24"/>
          <w:lang w:val="en-US" w:eastAsia="zh-CN"/>
        </w:rPr>
        <w:t>4</w:t>
      </w:r>
      <w:r>
        <w:rPr>
          <w:rFonts w:ascii="Times New Roman" w:hAnsi="Times New Roman"/>
          <w:snapToGrid/>
          <w:color w:val="auto"/>
          <w:sz w:val="24"/>
          <w:szCs w:val="24"/>
          <w:lang w:eastAsia="zh-CN"/>
        </w:rPr>
        <w:t>-5。</w:t>
      </w:r>
    </w:p>
    <w:p w14:paraId="7B31C948">
      <w:pPr>
        <w:keepNext w:val="0"/>
        <w:keepLines w:val="0"/>
        <w:pageBreakBefore w:val="0"/>
        <w:widowControl/>
        <w:shd w:val="clear"/>
        <w:kinsoku w:val="0"/>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z w:val="24"/>
          <w:lang w:eastAsia="zh-CN"/>
        </w:rPr>
      </w:pPr>
      <w:bookmarkStart w:id="442" w:name="_Toc22682"/>
      <w:r>
        <w:rPr>
          <w:rFonts w:hint="eastAsia" w:ascii="Times New Roman" w:hAnsi="Times New Roman" w:eastAsia="宋体"/>
          <w:color w:val="auto"/>
          <w:sz w:val="24"/>
          <w:lang w:eastAsia="zh-CN"/>
        </w:rPr>
        <w:t>3、臭气</w:t>
      </w:r>
      <w:bookmarkEnd w:id="442"/>
    </w:p>
    <w:p w14:paraId="4003C52B">
      <w:pPr>
        <w:keepNext w:val="0"/>
        <w:keepLines w:val="0"/>
        <w:pageBreakBefore w:val="0"/>
        <w:widowControl/>
        <w:shd w:val="clear"/>
        <w:kinsoku w:val="0"/>
        <w:wordWrap/>
        <w:overflowPunct/>
        <w:topLinePunct w:val="0"/>
        <w:autoSpaceDE/>
        <w:autoSpaceDN/>
        <w:bidi w:val="0"/>
        <w:adjustRightInd/>
        <w:snapToGrid/>
        <w:spacing w:line="360" w:lineRule="auto"/>
        <w:ind w:firstLine="480" w:firstLineChars="200"/>
        <w:jc w:val="both"/>
        <w:textAlignment w:val="auto"/>
        <w:outlineLvl w:val="9"/>
        <w:rPr>
          <w:color w:val="auto"/>
          <w:lang w:eastAsia="zh-CN"/>
        </w:rPr>
      </w:pPr>
      <w:r>
        <w:rPr>
          <w:rFonts w:hint="eastAsia" w:ascii="Times New Roman" w:hAnsi="Times New Roman" w:eastAsia="宋体"/>
          <w:color w:val="auto"/>
          <w:sz w:val="24"/>
          <w:lang w:eastAsia="zh-CN"/>
        </w:rPr>
        <w:t>本项目产生的臭气主要为塑料产品在加热熔融过程挥发的各类物质混合产生的异味，物质较多，难以定量分析，均以臭气浓度计，项目设置的集气罩及有机废气处置措施对其有一定的去除作用，根据同类项目，项目运营期在针对有机废气采取有效治理措施后，臭气浓度较小。</w:t>
      </w:r>
    </w:p>
    <w:p w14:paraId="7A49E1F5">
      <w:pPr>
        <w:widowControl w:val="0"/>
        <w:shd w:val="clear"/>
        <w:kinsoku/>
        <w:autoSpaceDE/>
        <w:autoSpaceDN/>
        <w:adjustRightInd/>
        <w:snapToGrid/>
        <w:spacing w:line="354" w:lineRule="auto"/>
        <w:textAlignment w:val="auto"/>
        <w:rPr>
          <w:rFonts w:ascii="Times New Roman" w:hAnsi="Times New Roman" w:eastAsia="宋体"/>
          <w:snapToGrid/>
          <w:color w:val="auto"/>
          <w:sz w:val="24"/>
          <w:szCs w:val="24"/>
          <w:lang w:eastAsia="zh-CN"/>
        </w:rPr>
        <w:sectPr>
          <w:headerReference r:id="rId23" w:type="default"/>
          <w:footerReference r:id="rId24" w:type="default"/>
          <w:pgSz w:w="11906" w:h="16838"/>
          <w:pgMar w:top="1136" w:right="1633" w:bottom="1157" w:left="1617" w:header="868" w:footer="994" w:gutter="0"/>
          <w:pgBorders>
            <w:top w:val="none" w:sz="0" w:space="0"/>
            <w:left w:val="none" w:sz="0" w:space="0"/>
            <w:bottom w:val="none" w:sz="0" w:space="0"/>
            <w:right w:val="none" w:sz="0" w:space="0"/>
          </w:pgBorders>
          <w:cols w:space="720" w:num="1"/>
        </w:sectPr>
      </w:pPr>
    </w:p>
    <w:p w14:paraId="5527E6D9">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-5本项目废气产生及排放情况一览表</w:t>
      </w:r>
    </w:p>
    <w:tbl>
      <w:tblPr>
        <w:tblStyle w:val="36"/>
        <w:tblW w:w="500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30"/>
        <w:gridCol w:w="1070"/>
        <w:gridCol w:w="1282"/>
        <w:gridCol w:w="1142"/>
        <w:gridCol w:w="1139"/>
        <w:gridCol w:w="994"/>
        <w:gridCol w:w="3056"/>
        <w:gridCol w:w="786"/>
        <w:gridCol w:w="1279"/>
        <w:gridCol w:w="1566"/>
        <w:gridCol w:w="886"/>
      </w:tblGrid>
      <w:tr w14:paraId="046E78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4" w:hRule="atLeast"/>
          <w:jc w:val="center"/>
        </w:trPr>
        <w:tc>
          <w:tcPr>
            <w:tcW w:w="362" w:type="pct"/>
            <w:vMerge w:val="restart"/>
            <w:tcBorders>
              <w:tl2br w:val="nil"/>
              <w:tr2bl w:val="nil"/>
            </w:tcBorders>
            <w:vAlign w:val="center"/>
          </w:tcPr>
          <w:p w14:paraId="76CFF6D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1227" w:type="pct"/>
            <w:gridSpan w:val="3"/>
            <w:tcBorders>
              <w:tl2br w:val="nil"/>
              <w:tr2bl w:val="nil"/>
            </w:tcBorders>
            <w:vAlign w:val="center"/>
          </w:tcPr>
          <w:p w14:paraId="233E429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产生情况</w:t>
            </w:r>
          </w:p>
        </w:tc>
        <w:tc>
          <w:tcPr>
            <w:tcW w:w="400" w:type="pct"/>
            <w:vMerge w:val="restart"/>
            <w:tcBorders>
              <w:tl2br w:val="nil"/>
              <w:tr2bl w:val="nil"/>
            </w:tcBorders>
            <w:vAlign w:val="center"/>
          </w:tcPr>
          <w:p w14:paraId="268C9D34">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废气量（</w:t>
            </w:r>
            <w:r>
              <w:rPr>
                <w:rFonts w:eastAsia="宋体"/>
                <w:b/>
                <w:bCs/>
                <w:snapToGrid/>
                <w:color w:val="auto"/>
              </w:rPr>
              <w:t>m</w:t>
            </w:r>
            <w:r>
              <w:rPr>
                <w:rFonts w:eastAsia="宋体"/>
                <w:b/>
                <w:bCs/>
                <w:snapToGrid/>
                <w:color w:val="auto"/>
                <w:szCs w:val="13"/>
                <w:vertAlign w:val="superscript"/>
              </w:rPr>
              <w:t>3</w:t>
            </w:r>
            <w:r>
              <w:rPr>
                <w:rFonts w:hint="eastAsia" w:eastAsia="宋体"/>
                <w:b/>
                <w:bCs/>
                <w:lang w:val="en-US" w:eastAsia="zh-CN"/>
              </w:rPr>
              <w:t>/a</w:t>
            </w:r>
            <w:r>
              <w:rPr>
                <w:rFonts w:eastAsia="宋体" w:cs="宋体"/>
                <w:b/>
                <w:bCs/>
                <w:snapToGrid/>
                <w:color w:val="auto"/>
              </w:rPr>
              <w:t>）</w:t>
            </w:r>
          </w:p>
        </w:tc>
        <w:tc>
          <w:tcPr>
            <w:tcW w:w="349" w:type="pct"/>
            <w:vMerge w:val="restart"/>
            <w:tcBorders>
              <w:tl2br w:val="nil"/>
              <w:tr2bl w:val="nil"/>
            </w:tcBorders>
            <w:vAlign w:val="center"/>
          </w:tcPr>
          <w:p w14:paraId="7B77964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排放形式</w:t>
            </w:r>
          </w:p>
        </w:tc>
        <w:tc>
          <w:tcPr>
            <w:tcW w:w="1073" w:type="pct"/>
            <w:vMerge w:val="restart"/>
            <w:tcBorders>
              <w:tl2br w:val="nil"/>
              <w:tr2bl w:val="nil"/>
            </w:tcBorders>
            <w:vAlign w:val="center"/>
          </w:tcPr>
          <w:p w14:paraId="35CCF91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处理措施</w:t>
            </w:r>
          </w:p>
        </w:tc>
        <w:tc>
          <w:tcPr>
            <w:tcW w:w="276" w:type="pct"/>
            <w:vMerge w:val="restart"/>
            <w:tcBorders>
              <w:tl2br w:val="nil"/>
              <w:tr2bl w:val="nil"/>
            </w:tcBorders>
            <w:vAlign w:val="center"/>
          </w:tcPr>
          <w:p w14:paraId="137C8C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处理效率</w:t>
            </w:r>
          </w:p>
        </w:tc>
        <w:tc>
          <w:tcPr>
            <w:tcW w:w="1310" w:type="pct"/>
            <w:gridSpan w:val="3"/>
            <w:tcBorders>
              <w:tl2br w:val="nil"/>
              <w:tr2bl w:val="nil"/>
            </w:tcBorders>
            <w:vAlign w:val="center"/>
          </w:tcPr>
          <w:p w14:paraId="2C1388A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排放情况</w:t>
            </w:r>
          </w:p>
        </w:tc>
      </w:tr>
      <w:tr w14:paraId="257A6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362" w:type="pct"/>
            <w:vMerge w:val="continue"/>
            <w:tcBorders>
              <w:tl2br w:val="nil"/>
              <w:tr2bl w:val="nil"/>
            </w:tcBorders>
            <w:vAlign w:val="center"/>
          </w:tcPr>
          <w:p w14:paraId="1D1BA19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4813D688">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产生量（</w:t>
            </w:r>
            <w:r>
              <w:rPr>
                <w:rFonts w:eastAsia="宋体"/>
                <w:b/>
                <w:bCs/>
                <w:snapToGrid/>
                <w:color w:val="auto"/>
              </w:rPr>
              <w:t>t/a</w:t>
            </w:r>
            <w:r>
              <w:rPr>
                <w:rFonts w:eastAsia="宋体" w:cs="宋体"/>
                <w:b/>
                <w:bCs/>
                <w:snapToGrid/>
                <w:color w:val="auto"/>
              </w:rPr>
              <w:t>）</w:t>
            </w:r>
          </w:p>
        </w:tc>
        <w:tc>
          <w:tcPr>
            <w:tcW w:w="450" w:type="pct"/>
            <w:tcBorders>
              <w:tl2br w:val="nil"/>
              <w:tr2bl w:val="nil"/>
            </w:tcBorders>
            <w:vAlign w:val="center"/>
          </w:tcPr>
          <w:p w14:paraId="3C19F8B9">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产生速率（</w:t>
            </w:r>
            <w:r>
              <w:rPr>
                <w:rFonts w:eastAsia="宋体"/>
                <w:b/>
                <w:bCs/>
                <w:snapToGrid/>
                <w:color w:val="auto"/>
              </w:rPr>
              <w:t>kg/h</w:t>
            </w:r>
            <w:r>
              <w:rPr>
                <w:rFonts w:eastAsia="宋体" w:cs="宋体"/>
                <w:b/>
                <w:bCs/>
                <w:snapToGrid/>
                <w:color w:val="auto"/>
              </w:rPr>
              <w:t>）</w:t>
            </w:r>
          </w:p>
        </w:tc>
        <w:tc>
          <w:tcPr>
            <w:tcW w:w="400" w:type="pct"/>
            <w:tcBorders>
              <w:tl2br w:val="nil"/>
              <w:tr2bl w:val="nil"/>
            </w:tcBorders>
            <w:vAlign w:val="center"/>
          </w:tcPr>
          <w:p w14:paraId="4B67987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产生浓度（</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400" w:type="pct"/>
            <w:vMerge w:val="continue"/>
            <w:tcBorders>
              <w:tl2br w:val="nil"/>
              <w:tr2bl w:val="nil"/>
            </w:tcBorders>
            <w:vAlign w:val="center"/>
          </w:tcPr>
          <w:p w14:paraId="6050DD1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49" w:type="pct"/>
            <w:vMerge w:val="continue"/>
            <w:tcBorders>
              <w:tl2br w:val="nil"/>
              <w:tr2bl w:val="nil"/>
            </w:tcBorders>
            <w:vAlign w:val="center"/>
          </w:tcPr>
          <w:p w14:paraId="193F206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073" w:type="pct"/>
            <w:vMerge w:val="continue"/>
            <w:tcBorders>
              <w:tl2br w:val="nil"/>
              <w:tr2bl w:val="nil"/>
            </w:tcBorders>
            <w:vAlign w:val="center"/>
          </w:tcPr>
          <w:p w14:paraId="25CB408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76" w:type="pct"/>
            <w:vMerge w:val="continue"/>
            <w:tcBorders>
              <w:tl2br w:val="nil"/>
              <w:tr2bl w:val="nil"/>
            </w:tcBorders>
            <w:vAlign w:val="center"/>
          </w:tcPr>
          <w:p w14:paraId="017823F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49" w:type="pct"/>
            <w:tcBorders>
              <w:tl2br w:val="nil"/>
              <w:tr2bl w:val="nil"/>
            </w:tcBorders>
            <w:vAlign w:val="center"/>
          </w:tcPr>
          <w:p w14:paraId="79094E5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排放速率（</w:t>
            </w:r>
            <w:r>
              <w:rPr>
                <w:rFonts w:eastAsia="宋体"/>
                <w:b/>
                <w:bCs/>
                <w:snapToGrid/>
                <w:color w:val="auto"/>
              </w:rPr>
              <w:t>kg/h</w:t>
            </w:r>
            <w:r>
              <w:rPr>
                <w:rFonts w:eastAsia="宋体" w:cs="宋体"/>
                <w:b/>
                <w:bCs/>
                <w:snapToGrid/>
                <w:color w:val="auto"/>
              </w:rPr>
              <w:t>）</w:t>
            </w:r>
          </w:p>
        </w:tc>
        <w:tc>
          <w:tcPr>
            <w:tcW w:w="550" w:type="pct"/>
            <w:tcBorders>
              <w:tl2br w:val="nil"/>
              <w:tr2bl w:val="nil"/>
            </w:tcBorders>
            <w:vAlign w:val="center"/>
          </w:tcPr>
          <w:p w14:paraId="750E561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排放浓度（</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311" w:type="pct"/>
            <w:tcBorders>
              <w:tl2br w:val="nil"/>
              <w:tr2bl w:val="nil"/>
            </w:tcBorders>
            <w:vAlign w:val="center"/>
          </w:tcPr>
          <w:p w14:paraId="420A701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排放量（</w:t>
            </w:r>
            <w:r>
              <w:rPr>
                <w:rFonts w:eastAsia="宋体"/>
                <w:b/>
                <w:bCs/>
                <w:snapToGrid/>
                <w:color w:val="auto"/>
              </w:rPr>
              <w:t>t/a</w:t>
            </w:r>
            <w:r>
              <w:rPr>
                <w:rFonts w:eastAsia="宋体" w:cs="宋体"/>
                <w:b/>
                <w:bCs/>
                <w:snapToGrid/>
                <w:color w:val="auto"/>
              </w:rPr>
              <w:t>）</w:t>
            </w:r>
          </w:p>
        </w:tc>
      </w:tr>
      <w:tr w14:paraId="0CC3E3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44" w:hRule="atLeast"/>
          <w:jc w:val="center"/>
        </w:trPr>
        <w:tc>
          <w:tcPr>
            <w:tcW w:w="362" w:type="pct"/>
            <w:vMerge w:val="restart"/>
            <w:tcBorders>
              <w:tl2br w:val="nil"/>
              <w:tr2bl w:val="nil"/>
            </w:tcBorders>
            <w:vAlign w:val="center"/>
          </w:tcPr>
          <w:p w14:paraId="6386E08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非甲烷总烃</w:t>
            </w:r>
          </w:p>
        </w:tc>
        <w:tc>
          <w:tcPr>
            <w:tcW w:w="376" w:type="pct"/>
            <w:tcBorders>
              <w:tl2br w:val="nil"/>
              <w:tr2bl w:val="nil"/>
            </w:tcBorders>
            <w:vAlign w:val="center"/>
          </w:tcPr>
          <w:p w14:paraId="4861968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6.3</w:t>
            </w:r>
          </w:p>
        </w:tc>
        <w:tc>
          <w:tcPr>
            <w:tcW w:w="450" w:type="pct"/>
            <w:tcBorders>
              <w:tl2br w:val="nil"/>
              <w:tr2bl w:val="nil"/>
            </w:tcBorders>
            <w:vAlign w:val="center"/>
          </w:tcPr>
          <w:p w14:paraId="62D99FC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1.09</w:t>
            </w:r>
          </w:p>
        </w:tc>
        <w:tc>
          <w:tcPr>
            <w:tcW w:w="400" w:type="pct"/>
            <w:tcBorders>
              <w:tl2br w:val="nil"/>
              <w:tr2bl w:val="nil"/>
            </w:tcBorders>
            <w:vAlign w:val="center"/>
          </w:tcPr>
          <w:p w14:paraId="51D4499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21.36</w:t>
            </w:r>
          </w:p>
        </w:tc>
        <w:tc>
          <w:tcPr>
            <w:tcW w:w="400" w:type="pct"/>
            <w:tcBorders>
              <w:tl2br w:val="nil"/>
              <w:tr2bl w:val="nil"/>
            </w:tcBorders>
            <w:vAlign w:val="center"/>
          </w:tcPr>
          <w:p w14:paraId="581943E8">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29500</w:t>
            </w:r>
            <w:r>
              <w:rPr>
                <w:rFonts w:eastAsia="宋体" w:cs="宋体"/>
                <w:snapToGrid/>
                <w:color w:val="auto"/>
              </w:rPr>
              <w:t>万</w:t>
            </w:r>
          </w:p>
        </w:tc>
        <w:tc>
          <w:tcPr>
            <w:tcW w:w="349" w:type="pct"/>
            <w:tcBorders>
              <w:tl2br w:val="nil"/>
              <w:tr2bl w:val="nil"/>
            </w:tcBorders>
            <w:vAlign w:val="center"/>
          </w:tcPr>
          <w:p w14:paraId="5C4F11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w:t>
            </w:r>
          </w:p>
        </w:tc>
        <w:tc>
          <w:tcPr>
            <w:tcW w:w="1073" w:type="pct"/>
            <w:tcBorders>
              <w:tl2br w:val="nil"/>
              <w:tr2bl w:val="nil"/>
            </w:tcBorders>
            <w:vAlign w:val="center"/>
          </w:tcPr>
          <w:p w14:paraId="60688688">
            <w:pPr>
              <w:pStyle w:val="37"/>
              <w:widowControl w:val="0"/>
              <w:shd w:val="clear"/>
              <w:kinsoku/>
              <w:autoSpaceDE/>
              <w:autoSpaceDN/>
              <w:adjustRightInd/>
              <w:snapToGrid/>
              <w:spacing w:line="360" w:lineRule="auto"/>
              <w:jc w:val="center"/>
              <w:textAlignment w:val="auto"/>
              <w:rPr>
                <w:rFonts w:hint="default" w:eastAsia="宋体" w:cs="宋体"/>
                <w:snapToGrid/>
                <w:color w:val="auto"/>
                <w:lang w:val="en-US" w:eastAsia="zh-CN"/>
              </w:rPr>
            </w:pPr>
            <w:r>
              <w:rPr>
                <w:rFonts w:eastAsia="宋体" w:cs="宋体"/>
                <w:snapToGrid/>
                <w:color w:val="auto"/>
                <w:lang w:eastAsia="zh-CN"/>
              </w:rPr>
              <w:t>由</w:t>
            </w:r>
            <w:r>
              <w:rPr>
                <w:rFonts w:eastAsia="宋体"/>
                <w:snapToGrid/>
                <w:color w:val="auto"/>
                <w:lang w:eastAsia="zh-CN"/>
              </w:rPr>
              <w:t>1</w:t>
            </w:r>
            <w:r>
              <w:rPr>
                <w:rFonts w:eastAsia="宋体" w:cs="宋体"/>
                <w:snapToGrid/>
                <w:color w:val="auto"/>
                <w:lang w:eastAsia="zh-CN"/>
              </w:rPr>
              <w:t>套</w:t>
            </w:r>
            <w:r>
              <w:rPr>
                <w:rFonts w:eastAsia="宋体"/>
                <w:snapToGrid/>
                <w:color w:val="auto"/>
                <w:lang w:eastAsia="zh-CN"/>
              </w:rPr>
              <w:t>“</w:t>
            </w:r>
            <w:r>
              <w:rPr>
                <w:rFonts w:hint="eastAsia" w:eastAsia="宋体" w:cs="宋体"/>
                <w:snapToGrid/>
                <w:color w:val="auto"/>
                <w:lang w:eastAsia="zh-CN"/>
              </w:rPr>
              <w:t>活性炭吸附+蓄热式催化燃烧</w:t>
            </w:r>
            <w:r>
              <w:rPr>
                <w:rFonts w:eastAsia="宋体"/>
                <w:snapToGrid/>
                <w:color w:val="auto"/>
                <w:lang w:eastAsia="zh-CN"/>
              </w:rPr>
              <w:t>”</w:t>
            </w:r>
            <w:r>
              <w:rPr>
                <w:rFonts w:eastAsia="宋体" w:cs="宋体"/>
                <w:snapToGrid/>
                <w:color w:val="auto"/>
                <w:lang w:eastAsia="zh-CN"/>
              </w:rPr>
              <w:t>处理后，最后由</w:t>
            </w:r>
            <w:r>
              <w:rPr>
                <w:rFonts w:eastAsia="宋体"/>
                <w:snapToGrid/>
                <w:color w:val="auto"/>
                <w:lang w:eastAsia="zh-CN"/>
              </w:rPr>
              <w:t>1</w:t>
            </w:r>
            <w:r>
              <w:rPr>
                <w:rFonts w:eastAsia="宋体" w:cs="宋体"/>
                <w:snapToGrid/>
                <w:color w:val="auto"/>
                <w:lang w:eastAsia="zh-CN"/>
              </w:rPr>
              <w:t>根</w:t>
            </w:r>
            <w:r>
              <w:rPr>
                <w:rFonts w:eastAsia="宋体"/>
                <w:snapToGrid/>
                <w:color w:val="auto"/>
                <w:lang w:eastAsia="zh-CN"/>
              </w:rPr>
              <w:t>15m</w:t>
            </w:r>
            <w:r>
              <w:rPr>
                <w:rFonts w:eastAsia="宋体" w:cs="宋体"/>
                <w:snapToGrid/>
                <w:color w:val="auto"/>
                <w:lang w:eastAsia="zh-CN"/>
              </w:rPr>
              <w:t>高排气筒（</w:t>
            </w:r>
            <w:r>
              <w:rPr>
                <w:rFonts w:eastAsia="宋体"/>
                <w:snapToGrid/>
                <w:color w:val="auto"/>
                <w:lang w:eastAsia="zh-CN"/>
              </w:rPr>
              <w:t>DA001</w:t>
            </w:r>
            <w:r>
              <w:rPr>
                <w:rFonts w:eastAsia="宋体" w:cs="宋体"/>
                <w:snapToGrid/>
                <w:color w:val="auto"/>
                <w:lang w:eastAsia="zh-CN"/>
              </w:rPr>
              <w:t>）排放</w:t>
            </w:r>
            <w:r>
              <w:rPr>
                <w:rFonts w:hint="eastAsia" w:eastAsia="宋体"/>
                <w:lang w:eastAsia="zh-CN"/>
              </w:rPr>
              <w:t>，</w:t>
            </w:r>
            <w:r>
              <w:rPr>
                <w:rFonts w:hint="eastAsia" w:eastAsia="宋体"/>
                <w:lang w:val="en-US" w:eastAsia="zh-CN"/>
              </w:rPr>
              <w:t>收集效率90%。</w:t>
            </w:r>
          </w:p>
        </w:tc>
        <w:tc>
          <w:tcPr>
            <w:tcW w:w="276" w:type="pct"/>
            <w:tcBorders>
              <w:tl2br w:val="nil"/>
              <w:tr2bl w:val="nil"/>
            </w:tcBorders>
            <w:vAlign w:val="center"/>
          </w:tcPr>
          <w:p w14:paraId="24FDE773">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val="en-US" w:eastAsia="zh-CN"/>
              </w:rPr>
              <w:t>85</w:t>
            </w:r>
            <w:r>
              <w:rPr>
                <w:rFonts w:hint="eastAsia" w:eastAsia="宋体"/>
                <w:snapToGrid/>
                <w:color w:val="auto"/>
                <w:lang w:eastAsia="zh-CN"/>
              </w:rPr>
              <w:t>%</w:t>
            </w:r>
          </w:p>
        </w:tc>
        <w:tc>
          <w:tcPr>
            <w:tcW w:w="449" w:type="pct"/>
            <w:tcBorders>
              <w:tl2br w:val="nil"/>
              <w:tr2bl w:val="nil"/>
            </w:tcBorders>
            <w:vAlign w:val="center"/>
          </w:tcPr>
          <w:p w14:paraId="3BA4EAA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0.16</w:t>
            </w:r>
          </w:p>
        </w:tc>
        <w:tc>
          <w:tcPr>
            <w:tcW w:w="550" w:type="pct"/>
            <w:tcBorders>
              <w:tl2br w:val="nil"/>
              <w:tr2bl w:val="nil"/>
            </w:tcBorders>
            <w:vAlign w:val="center"/>
          </w:tcPr>
          <w:p w14:paraId="40CB44F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3.2</w:t>
            </w:r>
          </w:p>
        </w:tc>
        <w:tc>
          <w:tcPr>
            <w:tcW w:w="311" w:type="pct"/>
            <w:tcBorders>
              <w:tl2br w:val="nil"/>
              <w:tr2bl w:val="nil"/>
            </w:tcBorders>
            <w:vAlign w:val="center"/>
          </w:tcPr>
          <w:p w14:paraId="51217CF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0.945</w:t>
            </w:r>
          </w:p>
        </w:tc>
      </w:tr>
      <w:tr w14:paraId="3393F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362" w:type="pct"/>
            <w:vMerge w:val="continue"/>
            <w:tcBorders>
              <w:tl2br w:val="nil"/>
              <w:tr2bl w:val="nil"/>
            </w:tcBorders>
            <w:vAlign w:val="center"/>
          </w:tcPr>
          <w:p w14:paraId="51F2E29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6DEAFBB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0.7</w:t>
            </w:r>
          </w:p>
        </w:tc>
        <w:tc>
          <w:tcPr>
            <w:tcW w:w="450" w:type="pct"/>
            <w:tcBorders>
              <w:tl2br w:val="nil"/>
              <w:tr2bl w:val="nil"/>
            </w:tcBorders>
            <w:vAlign w:val="center"/>
          </w:tcPr>
          <w:p w14:paraId="6AC68A6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0.12</w:t>
            </w:r>
          </w:p>
        </w:tc>
        <w:tc>
          <w:tcPr>
            <w:tcW w:w="400" w:type="pct"/>
            <w:tcBorders>
              <w:tl2br w:val="nil"/>
              <w:tr2bl w:val="nil"/>
            </w:tcBorders>
            <w:vAlign w:val="center"/>
          </w:tcPr>
          <w:p w14:paraId="5DB911E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400" w:type="pct"/>
            <w:tcBorders>
              <w:tl2br w:val="nil"/>
              <w:tr2bl w:val="nil"/>
            </w:tcBorders>
            <w:vAlign w:val="center"/>
          </w:tcPr>
          <w:p w14:paraId="1FF0751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349" w:type="pct"/>
            <w:tcBorders>
              <w:tl2br w:val="nil"/>
              <w:tr2bl w:val="nil"/>
            </w:tcBorders>
            <w:vAlign w:val="center"/>
          </w:tcPr>
          <w:p w14:paraId="66C94A6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1073" w:type="pct"/>
            <w:tcBorders>
              <w:tl2br w:val="nil"/>
              <w:tr2bl w:val="nil"/>
            </w:tcBorders>
            <w:vAlign w:val="center"/>
          </w:tcPr>
          <w:p w14:paraId="533810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设置排风扇，加强车间通风</w:t>
            </w:r>
          </w:p>
        </w:tc>
        <w:tc>
          <w:tcPr>
            <w:tcW w:w="276" w:type="pct"/>
            <w:tcBorders>
              <w:tl2br w:val="nil"/>
              <w:tr2bl w:val="nil"/>
            </w:tcBorders>
            <w:vAlign w:val="center"/>
          </w:tcPr>
          <w:p w14:paraId="28E6C26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color w:val="auto"/>
                <w:lang w:val="en-US" w:eastAsia="zh-CN"/>
              </w:rPr>
              <w:t>-</w:t>
            </w:r>
          </w:p>
        </w:tc>
        <w:tc>
          <w:tcPr>
            <w:tcW w:w="449" w:type="pct"/>
            <w:tcBorders>
              <w:tl2br w:val="nil"/>
              <w:tr2bl w:val="nil"/>
            </w:tcBorders>
            <w:vAlign w:val="center"/>
          </w:tcPr>
          <w:p w14:paraId="37BDD06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0.12</w:t>
            </w:r>
          </w:p>
        </w:tc>
        <w:tc>
          <w:tcPr>
            <w:tcW w:w="550" w:type="pct"/>
            <w:tcBorders>
              <w:tl2br w:val="nil"/>
              <w:tr2bl w:val="nil"/>
            </w:tcBorders>
            <w:vAlign w:val="center"/>
          </w:tcPr>
          <w:p w14:paraId="07F0BC1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311" w:type="pct"/>
            <w:tcBorders>
              <w:tl2br w:val="nil"/>
              <w:tr2bl w:val="nil"/>
            </w:tcBorders>
            <w:vAlign w:val="center"/>
          </w:tcPr>
          <w:p w14:paraId="396D5CF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0.7</w:t>
            </w:r>
          </w:p>
        </w:tc>
      </w:tr>
      <w:tr w14:paraId="59818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362" w:type="pct"/>
            <w:tcBorders>
              <w:tl2br w:val="nil"/>
              <w:tr2bl w:val="nil"/>
            </w:tcBorders>
            <w:vAlign w:val="center"/>
          </w:tcPr>
          <w:p w14:paraId="567841C8">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颗粒物</w:t>
            </w:r>
          </w:p>
        </w:tc>
        <w:tc>
          <w:tcPr>
            <w:tcW w:w="376" w:type="pct"/>
            <w:tcBorders>
              <w:tl2br w:val="nil"/>
              <w:tr2bl w:val="nil"/>
            </w:tcBorders>
            <w:vAlign w:val="center"/>
          </w:tcPr>
          <w:p w14:paraId="6E4FABE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eastAsia="zh-CN"/>
              </w:rPr>
              <w:t>2.4</w:t>
            </w:r>
          </w:p>
        </w:tc>
        <w:tc>
          <w:tcPr>
            <w:tcW w:w="450" w:type="pct"/>
            <w:tcBorders>
              <w:tl2br w:val="nil"/>
              <w:tr2bl w:val="nil"/>
            </w:tcBorders>
            <w:vAlign w:val="center"/>
          </w:tcPr>
          <w:p w14:paraId="1B88BCD3">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400" w:type="pct"/>
            <w:tcBorders>
              <w:tl2br w:val="nil"/>
              <w:tr2bl w:val="nil"/>
            </w:tcBorders>
            <w:vAlign w:val="center"/>
          </w:tcPr>
          <w:p w14:paraId="5435F9EB">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w:t>
            </w:r>
          </w:p>
        </w:tc>
        <w:tc>
          <w:tcPr>
            <w:tcW w:w="400" w:type="pct"/>
            <w:tcBorders>
              <w:tl2br w:val="nil"/>
              <w:tr2bl w:val="nil"/>
            </w:tcBorders>
            <w:vAlign w:val="center"/>
          </w:tcPr>
          <w:p w14:paraId="7D44D79B">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w:t>
            </w:r>
          </w:p>
        </w:tc>
        <w:tc>
          <w:tcPr>
            <w:tcW w:w="349" w:type="pct"/>
            <w:tcBorders>
              <w:tl2br w:val="nil"/>
              <w:tr2bl w:val="nil"/>
            </w:tcBorders>
            <w:vAlign w:val="center"/>
          </w:tcPr>
          <w:p w14:paraId="19BB56F9">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无组织</w:t>
            </w:r>
          </w:p>
        </w:tc>
        <w:tc>
          <w:tcPr>
            <w:tcW w:w="1073" w:type="pct"/>
            <w:tcBorders>
              <w:tl2br w:val="nil"/>
              <w:tr2bl w:val="nil"/>
            </w:tcBorders>
            <w:vAlign w:val="center"/>
          </w:tcPr>
          <w:p w14:paraId="5E635D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采取控制落差、洒水降尘等措施后可以减少扬尘</w:t>
            </w:r>
          </w:p>
        </w:tc>
        <w:tc>
          <w:tcPr>
            <w:tcW w:w="276" w:type="pct"/>
            <w:tcBorders>
              <w:tl2br w:val="nil"/>
              <w:tr2bl w:val="nil"/>
            </w:tcBorders>
            <w:vAlign w:val="center"/>
          </w:tcPr>
          <w:p w14:paraId="2E0ED69A">
            <w:pPr>
              <w:pStyle w:val="37"/>
              <w:widowControl w:val="0"/>
              <w:shd w:val="clear"/>
              <w:kinsoku/>
              <w:autoSpaceDE/>
              <w:autoSpaceDN/>
              <w:adjustRightInd/>
              <w:snapToGrid/>
              <w:spacing w:line="360" w:lineRule="auto"/>
              <w:jc w:val="center"/>
              <w:textAlignment w:val="auto"/>
              <w:rPr>
                <w:color w:val="auto"/>
              </w:rPr>
            </w:pPr>
            <w:r>
              <w:rPr>
                <w:rFonts w:ascii="Times New Roman" w:hAnsi="Times New Roman" w:eastAsia="宋体" w:cs="宋体"/>
                <w:snapToGrid/>
                <w:color w:val="auto"/>
                <w:lang w:eastAsia="zh-CN"/>
              </w:rPr>
              <w:t>80</w:t>
            </w:r>
            <w:r>
              <w:rPr>
                <w:rFonts w:hint="eastAsia" w:ascii="Times New Roman" w:hAnsi="Times New Roman" w:eastAsia="宋体" w:cs="宋体"/>
                <w:snapToGrid/>
                <w:color w:val="auto"/>
                <w:lang w:val="en-US" w:eastAsia="zh-CN"/>
              </w:rPr>
              <w:t>%</w:t>
            </w:r>
          </w:p>
        </w:tc>
        <w:tc>
          <w:tcPr>
            <w:tcW w:w="449" w:type="pct"/>
            <w:tcBorders>
              <w:tl2br w:val="nil"/>
              <w:tr2bl w:val="nil"/>
            </w:tcBorders>
            <w:vAlign w:val="center"/>
          </w:tcPr>
          <w:p w14:paraId="3519C9E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0.083</w:t>
            </w:r>
          </w:p>
        </w:tc>
        <w:tc>
          <w:tcPr>
            <w:tcW w:w="550" w:type="pct"/>
            <w:tcBorders>
              <w:tl2br w:val="nil"/>
              <w:tr2bl w:val="nil"/>
            </w:tcBorders>
            <w:vAlign w:val="center"/>
          </w:tcPr>
          <w:p w14:paraId="4526C0EB">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w:t>
            </w:r>
          </w:p>
        </w:tc>
        <w:tc>
          <w:tcPr>
            <w:tcW w:w="311" w:type="pct"/>
            <w:tcBorders>
              <w:tl2br w:val="nil"/>
              <w:tr2bl w:val="nil"/>
            </w:tcBorders>
            <w:vAlign w:val="center"/>
          </w:tcPr>
          <w:p w14:paraId="4BF82E5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0.48</w:t>
            </w:r>
          </w:p>
        </w:tc>
      </w:tr>
    </w:tbl>
    <w:p w14:paraId="11E78D5F">
      <w:pPr>
        <w:widowControl w:val="0"/>
        <w:shd w:val="clear"/>
        <w:kinsoku/>
        <w:autoSpaceDE/>
        <w:autoSpaceDN/>
        <w:adjustRightInd/>
        <w:snapToGrid/>
        <w:textAlignment w:val="auto"/>
        <w:rPr>
          <w:rFonts w:ascii="Times New Roman" w:hAnsi="Times New Roman" w:eastAsia="宋体"/>
          <w:snapToGrid/>
          <w:color w:val="auto"/>
        </w:rPr>
      </w:pPr>
    </w:p>
    <w:p w14:paraId="70CE4EF4">
      <w:pPr>
        <w:widowControl w:val="0"/>
        <w:shd w:val="clear"/>
        <w:kinsoku/>
        <w:autoSpaceDE/>
        <w:autoSpaceDN/>
        <w:adjustRightInd/>
        <w:snapToGrid/>
        <w:textAlignment w:val="auto"/>
        <w:rPr>
          <w:rFonts w:ascii="Times New Roman" w:hAnsi="Times New Roman" w:eastAsia="宋体"/>
          <w:snapToGrid/>
          <w:color w:val="auto"/>
        </w:rPr>
        <w:sectPr>
          <w:headerReference r:id="rId25" w:type="default"/>
          <w:footerReference r:id="rId26" w:type="default"/>
          <w:pgSz w:w="16838" w:h="11906"/>
          <w:pgMar w:top="1136" w:right="1333" w:bottom="1161" w:left="1331" w:header="868" w:footer="999" w:gutter="0"/>
          <w:pgBorders>
            <w:top w:val="none" w:sz="0" w:space="0"/>
            <w:left w:val="none" w:sz="0" w:space="0"/>
            <w:bottom w:val="none" w:sz="0" w:space="0"/>
            <w:right w:val="none" w:sz="0" w:space="0"/>
          </w:pgBorders>
          <w:cols w:space="720" w:num="1"/>
        </w:sectPr>
      </w:pPr>
    </w:p>
    <w:p w14:paraId="0059E48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本项目有组织非甲烷总烃产生量为</w:t>
      </w:r>
      <w:r>
        <w:rPr>
          <w:rFonts w:hint="eastAsia" w:ascii="Times New Roman" w:hAnsi="Times New Roman"/>
          <w:snapToGrid/>
          <w:color w:val="auto"/>
          <w:sz w:val="24"/>
          <w:szCs w:val="24"/>
          <w:lang w:val="en-US" w:eastAsia="zh-CN"/>
        </w:rPr>
        <w:t>6.3</w:t>
      </w:r>
      <w:r>
        <w:rPr>
          <w:rFonts w:ascii="Times New Roman" w:hAnsi="Times New Roman"/>
          <w:snapToGrid/>
          <w:color w:val="auto"/>
          <w:sz w:val="24"/>
          <w:szCs w:val="24"/>
          <w:lang w:eastAsia="zh-CN"/>
        </w:rPr>
        <w:t>t/a，经1套“</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”处理后，通过15m高排气筒（DA001）排放，排放量为</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w:t>
      </w:r>
    </w:p>
    <w:p w14:paraId="139FE39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443" w:name="_Toc31316"/>
      <w:bookmarkStart w:id="444" w:name="_Toc8045"/>
      <w:bookmarkStart w:id="445" w:name="_Toc30627"/>
      <w:r>
        <w:rPr>
          <w:rFonts w:ascii="Times New Roman" w:hAnsi="Times New Roman"/>
          <w:snapToGrid/>
          <w:color w:val="auto"/>
          <w:sz w:val="24"/>
          <w:szCs w:val="24"/>
          <w:lang w:eastAsia="zh-CN"/>
        </w:rPr>
        <w:t>（2）无组织废气</w:t>
      </w:r>
      <w:bookmarkEnd w:id="443"/>
      <w:bookmarkEnd w:id="444"/>
      <w:bookmarkEnd w:id="445"/>
    </w:p>
    <w:p w14:paraId="77EB9AB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本项目废塑料加工生产过程造粒工序、滴灌带生产过程挤出成型工序生产的过程产生的有机废气，未经集气系统收集的废气为10%，</w:t>
      </w:r>
      <w:r>
        <w:rPr>
          <w:rFonts w:hint="eastAsia" w:ascii="Times New Roman" w:hAnsi="Times New Roman"/>
          <w:snapToGrid/>
          <w:color w:val="auto"/>
          <w:sz w:val="24"/>
          <w:szCs w:val="24"/>
          <w:lang w:val="en-US" w:eastAsia="zh-CN"/>
        </w:rPr>
        <w:t>为无组织排放。全封闭车间、定期通风</w:t>
      </w:r>
      <w:r>
        <w:rPr>
          <w:rFonts w:ascii="Times New Roman" w:hAnsi="Times New Roman"/>
          <w:snapToGrid/>
          <w:color w:val="auto"/>
          <w:sz w:val="24"/>
          <w:szCs w:val="24"/>
          <w:lang w:eastAsia="zh-CN"/>
        </w:rPr>
        <w:t>。根据计算，</w:t>
      </w:r>
      <w:r>
        <w:rPr>
          <w:rFonts w:hint="eastAsia" w:ascii="Times New Roman" w:hAnsi="Times New Roman"/>
          <w:snapToGrid/>
          <w:color w:val="auto"/>
          <w:sz w:val="24"/>
          <w:szCs w:val="24"/>
          <w:lang w:eastAsia="zh-CN"/>
        </w:rPr>
        <w:t>生产车间</w:t>
      </w:r>
      <w:r>
        <w:rPr>
          <w:rFonts w:ascii="Times New Roman" w:hAnsi="Times New Roman"/>
          <w:snapToGrid/>
          <w:color w:val="auto"/>
          <w:sz w:val="24"/>
          <w:szCs w:val="24"/>
          <w:lang w:eastAsia="zh-CN"/>
        </w:rPr>
        <w:t>无组织非甲烷总烃排放量为</w:t>
      </w:r>
      <w:r>
        <w:rPr>
          <w:rFonts w:hint="eastAsia" w:ascii="Times New Roman" w:hAnsi="Times New Roman"/>
          <w:snapToGrid/>
          <w:color w:val="auto"/>
          <w:sz w:val="24"/>
          <w:szCs w:val="24"/>
          <w:lang w:val="en-US" w:eastAsia="zh-CN"/>
        </w:rPr>
        <w:t>0.7</w:t>
      </w:r>
      <w:r>
        <w:rPr>
          <w:rFonts w:ascii="Times New Roman" w:hAnsi="Times New Roman"/>
          <w:snapToGrid/>
          <w:color w:val="auto"/>
          <w:sz w:val="24"/>
          <w:szCs w:val="24"/>
          <w:lang w:eastAsia="zh-CN"/>
        </w:rPr>
        <w:t>t/a。</w:t>
      </w:r>
    </w:p>
    <w:p w14:paraId="249BF5F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聚乙烯树脂在160℃-170℃会分解产生一定的有机废气（非甲烷总烃），产品经冷却后，温度已经低于160℃，故产生的非甲烷总烃量极小，呈无组织排放。</w:t>
      </w:r>
    </w:p>
    <w:p w14:paraId="0E37144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446" w:name="_Toc31836"/>
      <w:bookmarkStart w:id="447" w:name="_Toc18410"/>
      <w:bookmarkStart w:id="448" w:name="_Toc1802"/>
      <w:r>
        <w:rPr>
          <w:rFonts w:ascii="Times New Roman" w:hAnsi="Times New Roman"/>
          <w:snapToGrid/>
          <w:color w:val="auto"/>
          <w:sz w:val="24"/>
          <w:szCs w:val="24"/>
          <w:lang w:eastAsia="zh-CN"/>
        </w:rPr>
        <w:t>3、油烟废气</w:t>
      </w:r>
      <w:bookmarkEnd w:id="446"/>
      <w:bookmarkEnd w:id="447"/>
      <w:bookmarkEnd w:id="448"/>
    </w:p>
    <w:p w14:paraId="721135E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食堂拟设有烹饪灶头2个，每人平均食用油日用量30g，就餐人员20人，食堂食用油用0.144t/a，一般油烟挥发量占总耗油量的2-4%，本次取最大值4%，油烟产生量为5.76kg/a环评要求食堂安装油烟净化器，食堂拟设烹饪灶头2个，属于小型灶头，油烟净化器的净化效率应在60%以上，如其净化效率按60%计算，烟净化器风量2000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/h，每天烹饪4.5h，每年工作240d，则本项目油烟排放量为2.3kg/a，排放浓度为1.06mg/m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，能满足《饮食业油烟排放标准》（GB18483-2001）表2小型饮食业单位油烟最高允许排放浓度：2.0mg/m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，净化设施最低去除</w:t>
      </w:r>
      <w:r>
        <w:rPr>
          <w:rFonts w:hint="eastAsia" w:ascii="Times New Roman" w:hAnsi="Times New Roman"/>
          <w:snapToGrid/>
          <w:color w:val="auto"/>
          <w:sz w:val="24"/>
          <w:szCs w:val="24"/>
          <w:lang w:eastAsia="zh-CN"/>
        </w:rPr>
        <w:t>效率</w:t>
      </w:r>
      <w:r>
        <w:rPr>
          <w:rFonts w:ascii="Times New Roman" w:hAnsi="Times New Roman"/>
          <w:snapToGrid/>
          <w:color w:val="auto"/>
          <w:sz w:val="24"/>
          <w:szCs w:val="24"/>
          <w:lang w:eastAsia="zh-CN"/>
        </w:rPr>
        <w:t>60%要求。</w:t>
      </w:r>
    </w:p>
    <w:p w14:paraId="194D46B8">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449" w:name="_Toc1731"/>
      <w:bookmarkStart w:id="450" w:name="_Toc8201"/>
      <w:bookmarkStart w:id="451" w:name="_Toc4216"/>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"C:\\Users\\jobezho\\AppData\\Local\\Temp\\Rar$DIa13476.12779\\3.5.2.2"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3.4.2.2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废水</w:t>
      </w:r>
      <w:bookmarkEnd w:id="449"/>
      <w:bookmarkEnd w:id="450"/>
      <w:bookmarkEnd w:id="451"/>
    </w:p>
    <w:p w14:paraId="449EC1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52" w:name="_Toc3593"/>
      <w:bookmarkStart w:id="453" w:name="_Toc27049"/>
      <w:r>
        <w:rPr>
          <w:rFonts w:ascii="Times New Roman" w:hAnsi="Times New Roman"/>
          <w:snapToGrid/>
          <w:color w:val="auto"/>
          <w:sz w:val="24"/>
          <w:szCs w:val="24"/>
          <w:lang w:eastAsia="zh-CN"/>
        </w:rPr>
        <w:t>（1）生产废水</w:t>
      </w:r>
      <w:bookmarkEnd w:id="452"/>
      <w:bookmarkEnd w:id="453"/>
    </w:p>
    <w:p w14:paraId="1961297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本项目生产用水主要为废旧滴灌带破碎工段喷淋废水、废旧滴灌带清洗工段清洗废水、再生聚乙烯颗粒料和滴灌带冷却循环水。</w:t>
      </w:r>
    </w:p>
    <w:p w14:paraId="3F80FC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1）清洗废水</w:t>
      </w:r>
    </w:p>
    <w:p w14:paraId="526A13A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是先破碎后进入清洗工序，采用物理清洗方法，清洗过程不添加其他化学试剂。项目清洗废水经沉淀池沉淀处理后，项目清洗废水主要污染物为SS，上层清水回用于清洗工序，下层污泥主要以泥沙为主，待生产季结束后统一清掏，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w:t>
      </w:r>
      <w:r>
        <w:rPr>
          <w:rFonts w:hint="eastAsia" w:ascii="Times New Roman" w:hAnsi="Times New Roman"/>
          <w:snapToGrid/>
          <w:color w:val="auto"/>
          <w:sz w:val="24"/>
          <w:szCs w:val="24"/>
          <w:lang w:val="en-US" w:eastAsia="zh-CN"/>
        </w:rPr>
        <w:t>清运至垃圾填埋场</w:t>
      </w:r>
      <w:r>
        <w:rPr>
          <w:rFonts w:ascii="Times New Roman" w:hAnsi="Times New Roman"/>
          <w:snapToGrid/>
          <w:color w:val="auto"/>
          <w:sz w:val="24"/>
          <w:szCs w:val="24"/>
          <w:lang w:eastAsia="zh-CN"/>
        </w:rPr>
        <w:t>填埋处理。</w:t>
      </w:r>
    </w:p>
    <w:p w14:paraId="4A81885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本次环评参考《排放源统计调查产排污核算方法和系数手册》（公告2021年第24号）中42废弃资源综合利用行业系数手册，项目废PE湿法破碎+清洗废水量产污系数为1.0吨/吨</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原料，项目回收废旧滴灌带</w:t>
      </w:r>
      <w:r>
        <w:rPr>
          <w:rFonts w:hint="eastAsia" w:ascii="Times New Roman" w:hAnsi="Times New Roman"/>
          <w:snapToGrid/>
          <w:color w:val="auto"/>
          <w:sz w:val="24"/>
          <w:szCs w:val="24"/>
          <w:lang w:eastAsia="zh-CN"/>
        </w:rPr>
        <w:t>5517.2</w:t>
      </w:r>
      <w:r>
        <w:rPr>
          <w:rFonts w:ascii="Times New Roman" w:hAnsi="Times New Roman"/>
          <w:snapToGrid/>
          <w:color w:val="auto"/>
          <w:sz w:val="24"/>
          <w:szCs w:val="24"/>
          <w:lang w:eastAsia="zh-CN"/>
        </w:rPr>
        <w:t>t/a，则项目废旧滴灌带清洗废水产生量为</w:t>
      </w:r>
      <w:r>
        <w:rPr>
          <w:rFonts w:hint="eastAsia" w:ascii="Times New Roman" w:hAnsi="Times New Roman"/>
          <w:snapToGrid/>
          <w:color w:val="auto"/>
          <w:sz w:val="24"/>
          <w:szCs w:val="24"/>
          <w:lang w:eastAsia="zh-CN"/>
        </w:rPr>
        <w:t>22.98</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w:t>
      </w:r>
      <w:r>
        <w:rPr>
          <w:rFonts w:hint="eastAsia" w:ascii="Times New Roman" w:hAnsi="Times New Roman"/>
          <w:snapToGrid/>
          <w:color w:val="auto"/>
          <w:sz w:val="24"/>
          <w:szCs w:val="24"/>
          <w:lang w:eastAsia="zh-CN"/>
        </w:rPr>
        <w:t>5517.2</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/a），废旧滴灌带清洗以及沉淀池沉淀过程会有部分水量损耗，主要为物料及沉淀底泥带走，根据同类项目损耗量约为4m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/d，损耗部分补充新鲜水。</w:t>
      </w:r>
    </w:p>
    <w:p w14:paraId="1436DE8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本项目利用废塑料作为主要原料，生产废水主要成分为原料带入的细沙、泥土等无机物，有机物含量较少，污染物浓度SS300mg/L。项目废旧滴灌带清洗废水经厂区1座</w:t>
      </w:r>
      <w:r>
        <w:rPr>
          <w:rFonts w:hint="eastAsia" w:ascii="Times New Roman" w:hAnsi="Times New Roman"/>
          <w:snapToGrid/>
          <w:color w:val="auto"/>
          <w:sz w:val="24"/>
          <w:szCs w:val="24"/>
          <w:lang w:eastAsia="zh-CN"/>
        </w:rPr>
        <w:t>500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的三级沉淀池处理后循环利用，无废水排放。综上所述，生产废水全部回用于生产，不外排</w:t>
      </w:r>
      <w:r>
        <w:rPr>
          <w:rFonts w:hint="eastAsia" w:ascii="Times New Roman" w:hAnsi="Times New Roman"/>
          <w:snapToGrid/>
          <w:color w:val="auto"/>
          <w:sz w:val="24"/>
          <w:szCs w:val="24"/>
          <w:lang w:eastAsia="zh-CN"/>
        </w:rPr>
        <w:t>。</w:t>
      </w:r>
    </w:p>
    <w:p w14:paraId="18031B1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2）冷却水</w:t>
      </w:r>
    </w:p>
    <w:p w14:paraId="4A31F5A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废旧滴灌带造粒工段冷却用水补充新鲜用水量为</w:t>
      </w:r>
      <w:r>
        <w:rPr>
          <w:rFonts w:hint="eastAsia" w:ascii="Times New Roman" w:hAnsi="Times New Roman"/>
          <w:snapToGrid/>
          <w:color w:val="auto"/>
          <w:sz w:val="24"/>
          <w:szCs w:val="24"/>
          <w:lang w:val="en-US" w:eastAsia="zh-CN"/>
        </w:rPr>
        <w:t>2.4</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/d，滴灌带生产冷却用水补充新鲜用水量</w:t>
      </w:r>
      <w:r>
        <w:rPr>
          <w:rFonts w:hint="eastAsia" w:ascii="Times New Roman" w:hAnsi="Times New Roman"/>
          <w:snapToGrid/>
          <w:color w:val="auto"/>
          <w:sz w:val="24"/>
          <w:szCs w:val="24"/>
          <w:lang w:val="en-US" w:eastAsia="zh-CN"/>
        </w:rPr>
        <w:t>2.4</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/d，经一座循环水池（</w:t>
      </w:r>
      <w:r>
        <w:rPr>
          <w:rFonts w:hint="eastAsia" w:ascii="Times New Roman" w:hAnsi="Times New Roman"/>
          <w:snapToGrid/>
          <w:color w:val="auto"/>
          <w:sz w:val="24"/>
          <w:szCs w:val="24"/>
          <w:lang w:eastAsia="zh-CN"/>
        </w:rPr>
        <w:t>50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）冷却后循环利用，项目冷却水循环使用不外排。</w:t>
      </w:r>
    </w:p>
    <w:p w14:paraId="79A8D98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54" w:name="_Toc11576"/>
      <w:bookmarkStart w:id="455" w:name="_Toc6928"/>
      <w:r>
        <w:rPr>
          <w:rFonts w:ascii="Times New Roman" w:hAnsi="Times New Roman"/>
          <w:snapToGrid/>
          <w:color w:val="auto"/>
          <w:sz w:val="24"/>
          <w:szCs w:val="24"/>
          <w:lang w:eastAsia="zh-CN"/>
        </w:rPr>
        <w:t>（2）</w:t>
      </w:r>
      <w:r>
        <w:rPr>
          <w:rFonts w:hint="eastAsia" w:ascii="Times New Roman" w:hAnsi="Times New Roman"/>
          <w:snapToGrid/>
          <w:color w:val="auto"/>
          <w:sz w:val="24"/>
          <w:szCs w:val="24"/>
          <w:lang w:eastAsia="zh-CN"/>
        </w:rPr>
        <w:t>生活污水</w:t>
      </w:r>
      <w:bookmarkEnd w:id="454"/>
      <w:bookmarkEnd w:id="455"/>
    </w:p>
    <w:p w14:paraId="5DAE31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项目劳动定员为20</w:t>
      </w:r>
      <w:r>
        <w:rPr>
          <w:rFonts w:hint="eastAsia" w:ascii="Times New Roman" w:hAnsi="Times New Roman"/>
          <w:snapToGrid/>
          <w:color w:val="auto"/>
          <w:sz w:val="24"/>
          <w:szCs w:val="24"/>
          <w:lang w:eastAsia="zh-CN"/>
        </w:rPr>
        <w:t>人</w:t>
      </w:r>
      <w:r>
        <w:rPr>
          <w:rFonts w:ascii="Times New Roman" w:hAnsi="Times New Roman"/>
          <w:snapToGrid/>
          <w:color w:val="auto"/>
          <w:sz w:val="24"/>
          <w:szCs w:val="24"/>
          <w:lang w:eastAsia="zh-CN"/>
        </w:rPr>
        <w:t>，在厂区内住宿，根据《排放源统计调查产排污核算方法和系数手册》—“生活污染源产排污系数手册”—第二部分农村生活污水污染物产生与排放系数（新疆昌吉回族自治州）中污水排放系数为28.07L/人·d，项目全年有效生产运营240d，则项目员工办公生活污水量约为0.56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/d（134.7m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val="en-US" w:eastAsia="zh-CN"/>
        </w:rPr>
        <w:t>则生活用水量为0.7m</w:t>
      </w:r>
      <w:r>
        <w:rPr>
          <w:rFonts w:hint="eastAsia" w:ascii="Times New Roman" w:hAnsi="Times New Roman"/>
          <w:snapToGrid/>
          <w:color w:val="auto"/>
          <w:sz w:val="24"/>
          <w:szCs w:val="24"/>
          <w:vertAlign w:val="superscript"/>
          <w:lang w:val="en-US" w:eastAsia="zh-CN"/>
        </w:rPr>
        <w:t>3</w:t>
      </w:r>
      <w:r>
        <w:rPr>
          <w:rFonts w:hint="eastAsia" w:ascii="Times New Roman" w:hAnsi="Times New Roman"/>
          <w:snapToGrid/>
          <w:color w:val="auto"/>
          <w:sz w:val="24"/>
          <w:szCs w:val="24"/>
          <w:vertAlign w:val="baseline"/>
          <w:lang w:val="en-US" w:eastAsia="zh-CN"/>
        </w:rPr>
        <w:t>/d（168m</w:t>
      </w:r>
      <w:r>
        <w:rPr>
          <w:rFonts w:hint="eastAsia" w:ascii="Times New Roman" w:hAnsi="Times New Roman"/>
          <w:snapToGrid/>
          <w:color w:val="auto"/>
          <w:sz w:val="24"/>
          <w:szCs w:val="24"/>
          <w:vertAlign w:val="superscript"/>
          <w:lang w:val="en-US" w:eastAsia="zh-CN"/>
        </w:rPr>
        <w:t>3</w:t>
      </w:r>
      <w:r>
        <w:rPr>
          <w:rFonts w:hint="eastAsia" w:ascii="Times New Roman" w:hAnsi="Times New Roman"/>
          <w:snapToGrid/>
          <w:color w:val="auto"/>
          <w:sz w:val="24"/>
          <w:szCs w:val="24"/>
          <w:vertAlign w:val="baseline"/>
          <w:lang w:val="en-US" w:eastAsia="zh-CN"/>
        </w:rPr>
        <w:t>/a）。</w:t>
      </w:r>
      <w:r>
        <w:rPr>
          <w:rFonts w:ascii="Times New Roman" w:hAnsi="Times New Roman"/>
          <w:snapToGrid/>
          <w:color w:val="auto"/>
          <w:sz w:val="24"/>
          <w:szCs w:val="24"/>
          <w:lang w:eastAsia="zh-CN"/>
        </w:rPr>
        <w:t>生活污水</w:t>
      </w:r>
      <w:r>
        <w:rPr>
          <w:rFonts w:hint="eastAsia" w:ascii="Times New Roman" w:hAnsi="Times New Roman"/>
          <w:snapToGrid/>
          <w:color w:val="auto"/>
          <w:sz w:val="24"/>
          <w:szCs w:val="24"/>
          <w:lang w:eastAsia="zh-CN"/>
        </w:rPr>
        <w:t>排入防渗化粪池，定期拉运至木垒哈萨克自治县污水处理厂处理</w:t>
      </w:r>
      <w:r>
        <w:rPr>
          <w:rFonts w:ascii="Times New Roman" w:hAnsi="Times New Roman"/>
          <w:snapToGrid/>
          <w:color w:val="auto"/>
          <w:sz w:val="24"/>
          <w:szCs w:val="24"/>
          <w:lang w:eastAsia="zh-CN"/>
        </w:rPr>
        <w:t>。</w:t>
      </w:r>
    </w:p>
    <w:p w14:paraId="7EAE593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本项目全厂废水排放情况见表3.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-6。</w:t>
      </w:r>
    </w:p>
    <w:p w14:paraId="01A158AB">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ascii="Times New Roman" w:hAnsi="Times New Roman" w:cs="Times New Roman"/>
          <w:b/>
          <w:bCs/>
          <w:snapToGrid/>
          <w:color w:val="auto"/>
          <w:sz w:val="24"/>
          <w:lang w:eastAsia="zh-CN"/>
        </w:rPr>
        <w:t>3.</w:t>
      </w:r>
      <w:r>
        <w:rPr>
          <w:rFonts w:hint="eastAsia" w:ascii="Times New Roman" w:hAnsi="Times New Roman" w:cs="Times New Roman"/>
          <w:b/>
          <w:bCs/>
          <w:snapToGrid/>
          <w:color w:val="auto"/>
          <w:sz w:val="24"/>
          <w:lang w:eastAsia="zh-CN"/>
        </w:rPr>
        <w:t>4</w:t>
      </w:r>
      <w:r>
        <w:rPr>
          <w:rFonts w:ascii="Times New Roman" w:hAnsi="Times New Roman" w:cs="Times New Roman"/>
          <w:b/>
          <w:bCs/>
          <w:snapToGrid/>
          <w:color w:val="auto"/>
          <w:sz w:val="24"/>
          <w:lang w:eastAsia="zh-CN"/>
        </w:rPr>
        <w:t>-6</w:t>
      </w:r>
      <w:r>
        <w:rPr>
          <w:rFonts w:ascii="Times New Roman" w:hAnsi="Times New Roman"/>
          <w:b/>
          <w:bCs/>
          <w:snapToGrid/>
          <w:color w:val="auto"/>
          <w:sz w:val="24"/>
          <w:lang w:eastAsia="zh-CN"/>
        </w:rPr>
        <w:t>废水产生及排放统计表单位：</w:t>
      </w:r>
      <w:r>
        <w:rPr>
          <w:rFonts w:ascii="Times New Roman" w:hAnsi="Times New Roman" w:cs="Times New Roman"/>
          <w:b/>
          <w:bCs/>
          <w:snapToGrid/>
          <w:color w:val="auto"/>
          <w:sz w:val="24"/>
          <w:lang w:eastAsia="zh-CN"/>
        </w:rPr>
        <w:t>t/a</w:t>
      </w: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05"/>
        <w:gridCol w:w="991"/>
        <w:gridCol w:w="1456"/>
        <w:gridCol w:w="1020"/>
        <w:gridCol w:w="1413"/>
        <w:gridCol w:w="1156"/>
        <w:gridCol w:w="1780"/>
      </w:tblGrid>
      <w:tr w14:paraId="5486D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59" w:type="pct"/>
            <w:tcBorders>
              <w:tl2br w:val="nil"/>
              <w:tr2bl w:val="nil"/>
            </w:tcBorders>
            <w:vAlign w:val="center"/>
          </w:tcPr>
          <w:p w14:paraId="25D348E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类别</w:t>
            </w:r>
          </w:p>
        </w:tc>
        <w:tc>
          <w:tcPr>
            <w:tcW w:w="588" w:type="pct"/>
            <w:tcBorders>
              <w:tl2br w:val="nil"/>
              <w:tr2bl w:val="nil"/>
            </w:tcBorders>
            <w:vAlign w:val="center"/>
          </w:tcPr>
          <w:p w14:paraId="35A082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控制项目</w:t>
            </w:r>
          </w:p>
        </w:tc>
        <w:tc>
          <w:tcPr>
            <w:tcW w:w="864" w:type="pct"/>
            <w:tcBorders>
              <w:tl2br w:val="nil"/>
              <w:tr2bl w:val="nil"/>
            </w:tcBorders>
            <w:vAlign w:val="center"/>
          </w:tcPr>
          <w:p w14:paraId="69CB047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cs="宋体"/>
                <w:b/>
                <w:bCs/>
                <w:snapToGrid/>
                <w:color w:val="auto"/>
              </w:rPr>
              <w:t>产生浓度</w:t>
            </w:r>
            <w:r>
              <w:rPr>
                <w:rFonts w:eastAsia="宋体"/>
                <w:b/>
                <w:bCs/>
                <w:snapToGrid/>
                <w:color w:val="auto"/>
              </w:rPr>
              <w:t>mg/L</w:t>
            </w:r>
          </w:p>
        </w:tc>
        <w:tc>
          <w:tcPr>
            <w:tcW w:w="605" w:type="pct"/>
            <w:tcBorders>
              <w:tl2br w:val="nil"/>
              <w:tr2bl w:val="nil"/>
            </w:tcBorders>
            <w:vAlign w:val="center"/>
          </w:tcPr>
          <w:p w14:paraId="2C76327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hint="eastAsia" w:eastAsia="宋体"/>
                <w:b/>
                <w:bCs/>
                <w:snapToGrid/>
                <w:color w:val="auto"/>
                <w:lang w:val="en-US" w:eastAsia="zh-CN"/>
              </w:rPr>
              <w:t>产生量</w:t>
            </w:r>
            <w:r>
              <w:rPr>
                <w:rFonts w:eastAsia="宋体"/>
                <w:b/>
                <w:bCs/>
                <w:snapToGrid/>
                <w:color w:val="auto"/>
              </w:rPr>
              <w:t>t/a</w:t>
            </w:r>
          </w:p>
        </w:tc>
        <w:tc>
          <w:tcPr>
            <w:tcW w:w="838" w:type="pct"/>
            <w:tcBorders>
              <w:tl2br w:val="nil"/>
              <w:tr2bl w:val="nil"/>
            </w:tcBorders>
            <w:vAlign w:val="center"/>
          </w:tcPr>
          <w:p w14:paraId="4D7B3A7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cs="宋体"/>
                <w:b/>
                <w:bCs/>
                <w:snapToGrid/>
                <w:color w:val="auto"/>
              </w:rPr>
              <w:t>排放浓度</w:t>
            </w:r>
            <w:r>
              <w:rPr>
                <w:rFonts w:eastAsia="宋体"/>
                <w:b/>
                <w:bCs/>
                <w:snapToGrid/>
                <w:color w:val="auto"/>
              </w:rPr>
              <w:t>mg/L</w:t>
            </w:r>
          </w:p>
        </w:tc>
        <w:tc>
          <w:tcPr>
            <w:tcW w:w="686" w:type="pct"/>
            <w:tcBorders>
              <w:tl2br w:val="nil"/>
              <w:tr2bl w:val="nil"/>
            </w:tcBorders>
            <w:vAlign w:val="center"/>
          </w:tcPr>
          <w:p w14:paraId="0B7F311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cs="宋体"/>
                <w:b/>
                <w:bCs/>
                <w:snapToGrid/>
                <w:color w:val="auto"/>
              </w:rPr>
              <w:t>排放量</w:t>
            </w:r>
            <w:r>
              <w:rPr>
                <w:rFonts w:eastAsia="宋体"/>
                <w:b/>
                <w:bCs/>
                <w:snapToGrid/>
                <w:color w:val="auto"/>
              </w:rPr>
              <w:t>t/a</w:t>
            </w:r>
          </w:p>
        </w:tc>
        <w:tc>
          <w:tcPr>
            <w:tcW w:w="1056" w:type="pct"/>
            <w:tcBorders>
              <w:tl2br w:val="nil"/>
              <w:tr2bl w:val="nil"/>
            </w:tcBorders>
            <w:vAlign w:val="center"/>
          </w:tcPr>
          <w:p w14:paraId="298AFFD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污染防治措施</w:t>
            </w:r>
          </w:p>
        </w:tc>
      </w:tr>
      <w:tr w14:paraId="527159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359" w:type="pct"/>
            <w:vMerge w:val="restart"/>
            <w:tcBorders>
              <w:tl2br w:val="nil"/>
              <w:tr2bl w:val="nil"/>
            </w:tcBorders>
            <w:vAlign w:val="center"/>
          </w:tcPr>
          <w:p w14:paraId="52FB701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生活污水</w:t>
            </w:r>
          </w:p>
        </w:tc>
        <w:tc>
          <w:tcPr>
            <w:tcW w:w="588" w:type="pct"/>
            <w:tcBorders>
              <w:tl2br w:val="nil"/>
              <w:tr2bl w:val="nil"/>
            </w:tcBorders>
            <w:vAlign w:val="center"/>
          </w:tcPr>
          <w:p w14:paraId="1307E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废水量</w:t>
            </w:r>
          </w:p>
        </w:tc>
        <w:tc>
          <w:tcPr>
            <w:tcW w:w="864" w:type="pct"/>
            <w:tcBorders>
              <w:tl2br w:val="nil"/>
              <w:tr2bl w:val="nil"/>
            </w:tcBorders>
            <w:vAlign w:val="center"/>
          </w:tcPr>
          <w:p w14:paraId="30EAA3CD">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w:t>
            </w:r>
          </w:p>
        </w:tc>
        <w:tc>
          <w:tcPr>
            <w:tcW w:w="605" w:type="pct"/>
            <w:tcBorders>
              <w:tl2br w:val="nil"/>
              <w:tr2bl w:val="nil"/>
            </w:tcBorders>
            <w:vAlign w:val="center"/>
          </w:tcPr>
          <w:p w14:paraId="349AA9E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134.7</w:t>
            </w:r>
          </w:p>
        </w:tc>
        <w:tc>
          <w:tcPr>
            <w:tcW w:w="838" w:type="pct"/>
            <w:tcBorders>
              <w:tl2br w:val="nil"/>
              <w:tr2bl w:val="nil"/>
            </w:tcBorders>
            <w:vAlign w:val="center"/>
          </w:tcPr>
          <w:p w14:paraId="2C7569E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w:t>
            </w:r>
          </w:p>
        </w:tc>
        <w:tc>
          <w:tcPr>
            <w:tcW w:w="686" w:type="pct"/>
            <w:tcBorders>
              <w:tl2br w:val="nil"/>
              <w:tr2bl w:val="nil"/>
            </w:tcBorders>
            <w:vAlign w:val="center"/>
          </w:tcPr>
          <w:p w14:paraId="2F6D5C8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134.7</w:t>
            </w:r>
          </w:p>
        </w:tc>
        <w:tc>
          <w:tcPr>
            <w:tcW w:w="1056" w:type="pct"/>
            <w:vMerge w:val="restart"/>
            <w:tcBorders>
              <w:tl2br w:val="nil"/>
              <w:tr2bl w:val="nil"/>
            </w:tcBorders>
            <w:vAlign w:val="center"/>
          </w:tcPr>
          <w:p w14:paraId="1182653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排入防渗化粪池，定期拉运至木垒哈萨克自治县污水处理厂处理</w:t>
            </w:r>
          </w:p>
        </w:tc>
      </w:tr>
      <w:tr w14:paraId="0B134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359" w:type="pct"/>
            <w:vMerge w:val="continue"/>
            <w:tcBorders>
              <w:tl2br w:val="nil"/>
              <w:tr2bl w:val="nil"/>
            </w:tcBorders>
            <w:vAlign w:val="center"/>
          </w:tcPr>
          <w:p w14:paraId="617F924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c>
          <w:tcPr>
            <w:tcW w:w="588" w:type="pct"/>
            <w:tcBorders>
              <w:tl2br w:val="nil"/>
              <w:tr2bl w:val="nil"/>
            </w:tcBorders>
            <w:vAlign w:val="center"/>
          </w:tcPr>
          <w:p w14:paraId="761B3056">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COD</w:t>
            </w:r>
            <w:r>
              <w:rPr>
                <w:rFonts w:eastAsia="宋体"/>
                <w:snapToGrid/>
                <w:color w:val="auto"/>
                <w:vertAlign w:val="subscript"/>
              </w:rPr>
              <w:t>cr</w:t>
            </w:r>
          </w:p>
        </w:tc>
        <w:tc>
          <w:tcPr>
            <w:tcW w:w="864" w:type="pct"/>
            <w:tcBorders>
              <w:tl2br w:val="nil"/>
              <w:tr2bl w:val="nil"/>
            </w:tcBorders>
            <w:vAlign w:val="center"/>
          </w:tcPr>
          <w:p w14:paraId="0C1A5A31">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300</w:t>
            </w:r>
          </w:p>
        </w:tc>
        <w:tc>
          <w:tcPr>
            <w:tcW w:w="605" w:type="pct"/>
            <w:tcBorders>
              <w:tl2br w:val="nil"/>
              <w:tr2bl w:val="nil"/>
            </w:tcBorders>
            <w:vAlign w:val="center"/>
          </w:tcPr>
          <w:p w14:paraId="6A02C285">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0.04</w:t>
            </w:r>
          </w:p>
        </w:tc>
        <w:tc>
          <w:tcPr>
            <w:tcW w:w="838" w:type="pct"/>
            <w:tcBorders>
              <w:tl2br w:val="nil"/>
              <w:tr2bl w:val="nil"/>
            </w:tcBorders>
            <w:vAlign w:val="center"/>
          </w:tcPr>
          <w:p w14:paraId="06ED556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255</w:t>
            </w:r>
          </w:p>
        </w:tc>
        <w:tc>
          <w:tcPr>
            <w:tcW w:w="686" w:type="pct"/>
            <w:tcBorders>
              <w:tl2br w:val="nil"/>
              <w:tr2bl w:val="nil"/>
            </w:tcBorders>
            <w:vAlign w:val="center"/>
          </w:tcPr>
          <w:p w14:paraId="59F288F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0.034</w:t>
            </w:r>
          </w:p>
        </w:tc>
        <w:tc>
          <w:tcPr>
            <w:tcW w:w="1056" w:type="pct"/>
            <w:vMerge w:val="continue"/>
            <w:tcBorders>
              <w:tl2br w:val="nil"/>
              <w:tr2bl w:val="nil"/>
            </w:tcBorders>
            <w:vAlign w:val="center"/>
          </w:tcPr>
          <w:p w14:paraId="487D542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r>
      <w:tr w14:paraId="2F100A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59" w:type="pct"/>
            <w:vMerge w:val="continue"/>
            <w:tcBorders>
              <w:tl2br w:val="nil"/>
              <w:tr2bl w:val="nil"/>
            </w:tcBorders>
            <w:vAlign w:val="center"/>
          </w:tcPr>
          <w:p w14:paraId="7E1D9F2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c>
          <w:tcPr>
            <w:tcW w:w="588" w:type="pct"/>
            <w:tcBorders>
              <w:tl2br w:val="nil"/>
              <w:tr2bl w:val="nil"/>
            </w:tcBorders>
            <w:vAlign w:val="center"/>
          </w:tcPr>
          <w:p w14:paraId="5170BEFE">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szCs w:val="13"/>
              </w:rPr>
            </w:pPr>
            <w:r>
              <w:rPr>
                <w:rFonts w:eastAsia="宋体"/>
                <w:snapToGrid/>
                <w:color w:val="auto"/>
              </w:rPr>
              <w:t>BOD</w:t>
            </w:r>
            <w:r>
              <w:rPr>
                <w:rFonts w:eastAsia="宋体"/>
                <w:snapToGrid/>
                <w:color w:val="auto"/>
                <w:szCs w:val="13"/>
                <w:vertAlign w:val="subscript"/>
              </w:rPr>
              <w:t>5</w:t>
            </w:r>
          </w:p>
        </w:tc>
        <w:tc>
          <w:tcPr>
            <w:tcW w:w="864" w:type="pct"/>
            <w:tcBorders>
              <w:tl2br w:val="nil"/>
              <w:tr2bl w:val="nil"/>
            </w:tcBorders>
            <w:vAlign w:val="center"/>
          </w:tcPr>
          <w:p w14:paraId="6D5BE5E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200</w:t>
            </w:r>
          </w:p>
        </w:tc>
        <w:tc>
          <w:tcPr>
            <w:tcW w:w="605" w:type="pct"/>
            <w:tcBorders>
              <w:tl2br w:val="nil"/>
              <w:tr2bl w:val="nil"/>
            </w:tcBorders>
            <w:vAlign w:val="center"/>
          </w:tcPr>
          <w:p w14:paraId="79906BC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0.027</w:t>
            </w:r>
          </w:p>
        </w:tc>
        <w:tc>
          <w:tcPr>
            <w:tcW w:w="838" w:type="pct"/>
            <w:tcBorders>
              <w:tl2br w:val="nil"/>
              <w:tr2bl w:val="nil"/>
            </w:tcBorders>
            <w:vAlign w:val="center"/>
          </w:tcPr>
          <w:p w14:paraId="34843BA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182</w:t>
            </w:r>
          </w:p>
        </w:tc>
        <w:tc>
          <w:tcPr>
            <w:tcW w:w="686" w:type="pct"/>
            <w:tcBorders>
              <w:tl2br w:val="nil"/>
              <w:tr2bl w:val="nil"/>
            </w:tcBorders>
            <w:vAlign w:val="center"/>
          </w:tcPr>
          <w:p w14:paraId="4FF1B868">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0.024</w:t>
            </w:r>
          </w:p>
        </w:tc>
        <w:tc>
          <w:tcPr>
            <w:tcW w:w="1056" w:type="pct"/>
            <w:vMerge w:val="continue"/>
            <w:tcBorders>
              <w:tl2br w:val="nil"/>
              <w:tr2bl w:val="nil"/>
            </w:tcBorders>
            <w:vAlign w:val="center"/>
          </w:tcPr>
          <w:p w14:paraId="073C4AD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r>
      <w:tr w14:paraId="3916E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59" w:type="pct"/>
            <w:vMerge w:val="continue"/>
            <w:tcBorders>
              <w:tl2br w:val="nil"/>
              <w:tr2bl w:val="nil"/>
            </w:tcBorders>
            <w:vAlign w:val="center"/>
          </w:tcPr>
          <w:p w14:paraId="157DF50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c>
          <w:tcPr>
            <w:tcW w:w="588" w:type="pct"/>
            <w:tcBorders>
              <w:tl2br w:val="nil"/>
              <w:tr2bl w:val="nil"/>
            </w:tcBorders>
            <w:vAlign w:val="center"/>
          </w:tcPr>
          <w:p w14:paraId="1C2D526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氨氮</w:t>
            </w:r>
          </w:p>
        </w:tc>
        <w:tc>
          <w:tcPr>
            <w:tcW w:w="864" w:type="pct"/>
            <w:tcBorders>
              <w:tl2br w:val="nil"/>
              <w:tr2bl w:val="nil"/>
            </w:tcBorders>
            <w:vAlign w:val="center"/>
          </w:tcPr>
          <w:p w14:paraId="11BFED6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30</w:t>
            </w:r>
          </w:p>
        </w:tc>
        <w:tc>
          <w:tcPr>
            <w:tcW w:w="605" w:type="pct"/>
            <w:tcBorders>
              <w:tl2br w:val="nil"/>
              <w:tr2bl w:val="nil"/>
            </w:tcBorders>
            <w:vAlign w:val="center"/>
          </w:tcPr>
          <w:p w14:paraId="0B02442F">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0.004</w:t>
            </w:r>
          </w:p>
        </w:tc>
        <w:tc>
          <w:tcPr>
            <w:tcW w:w="838" w:type="pct"/>
            <w:tcBorders>
              <w:tl2br w:val="nil"/>
              <w:tr2bl w:val="nil"/>
            </w:tcBorders>
            <w:vAlign w:val="center"/>
          </w:tcPr>
          <w:p w14:paraId="70FE7D6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29.1</w:t>
            </w:r>
          </w:p>
        </w:tc>
        <w:tc>
          <w:tcPr>
            <w:tcW w:w="686" w:type="pct"/>
            <w:tcBorders>
              <w:tl2br w:val="nil"/>
              <w:tr2bl w:val="nil"/>
            </w:tcBorders>
            <w:vAlign w:val="center"/>
          </w:tcPr>
          <w:p w14:paraId="6E1E2A24">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0.0039</w:t>
            </w:r>
          </w:p>
        </w:tc>
        <w:tc>
          <w:tcPr>
            <w:tcW w:w="1056" w:type="pct"/>
            <w:vMerge w:val="continue"/>
            <w:tcBorders>
              <w:tl2br w:val="nil"/>
              <w:tr2bl w:val="nil"/>
            </w:tcBorders>
            <w:vAlign w:val="center"/>
          </w:tcPr>
          <w:p w14:paraId="164390C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r>
      <w:tr w14:paraId="795B0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jc w:val="center"/>
        </w:trPr>
        <w:tc>
          <w:tcPr>
            <w:tcW w:w="359" w:type="pct"/>
            <w:vMerge w:val="continue"/>
            <w:tcBorders>
              <w:tl2br w:val="nil"/>
              <w:tr2bl w:val="nil"/>
            </w:tcBorders>
            <w:vAlign w:val="center"/>
          </w:tcPr>
          <w:p w14:paraId="3FA9D5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c>
          <w:tcPr>
            <w:tcW w:w="588" w:type="pct"/>
            <w:tcBorders>
              <w:tl2br w:val="nil"/>
              <w:tr2bl w:val="nil"/>
            </w:tcBorders>
            <w:vAlign w:val="center"/>
          </w:tcPr>
          <w:p w14:paraId="71602D10">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SS</w:t>
            </w:r>
          </w:p>
        </w:tc>
        <w:tc>
          <w:tcPr>
            <w:tcW w:w="864" w:type="pct"/>
            <w:tcBorders>
              <w:tl2br w:val="nil"/>
              <w:tr2bl w:val="nil"/>
            </w:tcBorders>
            <w:vAlign w:val="center"/>
          </w:tcPr>
          <w:p w14:paraId="11ADC5F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200</w:t>
            </w:r>
          </w:p>
        </w:tc>
        <w:tc>
          <w:tcPr>
            <w:tcW w:w="605" w:type="pct"/>
            <w:tcBorders>
              <w:tl2br w:val="nil"/>
              <w:tr2bl w:val="nil"/>
            </w:tcBorders>
            <w:vAlign w:val="center"/>
          </w:tcPr>
          <w:p w14:paraId="5291221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eastAsia="宋体"/>
                <w:snapToGrid/>
                <w:color w:val="auto"/>
              </w:rPr>
            </w:pPr>
            <w:r>
              <w:rPr>
                <w:rFonts w:eastAsia="宋体"/>
                <w:snapToGrid/>
                <w:color w:val="auto"/>
              </w:rPr>
              <w:t>0.027</w:t>
            </w:r>
          </w:p>
        </w:tc>
        <w:tc>
          <w:tcPr>
            <w:tcW w:w="838" w:type="pct"/>
            <w:tcBorders>
              <w:tl2br w:val="nil"/>
              <w:tr2bl w:val="nil"/>
            </w:tcBorders>
            <w:vAlign w:val="center"/>
          </w:tcPr>
          <w:p w14:paraId="24D5F2D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140</w:t>
            </w:r>
          </w:p>
        </w:tc>
        <w:tc>
          <w:tcPr>
            <w:tcW w:w="686" w:type="pct"/>
            <w:tcBorders>
              <w:tl2br w:val="nil"/>
              <w:tr2bl w:val="nil"/>
            </w:tcBorders>
            <w:vAlign w:val="center"/>
          </w:tcPr>
          <w:p w14:paraId="3ED2398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0.019</w:t>
            </w:r>
          </w:p>
        </w:tc>
        <w:tc>
          <w:tcPr>
            <w:tcW w:w="1056" w:type="pct"/>
            <w:vMerge w:val="continue"/>
            <w:tcBorders>
              <w:tl2br w:val="nil"/>
              <w:tr2bl w:val="nil"/>
            </w:tcBorders>
            <w:vAlign w:val="center"/>
          </w:tcPr>
          <w:p w14:paraId="21F61A4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rPr>
            </w:pPr>
          </w:p>
        </w:tc>
      </w:tr>
    </w:tbl>
    <w:p w14:paraId="349BBE00">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456" w:name="_Toc2423"/>
      <w:bookmarkStart w:id="457" w:name="_Toc6073"/>
      <w:bookmarkStart w:id="458" w:name="_Toc5957"/>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"C:\\Users\\jobezho\\AppData\\Local\\Temp\\Rar$DIa13476.12779\\3.5.2.3"</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3.4.2.3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噪声</w:t>
      </w:r>
      <w:bookmarkEnd w:id="456"/>
      <w:bookmarkEnd w:id="457"/>
      <w:bookmarkEnd w:id="458"/>
    </w:p>
    <w:p w14:paraId="55D4E6B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本项目噪声源主要为破碎机、搅拌机、造粒机、切粒机、挤出机、风机、水泵等设备，噪声声级范围65~90dB（A），本项目噪声污染源分析见表3.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-7。</w:t>
      </w:r>
    </w:p>
    <w:p w14:paraId="63A480E1">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-7生产主要噪声设备一览表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72"/>
        <w:gridCol w:w="1819"/>
        <w:gridCol w:w="1996"/>
        <w:gridCol w:w="2736"/>
      </w:tblGrid>
      <w:tr w14:paraId="5DA3A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111" w:type="pct"/>
            <w:tcBorders>
              <w:tl2br w:val="nil"/>
              <w:tr2bl w:val="nil"/>
            </w:tcBorders>
            <w:vAlign w:val="center"/>
          </w:tcPr>
          <w:p w14:paraId="38F115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设备名称</w:t>
            </w:r>
          </w:p>
        </w:tc>
        <w:tc>
          <w:tcPr>
            <w:tcW w:w="1079" w:type="pct"/>
            <w:tcBorders>
              <w:tl2br w:val="nil"/>
              <w:tr2bl w:val="nil"/>
            </w:tcBorders>
            <w:vAlign w:val="center"/>
          </w:tcPr>
          <w:p w14:paraId="13D7657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位置</w:t>
            </w:r>
          </w:p>
        </w:tc>
        <w:tc>
          <w:tcPr>
            <w:tcW w:w="1184" w:type="pct"/>
            <w:tcBorders>
              <w:tl2br w:val="nil"/>
              <w:tr2bl w:val="nil"/>
            </w:tcBorders>
            <w:vAlign w:val="center"/>
          </w:tcPr>
          <w:p w14:paraId="495BF42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b/>
                <w:bCs/>
                <w:snapToGrid/>
                <w:color w:val="auto"/>
              </w:rPr>
              <w:t>声级值</w:t>
            </w:r>
            <w:r>
              <w:rPr>
                <w:rFonts w:eastAsia="宋体"/>
                <w:b/>
                <w:bCs/>
                <w:snapToGrid/>
                <w:color w:val="auto"/>
              </w:rPr>
              <w:t>[dB</w:t>
            </w:r>
            <w:r>
              <w:rPr>
                <w:rFonts w:hint="eastAsia" w:eastAsia="宋体"/>
                <w:b/>
                <w:bCs/>
                <w:snapToGrid/>
                <w:color w:val="auto"/>
                <w:lang w:eastAsia="zh-CN"/>
              </w:rPr>
              <w:t>（</w:t>
            </w:r>
            <w:r>
              <w:rPr>
                <w:rFonts w:eastAsia="宋体"/>
                <w:b/>
                <w:bCs/>
                <w:snapToGrid/>
                <w:color w:val="auto"/>
              </w:rPr>
              <w:t>A</w:t>
            </w:r>
            <w:r>
              <w:rPr>
                <w:rFonts w:hint="eastAsia" w:eastAsia="宋体"/>
                <w:b/>
                <w:bCs/>
                <w:snapToGrid/>
                <w:color w:val="auto"/>
                <w:lang w:eastAsia="zh-CN"/>
              </w:rPr>
              <w:t>）</w:t>
            </w:r>
            <w:r>
              <w:rPr>
                <w:rFonts w:eastAsia="宋体"/>
                <w:b/>
                <w:bCs/>
                <w:snapToGrid/>
                <w:color w:val="auto"/>
              </w:rPr>
              <w:t>]</w:t>
            </w:r>
          </w:p>
        </w:tc>
        <w:tc>
          <w:tcPr>
            <w:tcW w:w="1623" w:type="pct"/>
            <w:tcBorders>
              <w:tl2br w:val="nil"/>
              <w:tr2bl w:val="nil"/>
            </w:tcBorders>
            <w:vAlign w:val="center"/>
          </w:tcPr>
          <w:p w14:paraId="67B31E7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噪声特性</w:t>
            </w:r>
          </w:p>
        </w:tc>
      </w:tr>
      <w:tr w14:paraId="12FCE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111" w:type="pct"/>
            <w:tcBorders>
              <w:tl2br w:val="nil"/>
              <w:tr2bl w:val="nil"/>
            </w:tcBorders>
            <w:vAlign w:val="center"/>
          </w:tcPr>
          <w:p w14:paraId="699C07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造粒破碎机</w:t>
            </w:r>
          </w:p>
        </w:tc>
        <w:tc>
          <w:tcPr>
            <w:tcW w:w="1079" w:type="pct"/>
            <w:vMerge w:val="restart"/>
            <w:tcBorders>
              <w:tl2br w:val="nil"/>
              <w:tr2bl w:val="nil"/>
            </w:tcBorders>
            <w:vAlign w:val="center"/>
          </w:tcPr>
          <w:p w14:paraId="21EA88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造粒生产工段</w:t>
            </w:r>
          </w:p>
        </w:tc>
        <w:tc>
          <w:tcPr>
            <w:tcW w:w="1184" w:type="pct"/>
            <w:tcBorders>
              <w:tl2br w:val="nil"/>
              <w:tr2bl w:val="nil"/>
            </w:tcBorders>
            <w:vAlign w:val="center"/>
          </w:tcPr>
          <w:p w14:paraId="3D71C46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80-90</w:t>
            </w:r>
          </w:p>
        </w:tc>
        <w:tc>
          <w:tcPr>
            <w:tcW w:w="1623" w:type="pct"/>
            <w:tcBorders>
              <w:tl2br w:val="nil"/>
              <w:tr2bl w:val="nil"/>
            </w:tcBorders>
            <w:vAlign w:val="center"/>
          </w:tcPr>
          <w:p w14:paraId="50882B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机械噪声间断运行</w:t>
            </w:r>
          </w:p>
        </w:tc>
      </w:tr>
      <w:tr w14:paraId="0BDCBB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1111" w:type="pct"/>
            <w:tcBorders>
              <w:tl2br w:val="nil"/>
              <w:tr2bl w:val="nil"/>
            </w:tcBorders>
            <w:vAlign w:val="center"/>
          </w:tcPr>
          <w:p w14:paraId="0BE7C2E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造粒机</w:t>
            </w:r>
          </w:p>
        </w:tc>
        <w:tc>
          <w:tcPr>
            <w:tcW w:w="1079" w:type="pct"/>
            <w:vMerge w:val="continue"/>
            <w:tcBorders>
              <w:tl2br w:val="nil"/>
              <w:tr2bl w:val="nil"/>
            </w:tcBorders>
            <w:vAlign w:val="center"/>
          </w:tcPr>
          <w:p w14:paraId="552BC0D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84" w:type="pct"/>
            <w:tcBorders>
              <w:tl2br w:val="nil"/>
              <w:tr2bl w:val="nil"/>
            </w:tcBorders>
            <w:vAlign w:val="center"/>
          </w:tcPr>
          <w:p w14:paraId="0A931F6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60-70</w:t>
            </w:r>
          </w:p>
        </w:tc>
        <w:tc>
          <w:tcPr>
            <w:tcW w:w="1623" w:type="pct"/>
            <w:tcBorders>
              <w:tl2br w:val="nil"/>
              <w:tr2bl w:val="nil"/>
            </w:tcBorders>
            <w:vAlign w:val="center"/>
          </w:tcPr>
          <w:p w14:paraId="4927831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机械噪声间断运行</w:t>
            </w:r>
          </w:p>
        </w:tc>
      </w:tr>
      <w:tr w14:paraId="392BF8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1111" w:type="pct"/>
            <w:tcBorders>
              <w:tl2br w:val="nil"/>
              <w:tr2bl w:val="nil"/>
            </w:tcBorders>
            <w:vAlign w:val="center"/>
          </w:tcPr>
          <w:p w14:paraId="2E0B8BA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滴灌带挤出机</w:t>
            </w:r>
          </w:p>
        </w:tc>
        <w:tc>
          <w:tcPr>
            <w:tcW w:w="1079" w:type="pct"/>
            <w:tcBorders>
              <w:tl2br w:val="nil"/>
              <w:tr2bl w:val="nil"/>
            </w:tcBorders>
            <w:vAlign w:val="center"/>
          </w:tcPr>
          <w:p w14:paraId="0BF8CB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滴灌带生产工段</w:t>
            </w:r>
          </w:p>
        </w:tc>
        <w:tc>
          <w:tcPr>
            <w:tcW w:w="1184" w:type="pct"/>
            <w:tcBorders>
              <w:tl2br w:val="nil"/>
              <w:tr2bl w:val="nil"/>
            </w:tcBorders>
            <w:vAlign w:val="center"/>
          </w:tcPr>
          <w:p w14:paraId="629C0FB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60-70</w:t>
            </w:r>
          </w:p>
        </w:tc>
        <w:tc>
          <w:tcPr>
            <w:tcW w:w="1623" w:type="pct"/>
            <w:tcBorders>
              <w:tl2br w:val="nil"/>
              <w:tr2bl w:val="nil"/>
            </w:tcBorders>
            <w:vAlign w:val="center"/>
          </w:tcPr>
          <w:p w14:paraId="181358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机械噪声间断运行</w:t>
            </w:r>
          </w:p>
        </w:tc>
      </w:tr>
      <w:tr w14:paraId="12DFF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111" w:type="pct"/>
            <w:tcBorders>
              <w:tl2br w:val="nil"/>
              <w:tr2bl w:val="nil"/>
            </w:tcBorders>
            <w:vAlign w:val="center"/>
          </w:tcPr>
          <w:p w14:paraId="66D885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风机</w:t>
            </w:r>
          </w:p>
        </w:tc>
        <w:tc>
          <w:tcPr>
            <w:tcW w:w="1079" w:type="pct"/>
            <w:tcBorders>
              <w:tl2br w:val="nil"/>
              <w:tr2bl w:val="nil"/>
            </w:tcBorders>
            <w:vAlign w:val="center"/>
          </w:tcPr>
          <w:p w14:paraId="1B97E36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生产厂房</w:t>
            </w:r>
          </w:p>
        </w:tc>
        <w:tc>
          <w:tcPr>
            <w:tcW w:w="1184" w:type="pct"/>
            <w:tcBorders>
              <w:tl2br w:val="nil"/>
              <w:tr2bl w:val="nil"/>
            </w:tcBorders>
            <w:vAlign w:val="center"/>
          </w:tcPr>
          <w:p w14:paraId="2CFC4A6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60-70</w:t>
            </w:r>
          </w:p>
        </w:tc>
        <w:tc>
          <w:tcPr>
            <w:tcW w:w="1623" w:type="pct"/>
            <w:tcBorders>
              <w:tl2br w:val="nil"/>
              <w:tr2bl w:val="nil"/>
            </w:tcBorders>
            <w:vAlign w:val="center"/>
          </w:tcPr>
          <w:p w14:paraId="65C007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机械噪声间断运行</w:t>
            </w:r>
          </w:p>
        </w:tc>
      </w:tr>
    </w:tbl>
    <w:p w14:paraId="356342CB">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459" w:name="_Toc21851"/>
      <w:bookmarkStart w:id="460" w:name="_Toc6785"/>
      <w:bookmarkStart w:id="461" w:name="_Toc434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"C:\\Users\\jobezho\\AppData\\Local\\Temp\\Rar$DIa13476.12779\\3.6.2.4"</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3.4.2.4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固体废物</w:t>
      </w:r>
      <w:bookmarkEnd w:id="459"/>
      <w:bookmarkEnd w:id="460"/>
      <w:bookmarkEnd w:id="461"/>
    </w:p>
    <w:p w14:paraId="3C06270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塑料颗粒加工工序产生的固体废物为废旧滴灌带清洗产生的泥沙、造粒工段产生的废滤网、布袋除尘收集粉尘、滴灌带生产工序产生的不合格产品及边角料；另外还有活性炭吸附装置产生的废活性炭、设备维护产生的废润滑油及工作人员产生的生活垃圾等。</w:t>
      </w:r>
    </w:p>
    <w:p w14:paraId="531359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62" w:name="_Toc2089"/>
      <w:bookmarkStart w:id="463" w:name="_Toc5924"/>
      <w:r>
        <w:rPr>
          <w:rFonts w:ascii="Times New Roman" w:hAnsi="Times New Roman"/>
          <w:snapToGrid/>
          <w:color w:val="auto"/>
          <w:sz w:val="24"/>
          <w:szCs w:val="24"/>
          <w:lang w:eastAsia="zh-CN"/>
        </w:rPr>
        <w:t>（1）</w:t>
      </w:r>
      <w:r>
        <w:rPr>
          <w:rFonts w:hint="eastAsia" w:ascii="Times New Roman" w:hAnsi="Times New Roman"/>
          <w:snapToGrid/>
          <w:color w:val="auto"/>
          <w:sz w:val="24"/>
          <w:szCs w:val="24"/>
          <w:lang w:eastAsia="zh-CN"/>
        </w:rPr>
        <w:t>分拣废物、</w:t>
      </w:r>
      <w:r>
        <w:rPr>
          <w:rFonts w:ascii="Times New Roman" w:hAnsi="Times New Roman"/>
          <w:snapToGrid/>
          <w:color w:val="auto"/>
          <w:sz w:val="24"/>
          <w:szCs w:val="24"/>
          <w:lang w:eastAsia="zh-CN"/>
        </w:rPr>
        <w:t>清洗废渣及泥沙</w:t>
      </w:r>
      <w:bookmarkEnd w:id="462"/>
      <w:bookmarkEnd w:id="463"/>
    </w:p>
    <w:p w14:paraId="28608B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分拣废物</w:t>
      </w:r>
    </w:p>
    <w:p w14:paraId="1AD4E70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分拣废物主要混杂于原料中的非塑料物质，如石块、泥土等，</w:t>
      </w:r>
      <w:r>
        <w:rPr>
          <w:rFonts w:hint="eastAsia" w:ascii="Times New Roman" w:hAnsi="Times New Roman"/>
          <w:snapToGrid/>
          <w:color w:val="auto"/>
          <w:sz w:val="24"/>
          <w:szCs w:val="24"/>
          <w:lang w:eastAsia="zh-CN"/>
        </w:rPr>
        <w:t>其产生量约205.3</w:t>
      </w:r>
      <w:r>
        <w:rPr>
          <w:rFonts w:ascii="Times New Roman" w:hAnsi="Times New Roman"/>
          <w:snapToGrid/>
          <w:color w:val="auto"/>
          <w:sz w:val="24"/>
          <w:szCs w:val="24"/>
          <w:lang w:eastAsia="zh-CN"/>
        </w:rPr>
        <w:t>t/a，</w:t>
      </w:r>
      <w:r>
        <w:rPr>
          <w:rFonts w:hint="eastAsia" w:ascii="Times New Roman" w:hAnsi="Times New Roman"/>
          <w:snapToGrid/>
          <w:color w:val="auto"/>
          <w:sz w:val="24"/>
          <w:szCs w:val="24"/>
          <w:lang w:eastAsia="zh-CN"/>
        </w:rPr>
        <w:t>全部拉运至生活垃圾填埋场处置</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根据《固体废物分类与代码目录》（生态环境部公告2024年第4号），一般固废分类代码为900-099-S59。</w:t>
      </w:r>
    </w:p>
    <w:p w14:paraId="74AFA1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废旧滴灌带在田间回收后直接运回厂区进行破碎清洗，因此，清洗过程会产生废渣及泥沙，本项目废旧滴灌带清洗废渣及泥沙产生量约为307.75t/a。根据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，确定清洗废渣及泥沙的一般固</w:t>
      </w:r>
      <w:bookmarkStart w:id="464" w:name="bookmark70"/>
      <w:bookmarkEnd w:id="464"/>
      <w:r>
        <w:rPr>
          <w:rFonts w:ascii="Times New Roman" w:hAnsi="Times New Roman"/>
          <w:snapToGrid/>
          <w:color w:val="auto"/>
          <w:sz w:val="24"/>
          <w:szCs w:val="24"/>
          <w:lang w:eastAsia="zh-CN"/>
        </w:rPr>
        <w:t>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。本项目废旧滴灌带清洗过程不添加其他化学试剂，使用清水清洗，清洗杂质主要为泥土等，泥土经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至含水率低于60%后，交由环卫部门外运填埋处理。</w:t>
      </w:r>
    </w:p>
    <w:p w14:paraId="10C5419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65" w:name="_Toc4672"/>
      <w:bookmarkStart w:id="466" w:name="_Toc24860"/>
      <w:r>
        <w:rPr>
          <w:rFonts w:ascii="Times New Roman" w:hAnsi="Times New Roman"/>
          <w:snapToGrid/>
          <w:color w:val="auto"/>
          <w:sz w:val="24"/>
          <w:szCs w:val="24"/>
          <w:lang w:eastAsia="zh-CN"/>
        </w:rPr>
        <w:t>（2）滴灌带残次品及边角料</w:t>
      </w:r>
      <w:bookmarkEnd w:id="465"/>
      <w:bookmarkEnd w:id="466"/>
    </w:p>
    <w:p w14:paraId="7A70EB6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滴灌带加工生产定型时会产生残次品及边角料，边角料、残次品产生量为52.05t/a，全部回至破碎工序再次破碎造粒循环利用。根据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，确定滴灌带残次品及边角料的一般固废代码为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w:t>
      </w:r>
    </w:p>
    <w:p w14:paraId="5902DFA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67" w:name="_Toc7074"/>
      <w:bookmarkStart w:id="468" w:name="_Toc2798"/>
      <w:r>
        <w:rPr>
          <w:rFonts w:ascii="Times New Roman" w:hAnsi="Times New Roman"/>
          <w:snapToGrid/>
          <w:color w:val="auto"/>
          <w:sz w:val="24"/>
          <w:szCs w:val="24"/>
          <w:lang w:eastAsia="zh-CN"/>
        </w:rPr>
        <w:t>（3）废滤网</w:t>
      </w:r>
      <w:bookmarkEnd w:id="467"/>
      <w:bookmarkEnd w:id="468"/>
    </w:p>
    <w:p w14:paraId="5E4BB80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废旧滴灌带在造粒工段需要进行加热融化，为保证再生颗粒料的质量，需要对熔融态废料进行过滤后再进行造粒，所使用的滤网随着使用时间的延长，网眼会逐渐变小，直至不能使用，根据同类项目调查，本项目滤网每天更换2次，每次20张，每张过滤网重约0.25kg，则本项目废旧滤网产生量约为2.4t/a，滤网上主要为熔融废塑料的杂质。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，确定废旧滤网的一般固废代码为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w:t>
      </w:r>
    </w:p>
    <w:p w14:paraId="19DED52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根据《废塑料加工利用污染防治管理规定》（</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、发展改革委、商务部联合公告2012年第55号）“废塑料加工利用单位应当以环境无害化方式处理废塑料加工利用过</w:t>
      </w:r>
      <w:r>
        <w:rPr>
          <w:rFonts w:hint="eastAsia" w:ascii="Times New Roman" w:hAnsi="Times New Roman"/>
          <w:snapToGrid/>
          <w:color w:val="auto"/>
          <w:sz w:val="24"/>
          <w:szCs w:val="24"/>
          <w:lang w:eastAsia="zh-CN"/>
        </w:rPr>
        <w:t>程中</w:t>
      </w:r>
      <w:r>
        <w:rPr>
          <w:rFonts w:ascii="Times New Roman" w:hAnsi="Times New Roman"/>
          <w:snapToGrid/>
          <w:color w:val="auto"/>
          <w:sz w:val="24"/>
          <w:szCs w:val="24"/>
          <w:lang w:eastAsia="zh-CN"/>
        </w:rPr>
        <w:t>产生的残余垃圾、滤网；禁止交不符合环保要求的单位或个人处置。禁止露天焚烧废塑料及加工利用过程产生的残余垃圾、滤网”。此类废物为废塑料熔融废物，为一般工业废物，本环评要求建设单位将废滤网集中收集后由滤网厂家回收。</w:t>
      </w:r>
    </w:p>
    <w:p w14:paraId="14A339D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69" w:name="_Toc16974"/>
      <w:bookmarkStart w:id="470" w:name="_Toc1833"/>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）废润滑油</w:t>
      </w:r>
      <w:bookmarkEnd w:id="469"/>
      <w:bookmarkEnd w:id="470"/>
    </w:p>
    <w:p w14:paraId="54EFBC2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本项目生产过程中使用的机械设备需定期更换润滑油以保证设备正常运转，预计每年需更换润滑油500kg。</w:t>
      </w:r>
      <w:r>
        <w:rPr>
          <w:rFonts w:hint="eastAsia" w:ascii="Times New Roman" w:hAnsi="Times New Roman"/>
          <w:snapToGrid/>
          <w:color w:val="auto"/>
          <w:sz w:val="24"/>
          <w:szCs w:val="24"/>
          <w:lang w:val="en-US" w:eastAsia="zh-CN"/>
        </w:rPr>
        <w:t>产生的废油桶约0.1t/a。</w:t>
      </w:r>
      <w:r>
        <w:rPr>
          <w:rFonts w:ascii="Times New Roman" w:hAnsi="Times New Roman"/>
          <w:snapToGrid/>
          <w:color w:val="auto"/>
          <w:sz w:val="24"/>
          <w:szCs w:val="24"/>
          <w:lang w:eastAsia="zh-CN"/>
        </w:rPr>
        <w:t>根据《国家危险废物名录》</w:t>
      </w:r>
      <w:r>
        <w:rPr>
          <w:rFonts w:hint="eastAsia" w:ascii="Times New Roman" w:hAnsi="Times New Roman"/>
          <w:snapToGrid/>
          <w:color w:val="auto"/>
          <w:sz w:val="24"/>
          <w:szCs w:val="24"/>
          <w:lang w:eastAsia="zh-CN"/>
        </w:rPr>
        <w:t>（2025年版）</w:t>
      </w:r>
      <w:r>
        <w:rPr>
          <w:rFonts w:hint="default" w:ascii="Times New Roman" w:hAnsi="Times New Roman"/>
          <w:snapToGrid/>
          <w:color w:val="auto"/>
          <w:sz w:val="24"/>
          <w:szCs w:val="24"/>
          <w:lang w:val="en-US" w:eastAsia="zh-CN"/>
        </w:rPr>
        <w:t>本项目产生的废润滑油、废润滑油桶属于HW08废矿物油与含矿物油废物，废物代码分别为900-217-08、900-249-08。</w:t>
      </w:r>
      <w:r>
        <w:rPr>
          <w:rFonts w:hint="default" w:ascii="Times New Roman" w:hAnsi="Times New Roman"/>
          <w:snapToGrid/>
          <w:color w:val="auto"/>
          <w:sz w:val="24"/>
          <w:szCs w:val="24"/>
          <w:lang w:eastAsia="zh-CN"/>
        </w:rPr>
        <w:t>厂区设危废暂存间，项目产生的</w:t>
      </w:r>
      <w:r>
        <w:rPr>
          <w:rFonts w:hint="default" w:ascii="Times New Roman" w:hAnsi="Times New Roman"/>
          <w:snapToGrid/>
          <w:color w:val="auto"/>
          <w:sz w:val="24"/>
          <w:szCs w:val="24"/>
          <w:lang w:val="en-US" w:eastAsia="zh-CN"/>
        </w:rPr>
        <w:t>废润滑油采用桶装收集储存，同废润滑油桶分类暂存于</w:t>
      </w:r>
      <w:r>
        <w:rPr>
          <w:rFonts w:hint="default" w:ascii="Times New Roman" w:hAnsi="Times New Roman"/>
          <w:snapToGrid/>
          <w:color w:val="auto"/>
          <w:sz w:val="24"/>
          <w:szCs w:val="24"/>
          <w:lang w:eastAsia="zh-CN"/>
        </w:rPr>
        <w:t>危废暂存间，</w:t>
      </w:r>
      <w:r>
        <w:rPr>
          <w:rFonts w:hint="default" w:ascii="Times New Roman" w:hAnsi="Times New Roman"/>
          <w:snapToGrid/>
          <w:color w:val="auto"/>
          <w:sz w:val="24"/>
          <w:szCs w:val="24"/>
          <w:lang w:val="en-US" w:eastAsia="zh-CN"/>
        </w:rPr>
        <w:t>定期</w:t>
      </w:r>
      <w:r>
        <w:rPr>
          <w:rFonts w:hint="default" w:ascii="Times New Roman" w:hAnsi="Times New Roman"/>
          <w:snapToGrid/>
          <w:color w:val="auto"/>
          <w:sz w:val="24"/>
          <w:szCs w:val="24"/>
          <w:lang w:eastAsia="zh-CN"/>
        </w:rPr>
        <w:t>委托有资质单位进行处置。</w:t>
      </w:r>
    </w:p>
    <w:p w14:paraId="0C133C4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71" w:name="bookmark71"/>
      <w:bookmarkEnd w:id="471"/>
      <w:bookmarkStart w:id="472" w:name="_Toc28065"/>
      <w:bookmarkStart w:id="473" w:name="_Toc25316"/>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5</w:t>
      </w:r>
      <w:r>
        <w:rPr>
          <w:rFonts w:ascii="Times New Roman" w:hAnsi="Times New Roman"/>
          <w:snapToGrid/>
          <w:color w:val="auto"/>
          <w:sz w:val="24"/>
          <w:szCs w:val="24"/>
          <w:lang w:eastAsia="zh-CN"/>
        </w:rPr>
        <w:t>）废活性炭</w:t>
      </w:r>
      <w:bookmarkEnd w:id="472"/>
      <w:bookmarkEnd w:id="473"/>
    </w:p>
    <w:p w14:paraId="58FD3F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项目生产过程产生的非甲烷总烃采用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进行处置，活性炭在运行再生一段时间后处置效率会有所降低，因此需要更换新的活性炭。根据《活性炭吸附装置手册》中活性炭吸附装置对各种有机物质吸附容量，单位质量活性炭吸附装置对混合有机废气的吸附量以0.25kg/kg计，</w:t>
      </w:r>
      <w:r>
        <w:rPr>
          <w:rFonts w:hint="eastAsia" w:ascii="Times New Roman" w:hAnsi="Times New Roman"/>
          <w:snapToGrid/>
          <w:color w:val="auto"/>
          <w:sz w:val="24"/>
          <w:szCs w:val="24"/>
          <w:lang w:eastAsia="zh-CN"/>
        </w:rPr>
        <w:t>本项目有机废气产生量为</w:t>
      </w:r>
      <w:r>
        <w:rPr>
          <w:rFonts w:hint="eastAsia" w:ascii="Times New Roman" w:hAnsi="Times New Roman"/>
          <w:snapToGrid/>
          <w:color w:val="auto"/>
          <w:sz w:val="24"/>
          <w:szCs w:val="24"/>
          <w:lang w:val="en-US" w:eastAsia="zh-CN"/>
        </w:rPr>
        <w:t>6.3</w:t>
      </w:r>
      <w:r>
        <w:rPr>
          <w:rFonts w:hint="eastAsia" w:ascii="Times New Roman" w:hAnsi="Times New Roman"/>
          <w:snapToGrid/>
          <w:color w:val="auto"/>
          <w:sz w:val="24"/>
          <w:szCs w:val="24"/>
          <w:lang w:eastAsia="zh-CN"/>
        </w:rPr>
        <w:t>t/a</w:t>
      </w:r>
      <w:r>
        <w:rPr>
          <w:rFonts w:ascii="Times New Roman" w:hAnsi="Times New Roman"/>
          <w:snapToGrid/>
          <w:color w:val="auto"/>
          <w:sz w:val="24"/>
          <w:szCs w:val="24"/>
          <w:lang w:eastAsia="zh-CN"/>
        </w:rPr>
        <w:t>，则产生废活性炭</w:t>
      </w:r>
      <w:r>
        <w:rPr>
          <w:rFonts w:hint="eastAsia" w:ascii="Times New Roman" w:hAnsi="Times New Roman"/>
          <w:snapToGrid/>
          <w:color w:val="auto"/>
          <w:sz w:val="24"/>
          <w:szCs w:val="24"/>
          <w:lang w:val="en-US" w:eastAsia="zh-CN"/>
        </w:rPr>
        <w:t>1.62</w:t>
      </w:r>
      <w:r>
        <w:rPr>
          <w:rFonts w:ascii="Times New Roman" w:hAnsi="Times New Roman"/>
          <w:snapToGrid/>
          <w:color w:val="auto"/>
          <w:sz w:val="24"/>
          <w:szCs w:val="24"/>
          <w:lang w:eastAsia="zh-CN"/>
        </w:rPr>
        <w:t>t/a，本次环评建议建设单位</w:t>
      </w:r>
      <w:r>
        <w:rPr>
          <w:rFonts w:hint="eastAsia" w:ascii="Times New Roman" w:hAnsi="Times New Roman"/>
          <w:snapToGrid/>
          <w:color w:val="auto"/>
          <w:sz w:val="24"/>
          <w:szCs w:val="24"/>
          <w:lang w:val="en-US" w:eastAsia="zh-CN"/>
        </w:rPr>
        <w:t>每三个月</w:t>
      </w:r>
      <w:r>
        <w:rPr>
          <w:rFonts w:ascii="Times New Roman" w:hAnsi="Times New Roman"/>
          <w:snapToGrid/>
          <w:color w:val="auto"/>
          <w:sz w:val="24"/>
          <w:szCs w:val="24"/>
          <w:lang w:eastAsia="zh-CN"/>
        </w:rPr>
        <w:t>更换一次活性炭</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即项目运营期产生废活性炭</w:t>
      </w:r>
      <w:r>
        <w:rPr>
          <w:rFonts w:hint="eastAsia" w:ascii="Times New Roman" w:hAnsi="Times New Roman"/>
          <w:snapToGrid/>
          <w:color w:val="auto"/>
          <w:sz w:val="24"/>
          <w:szCs w:val="24"/>
          <w:lang w:eastAsia="zh-CN"/>
        </w:rPr>
        <w:t>6.48t</w:t>
      </w:r>
      <w:r>
        <w:rPr>
          <w:rFonts w:ascii="Times New Roman" w:hAnsi="Times New Roman"/>
          <w:snapToGrid/>
          <w:color w:val="auto"/>
          <w:sz w:val="24"/>
          <w:szCs w:val="24"/>
          <w:lang w:eastAsia="zh-CN"/>
        </w:rPr>
        <w:t>/a。根据《国家危险废物名录》</w:t>
      </w:r>
      <w:r>
        <w:rPr>
          <w:rFonts w:hint="eastAsia" w:ascii="Times New Roman" w:hAnsi="Times New Roman"/>
          <w:snapToGrid/>
          <w:color w:val="auto"/>
          <w:sz w:val="24"/>
          <w:szCs w:val="24"/>
          <w:lang w:eastAsia="zh-CN"/>
        </w:rPr>
        <w:t>（2025年版）</w:t>
      </w:r>
      <w:r>
        <w:rPr>
          <w:rFonts w:ascii="Times New Roman" w:hAnsi="Times New Roman"/>
          <w:snapToGrid/>
          <w:color w:val="auto"/>
          <w:sz w:val="24"/>
          <w:szCs w:val="24"/>
          <w:lang w:eastAsia="zh-CN"/>
        </w:rPr>
        <w:t>，危险废物类别为HW49，废物代码为900-039-49。</w:t>
      </w:r>
    </w:p>
    <w:p w14:paraId="3CB7CC5A">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bookmarkStart w:id="474" w:name="_Toc20627"/>
      <w:bookmarkStart w:id="475" w:name="_Toc4621"/>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6</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废催化剂</w:t>
      </w:r>
    </w:p>
    <w:p w14:paraId="62CA48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本项目挥发性有机物采用“活性炭吸附脱附+蓄热催化燃烧（RCO）一体化装置”处置，根据催化剂的使用寿命，一般2年更换1次，每次更换产生废催化剂0.24吨，折算到年均则废催化剂产生量约为0.12吨/年。根据《国家危险废物名录》（2025版）规定，废催化剂属于危险废物，危废类别为HW49其他废物，废物代码：900-041-49，集中收集在危废暂存间内，定期交由具有相关资质的单位进行清运处置。</w:t>
      </w:r>
    </w:p>
    <w:p w14:paraId="066795F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7</w:t>
      </w:r>
      <w:r>
        <w:rPr>
          <w:rFonts w:ascii="Times New Roman" w:hAnsi="Times New Roman"/>
          <w:snapToGrid/>
          <w:color w:val="auto"/>
          <w:sz w:val="24"/>
          <w:szCs w:val="24"/>
          <w:lang w:eastAsia="zh-CN"/>
        </w:rPr>
        <w:t>）生活垃圾</w:t>
      </w:r>
      <w:bookmarkEnd w:id="474"/>
      <w:bookmarkEnd w:id="475"/>
    </w:p>
    <w:p w14:paraId="4EF19E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本项目工作人员共20人，生活垃圾产生量按每人0.5kg/人·d计，生活垃圾的产生量为2.4t/a。厂区设置垃圾桶，生活垃圾经分类集中收集后，由环卫部门定期拉运统一处置。本项目固废产生量见表3.</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-8。</w:t>
      </w:r>
    </w:p>
    <w:p w14:paraId="48CFCF6B">
      <w:pPr>
        <w:pStyle w:val="2"/>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-8项目固体废弃物产生量</w:t>
      </w:r>
    </w:p>
    <w:tbl>
      <w:tblPr>
        <w:tblStyle w:val="36"/>
        <w:tblW w:w="50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79"/>
        <w:gridCol w:w="1141"/>
        <w:gridCol w:w="897"/>
        <w:gridCol w:w="1216"/>
        <w:gridCol w:w="1832"/>
        <w:gridCol w:w="2127"/>
        <w:gridCol w:w="892"/>
      </w:tblGrid>
      <w:tr w14:paraId="5C3FA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279" w:type="pct"/>
            <w:tcBorders>
              <w:tl2br w:val="nil"/>
              <w:tr2bl w:val="nil"/>
            </w:tcBorders>
            <w:vAlign w:val="center"/>
          </w:tcPr>
          <w:p w14:paraId="6755069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664" w:type="pct"/>
            <w:tcBorders>
              <w:tl2br w:val="nil"/>
              <w:tr2bl w:val="nil"/>
            </w:tcBorders>
            <w:vAlign w:val="center"/>
          </w:tcPr>
          <w:p w14:paraId="43EA12E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名称</w:t>
            </w:r>
          </w:p>
        </w:tc>
        <w:tc>
          <w:tcPr>
            <w:tcW w:w="522" w:type="pct"/>
            <w:tcBorders>
              <w:tl2br w:val="nil"/>
              <w:tr2bl w:val="nil"/>
            </w:tcBorders>
            <w:vAlign w:val="center"/>
          </w:tcPr>
          <w:p w14:paraId="05E468DD">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eastAsia="宋体" w:cs="宋体"/>
                <w:b/>
                <w:bCs/>
                <w:snapToGrid/>
                <w:color w:val="auto"/>
              </w:rPr>
              <w:t>产生量</w:t>
            </w:r>
            <w:r>
              <w:rPr>
                <w:rFonts w:hint="eastAsia" w:eastAsia="宋体"/>
                <w:b/>
                <w:bCs/>
                <w:snapToGrid/>
                <w:color w:val="auto"/>
                <w:lang w:eastAsia="zh-CN"/>
              </w:rPr>
              <w:t>（</w:t>
            </w:r>
            <w:r>
              <w:rPr>
                <w:rFonts w:eastAsia="宋体"/>
                <w:b/>
                <w:bCs/>
                <w:snapToGrid/>
                <w:color w:val="auto"/>
              </w:rPr>
              <w:t>t/a</w:t>
            </w:r>
            <w:r>
              <w:rPr>
                <w:rFonts w:hint="eastAsia" w:eastAsia="宋体"/>
                <w:b/>
                <w:bCs/>
                <w:snapToGrid/>
                <w:color w:val="auto"/>
                <w:lang w:eastAsia="zh-CN"/>
              </w:rPr>
              <w:t>）</w:t>
            </w:r>
          </w:p>
        </w:tc>
        <w:tc>
          <w:tcPr>
            <w:tcW w:w="708" w:type="pct"/>
            <w:tcBorders>
              <w:tl2br w:val="nil"/>
              <w:tr2bl w:val="nil"/>
            </w:tcBorders>
            <w:vAlign w:val="center"/>
          </w:tcPr>
          <w:p w14:paraId="26978F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废物类别</w:t>
            </w:r>
          </w:p>
        </w:tc>
        <w:tc>
          <w:tcPr>
            <w:tcW w:w="1066" w:type="pct"/>
            <w:tcBorders>
              <w:tl2br w:val="nil"/>
              <w:tr2bl w:val="nil"/>
            </w:tcBorders>
            <w:vAlign w:val="center"/>
          </w:tcPr>
          <w:p w14:paraId="1F5D51C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废物代码</w:t>
            </w:r>
          </w:p>
        </w:tc>
        <w:tc>
          <w:tcPr>
            <w:tcW w:w="1238" w:type="pct"/>
            <w:tcBorders>
              <w:tl2br w:val="nil"/>
              <w:tr2bl w:val="nil"/>
            </w:tcBorders>
            <w:vAlign w:val="center"/>
          </w:tcPr>
          <w:p w14:paraId="5A15EB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处置措施</w:t>
            </w:r>
          </w:p>
        </w:tc>
        <w:tc>
          <w:tcPr>
            <w:tcW w:w="519" w:type="pct"/>
            <w:tcBorders>
              <w:tl2br w:val="nil"/>
              <w:tr2bl w:val="nil"/>
            </w:tcBorders>
            <w:vAlign w:val="center"/>
          </w:tcPr>
          <w:p w14:paraId="15F467D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eastAsia="宋体" w:cs="宋体"/>
                <w:b/>
                <w:bCs/>
                <w:snapToGrid/>
                <w:color w:val="auto"/>
              </w:rPr>
              <w:t>排放量</w:t>
            </w:r>
            <w:r>
              <w:rPr>
                <w:rFonts w:hint="eastAsia" w:eastAsia="宋体"/>
                <w:b/>
                <w:bCs/>
                <w:snapToGrid/>
                <w:color w:val="auto"/>
                <w:lang w:eastAsia="zh-CN"/>
              </w:rPr>
              <w:t>（</w:t>
            </w:r>
            <w:r>
              <w:rPr>
                <w:rFonts w:eastAsia="宋体"/>
                <w:b/>
                <w:bCs/>
                <w:snapToGrid/>
                <w:color w:val="auto"/>
              </w:rPr>
              <w:t>t/a</w:t>
            </w:r>
            <w:r>
              <w:rPr>
                <w:rFonts w:hint="eastAsia" w:eastAsia="宋体"/>
                <w:b/>
                <w:bCs/>
                <w:snapToGrid/>
                <w:color w:val="auto"/>
                <w:lang w:eastAsia="zh-CN"/>
              </w:rPr>
              <w:t>）</w:t>
            </w:r>
          </w:p>
        </w:tc>
      </w:tr>
      <w:tr w14:paraId="526EC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279" w:type="pct"/>
            <w:tcBorders>
              <w:tl2br w:val="nil"/>
              <w:tr2bl w:val="nil"/>
            </w:tcBorders>
            <w:vAlign w:val="center"/>
          </w:tcPr>
          <w:p w14:paraId="11D7A8B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664" w:type="pct"/>
            <w:tcBorders>
              <w:tl2br w:val="nil"/>
              <w:tr2bl w:val="nil"/>
            </w:tcBorders>
            <w:vAlign w:val="center"/>
          </w:tcPr>
          <w:p w14:paraId="1970A6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清洗废渣及泥沙</w:t>
            </w:r>
          </w:p>
        </w:tc>
        <w:tc>
          <w:tcPr>
            <w:tcW w:w="522" w:type="pct"/>
            <w:tcBorders>
              <w:tl2br w:val="nil"/>
              <w:tr2bl w:val="nil"/>
            </w:tcBorders>
            <w:vAlign w:val="center"/>
          </w:tcPr>
          <w:p w14:paraId="11B0B93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307.75</w:t>
            </w:r>
          </w:p>
        </w:tc>
        <w:tc>
          <w:tcPr>
            <w:tcW w:w="708" w:type="pct"/>
            <w:tcBorders>
              <w:tl2br w:val="nil"/>
              <w:tr2bl w:val="nil"/>
            </w:tcBorders>
            <w:vAlign w:val="center"/>
          </w:tcPr>
          <w:p w14:paraId="43BF6E9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一般废物</w:t>
            </w:r>
          </w:p>
        </w:tc>
        <w:tc>
          <w:tcPr>
            <w:tcW w:w="1066" w:type="pct"/>
            <w:tcBorders>
              <w:tl2br w:val="nil"/>
              <w:tr2bl w:val="nil"/>
            </w:tcBorders>
            <w:vAlign w:val="center"/>
          </w:tcPr>
          <w:p w14:paraId="220191D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900-099-S59</w:t>
            </w:r>
          </w:p>
        </w:tc>
        <w:tc>
          <w:tcPr>
            <w:tcW w:w="1238" w:type="pct"/>
            <w:tcBorders>
              <w:tl2br w:val="nil"/>
              <w:tr2bl w:val="nil"/>
            </w:tcBorders>
            <w:vAlign w:val="center"/>
          </w:tcPr>
          <w:p w14:paraId="31456EF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经</w:t>
            </w:r>
            <w:r>
              <w:rPr>
                <w:rFonts w:hint="eastAsia" w:eastAsia="宋体" w:cs="宋体"/>
                <w:snapToGrid/>
                <w:color w:val="auto"/>
                <w:lang w:eastAsia="zh-CN"/>
              </w:rPr>
              <w:t>自然风干</w:t>
            </w:r>
            <w:r>
              <w:rPr>
                <w:rFonts w:eastAsia="宋体" w:cs="宋体"/>
                <w:snapToGrid/>
                <w:color w:val="auto"/>
                <w:lang w:eastAsia="zh-CN"/>
              </w:rPr>
              <w:t>含水率低于</w:t>
            </w:r>
            <w:r>
              <w:rPr>
                <w:rFonts w:eastAsia="宋体"/>
                <w:snapToGrid/>
                <w:color w:val="auto"/>
                <w:lang w:eastAsia="zh-CN"/>
              </w:rPr>
              <w:t>60%</w:t>
            </w:r>
            <w:r>
              <w:rPr>
                <w:rFonts w:eastAsia="宋体" w:cs="宋体"/>
                <w:snapToGrid/>
                <w:color w:val="auto"/>
                <w:lang w:eastAsia="zh-CN"/>
              </w:rPr>
              <w:t>后，交由环卫部门外运填埋处理</w:t>
            </w:r>
          </w:p>
        </w:tc>
        <w:tc>
          <w:tcPr>
            <w:tcW w:w="519" w:type="pct"/>
            <w:tcBorders>
              <w:tl2br w:val="nil"/>
              <w:tr2bl w:val="nil"/>
            </w:tcBorders>
            <w:vAlign w:val="center"/>
          </w:tcPr>
          <w:p w14:paraId="4FBE4BC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307.75</w:t>
            </w:r>
          </w:p>
        </w:tc>
      </w:tr>
      <w:tr w14:paraId="215E01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279" w:type="pct"/>
            <w:tcBorders>
              <w:tl2br w:val="nil"/>
              <w:tr2bl w:val="nil"/>
            </w:tcBorders>
            <w:vAlign w:val="center"/>
          </w:tcPr>
          <w:p w14:paraId="7E63F29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664" w:type="pct"/>
            <w:tcBorders>
              <w:tl2br w:val="nil"/>
              <w:tr2bl w:val="nil"/>
            </w:tcBorders>
            <w:vAlign w:val="center"/>
          </w:tcPr>
          <w:p w14:paraId="5B5FBE0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废滤网</w:t>
            </w:r>
          </w:p>
        </w:tc>
        <w:tc>
          <w:tcPr>
            <w:tcW w:w="522" w:type="pct"/>
            <w:tcBorders>
              <w:tl2br w:val="nil"/>
              <w:tr2bl w:val="nil"/>
            </w:tcBorders>
            <w:vAlign w:val="center"/>
          </w:tcPr>
          <w:p w14:paraId="030A5E4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w:t>
            </w:r>
          </w:p>
        </w:tc>
        <w:tc>
          <w:tcPr>
            <w:tcW w:w="708" w:type="pct"/>
            <w:tcBorders>
              <w:tl2br w:val="nil"/>
              <w:tr2bl w:val="nil"/>
            </w:tcBorders>
            <w:vAlign w:val="center"/>
          </w:tcPr>
          <w:p w14:paraId="3FCF78B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1066" w:type="pct"/>
            <w:tcBorders>
              <w:tl2br w:val="nil"/>
              <w:tr2bl w:val="nil"/>
            </w:tcBorders>
            <w:vAlign w:val="center"/>
          </w:tcPr>
          <w:p w14:paraId="155639A2">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900-099-S59</w:t>
            </w:r>
          </w:p>
        </w:tc>
        <w:tc>
          <w:tcPr>
            <w:tcW w:w="1238" w:type="pct"/>
            <w:tcBorders>
              <w:tl2br w:val="nil"/>
              <w:tr2bl w:val="nil"/>
            </w:tcBorders>
            <w:vAlign w:val="center"/>
          </w:tcPr>
          <w:p w14:paraId="27EDB4B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定点收集，定期由厂家回收</w:t>
            </w:r>
          </w:p>
        </w:tc>
        <w:tc>
          <w:tcPr>
            <w:tcW w:w="519" w:type="pct"/>
            <w:tcBorders>
              <w:tl2br w:val="nil"/>
              <w:tr2bl w:val="nil"/>
            </w:tcBorders>
            <w:vAlign w:val="center"/>
          </w:tcPr>
          <w:p w14:paraId="653AF1E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w:t>
            </w:r>
          </w:p>
        </w:tc>
      </w:tr>
      <w:tr w14:paraId="06DDF8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279" w:type="pct"/>
            <w:tcBorders>
              <w:tl2br w:val="nil"/>
              <w:tr2bl w:val="nil"/>
            </w:tcBorders>
            <w:vAlign w:val="center"/>
          </w:tcPr>
          <w:p w14:paraId="2E7DD6D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w:t>
            </w:r>
          </w:p>
        </w:tc>
        <w:tc>
          <w:tcPr>
            <w:tcW w:w="664" w:type="pct"/>
            <w:tcBorders>
              <w:tl2br w:val="nil"/>
              <w:tr2bl w:val="nil"/>
            </w:tcBorders>
            <w:vAlign w:val="center"/>
          </w:tcPr>
          <w:p w14:paraId="2CA7D0D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分拣废物</w:t>
            </w:r>
          </w:p>
        </w:tc>
        <w:tc>
          <w:tcPr>
            <w:tcW w:w="522" w:type="pct"/>
            <w:tcBorders>
              <w:tl2br w:val="nil"/>
              <w:tr2bl w:val="nil"/>
            </w:tcBorders>
            <w:vAlign w:val="center"/>
          </w:tcPr>
          <w:p w14:paraId="3D03C70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color w:val="auto"/>
                <w:lang w:eastAsia="zh-CN"/>
              </w:rPr>
              <w:t>205.3</w:t>
            </w:r>
          </w:p>
        </w:tc>
        <w:tc>
          <w:tcPr>
            <w:tcW w:w="708" w:type="pct"/>
            <w:tcBorders>
              <w:tl2br w:val="nil"/>
              <w:tr2bl w:val="nil"/>
            </w:tcBorders>
            <w:vAlign w:val="center"/>
          </w:tcPr>
          <w:p w14:paraId="54F7729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1066" w:type="pct"/>
            <w:tcBorders>
              <w:tl2br w:val="nil"/>
              <w:tr2bl w:val="nil"/>
            </w:tcBorders>
            <w:vAlign w:val="center"/>
          </w:tcPr>
          <w:p w14:paraId="33F31DC3">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color w:val="auto"/>
                <w:lang w:eastAsia="zh-CN"/>
              </w:rPr>
              <w:t>900-099-S59</w:t>
            </w:r>
          </w:p>
        </w:tc>
        <w:tc>
          <w:tcPr>
            <w:tcW w:w="1238" w:type="pct"/>
            <w:tcBorders>
              <w:tl2br w:val="nil"/>
              <w:tr2bl w:val="nil"/>
            </w:tcBorders>
            <w:vAlign w:val="center"/>
          </w:tcPr>
          <w:p w14:paraId="10C989B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eastAsia="宋体" w:cs="宋体"/>
                <w:snapToGrid/>
                <w:color w:val="auto"/>
                <w:lang w:eastAsia="zh-CN"/>
              </w:rPr>
              <w:t>交由环卫部门外运填埋处理</w:t>
            </w:r>
          </w:p>
        </w:tc>
        <w:tc>
          <w:tcPr>
            <w:tcW w:w="519" w:type="pct"/>
            <w:tcBorders>
              <w:tl2br w:val="nil"/>
              <w:tr2bl w:val="nil"/>
            </w:tcBorders>
            <w:vAlign w:val="center"/>
          </w:tcPr>
          <w:p w14:paraId="1EB452E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color w:val="auto"/>
                <w:lang w:eastAsia="zh-CN"/>
              </w:rPr>
              <w:t>205.3</w:t>
            </w:r>
          </w:p>
        </w:tc>
      </w:tr>
      <w:tr w14:paraId="2F46D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279" w:type="pct"/>
            <w:tcBorders>
              <w:tl2br w:val="nil"/>
              <w:tr2bl w:val="nil"/>
            </w:tcBorders>
            <w:vAlign w:val="center"/>
          </w:tcPr>
          <w:p w14:paraId="0C9C055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w:t>
            </w:r>
          </w:p>
        </w:tc>
        <w:tc>
          <w:tcPr>
            <w:tcW w:w="664" w:type="pct"/>
            <w:tcBorders>
              <w:tl2br w:val="nil"/>
              <w:tr2bl w:val="nil"/>
            </w:tcBorders>
            <w:vAlign w:val="center"/>
          </w:tcPr>
          <w:p w14:paraId="5885813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滴灌带残次品及边角料</w:t>
            </w:r>
          </w:p>
        </w:tc>
        <w:tc>
          <w:tcPr>
            <w:tcW w:w="522" w:type="pct"/>
            <w:tcBorders>
              <w:tl2br w:val="nil"/>
              <w:tr2bl w:val="nil"/>
            </w:tcBorders>
            <w:vAlign w:val="center"/>
          </w:tcPr>
          <w:p w14:paraId="14BA238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52.05</w:t>
            </w:r>
          </w:p>
        </w:tc>
        <w:tc>
          <w:tcPr>
            <w:tcW w:w="708" w:type="pct"/>
            <w:tcBorders>
              <w:tl2br w:val="nil"/>
              <w:tr2bl w:val="nil"/>
            </w:tcBorders>
            <w:vAlign w:val="center"/>
          </w:tcPr>
          <w:p w14:paraId="43F277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1066" w:type="pct"/>
            <w:tcBorders>
              <w:tl2br w:val="nil"/>
              <w:tr2bl w:val="nil"/>
            </w:tcBorders>
            <w:vAlign w:val="center"/>
          </w:tcPr>
          <w:p w14:paraId="47D28722">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900-099-S59</w:t>
            </w:r>
          </w:p>
        </w:tc>
        <w:tc>
          <w:tcPr>
            <w:tcW w:w="1238" w:type="pct"/>
            <w:tcBorders>
              <w:tl2br w:val="nil"/>
              <w:tr2bl w:val="nil"/>
            </w:tcBorders>
            <w:vAlign w:val="center"/>
          </w:tcPr>
          <w:p w14:paraId="72970D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收集后进入废旧塑料颗粒加工造粒工序再生造粒</w:t>
            </w:r>
          </w:p>
        </w:tc>
        <w:tc>
          <w:tcPr>
            <w:tcW w:w="519" w:type="pct"/>
            <w:tcBorders>
              <w:tl2br w:val="nil"/>
              <w:tr2bl w:val="nil"/>
            </w:tcBorders>
            <w:vAlign w:val="center"/>
          </w:tcPr>
          <w:p w14:paraId="27E8F68A">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w:t>
            </w:r>
          </w:p>
        </w:tc>
      </w:tr>
      <w:tr w14:paraId="5257D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279" w:type="pct"/>
            <w:tcBorders>
              <w:tl2br w:val="nil"/>
              <w:tr2bl w:val="nil"/>
            </w:tcBorders>
            <w:vAlign w:val="center"/>
          </w:tcPr>
          <w:p w14:paraId="4CBAE11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w:t>
            </w:r>
          </w:p>
        </w:tc>
        <w:tc>
          <w:tcPr>
            <w:tcW w:w="664" w:type="pct"/>
            <w:tcBorders>
              <w:tl2br w:val="nil"/>
              <w:tr2bl w:val="nil"/>
            </w:tcBorders>
            <w:vAlign w:val="center"/>
          </w:tcPr>
          <w:p w14:paraId="385A46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废活性炭</w:t>
            </w:r>
          </w:p>
        </w:tc>
        <w:tc>
          <w:tcPr>
            <w:tcW w:w="522" w:type="pct"/>
            <w:tcBorders>
              <w:tl2br w:val="nil"/>
              <w:tr2bl w:val="nil"/>
            </w:tcBorders>
            <w:vAlign w:val="center"/>
          </w:tcPr>
          <w:p w14:paraId="7A436B90">
            <w:pPr>
              <w:pStyle w:val="37"/>
              <w:widowControl w:val="0"/>
              <w:shd w:val="clear"/>
              <w:kinsoku/>
              <w:autoSpaceDE/>
              <w:autoSpaceDN/>
              <w:adjustRightInd/>
              <w:snapToGrid/>
              <w:spacing w:line="360" w:lineRule="auto"/>
              <w:jc w:val="center"/>
              <w:textAlignment w:val="auto"/>
              <w:rPr>
                <w:rFonts w:eastAsia="宋体"/>
                <w:snapToGrid/>
                <w:color w:val="auto"/>
                <w:szCs w:val="22"/>
                <w:lang w:eastAsia="zh-CN"/>
              </w:rPr>
            </w:pPr>
            <w:r>
              <w:rPr>
                <w:rFonts w:hint="eastAsia" w:eastAsia="宋体"/>
                <w:snapToGrid/>
                <w:color w:val="auto"/>
                <w:szCs w:val="22"/>
                <w:lang w:eastAsia="zh-CN"/>
              </w:rPr>
              <w:t>6.48</w:t>
            </w:r>
          </w:p>
        </w:tc>
        <w:tc>
          <w:tcPr>
            <w:tcW w:w="708" w:type="pct"/>
            <w:tcBorders>
              <w:tl2br w:val="nil"/>
              <w:tr2bl w:val="nil"/>
            </w:tcBorders>
            <w:vAlign w:val="center"/>
          </w:tcPr>
          <w:p w14:paraId="0782622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066" w:type="pct"/>
            <w:tcBorders>
              <w:tl2br w:val="nil"/>
              <w:tr2bl w:val="nil"/>
            </w:tcBorders>
            <w:vAlign w:val="center"/>
          </w:tcPr>
          <w:p w14:paraId="2FFB7EB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HW49-900-039-49</w:t>
            </w:r>
          </w:p>
        </w:tc>
        <w:tc>
          <w:tcPr>
            <w:tcW w:w="1238" w:type="pct"/>
            <w:vMerge w:val="restart"/>
            <w:tcBorders>
              <w:tl2br w:val="nil"/>
              <w:tr2bl w:val="nil"/>
            </w:tcBorders>
            <w:vAlign w:val="center"/>
          </w:tcPr>
          <w:p w14:paraId="5E389CC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收集后暂存于危废暂存间，定期交由有资质的单位处置</w:t>
            </w:r>
          </w:p>
        </w:tc>
        <w:tc>
          <w:tcPr>
            <w:tcW w:w="519" w:type="pct"/>
            <w:tcBorders>
              <w:tl2br w:val="nil"/>
              <w:tr2bl w:val="nil"/>
            </w:tcBorders>
            <w:vAlign w:val="center"/>
          </w:tcPr>
          <w:p w14:paraId="3CE25807">
            <w:pPr>
              <w:pStyle w:val="37"/>
              <w:widowControl w:val="0"/>
              <w:shd w:val="clear"/>
              <w:kinsoku/>
              <w:autoSpaceDE/>
              <w:autoSpaceDN/>
              <w:adjustRightInd/>
              <w:snapToGrid/>
              <w:spacing w:line="360" w:lineRule="auto"/>
              <w:jc w:val="center"/>
              <w:textAlignment w:val="auto"/>
              <w:rPr>
                <w:rFonts w:eastAsia="宋体"/>
                <w:snapToGrid/>
                <w:color w:val="auto"/>
                <w:szCs w:val="22"/>
                <w:lang w:eastAsia="zh-CN"/>
              </w:rPr>
            </w:pPr>
            <w:r>
              <w:rPr>
                <w:rFonts w:hint="eastAsia" w:eastAsia="宋体"/>
                <w:snapToGrid/>
                <w:color w:val="auto"/>
                <w:szCs w:val="22"/>
                <w:lang w:eastAsia="zh-CN"/>
              </w:rPr>
              <w:t>6.48</w:t>
            </w:r>
          </w:p>
        </w:tc>
      </w:tr>
      <w:tr w14:paraId="15C27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79" w:type="pct"/>
            <w:tcBorders>
              <w:tl2br w:val="nil"/>
              <w:tr2bl w:val="nil"/>
            </w:tcBorders>
            <w:vAlign w:val="center"/>
          </w:tcPr>
          <w:p w14:paraId="0FA20B4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6</w:t>
            </w:r>
          </w:p>
        </w:tc>
        <w:tc>
          <w:tcPr>
            <w:tcW w:w="664" w:type="pct"/>
            <w:tcBorders>
              <w:tl2br w:val="nil"/>
              <w:tr2bl w:val="nil"/>
            </w:tcBorders>
            <w:vAlign w:val="center"/>
          </w:tcPr>
          <w:p w14:paraId="5697AF3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废润滑油</w:t>
            </w:r>
          </w:p>
        </w:tc>
        <w:tc>
          <w:tcPr>
            <w:tcW w:w="522" w:type="pct"/>
            <w:tcBorders>
              <w:tl2br w:val="nil"/>
              <w:tr2bl w:val="nil"/>
            </w:tcBorders>
            <w:vAlign w:val="center"/>
          </w:tcPr>
          <w:p w14:paraId="14296D3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w:t>
            </w:r>
          </w:p>
        </w:tc>
        <w:tc>
          <w:tcPr>
            <w:tcW w:w="708" w:type="pct"/>
            <w:tcBorders>
              <w:tl2br w:val="nil"/>
              <w:tr2bl w:val="nil"/>
            </w:tcBorders>
            <w:vAlign w:val="center"/>
          </w:tcPr>
          <w:p w14:paraId="1450364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066" w:type="pct"/>
            <w:tcBorders>
              <w:tl2br w:val="nil"/>
              <w:tr2bl w:val="nil"/>
            </w:tcBorders>
            <w:vAlign w:val="center"/>
          </w:tcPr>
          <w:p w14:paraId="643EB3A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HW49-900-217-08</w:t>
            </w:r>
          </w:p>
        </w:tc>
        <w:tc>
          <w:tcPr>
            <w:tcW w:w="1238" w:type="pct"/>
            <w:vMerge w:val="continue"/>
            <w:tcBorders>
              <w:tl2br w:val="nil"/>
              <w:tr2bl w:val="nil"/>
            </w:tcBorders>
            <w:vAlign w:val="center"/>
          </w:tcPr>
          <w:p w14:paraId="547E1B0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9" w:type="pct"/>
            <w:tcBorders>
              <w:tl2br w:val="nil"/>
              <w:tr2bl w:val="nil"/>
            </w:tcBorders>
            <w:vAlign w:val="center"/>
          </w:tcPr>
          <w:p w14:paraId="04DFB8D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w:t>
            </w:r>
          </w:p>
        </w:tc>
      </w:tr>
      <w:tr w14:paraId="6AB59F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79" w:type="pct"/>
            <w:tcBorders>
              <w:tl2br w:val="nil"/>
              <w:tr2bl w:val="nil"/>
            </w:tcBorders>
            <w:vAlign w:val="center"/>
          </w:tcPr>
          <w:p w14:paraId="5217402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w:t>
            </w:r>
          </w:p>
        </w:tc>
        <w:tc>
          <w:tcPr>
            <w:tcW w:w="664" w:type="pct"/>
            <w:tcBorders>
              <w:tl2br w:val="nil"/>
              <w:tr2bl w:val="nil"/>
            </w:tcBorders>
            <w:vAlign w:val="center"/>
          </w:tcPr>
          <w:p w14:paraId="266E3FD8">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废油桶</w:t>
            </w:r>
          </w:p>
        </w:tc>
        <w:tc>
          <w:tcPr>
            <w:tcW w:w="522" w:type="pct"/>
            <w:tcBorders>
              <w:tl2br w:val="nil"/>
              <w:tr2bl w:val="nil"/>
            </w:tcBorders>
            <w:vAlign w:val="center"/>
          </w:tcPr>
          <w:p w14:paraId="6C14DED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w:t>
            </w:r>
          </w:p>
        </w:tc>
        <w:tc>
          <w:tcPr>
            <w:tcW w:w="708" w:type="pct"/>
            <w:tcBorders>
              <w:tl2br w:val="nil"/>
              <w:tr2bl w:val="nil"/>
            </w:tcBorders>
            <w:vAlign w:val="center"/>
          </w:tcPr>
          <w:p w14:paraId="4A7F99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066" w:type="pct"/>
            <w:tcBorders>
              <w:tl2br w:val="nil"/>
              <w:tr2bl w:val="nil"/>
            </w:tcBorders>
            <w:vAlign w:val="center"/>
          </w:tcPr>
          <w:p w14:paraId="74FBF88D">
            <w:pPr>
              <w:pStyle w:val="37"/>
              <w:widowControl w:val="0"/>
              <w:shd w:val="clear"/>
              <w:kinsoku/>
              <w:autoSpaceDE/>
              <w:autoSpaceDN/>
              <w:adjustRightInd/>
              <w:snapToGrid/>
              <w:spacing w:line="360" w:lineRule="auto"/>
              <w:jc w:val="center"/>
              <w:textAlignment w:val="auto"/>
              <w:rPr>
                <w:rFonts w:eastAsia="宋体"/>
                <w:snapToGrid/>
                <w:color w:val="auto"/>
              </w:rPr>
            </w:pPr>
            <w:r>
              <w:rPr>
                <w:rFonts w:hint="default" w:eastAsia="宋体"/>
                <w:snapToGrid/>
                <w:color w:val="auto"/>
                <w:lang w:val="en-US" w:eastAsia="zh-CN"/>
              </w:rPr>
              <w:t>HW49-900-249-08</w:t>
            </w:r>
          </w:p>
        </w:tc>
        <w:tc>
          <w:tcPr>
            <w:tcW w:w="1238" w:type="pct"/>
            <w:vMerge w:val="continue"/>
            <w:tcBorders>
              <w:tl2br w:val="nil"/>
              <w:tr2bl w:val="nil"/>
            </w:tcBorders>
            <w:vAlign w:val="center"/>
          </w:tcPr>
          <w:p w14:paraId="7D00C43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9" w:type="pct"/>
            <w:tcBorders>
              <w:tl2br w:val="nil"/>
              <w:tr2bl w:val="nil"/>
            </w:tcBorders>
            <w:vAlign w:val="center"/>
          </w:tcPr>
          <w:p w14:paraId="5B8A289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w:t>
            </w:r>
          </w:p>
        </w:tc>
      </w:tr>
      <w:tr w14:paraId="22CC7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79" w:type="pct"/>
            <w:tcBorders>
              <w:tl2br w:val="nil"/>
              <w:tr2bl w:val="nil"/>
            </w:tcBorders>
            <w:vAlign w:val="center"/>
          </w:tcPr>
          <w:p w14:paraId="4429BAA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8</w:t>
            </w:r>
          </w:p>
        </w:tc>
        <w:tc>
          <w:tcPr>
            <w:tcW w:w="664" w:type="pct"/>
            <w:tcBorders>
              <w:tl2br w:val="nil"/>
              <w:tr2bl w:val="nil"/>
            </w:tcBorders>
            <w:vAlign w:val="center"/>
          </w:tcPr>
          <w:p w14:paraId="6A83EBE6">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废催化剂</w:t>
            </w:r>
          </w:p>
        </w:tc>
        <w:tc>
          <w:tcPr>
            <w:tcW w:w="522" w:type="pct"/>
            <w:tcBorders>
              <w:tl2br w:val="nil"/>
              <w:tr2bl w:val="nil"/>
            </w:tcBorders>
            <w:vAlign w:val="center"/>
          </w:tcPr>
          <w:p w14:paraId="53688FB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0.12</w:t>
            </w:r>
          </w:p>
        </w:tc>
        <w:tc>
          <w:tcPr>
            <w:tcW w:w="708" w:type="pct"/>
            <w:tcBorders>
              <w:tl2br w:val="nil"/>
              <w:tr2bl w:val="nil"/>
            </w:tcBorders>
            <w:vAlign w:val="center"/>
          </w:tcPr>
          <w:p w14:paraId="5C95DD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066" w:type="pct"/>
            <w:tcBorders>
              <w:tl2br w:val="nil"/>
              <w:tr2bl w:val="nil"/>
            </w:tcBorders>
            <w:vAlign w:val="center"/>
          </w:tcPr>
          <w:p w14:paraId="317476D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default" w:eastAsia="宋体"/>
                <w:snapToGrid/>
                <w:color w:val="auto"/>
                <w:lang w:val="en-US" w:eastAsia="zh-CN"/>
              </w:rPr>
              <w:t>HW49900-041-49</w:t>
            </w:r>
          </w:p>
        </w:tc>
        <w:tc>
          <w:tcPr>
            <w:tcW w:w="1238" w:type="pct"/>
            <w:vMerge w:val="continue"/>
            <w:tcBorders>
              <w:tl2br w:val="nil"/>
              <w:tr2bl w:val="nil"/>
            </w:tcBorders>
            <w:vAlign w:val="center"/>
          </w:tcPr>
          <w:p w14:paraId="1459C2D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9" w:type="pct"/>
            <w:tcBorders>
              <w:tl2br w:val="nil"/>
              <w:tr2bl w:val="nil"/>
            </w:tcBorders>
            <w:vAlign w:val="center"/>
          </w:tcPr>
          <w:p w14:paraId="04A87B69">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0.12</w:t>
            </w:r>
          </w:p>
        </w:tc>
      </w:tr>
      <w:tr w14:paraId="4C157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79" w:type="pct"/>
            <w:tcBorders>
              <w:tl2br w:val="nil"/>
              <w:tr2bl w:val="nil"/>
            </w:tcBorders>
            <w:vAlign w:val="center"/>
          </w:tcPr>
          <w:p w14:paraId="6EA83E3A">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9</w:t>
            </w:r>
          </w:p>
        </w:tc>
        <w:tc>
          <w:tcPr>
            <w:tcW w:w="664" w:type="pct"/>
            <w:tcBorders>
              <w:tl2br w:val="nil"/>
              <w:tr2bl w:val="nil"/>
            </w:tcBorders>
            <w:vAlign w:val="center"/>
          </w:tcPr>
          <w:p w14:paraId="14D84B27">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ascii="Times New Roman" w:hAnsi="Times New Roman" w:eastAsia="宋体" w:cs="宋体"/>
                <w:snapToGrid/>
                <w:color w:val="auto"/>
              </w:rPr>
              <w:t>生活垃圾</w:t>
            </w:r>
          </w:p>
        </w:tc>
        <w:tc>
          <w:tcPr>
            <w:tcW w:w="522" w:type="pct"/>
            <w:tcBorders>
              <w:tl2br w:val="nil"/>
              <w:tr2bl w:val="nil"/>
            </w:tcBorders>
            <w:vAlign w:val="center"/>
          </w:tcPr>
          <w:p w14:paraId="337CD370">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eastAsia="宋体"/>
                <w:snapToGrid/>
                <w:color w:val="auto"/>
              </w:rPr>
              <w:t>2.4</w:t>
            </w:r>
          </w:p>
        </w:tc>
        <w:tc>
          <w:tcPr>
            <w:tcW w:w="708" w:type="pct"/>
            <w:tcBorders>
              <w:tl2br w:val="nil"/>
              <w:tr2bl w:val="nil"/>
            </w:tcBorders>
            <w:vAlign w:val="center"/>
          </w:tcPr>
          <w:p w14:paraId="4E7808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1066" w:type="pct"/>
            <w:tcBorders>
              <w:tl2br w:val="nil"/>
              <w:tr2bl w:val="nil"/>
            </w:tcBorders>
            <w:vAlign w:val="center"/>
          </w:tcPr>
          <w:p w14:paraId="09175AA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900-002-S61</w:t>
            </w:r>
          </w:p>
        </w:tc>
        <w:tc>
          <w:tcPr>
            <w:tcW w:w="1238" w:type="pct"/>
            <w:tcBorders>
              <w:tl2br w:val="nil"/>
              <w:tr2bl w:val="nil"/>
            </w:tcBorders>
            <w:vAlign w:val="center"/>
          </w:tcPr>
          <w:p w14:paraId="14D64B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cs="宋体"/>
                <w:snapToGrid/>
                <w:color w:val="auto"/>
                <w:lang w:eastAsia="zh-CN"/>
              </w:rPr>
              <w:t>分类集中收集，定期由环卫部门统</w:t>
            </w:r>
            <w:r>
              <w:rPr>
                <w:rFonts w:ascii="Times New Roman" w:hAnsi="Times New Roman" w:eastAsia="宋体" w:cs="宋体"/>
                <w:snapToGrid/>
                <w:color w:val="auto"/>
              </w:rPr>
              <w:t>一清运处置</w:t>
            </w:r>
          </w:p>
        </w:tc>
        <w:tc>
          <w:tcPr>
            <w:tcW w:w="519" w:type="pct"/>
            <w:tcBorders>
              <w:tl2br w:val="nil"/>
              <w:tr2bl w:val="nil"/>
            </w:tcBorders>
            <w:vAlign w:val="center"/>
          </w:tcPr>
          <w:p w14:paraId="6E2CFFD1">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eastAsia="宋体"/>
                <w:snapToGrid/>
                <w:color w:val="auto"/>
              </w:rPr>
              <w:t>2.4</w:t>
            </w:r>
          </w:p>
        </w:tc>
      </w:tr>
    </w:tbl>
    <w:p w14:paraId="4D71E209">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76" w:name="bookmark72"/>
      <w:bookmarkEnd w:id="476"/>
      <w:bookmarkStart w:id="477" w:name="bookmark23"/>
      <w:bookmarkEnd w:id="477"/>
      <w:bookmarkStart w:id="478" w:name="_Toc17134"/>
      <w:bookmarkStart w:id="479" w:name="_Toc6335"/>
      <w:bookmarkStart w:id="480" w:name="_Toc22356"/>
      <w:r>
        <w:rPr>
          <w:rFonts w:hint="eastAsia" w:ascii="Times New Roman" w:hAnsi="Times New Roman" w:eastAsia="宋体"/>
          <w:snapToGrid/>
          <w:color w:val="auto"/>
          <w:lang w:eastAsia="zh-CN"/>
        </w:rPr>
        <w:t>3.5运营期污染物“三废”排放情况统计</w:t>
      </w:r>
      <w:bookmarkEnd w:id="478"/>
      <w:bookmarkEnd w:id="479"/>
      <w:bookmarkEnd w:id="480"/>
    </w:p>
    <w:p w14:paraId="24F9501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本项目污染物“三废”产生及排放统计见表3.</w:t>
      </w:r>
      <w:r>
        <w:rPr>
          <w:rFonts w:hint="eastAsia" w:ascii="Times New Roman" w:hAnsi="Times New Roman"/>
          <w:snapToGrid/>
          <w:color w:val="auto"/>
          <w:sz w:val="24"/>
          <w:szCs w:val="24"/>
          <w:lang w:eastAsia="zh-CN"/>
        </w:rPr>
        <w:t>5</w:t>
      </w:r>
      <w:r>
        <w:rPr>
          <w:rFonts w:ascii="Times New Roman" w:hAnsi="Times New Roman"/>
          <w:snapToGrid/>
          <w:color w:val="auto"/>
          <w:sz w:val="24"/>
          <w:szCs w:val="24"/>
          <w:lang w:eastAsia="zh-CN"/>
        </w:rPr>
        <w:t>-1。</w:t>
      </w:r>
    </w:p>
    <w:p w14:paraId="0B8187C7">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表3.</w:t>
      </w:r>
      <w:r>
        <w:rPr>
          <w:rFonts w:hint="eastAsia" w:ascii="Times New Roman" w:hAnsi="Times New Roman"/>
          <w:b/>
          <w:bCs/>
          <w:snapToGrid/>
          <w:color w:val="auto"/>
          <w:sz w:val="24"/>
          <w:lang w:eastAsia="zh-CN"/>
        </w:rPr>
        <w:t>5</w:t>
      </w:r>
      <w:r>
        <w:rPr>
          <w:rFonts w:ascii="Times New Roman" w:hAnsi="Times New Roman"/>
          <w:b/>
          <w:bCs/>
          <w:snapToGrid/>
          <w:color w:val="auto"/>
          <w:sz w:val="24"/>
          <w:lang w:eastAsia="zh-CN"/>
        </w:rPr>
        <w:t>-1污染物“三废”产生及排放统计表</w:t>
      </w:r>
    </w:p>
    <w:tbl>
      <w:tblPr>
        <w:tblStyle w:val="36"/>
        <w:tblW w:w="525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0"/>
        <w:gridCol w:w="1023"/>
        <w:gridCol w:w="1181"/>
        <w:gridCol w:w="1128"/>
        <w:gridCol w:w="1069"/>
        <w:gridCol w:w="2829"/>
        <w:gridCol w:w="1039"/>
        <w:gridCol w:w="10"/>
      </w:tblGrid>
      <w:tr w14:paraId="57015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22" w:type="pct"/>
            <w:vMerge w:val="restart"/>
            <w:tcBorders>
              <w:tl2br w:val="nil"/>
              <w:tr2bl w:val="nil"/>
            </w:tcBorders>
            <w:vAlign w:val="center"/>
          </w:tcPr>
          <w:p w14:paraId="03428A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类别</w:t>
            </w:r>
          </w:p>
        </w:tc>
        <w:tc>
          <w:tcPr>
            <w:tcW w:w="1245" w:type="pct"/>
            <w:gridSpan w:val="2"/>
            <w:tcBorders>
              <w:tl2br w:val="nil"/>
              <w:tr2bl w:val="nil"/>
            </w:tcBorders>
            <w:vAlign w:val="center"/>
          </w:tcPr>
          <w:p w14:paraId="2AC732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637" w:type="pct"/>
            <w:vMerge w:val="restart"/>
            <w:tcBorders>
              <w:tl2br w:val="nil"/>
              <w:tr2bl w:val="nil"/>
            </w:tcBorders>
            <w:vAlign w:val="center"/>
          </w:tcPr>
          <w:p w14:paraId="36D9E9B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主要污染物</w:t>
            </w:r>
          </w:p>
        </w:tc>
        <w:tc>
          <w:tcPr>
            <w:tcW w:w="604" w:type="pct"/>
            <w:vMerge w:val="restart"/>
            <w:tcBorders>
              <w:tl2br w:val="nil"/>
              <w:tr2bl w:val="nil"/>
            </w:tcBorders>
            <w:vAlign w:val="center"/>
          </w:tcPr>
          <w:p w14:paraId="60E8BD6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产生量</w:t>
            </w:r>
          </w:p>
        </w:tc>
        <w:tc>
          <w:tcPr>
            <w:tcW w:w="1598" w:type="pct"/>
            <w:vMerge w:val="restart"/>
            <w:tcBorders>
              <w:tl2br w:val="nil"/>
              <w:tr2bl w:val="nil"/>
            </w:tcBorders>
            <w:vAlign w:val="center"/>
          </w:tcPr>
          <w:p w14:paraId="5BB78F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处置措施</w:t>
            </w:r>
          </w:p>
        </w:tc>
        <w:tc>
          <w:tcPr>
            <w:tcW w:w="591" w:type="pct"/>
            <w:gridSpan w:val="2"/>
            <w:vMerge w:val="restart"/>
            <w:tcBorders>
              <w:tl2br w:val="nil"/>
              <w:tr2bl w:val="nil"/>
            </w:tcBorders>
            <w:vAlign w:val="center"/>
          </w:tcPr>
          <w:p w14:paraId="2C15AF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排放量</w:t>
            </w:r>
          </w:p>
        </w:tc>
      </w:tr>
      <w:tr w14:paraId="2EA179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322" w:type="pct"/>
            <w:vMerge w:val="continue"/>
            <w:tcBorders>
              <w:tl2br w:val="nil"/>
              <w:tr2bl w:val="nil"/>
            </w:tcBorders>
            <w:vAlign w:val="center"/>
          </w:tcPr>
          <w:p w14:paraId="6A50614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8" w:type="pct"/>
            <w:tcBorders>
              <w:tl2br w:val="nil"/>
              <w:tr2bl w:val="nil"/>
            </w:tcBorders>
            <w:vAlign w:val="center"/>
          </w:tcPr>
          <w:p w14:paraId="28B1DD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产污环节</w:t>
            </w:r>
          </w:p>
        </w:tc>
        <w:tc>
          <w:tcPr>
            <w:tcW w:w="667" w:type="pct"/>
            <w:tcBorders>
              <w:tl2br w:val="nil"/>
              <w:tr2bl w:val="nil"/>
            </w:tcBorders>
            <w:vAlign w:val="center"/>
          </w:tcPr>
          <w:p w14:paraId="4A8E54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排放口</w:t>
            </w:r>
          </w:p>
        </w:tc>
        <w:tc>
          <w:tcPr>
            <w:tcW w:w="637" w:type="pct"/>
            <w:vMerge w:val="continue"/>
            <w:tcBorders>
              <w:tl2br w:val="nil"/>
              <w:tr2bl w:val="nil"/>
            </w:tcBorders>
            <w:vAlign w:val="center"/>
          </w:tcPr>
          <w:p w14:paraId="5146D58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04" w:type="pct"/>
            <w:vMerge w:val="continue"/>
            <w:tcBorders>
              <w:tl2br w:val="nil"/>
              <w:tr2bl w:val="nil"/>
            </w:tcBorders>
            <w:vAlign w:val="center"/>
          </w:tcPr>
          <w:p w14:paraId="2579F41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598" w:type="pct"/>
            <w:vMerge w:val="continue"/>
            <w:tcBorders>
              <w:tl2br w:val="nil"/>
              <w:tr2bl w:val="nil"/>
            </w:tcBorders>
            <w:vAlign w:val="center"/>
          </w:tcPr>
          <w:p w14:paraId="529690C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91" w:type="pct"/>
            <w:gridSpan w:val="2"/>
            <w:vMerge w:val="continue"/>
            <w:tcBorders>
              <w:tl2br w:val="nil"/>
              <w:tr2bl w:val="nil"/>
            </w:tcBorders>
            <w:vAlign w:val="center"/>
          </w:tcPr>
          <w:p w14:paraId="753C8AB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027E9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95" w:hRule="atLeast"/>
          <w:jc w:val="center"/>
        </w:trPr>
        <w:tc>
          <w:tcPr>
            <w:tcW w:w="322" w:type="pct"/>
            <w:vMerge w:val="restart"/>
            <w:tcBorders>
              <w:tl2br w:val="nil"/>
              <w:tr2bl w:val="nil"/>
            </w:tcBorders>
            <w:vAlign w:val="center"/>
          </w:tcPr>
          <w:p w14:paraId="03CB5F1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w:t>
            </w:r>
          </w:p>
        </w:tc>
        <w:tc>
          <w:tcPr>
            <w:tcW w:w="578" w:type="pct"/>
            <w:tcBorders>
              <w:tl2br w:val="nil"/>
              <w:tr2bl w:val="nil"/>
            </w:tcBorders>
            <w:vAlign w:val="center"/>
          </w:tcPr>
          <w:p w14:paraId="72961F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废旧滴灌带转运、破碎</w:t>
            </w:r>
          </w:p>
        </w:tc>
        <w:tc>
          <w:tcPr>
            <w:tcW w:w="667" w:type="pct"/>
            <w:tcBorders>
              <w:tl2br w:val="nil"/>
              <w:tr2bl w:val="nil"/>
            </w:tcBorders>
            <w:vAlign w:val="center"/>
          </w:tcPr>
          <w:p w14:paraId="044EA8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637" w:type="pct"/>
            <w:tcBorders>
              <w:tl2br w:val="nil"/>
              <w:tr2bl w:val="nil"/>
            </w:tcBorders>
            <w:vAlign w:val="center"/>
          </w:tcPr>
          <w:p w14:paraId="5894DDB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604" w:type="pct"/>
            <w:tcBorders>
              <w:tl2br w:val="nil"/>
              <w:tr2bl w:val="nil"/>
            </w:tcBorders>
            <w:vAlign w:val="center"/>
          </w:tcPr>
          <w:p w14:paraId="620AAC9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598" w:type="pct"/>
            <w:tcBorders>
              <w:tl2br w:val="nil"/>
              <w:tr2bl w:val="nil"/>
            </w:tcBorders>
            <w:vAlign w:val="center"/>
          </w:tcPr>
          <w:p w14:paraId="4E8CFBE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废旧滴灌带堆放区采用半封闭措施，三面和顶部设置围挡，地面采取硬化处理，严禁敞开式作业造粒车间原料破碎环节采用带水密闭破碎，在完全湿润状态下进行破碎</w:t>
            </w:r>
          </w:p>
        </w:tc>
        <w:tc>
          <w:tcPr>
            <w:tcW w:w="591" w:type="pct"/>
            <w:gridSpan w:val="2"/>
            <w:tcBorders>
              <w:tl2br w:val="nil"/>
              <w:tr2bl w:val="nil"/>
            </w:tcBorders>
            <w:vAlign w:val="center"/>
          </w:tcPr>
          <w:p w14:paraId="11A8598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46BEA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322" w:type="pct"/>
            <w:vMerge w:val="continue"/>
            <w:tcBorders>
              <w:tl2br w:val="nil"/>
              <w:tr2bl w:val="nil"/>
            </w:tcBorders>
            <w:vAlign w:val="center"/>
          </w:tcPr>
          <w:p w14:paraId="4D863FE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8" w:type="pct"/>
            <w:vMerge w:val="restart"/>
            <w:tcBorders>
              <w:tl2br w:val="nil"/>
              <w:tr2bl w:val="nil"/>
            </w:tcBorders>
            <w:vAlign w:val="center"/>
          </w:tcPr>
          <w:p w14:paraId="324F0C5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生产工序</w:t>
            </w:r>
          </w:p>
        </w:tc>
        <w:tc>
          <w:tcPr>
            <w:tcW w:w="667" w:type="pct"/>
            <w:tcBorders>
              <w:tl2br w:val="nil"/>
              <w:tr2bl w:val="nil"/>
            </w:tcBorders>
            <w:vAlign w:val="center"/>
          </w:tcPr>
          <w:p w14:paraId="1D993AA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有组织（</w:t>
            </w:r>
            <w:r>
              <w:rPr>
                <w:rFonts w:eastAsia="宋体"/>
                <w:snapToGrid/>
                <w:color w:val="auto"/>
              </w:rPr>
              <w:t>DA001</w:t>
            </w:r>
            <w:r>
              <w:rPr>
                <w:rFonts w:eastAsia="宋体" w:cs="宋体"/>
                <w:snapToGrid/>
                <w:color w:val="auto"/>
              </w:rPr>
              <w:t>）</w:t>
            </w:r>
          </w:p>
        </w:tc>
        <w:tc>
          <w:tcPr>
            <w:tcW w:w="637" w:type="pct"/>
            <w:tcBorders>
              <w:tl2br w:val="nil"/>
              <w:tr2bl w:val="nil"/>
            </w:tcBorders>
            <w:vAlign w:val="center"/>
          </w:tcPr>
          <w:p w14:paraId="1A6BD2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604" w:type="pct"/>
            <w:tcBorders>
              <w:tl2br w:val="nil"/>
              <w:tr2bl w:val="nil"/>
            </w:tcBorders>
            <w:vAlign w:val="center"/>
          </w:tcPr>
          <w:p w14:paraId="35720E61">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6.3</w:t>
            </w:r>
            <w:r>
              <w:rPr>
                <w:rFonts w:eastAsia="宋体"/>
                <w:snapToGrid/>
                <w:color w:val="auto"/>
              </w:rPr>
              <w:t>/a</w:t>
            </w:r>
          </w:p>
        </w:tc>
        <w:tc>
          <w:tcPr>
            <w:tcW w:w="1598" w:type="pct"/>
            <w:tcBorders>
              <w:tl2br w:val="nil"/>
              <w:tr2bl w:val="nil"/>
            </w:tcBorders>
            <w:vAlign w:val="center"/>
          </w:tcPr>
          <w:p w14:paraId="739E7BD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负压收集装置</w:t>
            </w:r>
            <w:r>
              <w:rPr>
                <w:rFonts w:eastAsia="宋体"/>
                <w:snapToGrid/>
                <w:color w:val="auto"/>
                <w:lang w:eastAsia="zh-CN"/>
              </w:rPr>
              <w:t>+</w:t>
            </w:r>
            <w:r>
              <w:rPr>
                <w:rFonts w:hint="eastAsia" w:eastAsia="宋体" w:cs="宋体"/>
                <w:snapToGrid/>
                <w:color w:val="auto"/>
                <w:lang w:eastAsia="zh-CN"/>
              </w:rPr>
              <w:t>活性炭吸附+蓄热式催化燃烧</w:t>
            </w:r>
            <w:r>
              <w:rPr>
                <w:rFonts w:eastAsia="宋体"/>
                <w:snapToGrid/>
                <w:color w:val="auto"/>
                <w:lang w:eastAsia="zh-CN"/>
              </w:rPr>
              <w:t>+15m</w:t>
            </w:r>
            <w:r>
              <w:rPr>
                <w:rFonts w:eastAsia="宋体" w:cs="宋体"/>
                <w:snapToGrid/>
                <w:color w:val="auto"/>
                <w:lang w:eastAsia="zh-CN"/>
              </w:rPr>
              <w:t>高排气筒</w:t>
            </w:r>
          </w:p>
        </w:tc>
        <w:tc>
          <w:tcPr>
            <w:tcW w:w="591" w:type="pct"/>
            <w:gridSpan w:val="2"/>
            <w:tcBorders>
              <w:tl2br w:val="nil"/>
              <w:tr2bl w:val="nil"/>
            </w:tcBorders>
            <w:vAlign w:val="center"/>
          </w:tcPr>
          <w:p w14:paraId="22022128">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val="en-US" w:eastAsia="zh-CN"/>
              </w:rPr>
              <w:t>6.3</w:t>
            </w:r>
            <w:r>
              <w:rPr>
                <w:rFonts w:eastAsia="宋体"/>
                <w:snapToGrid/>
                <w:color w:val="auto"/>
              </w:rPr>
              <w:t>t/a</w:t>
            </w:r>
          </w:p>
        </w:tc>
      </w:tr>
      <w:tr w14:paraId="2839B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22" w:type="pct"/>
            <w:vMerge w:val="continue"/>
            <w:tcBorders>
              <w:tl2br w:val="nil"/>
              <w:tr2bl w:val="nil"/>
            </w:tcBorders>
            <w:vAlign w:val="center"/>
          </w:tcPr>
          <w:p w14:paraId="1C63B05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8" w:type="pct"/>
            <w:vMerge w:val="continue"/>
            <w:tcBorders>
              <w:tl2br w:val="nil"/>
              <w:tr2bl w:val="nil"/>
            </w:tcBorders>
            <w:vAlign w:val="center"/>
          </w:tcPr>
          <w:p w14:paraId="3771BE9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7" w:type="pct"/>
            <w:tcBorders>
              <w:tl2br w:val="nil"/>
              <w:tr2bl w:val="nil"/>
            </w:tcBorders>
            <w:vAlign w:val="center"/>
          </w:tcPr>
          <w:p w14:paraId="21A8B84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637" w:type="pct"/>
            <w:tcBorders>
              <w:tl2br w:val="nil"/>
              <w:tr2bl w:val="nil"/>
            </w:tcBorders>
            <w:vAlign w:val="center"/>
          </w:tcPr>
          <w:p w14:paraId="60B1B84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604" w:type="pct"/>
            <w:tcBorders>
              <w:tl2br w:val="nil"/>
              <w:tr2bl w:val="nil"/>
            </w:tcBorders>
            <w:vAlign w:val="center"/>
          </w:tcPr>
          <w:p w14:paraId="1CF7891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0.7</w:t>
            </w:r>
            <w:r>
              <w:rPr>
                <w:rFonts w:eastAsia="宋体"/>
                <w:snapToGrid/>
                <w:color w:val="auto"/>
              </w:rPr>
              <w:t>t/a</w:t>
            </w:r>
          </w:p>
        </w:tc>
        <w:tc>
          <w:tcPr>
            <w:tcW w:w="1598" w:type="pct"/>
            <w:tcBorders>
              <w:tl2br w:val="nil"/>
              <w:tr2bl w:val="nil"/>
            </w:tcBorders>
            <w:vAlign w:val="center"/>
          </w:tcPr>
          <w:p w14:paraId="5F53C0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造粒车间设置排风扇，加强车间通风</w:t>
            </w:r>
          </w:p>
        </w:tc>
        <w:tc>
          <w:tcPr>
            <w:tcW w:w="591" w:type="pct"/>
            <w:gridSpan w:val="2"/>
            <w:tcBorders>
              <w:tl2br w:val="nil"/>
              <w:tr2bl w:val="nil"/>
            </w:tcBorders>
            <w:vAlign w:val="center"/>
          </w:tcPr>
          <w:p w14:paraId="2B138DF5">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0.7t</w:t>
            </w:r>
            <w:r>
              <w:rPr>
                <w:rFonts w:eastAsia="宋体"/>
                <w:snapToGrid/>
                <w:color w:val="auto"/>
              </w:rPr>
              <w:t>/a</w:t>
            </w:r>
          </w:p>
        </w:tc>
      </w:tr>
      <w:tr w14:paraId="627812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322" w:type="pct"/>
            <w:vMerge w:val="continue"/>
            <w:tcBorders>
              <w:tl2br w:val="nil"/>
              <w:tr2bl w:val="nil"/>
            </w:tcBorders>
            <w:vAlign w:val="center"/>
          </w:tcPr>
          <w:p w14:paraId="48975C7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8" w:type="pct"/>
            <w:tcBorders>
              <w:tl2br w:val="nil"/>
              <w:tr2bl w:val="nil"/>
            </w:tcBorders>
            <w:vAlign w:val="center"/>
          </w:tcPr>
          <w:p w14:paraId="71C2C0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卸车及原料堆存</w:t>
            </w:r>
          </w:p>
        </w:tc>
        <w:tc>
          <w:tcPr>
            <w:tcW w:w="667" w:type="pct"/>
            <w:tcBorders>
              <w:tl2br w:val="nil"/>
              <w:tr2bl w:val="nil"/>
            </w:tcBorders>
            <w:vAlign w:val="center"/>
          </w:tcPr>
          <w:p w14:paraId="5767AF2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637" w:type="pct"/>
            <w:tcBorders>
              <w:tl2br w:val="nil"/>
              <w:tr2bl w:val="nil"/>
            </w:tcBorders>
            <w:vAlign w:val="center"/>
          </w:tcPr>
          <w:p w14:paraId="3FB83FD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604" w:type="pct"/>
            <w:tcBorders>
              <w:tl2br w:val="nil"/>
              <w:tr2bl w:val="nil"/>
            </w:tcBorders>
            <w:vAlign w:val="center"/>
          </w:tcPr>
          <w:p w14:paraId="1A76FE6B">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2.4</w:t>
            </w:r>
          </w:p>
        </w:tc>
        <w:tc>
          <w:tcPr>
            <w:tcW w:w="1598" w:type="pct"/>
            <w:tcBorders>
              <w:tl2br w:val="nil"/>
              <w:tr2bl w:val="nil"/>
            </w:tcBorders>
            <w:vAlign w:val="center"/>
          </w:tcPr>
          <w:p w14:paraId="620B0F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堆场采用半封闭堆棚中暂存</w:t>
            </w:r>
          </w:p>
        </w:tc>
        <w:tc>
          <w:tcPr>
            <w:tcW w:w="591" w:type="pct"/>
            <w:gridSpan w:val="2"/>
            <w:tcBorders>
              <w:tl2br w:val="nil"/>
              <w:tr2bl w:val="nil"/>
            </w:tcBorders>
            <w:vAlign w:val="center"/>
          </w:tcPr>
          <w:p w14:paraId="5D5A0B80">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0.48</w:t>
            </w:r>
          </w:p>
        </w:tc>
      </w:tr>
      <w:tr w14:paraId="23E10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322" w:type="pct"/>
            <w:vMerge w:val="restart"/>
            <w:tcBorders>
              <w:tl2br w:val="nil"/>
              <w:tr2bl w:val="nil"/>
            </w:tcBorders>
            <w:vAlign w:val="center"/>
          </w:tcPr>
          <w:p w14:paraId="337352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废水</w:t>
            </w:r>
          </w:p>
        </w:tc>
        <w:tc>
          <w:tcPr>
            <w:tcW w:w="1245" w:type="pct"/>
            <w:gridSpan w:val="2"/>
            <w:tcBorders>
              <w:tl2br w:val="nil"/>
              <w:tr2bl w:val="nil"/>
            </w:tcBorders>
            <w:vAlign w:val="center"/>
          </w:tcPr>
          <w:p w14:paraId="6A356A9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再生聚乙烯颗粒冷水</w:t>
            </w:r>
          </w:p>
        </w:tc>
        <w:tc>
          <w:tcPr>
            <w:tcW w:w="637" w:type="pct"/>
            <w:tcBorders>
              <w:tl2br w:val="nil"/>
              <w:tr2bl w:val="nil"/>
            </w:tcBorders>
            <w:vAlign w:val="center"/>
          </w:tcPr>
          <w:p w14:paraId="1E45F71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冷却循环水</w:t>
            </w:r>
          </w:p>
        </w:tc>
        <w:tc>
          <w:tcPr>
            <w:tcW w:w="604" w:type="pct"/>
            <w:tcBorders>
              <w:tl2br w:val="nil"/>
              <w:tr2bl w:val="nil"/>
            </w:tcBorders>
            <w:vAlign w:val="center"/>
          </w:tcPr>
          <w:p w14:paraId="7D262DC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1.2m</w:t>
            </w:r>
            <w:r>
              <w:rPr>
                <w:rFonts w:eastAsia="宋体"/>
                <w:snapToGrid/>
                <w:color w:val="auto"/>
                <w:szCs w:val="13"/>
                <w:vertAlign w:val="superscript"/>
              </w:rPr>
              <w:t>3</w:t>
            </w:r>
            <w:r>
              <w:rPr>
                <w:rFonts w:eastAsia="宋体"/>
                <w:snapToGrid/>
                <w:color w:val="auto"/>
              </w:rPr>
              <w:t>/d</w:t>
            </w:r>
          </w:p>
        </w:tc>
        <w:tc>
          <w:tcPr>
            <w:tcW w:w="1598" w:type="pct"/>
            <w:tcBorders>
              <w:tl2br w:val="nil"/>
              <w:tr2bl w:val="nil"/>
            </w:tcBorders>
            <w:vAlign w:val="center"/>
          </w:tcPr>
          <w:p w14:paraId="3CB85E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经冷却后循环使用</w:t>
            </w:r>
          </w:p>
        </w:tc>
        <w:tc>
          <w:tcPr>
            <w:tcW w:w="591" w:type="pct"/>
            <w:gridSpan w:val="2"/>
            <w:tcBorders>
              <w:tl2br w:val="nil"/>
              <w:tr2bl w:val="nil"/>
            </w:tcBorders>
            <w:vAlign w:val="center"/>
          </w:tcPr>
          <w:p w14:paraId="0807875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w:t>
            </w:r>
          </w:p>
        </w:tc>
      </w:tr>
      <w:tr w14:paraId="23BC9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322" w:type="pct"/>
            <w:vMerge w:val="continue"/>
            <w:tcBorders>
              <w:tl2br w:val="nil"/>
              <w:tr2bl w:val="nil"/>
            </w:tcBorders>
            <w:vAlign w:val="center"/>
          </w:tcPr>
          <w:p w14:paraId="0BAD0F3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tcBorders>
              <w:tl2br w:val="nil"/>
              <w:tr2bl w:val="nil"/>
            </w:tcBorders>
            <w:vAlign w:val="center"/>
          </w:tcPr>
          <w:p w14:paraId="092C9A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滴灌带冷却工段循环水</w:t>
            </w:r>
          </w:p>
        </w:tc>
        <w:tc>
          <w:tcPr>
            <w:tcW w:w="637" w:type="pct"/>
            <w:tcBorders>
              <w:tl2br w:val="nil"/>
              <w:tr2bl w:val="nil"/>
            </w:tcBorders>
            <w:vAlign w:val="center"/>
          </w:tcPr>
          <w:p w14:paraId="0F3C6A3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冷却循环水</w:t>
            </w:r>
          </w:p>
        </w:tc>
        <w:tc>
          <w:tcPr>
            <w:tcW w:w="604" w:type="pct"/>
            <w:tcBorders>
              <w:tl2br w:val="nil"/>
              <w:tr2bl w:val="nil"/>
            </w:tcBorders>
            <w:vAlign w:val="center"/>
          </w:tcPr>
          <w:p w14:paraId="1BC2B5F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1.2m</w:t>
            </w:r>
            <w:r>
              <w:rPr>
                <w:rFonts w:eastAsia="宋体"/>
                <w:snapToGrid/>
                <w:color w:val="auto"/>
                <w:szCs w:val="13"/>
                <w:vertAlign w:val="superscript"/>
              </w:rPr>
              <w:t>3</w:t>
            </w:r>
            <w:r>
              <w:rPr>
                <w:rFonts w:eastAsia="宋体"/>
                <w:snapToGrid/>
                <w:color w:val="auto"/>
              </w:rPr>
              <w:t>/d</w:t>
            </w:r>
          </w:p>
        </w:tc>
        <w:tc>
          <w:tcPr>
            <w:tcW w:w="1598" w:type="pct"/>
            <w:tcBorders>
              <w:tl2br w:val="nil"/>
              <w:tr2bl w:val="nil"/>
            </w:tcBorders>
            <w:vAlign w:val="center"/>
          </w:tcPr>
          <w:p w14:paraId="17CB88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经冷却后循环使用</w:t>
            </w:r>
          </w:p>
        </w:tc>
        <w:tc>
          <w:tcPr>
            <w:tcW w:w="591" w:type="pct"/>
            <w:gridSpan w:val="2"/>
            <w:tcBorders>
              <w:tl2br w:val="nil"/>
              <w:tr2bl w:val="nil"/>
            </w:tcBorders>
            <w:vAlign w:val="center"/>
          </w:tcPr>
          <w:p w14:paraId="76367F3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w:t>
            </w:r>
          </w:p>
        </w:tc>
      </w:tr>
      <w:tr w14:paraId="2FB02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322" w:type="pct"/>
            <w:vMerge w:val="continue"/>
            <w:tcBorders>
              <w:tl2br w:val="nil"/>
              <w:tr2bl w:val="nil"/>
            </w:tcBorders>
            <w:vAlign w:val="center"/>
          </w:tcPr>
          <w:p w14:paraId="148A081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78" w:type="pct"/>
            <w:tcBorders>
              <w:tl2br w:val="nil"/>
              <w:tr2bl w:val="nil"/>
            </w:tcBorders>
            <w:vAlign w:val="center"/>
          </w:tcPr>
          <w:p w14:paraId="0E65ADC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生活污水</w:t>
            </w:r>
          </w:p>
        </w:tc>
        <w:tc>
          <w:tcPr>
            <w:tcW w:w="1304" w:type="pct"/>
            <w:gridSpan w:val="2"/>
            <w:tcBorders>
              <w:tl2br w:val="nil"/>
              <w:tr2bl w:val="nil"/>
            </w:tcBorders>
            <w:vAlign w:val="center"/>
          </w:tcPr>
          <w:p w14:paraId="6DC981F0">
            <w:pPr>
              <w:pStyle w:val="37"/>
              <w:widowControl w:val="0"/>
              <w:shd w:val="clear"/>
              <w:kinsoku/>
              <w:autoSpaceDE/>
              <w:autoSpaceDN/>
              <w:adjustRightInd/>
              <w:snapToGrid/>
              <w:spacing w:line="360" w:lineRule="auto"/>
              <w:jc w:val="center"/>
              <w:textAlignment w:val="auto"/>
              <w:rPr>
                <w:rFonts w:hint="eastAsia" w:eastAsia="宋体" w:cs="宋体"/>
                <w:snapToGrid/>
                <w:color w:val="auto"/>
                <w:lang w:val="en-US" w:eastAsia="zh-CN"/>
              </w:rPr>
            </w:pPr>
            <w:r>
              <w:rPr>
                <w:rFonts w:hint="eastAsia" w:eastAsia="宋体" w:cs="宋体"/>
                <w:snapToGrid/>
                <w:color w:val="auto"/>
                <w:lang w:val="en-US" w:eastAsia="zh-CN"/>
              </w:rPr>
              <w:t>废水量</w:t>
            </w:r>
          </w:p>
        </w:tc>
        <w:tc>
          <w:tcPr>
            <w:tcW w:w="604" w:type="pct"/>
            <w:tcBorders>
              <w:tl2br w:val="nil"/>
              <w:tr2bl w:val="nil"/>
            </w:tcBorders>
            <w:vAlign w:val="center"/>
          </w:tcPr>
          <w:p w14:paraId="668AC6A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134.7m</w:t>
            </w:r>
            <w:r>
              <w:rPr>
                <w:rFonts w:eastAsia="宋体"/>
                <w:snapToGrid/>
                <w:color w:val="auto"/>
                <w:szCs w:val="13"/>
                <w:vertAlign w:val="superscript"/>
              </w:rPr>
              <w:t>3</w:t>
            </w:r>
            <w:r>
              <w:rPr>
                <w:rFonts w:eastAsia="宋体"/>
                <w:snapToGrid/>
                <w:color w:val="auto"/>
              </w:rPr>
              <w:t>/</w:t>
            </w:r>
            <w:r>
              <w:rPr>
                <w:rFonts w:hint="eastAsia" w:eastAsia="宋体"/>
                <w:snapToGrid/>
                <w:color w:val="auto"/>
                <w:lang w:eastAsia="zh-CN"/>
              </w:rPr>
              <w:t>a</w:t>
            </w:r>
          </w:p>
        </w:tc>
        <w:tc>
          <w:tcPr>
            <w:tcW w:w="1598" w:type="pct"/>
            <w:tcBorders>
              <w:tl2br w:val="nil"/>
              <w:tr2bl w:val="nil"/>
            </w:tcBorders>
            <w:vAlign w:val="center"/>
          </w:tcPr>
          <w:p w14:paraId="74F4C9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排入化粪池，定期拉运至木垒哈萨克自治县污水处理厂处理</w:t>
            </w:r>
          </w:p>
        </w:tc>
        <w:tc>
          <w:tcPr>
            <w:tcW w:w="591" w:type="pct"/>
            <w:gridSpan w:val="2"/>
            <w:tcBorders>
              <w:tl2br w:val="nil"/>
              <w:tr2bl w:val="nil"/>
            </w:tcBorders>
            <w:vAlign w:val="center"/>
          </w:tcPr>
          <w:p w14:paraId="6DE9716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134.7m</w:t>
            </w:r>
            <w:r>
              <w:rPr>
                <w:rFonts w:eastAsia="宋体"/>
                <w:snapToGrid/>
                <w:color w:val="auto"/>
                <w:szCs w:val="13"/>
                <w:vertAlign w:val="superscript"/>
              </w:rPr>
              <w:t>3</w:t>
            </w:r>
            <w:r>
              <w:rPr>
                <w:rFonts w:hint="eastAsia" w:eastAsia="宋体"/>
                <w:snapToGrid/>
                <w:color w:val="auto"/>
                <w:lang w:eastAsia="zh-CN"/>
              </w:rPr>
              <w:t>/a</w:t>
            </w:r>
          </w:p>
        </w:tc>
      </w:tr>
      <w:tr w14:paraId="560EC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322" w:type="pct"/>
            <w:vMerge w:val="restart"/>
            <w:tcBorders>
              <w:tl2br w:val="nil"/>
              <w:tr2bl w:val="nil"/>
            </w:tcBorders>
            <w:vAlign w:val="center"/>
          </w:tcPr>
          <w:p w14:paraId="14ABBBA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固废</w:t>
            </w:r>
          </w:p>
        </w:tc>
        <w:tc>
          <w:tcPr>
            <w:tcW w:w="1245" w:type="pct"/>
            <w:gridSpan w:val="2"/>
            <w:tcBorders>
              <w:tl2br w:val="nil"/>
              <w:tr2bl w:val="nil"/>
            </w:tcBorders>
            <w:vAlign w:val="center"/>
          </w:tcPr>
          <w:p w14:paraId="1B49E55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废旧滴灌带清洗</w:t>
            </w:r>
          </w:p>
        </w:tc>
        <w:tc>
          <w:tcPr>
            <w:tcW w:w="637" w:type="pct"/>
            <w:tcBorders>
              <w:tl2br w:val="nil"/>
              <w:tr2bl w:val="nil"/>
            </w:tcBorders>
            <w:vAlign w:val="center"/>
          </w:tcPr>
          <w:p w14:paraId="7CF0B40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泥沙</w:t>
            </w:r>
          </w:p>
        </w:tc>
        <w:tc>
          <w:tcPr>
            <w:tcW w:w="604" w:type="pct"/>
            <w:tcBorders>
              <w:tl2br w:val="nil"/>
              <w:tr2bl w:val="nil"/>
            </w:tcBorders>
            <w:vAlign w:val="center"/>
          </w:tcPr>
          <w:p w14:paraId="3937D79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307.75t/a</w:t>
            </w:r>
          </w:p>
        </w:tc>
        <w:tc>
          <w:tcPr>
            <w:tcW w:w="1598" w:type="pct"/>
            <w:tcBorders>
              <w:tl2br w:val="nil"/>
              <w:tr2bl w:val="nil"/>
            </w:tcBorders>
            <w:vAlign w:val="center"/>
          </w:tcPr>
          <w:p w14:paraId="2E57CF7F">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经</w:t>
            </w:r>
            <w:r>
              <w:rPr>
                <w:rFonts w:hint="eastAsia" w:eastAsia="宋体" w:cs="宋体"/>
                <w:snapToGrid/>
                <w:color w:val="auto"/>
                <w:lang w:eastAsia="zh-CN"/>
              </w:rPr>
              <w:t>自然风干</w:t>
            </w:r>
            <w:r>
              <w:rPr>
                <w:rFonts w:eastAsia="宋体" w:cs="宋体"/>
                <w:snapToGrid/>
                <w:color w:val="auto"/>
                <w:lang w:eastAsia="zh-CN"/>
              </w:rPr>
              <w:t>含水率低于</w:t>
            </w:r>
            <w:r>
              <w:rPr>
                <w:rFonts w:eastAsia="宋体"/>
                <w:snapToGrid/>
                <w:color w:val="auto"/>
                <w:lang w:eastAsia="zh-CN"/>
              </w:rPr>
              <w:t>60%</w:t>
            </w:r>
            <w:r>
              <w:rPr>
                <w:rFonts w:eastAsia="宋体" w:cs="宋体"/>
                <w:snapToGrid/>
                <w:color w:val="auto"/>
                <w:lang w:eastAsia="zh-CN"/>
              </w:rPr>
              <w:t>后，交由环卫部门处理处置。</w:t>
            </w:r>
          </w:p>
        </w:tc>
        <w:tc>
          <w:tcPr>
            <w:tcW w:w="591" w:type="pct"/>
            <w:gridSpan w:val="2"/>
            <w:tcBorders>
              <w:tl2br w:val="nil"/>
              <w:tr2bl w:val="nil"/>
            </w:tcBorders>
            <w:vAlign w:val="center"/>
          </w:tcPr>
          <w:p w14:paraId="79C001B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307.75t/a</w:t>
            </w:r>
          </w:p>
        </w:tc>
      </w:tr>
      <w:tr w14:paraId="2B934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322" w:type="pct"/>
            <w:vMerge w:val="continue"/>
            <w:tcBorders>
              <w:tl2br w:val="nil"/>
              <w:tr2bl w:val="nil"/>
            </w:tcBorders>
            <w:vAlign w:val="center"/>
          </w:tcPr>
          <w:p w14:paraId="10F7495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1245" w:type="pct"/>
            <w:gridSpan w:val="2"/>
            <w:tcBorders>
              <w:tl2br w:val="nil"/>
              <w:tr2bl w:val="nil"/>
            </w:tcBorders>
            <w:vAlign w:val="center"/>
          </w:tcPr>
          <w:p w14:paraId="79C5503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分拣废物</w:t>
            </w:r>
          </w:p>
        </w:tc>
        <w:tc>
          <w:tcPr>
            <w:tcW w:w="637" w:type="pct"/>
            <w:tcBorders>
              <w:tl2br w:val="nil"/>
              <w:tr2bl w:val="nil"/>
            </w:tcBorders>
            <w:vAlign w:val="center"/>
          </w:tcPr>
          <w:p w14:paraId="21A438D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分拣废物</w:t>
            </w:r>
          </w:p>
        </w:tc>
        <w:tc>
          <w:tcPr>
            <w:tcW w:w="604" w:type="pct"/>
            <w:tcBorders>
              <w:tl2br w:val="nil"/>
              <w:tr2bl w:val="nil"/>
            </w:tcBorders>
            <w:vAlign w:val="center"/>
          </w:tcPr>
          <w:p w14:paraId="34261DC6">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205.3</w:t>
            </w:r>
            <w:r>
              <w:rPr>
                <w:rFonts w:eastAsia="宋体"/>
                <w:snapToGrid/>
                <w:color w:val="auto"/>
              </w:rPr>
              <w:t>t/a</w:t>
            </w:r>
          </w:p>
        </w:tc>
        <w:tc>
          <w:tcPr>
            <w:tcW w:w="1598" w:type="pct"/>
            <w:tcBorders>
              <w:tl2br w:val="nil"/>
              <w:tr2bl w:val="nil"/>
            </w:tcBorders>
            <w:vAlign w:val="center"/>
          </w:tcPr>
          <w:p w14:paraId="3551043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交由环卫部门处理处置。</w:t>
            </w:r>
          </w:p>
        </w:tc>
        <w:tc>
          <w:tcPr>
            <w:tcW w:w="591" w:type="pct"/>
            <w:gridSpan w:val="2"/>
            <w:tcBorders>
              <w:tl2br w:val="nil"/>
              <w:tr2bl w:val="nil"/>
            </w:tcBorders>
            <w:vAlign w:val="center"/>
          </w:tcPr>
          <w:p w14:paraId="001B1F7A">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205.3</w:t>
            </w:r>
            <w:r>
              <w:rPr>
                <w:rFonts w:eastAsia="宋体"/>
                <w:snapToGrid/>
                <w:color w:val="auto"/>
              </w:rPr>
              <w:t>t/a</w:t>
            </w:r>
          </w:p>
        </w:tc>
      </w:tr>
      <w:tr w14:paraId="775111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322" w:type="pct"/>
            <w:vMerge w:val="continue"/>
            <w:tcBorders>
              <w:tl2br w:val="nil"/>
              <w:tr2bl w:val="nil"/>
            </w:tcBorders>
            <w:vAlign w:val="center"/>
          </w:tcPr>
          <w:p w14:paraId="4BA340D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tcBorders>
              <w:tl2br w:val="nil"/>
              <w:tr2bl w:val="nil"/>
            </w:tcBorders>
            <w:vAlign w:val="center"/>
          </w:tcPr>
          <w:p w14:paraId="50FC0F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加热造粒</w:t>
            </w:r>
          </w:p>
        </w:tc>
        <w:tc>
          <w:tcPr>
            <w:tcW w:w="637" w:type="pct"/>
            <w:tcBorders>
              <w:tl2br w:val="nil"/>
              <w:tr2bl w:val="nil"/>
            </w:tcBorders>
            <w:vAlign w:val="center"/>
          </w:tcPr>
          <w:p w14:paraId="70FA5A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废旧滤网</w:t>
            </w:r>
          </w:p>
        </w:tc>
        <w:tc>
          <w:tcPr>
            <w:tcW w:w="604" w:type="pct"/>
            <w:tcBorders>
              <w:tl2br w:val="nil"/>
              <w:tr2bl w:val="nil"/>
            </w:tcBorders>
            <w:vAlign w:val="center"/>
          </w:tcPr>
          <w:p w14:paraId="4F781EB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2.4t/a</w:t>
            </w:r>
          </w:p>
        </w:tc>
        <w:tc>
          <w:tcPr>
            <w:tcW w:w="1598" w:type="pct"/>
            <w:tcBorders>
              <w:tl2br w:val="nil"/>
              <w:tr2bl w:val="nil"/>
            </w:tcBorders>
            <w:vAlign w:val="center"/>
          </w:tcPr>
          <w:p w14:paraId="4E3F175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定点收集，定期由厂家回收</w:t>
            </w:r>
          </w:p>
        </w:tc>
        <w:tc>
          <w:tcPr>
            <w:tcW w:w="591" w:type="pct"/>
            <w:gridSpan w:val="2"/>
            <w:tcBorders>
              <w:tl2br w:val="nil"/>
              <w:tr2bl w:val="nil"/>
            </w:tcBorders>
            <w:vAlign w:val="center"/>
          </w:tcPr>
          <w:p w14:paraId="656F3BA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2.4t/a</w:t>
            </w:r>
          </w:p>
        </w:tc>
      </w:tr>
      <w:tr w14:paraId="7713A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0" w:hRule="atLeast"/>
          <w:jc w:val="center"/>
        </w:trPr>
        <w:tc>
          <w:tcPr>
            <w:tcW w:w="322" w:type="pct"/>
            <w:vMerge w:val="continue"/>
            <w:tcBorders>
              <w:tl2br w:val="nil"/>
              <w:tr2bl w:val="nil"/>
            </w:tcBorders>
            <w:vAlign w:val="center"/>
          </w:tcPr>
          <w:p w14:paraId="7C27706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tcBorders>
              <w:tl2br w:val="nil"/>
              <w:tr2bl w:val="nil"/>
            </w:tcBorders>
            <w:vAlign w:val="center"/>
          </w:tcPr>
          <w:p w14:paraId="1010EC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滴灌带生产工序</w:t>
            </w:r>
          </w:p>
        </w:tc>
        <w:tc>
          <w:tcPr>
            <w:tcW w:w="637" w:type="pct"/>
            <w:tcBorders>
              <w:tl2br w:val="nil"/>
              <w:tr2bl w:val="nil"/>
            </w:tcBorders>
            <w:vAlign w:val="center"/>
          </w:tcPr>
          <w:p w14:paraId="744707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不合格品及边角料</w:t>
            </w:r>
          </w:p>
        </w:tc>
        <w:tc>
          <w:tcPr>
            <w:tcW w:w="604" w:type="pct"/>
            <w:tcBorders>
              <w:tl2br w:val="nil"/>
              <w:tr2bl w:val="nil"/>
            </w:tcBorders>
            <w:vAlign w:val="center"/>
          </w:tcPr>
          <w:p w14:paraId="63EBB0E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52.05t/a</w:t>
            </w:r>
          </w:p>
        </w:tc>
        <w:tc>
          <w:tcPr>
            <w:tcW w:w="1598" w:type="pct"/>
            <w:tcBorders>
              <w:tl2br w:val="nil"/>
              <w:tr2bl w:val="nil"/>
            </w:tcBorders>
            <w:vAlign w:val="center"/>
          </w:tcPr>
          <w:p w14:paraId="63ED65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收集后进入废旧塑料颗粒加工造粒工序再生造粒</w:t>
            </w:r>
          </w:p>
        </w:tc>
        <w:tc>
          <w:tcPr>
            <w:tcW w:w="591" w:type="pct"/>
            <w:gridSpan w:val="2"/>
            <w:tcBorders>
              <w:tl2br w:val="nil"/>
              <w:tr2bl w:val="nil"/>
            </w:tcBorders>
            <w:vAlign w:val="center"/>
          </w:tcPr>
          <w:p w14:paraId="25638C8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0t/a</w:t>
            </w:r>
          </w:p>
        </w:tc>
      </w:tr>
      <w:tr w14:paraId="1D95F9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22" w:type="pct"/>
            <w:vMerge w:val="continue"/>
            <w:tcBorders>
              <w:tl2br w:val="nil"/>
              <w:tr2bl w:val="nil"/>
            </w:tcBorders>
            <w:vAlign w:val="center"/>
          </w:tcPr>
          <w:p w14:paraId="4923D81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vMerge w:val="restart"/>
            <w:tcBorders>
              <w:tl2br w:val="nil"/>
              <w:tr2bl w:val="nil"/>
            </w:tcBorders>
            <w:vAlign w:val="center"/>
          </w:tcPr>
          <w:p w14:paraId="7F24AF4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废气处理</w:t>
            </w:r>
          </w:p>
        </w:tc>
        <w:tc>
          <w:tcPr>
            <w:tcW w:w="637" w:type="pct"/>
            <w:tcBorders>
              <w:tl2br w:val="nil"/>
              <w:tr2bl w:val="nil"/>
            </w:tcBorders>
            <w:vAlign w:val="center"/>
          </w:tcPr>
          <w:p w14:paraId="3D6461D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废活性炭</w:t>
            </w:r>
          </w:p>
        </w:tc>
        <w:tc>
          <w:tcPr>
            <w:tcW w:w="604" w:type="pct"/>
            <w:tcBorders>
              <w:tl2br w:val="nil"/>
              <w:tr2bl w:val="nil"/>
            </w:tcBorders>
            <w:vAlign w:val="center"/>
          </w:tcPr>
          <w:p w14:paraId="4F09B664">
            <w:pPr>
              <w:pStyle w:val="37"/>
              <w:widowControl w:val="0"/>
              <w:shd w:val="clear"/>
              <w:kinsoku/>
              <w:autoSpaceDE/>
              <w:autoSpaceDN/>
              <w:adjustRightInd/>
              <w:snapToGrid/>
              <w:spacing w:line="360" w:lineRule="auto"/>
              <w:jc w:val="center"/>
              <w:textAlignment w:val="auto"/>
              <w:rPr>
                <w:rFonts w:eastAsia="宋体"/>
                <w:snapToGrid/>
                <w:color w:val="auto"/>
                <w:szCs w:val="22"/>
              </w:rPr>
            </w:pPr>
            <w:r>
              <w:rPr>
                <w:rFonts w:hint="eastAsia" w:eastAsia="宋体"/>
                <w:snapToGrid/>
                <w:color w:val="auto"/>
                <w:szCs w:val="22"/>
                <w:lang w:eastAsia="zh-CN"/>
              </w:rPr>
              <w:t>6.48</w:t>
            </w:r>
            <w:r>
              <w:rPr>
                <w:rFonts w:eastAsia="宋体"/>
                <w:snapToGrid/>
                <w:color w:val="auto"/>
                <w:szCs w:val="22"/>
              </w:rPr>
              <w:t>t/a</w:t>
            </w:r>
          </w:p>
        </w:tc>
        <w:tc>
          <w:tcPr>
            <w:tcW w:w="1598" w:type="pct"/>
            <w:vMerge w:val="restart"/>
            <w:tcBorders>
              <w:tl2br w:val="nil"/>
              <w:tr2bl w:val="nil"/>
            </w:tcBorders>
            <w:vAlign w:val="center"/>
          </w:tcPr>
          <w:p w14:paraId="42A6F2E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收集后暂存于危废暂存间，定期交由有资质的单位处置</w:t>
            </w:r>
          </w:p>
        </w:tc>
        <w:tc>
          <w:tcPr>
            <w:tcW w:w="591" w:type="pct"/>
            <w:gridSpan w:val="2"/>
            <w:tcBorders>
              <w:tl2br w:val="nil"/>
              <w:tr2bl w:val="nil"/>
            </w:tcBorders>
            <w:vAlign w:val="center"/>
          </w:tcPr>
          <w:p w14:paraId="19C1097E">
            <w:pPr>
              <w:pStyle w:val="37"/>
              <w:widowControl w:val="0"/>
              <w:shd w:val="clear"/>
              <w:kinsoku/>
              <w:autoSpaceDE/>
              <w:autoSpaceDN/>
              <w:adjustRightInd/>
              <w:snapToGrid/>
              <w:spacing w:line="360" w:lineRule="auto"/>
              <w:jc w:val="center"/>
              <w:textAlignment w:val="auto"/>
              <w:rPr>
                <w:rFonts w:eastAsia="宋体"/>
                <w:snapToGrid/>
                <w:color w:val="auto"/>
                <w:szCs w:val="22"/>
              </w:rPr>
            </w:pPr>
            <w:r>
              <w:rPr>
                <w:rFonts w:hint="eastAsia" w:eastAsia="宋体"/>
                <w:snapToGrid/>
                <w:color w:val="auto"/>
                <w:szCs w:val="22"/>
                <w:lang w:eastAsia="zh-CN"/>
              </w:rPr>
              <w:t>6.48</w:t>
            </w:r>
            <w:r>
              <w:rPr>
                <w:rFonts w:eastAsia="宋体"/>
                <w:snapToGrid/>
                <w:color w:val="auto"/>
                <w:szCs w:val="22"/>
              </w:rPr>
              <w:t>t/a</w:t>
            </w:r>
          </w:p>
        </w:tc>
      </w:tr>
      <w:tr w14:paraId="3D58E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22" w:type="pct"/>
            <w:vMerge w:val="continue"/>
            <w:tcBorders>
              <w:tl2br w:val="nil"/>
              <w:tr2bl w:val="nil"/>
            </w:tcBorders>
            <w:vAlign w:val="center"/>
          </w:tcPr>
          <w:p w14:paraId="2A81EFF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vMerge w:val="continue"/>
            <w:tcBorders>
              <w:tl2br w:val="nil"/>
              <w:tr2bl w:val="nil"/>
            </w:tcBorders>
            <w:vAlign w:val="center"/>
          </w:tcPr>
          <w:p w14:paraId="221F32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637" w:type="pct"/>
            <w:tcBorders>
              <w:tl2br w:val="nil"/>
              <w:tr2bl w:val="nil"/>
            </w:tcBorders>
            <w:vAlign w:val="center"/>
          </w:tcPr>
          <w:p w14:paraId="05155C39">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废催化剂</w:t>
            </w:r>
          </w:p>
        </w:tc>
        <w:tc>
          <w:tcPr>
            <w:tcW w:w="604" w:type="pct"/>
            <w:tcBorders>
              <w:tl2br w:val="nil"/>
              <w:tr2bl w:val="nil"/>
            </w:tcBorders>
            <w:vAlign w:val="center"/>
          </w:tcPr>
          <w:p w14:paraId="39386F9B">
            <w:pPr>
              <w:pStyle w:val="37"/>
              <w:widowControl w:val="0"/>
              <w:shd w:val="clear"/>
              <w:kinsoku/>
              <w:autoSpaceDE/>
              <w:autoSpaceDN/>
              <w:adjustRightInd/>
              <w:snapToGrid/>
              <w:spacing w:line="360" w:lineRule="auto"/>
              <w:jc w:val="center"/>
              <w:textAlignment w:val="auto"/>
              <w:rPr>
                <w:rFonts w:hint="default" w:eastAsia="宋体"/>
                <w:snapToGrid/>
                <w:color w:val="auto"/>
                <w:szCs w:val="22"/>
                <w:lang w:val="en-US" w:eastAsia="zh-CN"/>
              </w:rPr>
            </w:pPr>
            <w:r>
              <w:rPr>
                <w:rFonts w:hint="eastAsia" w:eastAsia="宋体"/>
                <w:snapToGrid/>
                <w:color w:val="auto"/>
                <w:szCs w:val="22"/>
                <w:lang w:val="en-US" w:eastAsia="zh-CN"/>
              </w:rPr>
              <w:t>0.12t/a</w:t>
            </w:r>
          </w:p>
        </w:tc>
        <w:tc>
          <w:tcPr>
            <w:tcW w:w="1598" w:type="pct"/>
            <w:vMerge w:val="continue"/>
            <w:tcBorders>
              <w:tl2br w:val="nil"/>
              <w:tr2bl w:val="nil"/>
            </w:tcBorders>
            <w:vAlign w:val="center"/>
          </w:tcPr>
          <w:p w14:paraId="4207BC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591" w:type="pct"/>
            <w:gridSpan w:val="2"/>
            <w:tcBorders>
              <w:tl2br w:val="nil"/>
              <w:tr2bl w:val="nil"/>
            </w:tcBorders>
            <w:vAlign w:val="center"/>
          </w:tcPr>
          <w:p w14:paraId="7945D0AD">
            <w:pPr>
              <w:pStyle w:val="37"/>
              <w:widowControl w:val="0"/>
              <w:shd w:val="clear"/>
              <w:kinsoku/>
              <w:autoSpaceDE/>
              <w:autoSpaceDN/>
              <w:adjustRightInd/>
              <w:snapToGrid/>
              <w:spacing w:line="360" w:lineRule="auto"/>
              <w:jc w:val="center"/>
              <w:textAlignment w:val="auto"/>
              <w:rPr>
                <w:rFonts w:hint="default" w:eastAsia="宋体"/>
                <w:snapToGrid/>
                <w:color w:val="auto"/>
                <w:szCs w:val="22"/>
                <w:lang w:val="en-US" w:eastAsia="zh-CN"/>
              </w:rPr>
            </w:pPr>
            <w:r>
              <w:rPr>
                <w:rFonts w:hint="eastAsia" w:eastAsia="宋体"/>
                <w:snapToGrid/>
                <w:color w:val="auto"/>
                <w:szCs w:val="22"/>
                <w:lang w:val="en-US" w:eastAsia="zh-CN"/>
              </w:rPr>
              <w:t>0.12t/a</w:t>
            </w:r>
          </w:p>
        </w:tc>
      </w:tr>
      <w:tr w14:paraId="2A1D8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329" w:hRule="atLeast"/>
          <w:jc w:val="center"/>
        </w:trPr>
        <w:tc>
          <w:tcPr>
            <w:tcW w:w="322" w:type="pct"/>
            <w:vMerge w:val="continue"/>
            <w:tcBorders>
              <w:tl2br w:val="nil"/>
              <w:tr2bl w:val="nil"/>
            </w:tcBorders>
            <w:vAlign w:val="center"/>
          </w:tcPr>
          <w:p w14:paraId="522C0EB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vMerge w:val="restart"/>
            <w:tcBorders>
              <w:tl2br w:val="nil"/>
              <w:tr2bl w:val="nil"/>
            </w:tcBorders>
            <w:vAlign w:val="center"/>
          </w:tcPr>
          <w:p w14:paraId="6910A58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机械设备</w:t>
            </w:r>
          </w:p>
        </w:tc>
        <w:tc>
          <w:tcPr>
            <w:tcW w:w="637" w:type="pct"/>
            <w:tcBorders>
              <w:tl2br w:val="nil"/>
              <w:tr2bl w:val="nil"/>
            </w:tcBorders>
            <w:vAlign w:val="center"/>
          </w:tcPr>
          <w:p w14:paraId="3EAB23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废润滑油</w:t>
            </w:r>
          </w:p>
        </w:tc>
        <w:tc>
          <w:tcPr>
            <w:tcW w:w="604" w:type="pct"/>
            <w:tcBorders>
              <w:tl2br w:val="nil"/>
              <w:tr2bl w:val="nil"/>
            </w:tcBorders>
            <w:vAlign w:val="center"/>
          </w:tcPr>
          <w:p w14:paraId="467A0DD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0.5t/a</w:t>
            </w:r>
          </w:p>
        </w:tc>
        <w:tc>
          <w:tcPr>
            <w:tcW w:w="1598" w:type="pct"/>
            <w:vMerge w:val="continue"/>
            <w:tcBorders>
              <w:tl2br w:val="nil"/>
              <w:tr2bl w:val="nil"/>
            </w:tcBorders>
            <w:vAlign w:val="center"/>
          </w:tcPr>
          <w:p w14:paraId="5370FE3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86" w:type="pct"/>
            <w:tcBorders>
              <w:tl2br w:val="nil"/>
              <w:tr2bl w:val="nil"/>
            </w:tcBorders>
            <w:vAlign w:val="center"/>
          </w:tcPr>
          <w:p w14:paraId="30D658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0.5t/a</w:t>
            </w:r>
          </w:p>
        </w:tc>
      </w:tr>
      <w:tr w14:paraId="274E62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329" w:hRule="atLeast"/>
          <w:jc w:val="center"/>
        </w:trPr>
        <w:tc>
          <w:tcPr>
            <w:tcW w:w="322" w:type="pct"/>
            <w:vMerge w:val="continue"/>
            <w:tcBorders>
              <w:tl2br w:val="nil"/>
              <w:tr2bl w:val="nil"/>
            </w:tcBorders>
            <w:vAlign w:val="center"/>
          </w:tcPr>
          <w:p w14:paraId="45C8EDC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vMerge w:val="continue"/>
            <w:tcBorders>
              <w:tl2br w:val="nil"/>
              <w:tr2bl w:val="nil"/>
            </w:tcBorders>
            <w:vAlign w:val="center"/>
          </w:tcPr>
          <w:p w14:paraId="69DCB7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637" w:type="pct"/>
            <w:tcBorders>
              <w:tl2br w:val="nil"/>
              <w:tr2bl w:val="nil"/>
            </w:tcBorders>
            <w:vAlign w:val="center"/>
          </w:tcPr>
          <w:p w14:paraId="338CCE60">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废油桶</w:t>
            </w:r>
          </w:p>
        </w:tc>
        <w:tc>
          <w:tcPr>
            <w:tcW w:w="604" w:type="pct"/>
            <w:tcBorders>
              <w:tl2br w:val="nil"/>
              <w:tr2bl w:val="nil"/>
            </w:tcBorders>
            <w:vAlign w:val="center"/>
          </w:tcPr>
          <w:p w14:paraId="5F15B8A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0.1t/a</w:t>
            </w:r>
          </w:p>
        </w:tc>
        <w:tc>
          <w:tcPr>
            <w:tcW w:w="1598" w:type="pct"/>
            <w:vMerge w:val="continue"/>
            <w:tcBorders>
              <w:tl2br w:val="nil"/>
              <w:tr2bl w:val="nil"/>
            </w:tcBorders>
            <w:vAlign w:val="center"/>
          </w:tcPr>
          <w:p w14:paraId="6E5AED5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86" w:type="pct"/>
            <w:tcBorders>
              <w:tl2br w:val="nil"/>
              <w:tr2bl w:val="nil"/>
            </w:tcBorders>
            <w:vAlign w:val="center"/>
          </w:tcPr>
          <w:p w14:paraId="1895548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0.1t/a</w:t>
            </w:r>
          </w:p>
        </w:tc>
      </w:tr>
      <w:tr w14:paraId="0DB06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544" w:hRule="atLeast"/>
          <w:jc w:val="center"/>
        </w:trPr>
        <w:tc>
          <w:tcPr>
            <w:tcW w:w="322" w:type="pct"/>
            <w:vMerge w:val="continue"/>
            <w:tcBorders>
              <w:tl2br w:val="nil"/>
              <w:tr2bl w:val="nil"/>
            </w:tcBorders>
            <w:vAlign w:val="center"/>
          </w:tcPr>
          <w:p w14:paraId="290694F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45" w:type="pct"/>
            <w:gridSpan w:val="2"/>
            <w:tcBorders>
              <w:tl2br w:val="nil"/>
              <w:tr2bl w:val="nil"/>
            </w:tcBorders>
            <w:vAlign w:val="center"/>
          </w:tcPr>
          <w:p w14:paraId="53A7F82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637" w:type="pct"/>
            <w:tcBorders>
              <w:tl2br w:val="nil"/>
              <w:tr2bl w:val="nil"/>
            </w:tcBorders>
            <w:vAlign w:val="center"/>
          </w:tcPr>
          <w:p w14:paraId="6DE88AA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604" w:type="pct"/>
            <w:tcBorders>
              <w:tl2br w:val="nil"/>
              <w:tr2bl w:val="nil"/>
            </w:tcBorders>
            <w:vAlign w:val="center"/>
          </w:tcPr>
          <w:p w14:paraId="0D1BD3E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2.4t/a</w:t>
            </w:r>
          </w:p>
        </w:tc>
        <w:tc>
          <w:tcPr>
            <w:tcW w:w="1598" w:type="pct"/>
            <w:tcBorders>
              <w:tl2br w:val="nil"/>
              <w:tr2bl w:val="nil"/>
            </w:tcBorders>
            <w:vAlign w:val="center"/>
          </w:tcPr>
          <w:p w14:paraId="7F9D176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分类集中收集，定期由环卫部门统一清运处置</w:t>
            </w:r>
          </w:p>
        </w:tc>
        <w:tc>
          <w:tcPr>
            <w:tcW w:w="586" w:type="pct"/>
            <w:tcBorders>
              <w:tl2br w:val="nil"/>
              <w:tr2bl w:val="nil"/>
            </w:tcBorders>
            <w:vAlign w:val="center"/>
          </w:tcPr>
          <w:p w14:paraId="489816D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2.4t/a</w:t>
            </w:r>
          </w:p>
        </w:tc>
      </w:tr>
      <w:tr w14:paraId="40011A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1107" w:hRule="atLeast"/>
          <w:jc w:val="center"/>
        </w:trPr>
        <w:tc>
          <w:tcPr>
            <w:tcW w:w="322" w:type="pct"/>
            <w:tcBorders>
              <w:tl2br w:val="nil"/>
              <w:tr2bl w:val="nil"/>
            </w:tcBorders>
            <w:vAlign w:val="center"/>
          </w:tcPr>
          <w:p w14:paraId="42F5B18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1882" w:type="pct"/>
            <w:gridSpan w:val="3"/>
            <w:tcBorders>
              <w:tl2br w:val="nil"/>
              <w:tr2bl w:val="nil"/>
            </w:tcBorders>
            <w:vAlign w:val="center"/>
          </w:tcPr>
          <w:p w14:paraId="66A806E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设备运行噪声，声级在</w:t>
            </w:r>
            <w:r>
              <w:rPr>
                <w:rFonts w:eastAsia="宋体"/>
                <w:snapToGrid/>
                <w:color w:val="auto"/>
                <w:lang w:eastAsia="zh-CN"/>
              </w:rPr>
              <w:t>60</w:t>
            </w:r>
            <w:r>
              <w:rPr>
                <w:rFonts w:eastAsia="宋体" w:cs="宋体"/>
                <w:snapToGrid/>
                <w:color w:val="auto"/>
                <w:lang w:eastAsia="zh-CN"/>
              </w:rPr>
              <w:t>～</w:t>
            </w:r>
            <w:r>
              <w:rPr>
                <w:rFonts w:eastAsia="宋体"/>
                <w:snapToGrid/>
                <w:color w:val="auto"/>
                <w:lang w:eastAsia="zh-CN"/>
              </w:rPr>
              <w:t>90dB</w:t>
            </w:r>
            <w:r>
              <w:rPr>
                <w:rFonts w:eastAsia="宋体" w:cs="宋体"/>
                <w:snapToGrid/>
                <w:color w:val="auto"/>
                <w:lang w:eastAsia="zh-CN"/>
              </w:rPr>
              <w:t>（</w:t>
            </w:r>
            <w:r>
              <w:rPr>
                <w:rFonts w:eastAsia="宋体"/>
                <w:snapToGrid/>
                <w:color w:val="auto"/>
                <w:lang w:eastAsia="zh-CN"/>
              </w:rPr>
              <w:t>A</w:t>
            </w:r>
            <w:r>
              <w:rPr>
                <w:rFonts w:eastAsia="宋体" w:cs="宋体"/>
                <w:snapToGrid/>
                <w:color w:val="auto"/>
                <w:lang w:eastAsia="zh-CN"/>
              </w:rPr>
              <w:t>）之间</w:t>
            </w:r>
          </w:p>
        </w:tc>
        <w:tc>
          <w:tcPr>
            <w:tcW w:w="2789" w:type="pct"/>
            <w:gridSpan w:val="3"/>
            <w:tcBorders>
              <w:tl2br w:val="nil"/>
              <w:tr2bl w:val="nil"/>
            </w:tcBorders>
            <w:vAlign w:val="center"/>
          </w:tcPr>
          <w:p w14:paraId="571E49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设备选用低噪声设备，在安装时采取降噪</w:t>
            </w:r>
            <w:r>
              <w:rPr>
                <w:rFonts w:hint="eastAsia" w:ascii="Times New Roman" w:hAnsi="Times New Roman" w:eastAsia="宋体" w:cs="宋体"/>
                <w:snapToGrid/>
                <w:color w:val="auto"/>
                <w:lang w:eastAsia="zh-CN"/>
              </w:rPr>
              <w:t>减振</w:t>
            </w:r>
            <w:r>
              <w:rPr>
                <w:rFonts w:ascii="Times New Roman" w:hAnsi="Times New Roman" w:eastAsia="宋体" w:cs="宋体"/>
                <w:snapToGrid/>
                <w:color w:val="auto"/>
                <w:lang w:eastAsia="zh-CN"/>
              </w:rPr>
              <w:t>措施，全部安装于室内，使用时定期检修，做好设备保养，落实工作间防噪声劳动保护和管理，完善厂区绿化建设</w:t>
            </w:r>
          </w:p>
        </w:tc>
      </w:tr>
    </w:tbl>
    <w:p w14:paraId="05515EDC">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81" w:name="bookmark24"/>
      <w:bookmarkEnd w:id="481"/>
      <w:bookmarkStart w:id="482" w:name="_Toc30672"/>
      <w:bookmarkStart w:id="483" w:name="_Toc2362"/>
      <w:bookmarkStart w:id="484" w:name="_Toc31862"/>
      <w:r>
        <w:rPr>
          <w:rFonts w:hint="eastAsia" w:ascii="Times New Roman" w:hAnsi="Times New Roman" w:eastAsia="宋体"/>
          <w:snapToGrid/>
          <w:color w:val="auto"/>
          <w:lang w:eastAsia="zh-CN"/>
        </w:rPr>
        <w:t>3.6非正常工况污染物排放情况</w:t>
      </w:r>
      <w:bookmarkEnd w:id="482"/>
      <w:bookmarkEnd w:id="483"/>
      <w:bookmarkEnd w:id="484"/>
    </w:p>
    <w:p w14:paraId="1DB0D43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发生非正常排放的情况包括设备开停机、设备检修以及污染控制措施达不到应有效率三种情况。根据建设单位生产线日常生产实际，每次生产线启动前首先启动废气治理设施风机，待处理设施正常运行后再启动生产线，以保证废气得到充分处置；生产线停止生产后，废气处理设施再多运行</w:t>
      </w:r>
      <w:r>
        <w:rPr>
          <w:rFonts w:ascii="Times New Roman" w:hAnsi="Times New Roman" w:cs="Times New Roman"/>
          <w:snapToGrid/>
          <w:color w:val="auto"/>
          <w:sz w:val="24"/>
          <w:szCs w:val="24"/>
          <w:lang w:eastAsia="zh-CN"/>
        </w:rPr>
        <w:t>5min</w:t>
      </w:r>
      <w:r>
        <w:rPr>
          <w:rFonts w:ascii="Times New Roman" w:hAnsi="Times New Roman"/>
          <w:snapToGrid/>
          <w:color w:val="auto"/>
          <w:sz w:val="24"/>
          <w:szCs w:val="24"/>
          <w:lang w:eastAsia="zh-CN"/>
        </w:rPr>
        <w:t>，保证系统中残存的废气全部处理后再停止废气处理设施风机运行。废气处理设施检修过程中，不得启动生产线。</w:t>
      </w:r>
    </w:p>
    <w:p w14:paraId="23CB42D0">
      <w:pPr>
        <w:pStyle w:val="2"/>
        <w:widowControl w:val="0"/>
        <w:shd w:val="clear"/>
        <w:kinsoku/>
        <w:autoSpaceDE/>
        <w:autoSpaceDN/>
        <w:adjustRightInd/>
        <w:snapToGrid/>
        <w:spacing w:line="360" w:lineRule="auto"/>
        <w:ind w:firstLine="480" w:firstLineChars="200"/>
        <w:jc w:val="both"/>
        <w:textAlignment w:val="auto"/>
        <w:rPr>
          <w:color w:val="auto"/>
        </w:rPr>
      </w:pPr>
      <w:r>
        <w:rPr>
          <w:rFonts w:ascii="Times New Roman" w:hAnsi="Times New Roman"/>
          <w:snapToGrid/>
          <w:color w:val="auto"/>
          <w:sz w:val="24"/>
          <w:szCs w:val="24"/>
          <w:lang w:eastAsia="zh-CN"/>
        </w:rPr>
        <w:t>综上，本项目在开停机、设备检修等过程中不会发生污染物非正常工况排放的情况发生，造成污染物非常排放主要表现为废气处理设施由于发生故障，不能正常运行，导致废气中非甲烷总烃、臭气浓度等非正常排放，结合项目废气治理设施实际情况，由于处理设施主要以被动吸附污染物为主，故基本不会发生故障，由于吸附物料的空隙填塞污染物导致处理效率降低，持续时间按</w:t>
      </w:r>
      <w:r>
        <w:rPr>
          <w:rFonts w:ascii="Times New Roman" w:hAnsi="Times New Roman" w:cs="Times New Roman"/>
          <w:snapToGrid/>
          <w:color w:val="auto"/>
          <w:sz w:val="24"/>
          <w:szCs w:val="24"/>
          <w:lang w:eastAsia="zh-CN"/>
        </w:rPr>
        <w:t>10h/a</w:t>
      </w:r>
      <w:r>
        <w:rPr>
          <w:rFonts w:ascii="Times New Roman" w:hAnsi="Times New Roman"/>
          <w:snapToGrid/>
          <w:color w:val="auto"/>
          <w:sz w:val="24"/>
          <w:szCs w:val="24"/>
          <w:lang w:eastAsia="zh-CN"/>
        </w:rPr>
        <w:t>计，处理效率按理论处理效率的</w:t>
      </w:r>
      <w:r>
        <w:rPr>
          <w:rFonts w:hint="eastAsia" w:ascii="Times New Roman" w:hAnsi="Times New Roman" w:cs="Times New Roman"/>
          <w:snapToGrid/>
          <w:color w:val="auto"/>
          <w:sz w:val="24"/>
          <w:szCs w:val="24"/>
          <w:lang w:val="en-US" w:eastAsia="zh-CN"/>
        </w:rPr>
        <w:t>0</w:t>
      </w:r>
      <w:r>
        <w:rPr>
          <w:rFonts w:ascii="Times New Roman" w:hAnsi="Times New Roman" w:cs="Times New Roman"/>
          <w:snapToGrid/>
          <w:color w:val="auto"/>
          <w:sz w:val="24"/>
          <w:szCs w:val="24"/>
          <w:lang w:eastAsia="zh-CN"/>
        </w:rPr>
        <w:t>%</w:t>
      </w:r>
      <w:r>
        <w:rPr>
          <w:rFonts w:ascii="Times New Roman" w:hAnsi="Times New Roman"/>
          <w:snapToGrid/>
          <w:color w:val="auto"/>
          <w:sz w:val="24"/>
          <w:szCs w:val="24"/>
          <w:lang w:eastAsia="zh-CN"/>
        </w:rPr>
        <w:t>计，则非正常工况非甲烷总烃年排放量</w:t>
      </w:r>
      <w:r>
        <w:rPr>
          <w:rFonts w:hint="eastAsia" w:ascii="Times New Roman" w:hAnsi="Times New Roman" w:cs="Times New Roman"/>
          <w:snapToGrid/>
          <w:color w:val="auto"/>
          <w:sz w:val="24"/>
          <w:szCs w:val="24"/>
          <w:lang w:val="en-US" w:eastAsia="zh-CN"/>
        </w:rPr>
        <w:t>11.2</w:t>
      </w:r>
      <w:r>
        <w:rPr>
          <w:rFonts w:ascii="Times New Roman" w:hAnsi="Times New Roman" w:cs="Times New Roman"/>
          <w:snapToGrid/>
          <w:color w:val="auto"/>
          <w:sz w:val="24"/>
          <w:szCs w:val="24"/>
          <w:lang w:eastAsia="zh-CN"/>
        </w:rPr>
        <w:t>kg/a</w:t>
      </w:r>
      <w:r>
        <w:rPr>
          <w:rFonts w:ascii="Times New Roman" w:hAnsi="Times New Roman"/>
          <w:snapToGrid/>
          <w:color w:val="auto"/>
          <w:sz w:val="24"/>
          <w:szCs w:val="24"/>
          <w:lang w:eastAsia="zh-CN"/>
        </w:rPr>
        <w:t>以及少量臭气浓度。</w:t>
      </w:r>
    </w:p>
    <w:p w14:paraId="7C535FEF">
      <w:pPr>
        <w:pStyle w:val="2"/>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b/>
          <w:bCs/>
          <w:color w:val="auto"/>
          <w:sz w:val="24"/>
          <w:lang w:eastAsia="zh-CN"/>
        </w:rPr>
      </w:pPr>
      <w:r>
        <w:rPr>
          <w:rFonts w:ascii="Times New Roman" w:hAnsi="Times New Roman"/>
          <w:b/>
          <w:bCs/>
          <w:color w:val="auto"/>
          <w:sz w:val="24"/>
          <w:lang w:val="en-US" w:eastAsia="zh-CN"/>
        </w:rPr>
        <w:t>表</w:t>
      </w:r>
      <w:r>
        <w:rPr>
          <w:rFonts w:hint="eastAsia" w:ascii="Times New Roman" w:hAnsi="Times New Roman"/>
          <w:b/>
          <w:bCs/>
          <w:color w:val="auto"/>
          <w:sz w:val="24"/>
          <w:lang w:val="en-US" w:eastAsia="zh-CN"/>
        </w:rPr>
        <w:t>3</w:t>
      </w:r>
      <w:r>
        <w:rPr>
          <w:rFonts w:ascii="Times New Roman" w:hAnsi="Times New Roman"/>
          <w:b/>
          <w:bCs/>
          <w:color w:val="auto"/>
          <w:sz w:val="24"/>
          <w:lang w:val="en-US" w:eastAsia="zh-CN"/>
        </w:rPr>
        <w:t>.</w:t>
      </w:r>
      <w:r>
        <w:rPr>
          <w:rFonts w:hint="eastAsia" w:ascii="Times New Roman" w:hAnsi="Times New Roman"/>
          <w:b/>
          <w:bCs/>
          <w:color w:val="auto"/>
          <w:sz w:val="24"/>
          <w:lang w:val="en-US" w:eastAsia="zh-CN"/>
        </w:rPr>
        <w:t>6-1</w:t>
      </w:r>
      <w:r>
        <w:rPr>
          <w:rFonts w:ascii="Times New Roman" w:hAnsi="Times New Roman"/>
          <w:b/>
          <w:bCs/>
          <w:color w:val="auto"/>
          <w:sz w:val="24"/>
          <w:lang w:val="en-US" w:eastAsia="zh-CN"/>
        </w:rPr>
        <w:t>非正常工况下</w:t>
      </w:r>
      <w:r>
        <w:rPr>
          <w:rFonts w:hint="eastAsia" w:ascii="Times New Roman" w:hAnsi="Times New Roman"/>
          <w:b/>
          <w:bCs/>
          <w:color w:val="auto"/>
          <w:sz w:val="24"/>
          <w:lang w:val="en-US" w:eastAsia="zh-CN"/>
        </w:rPr>
        <w:t>废气</w:t>
      </w:r>
      <w:r>
        <w:rPr>
          <w:rFonts w:ascii="Times New Roman" w:hAnsi="Times New Roman"/>
          <w:b/>
          <w:bCs/>
          <w:color w:val="auto"/>
          <w:sz w:val="24"/>
          <w:lang w:val="en-US" w:eastAsia="zh-CN"/>
        </w:rPr>
        <w:t>排放情况表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225"/>
        <w:gridCol w:w="1225"/>
        <w:gridCol w:w="1342"/>
        <w:gridCol w:w="1350"/>
        <w:gridCol w:w="1075"/>
        <w:gridCol w:w="961"/>
      </w:tblGrid>
      <w:tr w14:paraId="17B87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tcBorders>
              <w:tl2br w:val="nil"/>
              <w:tr2bl w:val="nil"/>
            </w:tcBorders>
            <w:vAlign w:val="center"/>
          </w:tcPr>
          <w:p w14:paraId="64788A3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bookmarkStart w:id="485" w:name="bookmark25"/>
            <w:bookmarkEnd w:id="485"/>
            <w:bookmarkStart w:id="486" w:name="_Toc14216"/>
            <w:bookmarkStart w:id="487" w:name="_Toc11140"/>
            <w:bookmarkStart w:id="488" w:name="_Toc20954"/>
            <w:r>
              <w:rPr>
                <w:rFonts w:ascii="Times New Roman" w:hAnsi="Times New Roman" w:eastAsia="宋体"/>
                <w:color w:val="auto"/>
                <w:sz w:val="21"/>
                <w:szCs w:val="21"/>
                <w:lang w:val="en-US" w:bidi="ar"/>
              </w:rPr>
              <w:t>非正常污染源</w:t>
            </w:r>
          </w:p>
        </w:tc>
        <w:tc>
          <w:tcPr>
            <w:tcW w:w="711" w:type="pct"/>
            <w:tcBorders>
              <w:tl2br w:val="nil"/>
              <w:tr2bl w:val="nil"/>
            </w:tcBorders>
            <w:vAlign w:val="center"/>
          </w:tcPr>
          <w:p w14:paraId="7F5C8EA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非正常排放原因</w:t>
            </w:r>
          </w:p>
        </w:tc>
        <w:tc>
          <w:tcPr>
            <w:tcW w:w="711" w:type="pct"/>
            <w:tcBorders>
              <w:tl2br w:val="nil"/>
              <w:tr2bl w:val="nil"/>
            </w:tcBorders>
            <w:vAlign w:val="center"/>
          </w:tcPr>
          <w:p w14:paraId="1CDA12A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污染物</w:t>
            </w:r>
          </w:p>
        </w:tc>
        <w:tc>
          <w:tcPr>
            <w:tcW w:w="779" w:type="pct"/>
            <w:tcBorders>
              <w:tl2br w:val="nil"/>
              <w:tr2bl w:val="nil"/>
            </w:tcBorders>
            <w:vAlign w:val="center"/>
          </w:tcPr>
          <w:p w14:paraId="750A9D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非正常排放浓度</w:t>
            </w:r>
            <w:r>
              <w:rPr>
                <w:rFonts w:ascii="Times New Roman" w:hAnsi="Times New Roman" w:eastAsia="宋体"/>
                <w:color w:val="auto"/>
                <w:sz w:val="21"/>
                <w:szCs w:val="21"/>
                <w:lang w:val="en-US"/>
              </w:rPr>
              <w:t>（</w:t>
            </w:r>
            <w:r>
              <w:rPr>
                <w:rFonts w:ascii="Times New Roman" w:hAnsi="Times New Roman" w:eastAsia="宋体"/>
                <w:color w:val="auto"/>
                <w:sz w:val="21"/>
                <w:szCs w:val="21"/>
              </w:rPr>
              <w:t>mg/m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lang w:val="en-US"/>
              </w:rPr>
              <w:t>）</w:t>
            </w:r>
          </w:p>
        </w:tc>
        <w:tc>
          <w:tcPr>
            <w:tcW w:w="784" w:type="pct"/>
            <w:tcBorders>
              <w:tl2br w:val="nil"/>
              <w:tr2bl w:val="nil"/>
            </w:tcBorders>
            <w:vAlign w:val="center"/>
          </w:tcPr>
          <w:p w14:paraId="334776F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非正常排放速率（kg/h）</w:t>
            </w:r>
          </w:p>
        </w:tc>
        <w:tc>
          <w:tcPr>
            <w:tcW w:w="624" w:type="pct"/>
            <w:tcBorders>
              <w:tl2br w:val="nil"/>
              <w:tr2bl w:val="nil"/>
            </w:tcBorders>
            <w:vAlign w:val="center"/>
          </w:tcPr>
          <w:p w14:paraId="57AB6CB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单次持续时间/h</w:t>
            </w:r>
          </w:p>
        </w:tc>
        <w:tc>
          <w:tcPr>
            <w:tcW w:w="558" w:type="pct"/>
            <w:tcBorders>
              <w:tl2br w:val="nil"/>
              <w:tr2bl w:val="nil"/>
            </w:tcBorders>
            <w:vAlign w:val="center"/>
          </w:tcPr>
          <w:p w14:paraId="6677A9C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ascii="Times New Roman" w:hAnsi="Times New Roman" w:eastAsia="宋体"/>
                <w:color w:val="auto"/>
                <w:sz w:val="21"/>
                <w:szCs w:val="21"/>
                <w:lang w:val="en-US" w:bidi="ar"/>
              </w:rPr>
              <w:t>年发生频次/次</w:t>
            </w:r>
          </w:p>
        </w:tc>
      </w:tr>
      <w:tr w14:paraId="0E355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830" w:type="pct"/>
            <w:tcBorders>
              <w:tl2br w:val="nil"/>
              <w:tr2bl w:val="nil"/>
            </w:tcBorders>
            <w:vAlign w:val="center"/>
          </w:tcPr>
          <w:p w14:paraId="4EE97A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lang w:val="en-US" w:bidi="ar"/>
              </w:rPr>
            </w:pPr>
            <w:r>
              <w:rPr>
                <w:rFonts w:hint="eastAsia" w:ascii="Times New Roman" w:hAnsi="Times New Roman" w:eastAsia="宋体"/>
                <w:color w:val="auto"/>
                <w:sz w:val="21"/>
                <w:szCs w:val="21"/>
                <w:lang w:val="en-US" w:bidi="ar"/>
              </w:rPr>
              <w:t>造粒工序</w:t>
            </w:r>
            <w:r>
              <w:rPr>
                <w:rFonts w:hint="eastAsia" w:ascii="Times New Roman" w:hAnsi="Times New Roman" w:eastAsia="宋体"/>
                <w:color w:val="auto"/>
                <w:sz w:val="21"/>
                <w:szCs w:val="21"/>
                <w:lang w:val="en-US" w:eastAsia="zh-CN" w:bidi="ar"/>
              </w:rPr>
              <w:t>和</w:t>
            </w:r>
            <w:r>
              <w:rPr>
                <w:rFonts w:hint="eastAsia" w:ascii="Times New Roman" w:hAnsi="Times New Roman" w:eastAsia="宋体"/>
                <w:color w:val="auto"/>
                <w:sz w:val="21"/>
                <w:szCs w:val="21"/>
                <w:lang w:val="en-US" w:bidi="ar"/>
              </w:rPr>
              <w:t>滴灌带生产工序有机废气</w:t>
            </w:r>
          </w:p>
        </w:tc>
        <w:tc>
          <w:tcPr>
            <w:tcW w:w="711" w:type="pct"/>
            <w:tcBorders>
              <w:tl2br w:val="nil"/>
              <w:tr2bl w:val="nil"/>
            </w:tcBorders>
            <w:vAlign w:val="center"/>
          </w:tcPr>
          <w:p w14:paraId="49F959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废气处理设备不能正常运转</w:t>
            </w:r>
          </w:p>
        </w:tc>
        <w:tc>
          <w:tcPr>
            <w:tcW w:w="711" w:type="pct"/>
            <w:tcBorders>
              <w:tl2br w:val="nil"/>
              <w:tr2bl w:val="nil"/>
            </w:tcBorders>
            <w:vAlign w:val="center"/>
          </w:tcPr>
          <w:p w14:paraId="7DEB60B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highlight w:val="none"/>
                <w:lang w:val="en-US" w:bidi="ar"/>
              </w:rPr>
            </w:pPr>
            <w:r>
              <w:rPr>
                <w:rFonts w:hint="eastAsia" w:ascii="Times New Roman" w:hAnsi="Times New Roman" w:eastAsia="宋体"/>
                <w:color w:val="auto"/>
                <w:sz w:val="21"/>
                <w:szCs w:val="21"/>
                <w:highlight w:val="none"/>
                <w:lang w:val="en-US" w:bidi="ar"/>
              </w:rPr>
              <w:t>非甲烷总烃</w:t>
            </w:r>
          </w:p>
        </w:tc>
        <w:tc>
          <w:tcPr>
            <w:tcW w:w="779" w:type="pct"/>
            <w:tcBorders>
              <w:tl2br w:val="nil"/>
              <w:tr2bl w:val="nil"/>
            </w:tcBorders>
            <w:vAlign w:val="center"/>
          </w:tcPr>
          <w:p w14:paraId="49E9FE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szCs w:val="21"/>
                <w:highlight w:val="none"/>
                <w:lang w:val="en-US" w:eastAsia="zh-CN" w:bidi="ar"/>
              </w:rPr>
            </w:pPr>
            <w:r>
              <w:rPr>
                <w:rFonts w:hint="eastAsia" w:ascii="Times New Roman" w:hAnsi="Times New Roman" w:eastAsia="宋体"/>
                <w:color w:val="auto"/>
                <w:sz w:val="21"/>
                <w:szCs w:val="21"/>
                <w:highlight w:val="none"/>
                <w:lang w:val="en-US" w:eastAsia="zh-CN" w:bidi="ar"/>
              </w:rPr>
              <w:t>21.36</w:t>
            </w:r>
          </w:p>
        </w:tc>
        <w:tc>
          <w:tcPr>
            <w:tcW w:w="784" w:type="pct"/>
            <w:tcBorders>
              <w:tl2br w:val="nil"/>
              <w:tr2bl w:val="nil"/>
            </w:tcBorders>
            <w:vAlign w:val="center"/>
          </w:tcPr>
          <w:p w14:paraId="30D3AE5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szCs w:val="21"/>
                <w:highlight w:val="none"/>
                <w:lang w:val="en-US" w:eastAsia="zh-CN" w:bidi="ar"/>
              </w:rPr>
            </w:pPr>
            <w:r>
              <w:rPr>
                <w:rFonts w:hint="eastAsia" w:ascii="Times New Roman" w:hAnsi="Times New Roman" w:eastAsia="宋体"/>
                <w:color w:val="auto"/>
                <w:sz w:val="21"/>
                <w:szCs w:val="21"/>
                <w:highlight w:val="none"/>
                <w:lang w:val="en-US" w:eastAsia="zh-CN" w:bidi="ar"/>
              </w:rPr>
              <w:t>1.09</w:t>
            </w:r>
          </w:p>
        </w:tc>
        <w:tc>
          <w:tcPr>
            <w:tcW w:w="624" w:type="pct"/>
            <w:tcBorders>
              <w:tl2br w:val="nil"/>
              <w:tr2bl w:val="nil"/>
            </w:tcBorders>
            <w:vAlign w:val="center"/>
          </w:tcPr>
          <w:p w14:paraId="43D3FF4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highlight w:val="none"/>
                <w:lang w:val="en-US" w:bidi="ar"/>
              </w:rPr>
            </w:pPr>
            <w:r>
              <w:rPr>
                <w:rFonts w:ascii="Times New Roman" w:hAnsi="Times New Roman" w:eastAsia="宋体"/>
                <w:color w:val="auto"/>
                <w:sz w:val="21"/>
                <w:szCs w:val="21"/>
                <w:highlight w:val="none"/>
                <w:lang w:val="en-US" w:bidi="ar"/>
              </w:rPr>
              <w:t>1h</w:t>
            </w:r>
          </w:p>
        </w:tc>
        <w:tc>
          <w:tcPr>
            <w:tcW w:w="558" w:type="pct"/>
            <w:tcBorders>
              <w:tl2br w:val="nil"/>
              <w:tr2bl w:val="nil"/>
            </w:tcBorders>
            <w:vAlign w:val="center"/>
          </w:tcPr>
          <w:p w14:paraId="36F5C93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szCs w:val="21"/>
                <w:highlight w:val="none"/>
                <w:lang w:val="en-US" w:bidi="ar"/>
              </w:rPr>
            </w:pPr>
            <w:r>
              <w:rPr>
                <w:rFonts w:ascii="Times New Roman" w:hAnsi="Times New Roman" w:eastAsia="宋体"/>
                <w:color w:val="auto"/>
                <w:sz w:val="21"/>
                <w:szCs w:val="21"/>
                <w:highlight w:val="none"/>
                <w:lang w:val="en-US" w:bidi="ar"/>
              </w:rPr>
              <w:t>1次</w:t>
            </w:r>
          </w:p>
        </w:tc>
      </w:tr>
    </w:tbl>
    <w:p w14:paraId="47CEFBCE">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3.7总量控制</w:t>
      </w:r>
      <w:bookmarkEnd w:id="486"/>
      <w:bookmarkEnd w:id="487"/>
      <w:bookmarkEnd w:id="488"/>
    </w:p>
    <w:p w14:paraId="6A9EEA4C">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rPr>
        <w:t>3.7.1总量控制的原则</w:t>
      </w:r>
    </w:p>
    <w:p w14:paraId="6D8F44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污染物排放总量进行控制的原则是：在给定的区域内，把污染源排放的污染物控制在一定的数量范围内，使环境质量达到规定的目标要求。污染物总量控制方案应根据污染物种类、区域环境质量、环境功能、环境管理部门的要求、控制措施的经济合理性和技术可行性、项目的实际条件等因素综合考虑进行确定。</w:t>
      </w:r>
    </w:p>
    <w:p w14:paraId="2C56A6E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①确保污染物达标排放；②符合允许排放量限值；③满足环境质量标准要求。</w:t>
      </w:r>
    </w:p>
    <w:p w14:paraId="134CE114">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rPr>
        <w:t>3.7.2污染物排放总量核算</w:t>
      </w:r>
    </w:p>
    <w:p w14:paraId="07637FD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自治区党委自治区人民政府印发的《新疆生态环境保护“十四五”规划》，新疆“十四五”生态环境保护规划总量控制指标为COD、氨氮、氮氧化物和VOCs。结合本项目的实际情况和污染治理效果，本项目生活废水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定期抽运至木垒哈萨克自治县污水处理厂处理。</w:t>
      </w:r>
      <w:r>
        <w:rPr>
          <w:rFonts w:ascii="Times New Roman" w:hAnsi="Times New Roman"/>
          <w:snapToGrid/>
          <w:color w:val="auto"/>
          <w:sz w:val="24"/>
          <w:szCs w:val="24"/>
          <w:lang w:eastAsia="zh-CN"/>
        </w:rPr>
        <w:t>因此水污染物总量控制指标计入污水处理厂总量控制指标内，本项目不再设置水污染物总量控制指标。</w:t>
      </w:r>
    </w:p>
    <w:p w14:paraId="0F2CA1E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全厂有组织排放量为</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t/a。因此本厂需设置有组织总量控制指标VOCs（以</w:t>
      </w:r>
      <w:r>
        <w:rPr>
          <w:rFonts w:hint="eastAsia" w:ascii="Times New Roman" w:hAnsi="Times New Roman"/>
          <w:snapToGrid/>
          <w:color w:val="auto"/>
          <w:sz w:val="24"/>
          <w:szCs w:val="24"/>
          <w:lang w:eastAsia="zh-CN"/>
        </w:rPr>
        <w:t>非甲烷总烃</w:t>
      </w:r>
      <w:r>
        <w:rPr>
          <w:rFonts w:ascii="Times New Roman" w:hAnsi="Times New Roman"/>
          <w:snapToGrid/>
          <w:color w:val="auto"/>
          <w:sz w:val="24"/>
          <w:szCs w:val="24"/>
          <w:lang w:eastAsia="zh-CN"/>
        </w:rPr>
        <w:t>计）</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w:t>
      </w:r>
    </w:p>
    <w:p w14:paraId="3E4B7D8C">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489" w:name="bookmark26"/>
      <w:bookmarkEnd w:id="489"/>
      <w:bookmarkStart w:id="490" w:name="_Toc17158"/>
      <w:bookmarkStart w:id="491" w:name="_Toc24481"/>
      <w:bookmarkStart w:id="492" w:name="_Toc22194"/>
      <w:r>
        <w:rPr>
          <w:rFonts w:hint="eastAsia" w:ascii="Times New Roman" w:hAnsi="Times New Roman" w:eastAsia="宋体"/>
          <w:snapToGrid/>
          <w:color w:val="auto"/>
          <w:lang w:eastAsia="zh-CN"/>
        </w:rPr>
        <w:t>3.8清洁生产</w:t>
      </w:r>
      <w:bookmarkEnd w:id="490"/>
      <w:bookmarkEnd w:id="491"/>
      <w:bookmarkEnd w:id="492"/>
    </w:p>
    <w:p w14:paraId="711C35E7">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493" w:name="_Toc32498"/>
      <w:r>
        <w:rPr>
          <w:rFonts w:hint="eastAsia" w:ascii="Times New Roman" w:hAnsi="Times New Roman" w:eastAsia="宋体" w:cs="Times New Roman"/>
          <w:snapToGrid/>
          <w:color w:val="auto"/>
          <w:lang w:eastAsia="zh-CN"/>
        </w:rPr>
        <w:t>3.8.1清洁生产水平分析</w:t>
      </w:r>
      <w:bookmarkEnd w:id="493"/>
    </w:p>
    <w:p w14:paraId="624CDB2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清洁生产是指将整体预防的环境战略持续应用于生产过程、产品和服务中，以期增加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14:paraId="398020F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采用国内成熟可靠的生产工艺技术，通过引进先进的设备、优化生产工艺流程，符合当前的国家有关产业政策。根据国内外有关文献资料以及本项目的实际情况，本项目的清洁生产分析主要从以下几个方面进行：</w:t>
      </w:r>
    </w:p>
    <w:p w14:paraId="037C72C1">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494" w:name="_Toc10506"/>
      <w:bookmarkStart w:id="495" w:name="_Toc20319"/>
      <w:bookmarkStart w:id="496" w:name="_Toc20432"/>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"C:\\Users\\jobezho\\AppData\\Local\\Temp\\Rar$DIa13476.12779\\3.9.1.1"</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3.8.1.1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生产工艺与装备要求</w:t>
      </w:r>
      <w:bookmarkEnd w:id="494"/>
      <w:bookmarkEnd w:id="495"/>
      <w:bookmarkEnd w:id="496"/>
    </w:p>
    <w:p w14:paraId="584B083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本项目主要包括废旧塑料颗粒加工生产、滴灌带</w:t>
      </w:r>
      <w:r>
        <w:rPr>
          <w:rFonts w:hint="eastAsia" w:ascii="Times New Roman" w:hAnsi="Times New Roman"/>
          <w:snapToGrid/>
          <w:color w:val="auto"/>
          <w:sz w:val="24"/>
          <w:szCs w:val="24"/>
          <w:lang w:eastAsia="zh-CN"/>
        </w:rPr>
        <w:t>生产</w:t>
      </w:r>
      <w:r>
        <w:rPr>
          <w:rFonts w:ascii="Times New Roman" w:hAnsi="Times New Roman"/>
          <w:snapToGrid/>
          <w:color w:val="auto"/>
          <w:sz w:val="24"/>
          <w:szCs w:val="24"/>
          <w:lang w:eastAsia="zh-CN"/>
        </w:rPr>
        <w:t>线，设备仪器在满足使用要求的前提下选用高效、节能、性能先进的产品，生产工艺较为简单，安全性较高，从各种原料进料到形成产品的步骤、工序较少。</w:t>
      </w:r>
    </w:p>
    <w:p w14:paraId="5187F9D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根据国家发展</w:t>
      </w:r>
      <w:r>
        <w:rPr>
          <w:rFonts w:hint="eastAsia" w:ascii="Times New Roman" w:hAnsi="Times New Roman"/>
          <w:snapToGrid/>
          <w:color w:val="auto"/>
          <w:sz w:val="24"/>
          <w:szCs w:val="24"/>
          <w:lang w:eastAsia="zh-CN"/>
        </w:rPr>
        <w:t>和</w:t>
      </w:r>
      <w:r>
        <w:rPr>
          <w:rFonts w:ascii="Times New Roman" w:hAnsi="Times New Roman"/>
          <w:snapToGrid/>
          <w:color w:val="auto"/>
          <w:sz w:val="24"/>
          <w:szCs w:val="24"/>
          <w:lang w:eastAsia="zh-CN"/>
        </w:rPr>
        <w:t>改革委员会《产业结构调整指导目录（</w:t>
      </w:r>
      <w:r>
        <w:rPr>
          <w:rFonts w:hint="eastAsia" w:ascii="Times New Roman" w:hAnsi="Times New Roman"/>
          <w:snapToGrid/>
          <w:color w:val="auto"/>
          <w:sz w:val="24"/>
          <w:szCs w:val="24"/>
          <w:lang w:eastAsia="zh-CN"/>
        </w:rPr>
        <w:t>2024年本</w:t>
      </w:r>
      <w:r>
        <w:rPr>
          <w:rFonts w:ascii="Times New Roman" w:hAnsi="Times New Roman"/>
          <w:snapToGrid/>
          <w:color w:val="auto"/>
          <w:sz w:val="24"/>
          <w:szCs w:val="24"/>
          <w:lang w:eastAsia="zh-CN"/>
        </w:rPr>
        <w:t>）》中“第一类鼓励类四十三、环境保护与资源节约综合利用27、废</w:t>
      </w:r>
      <w:r>
        <w:rPr>
          <w:rFonts w:hint="eastAsia" w:ascii="Times New Roman" w:hAnsi="Times New Roman"/>
          <w:snapToGrid/>
          <w:color w:val="auto"/>
          <w:sz w:val="24"/>
          <w:szCs w:val="24"/>
          <w:lang w:val="en-US" w:eastAsia="zh-CN"/>
        </w:rPr>
        <w:t>橡胶</w:t>
      </w:r>
      <w:r>
        <w:rPr>
          <w:rFonts w:ascii="Times New Roman" w:hAnsi="Times New Roman"/>
          <w:snapToGrid/>
          <w:color w:val="auto"/>
          <w:sz w:val="24"/>
          <w:szCs w:val="24"/>
          <w:lang w:eastAsia="zh-CN"/>
        </w:rPr>
        <w:t>等废旧物资等资源循环再利用技术、设备开发及应用”，本项目属于废旧塑料回收综合利用及塑料制品生产项目，且生产过程中没有选用限制、淘汰类工艺、设备及原材料。</w:t>
      </w:r>
    </w:p>
    <w:p w14:paraId="68891D6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97" w:name="_Toc12042"/>
      <w:bookmarkStart w:id="498" w:name="_Toc11041"/>
      <w:r>
        <w:rPr>
          <w:rFonts w:ascii="Times New Roman" w:hAnsi="Times New Roman"/>
          <w:snapToGrid/>
          <w:color w:val="auto"/>
          <w:sz w:val="24"/>
          <w:szCs w:val="24"/>
          <w:lang w:eastAsia="zh-CN"/>
        </w:rPr>
        <w:t>（1）本项目采用“</w:t>
      </w:r>
      <w:r>
        <w:rPr>
          <w:rFonts w:hint="eastAsia" w:ascii="Times New Roman" w:hAnsi="Times New Roman"/>
          <w:snapToGrid/>
          <w:color w:val="auto"/>
          <w:sz w:val="24"/>
          <w:szCs w:val="24"/>
          <w:lang w:val="en-US" w:eastAsia="zh-CN"/>
        </w:rPr>
        <w:t>熔融挤出</w:t>
      </w:r>
      <w:r>
        <w:rPr>
          <w:rFonts w:ascii="Times New Roman" w:hAnsi="Times New Roman"/>
          <w:snapToGrid/>
          <w:color w:val="auto"/>
          <w:sz w:val="24"/>
          <w:szCs w:val="24"/>
          <w:lang w:eastAsia="zh-CN"/>
        </w:rPr>
        <w:t>”的工艺</w:t>
      </w:r>
      <w:r>
        <w:rPr>
          <w:rFonts w:hint="eastAsia" w:ascii="Times New Roman" w:hAnsi="Times New Roman"/>
          <w:snapToGrid/>
          <w:color w:val="auto"/>
          <w:sz w:val="24"/>
          <w:szCs w:val="24"/>
          <w:lang w:eastAsia="zh-CN"/>
        </w:rPr>
        <w:t>对</w:t>
      </w:r>
      <w:r>
        <w:rPr>
          <w:rFonts w:ascii="Times New Roman" w:hAnsi="Times New Roman"/>
          <w:snapToGrid/>
          <w:color w:val="auto"/>
          <w:sz w:val="24"/>
          <w:szCs w:val="24"/>
          <w:lang w:eastAsia="zh-CN"/>
        </w:rPr>
        <w:t>废塑料进行加工，其生产工艺为</w:t>
      </w:r>
      <w:bookmarkEnd w:id="497"/>
      <w:bookmarkEnd w:id="498"/>
      <w:r>
        <w:rPr>
          <w:rFonts w:ascii="Times New Roman" w:hAnsi="Times New Roman"/>
          <w:snapToGrid/>
          <w:color w:val="auto"/>
          <w:sz w:val="24"/>
          <w:szCs w:val="24"/>
          <w:lang w:eastAsia="zh-CN"/>
        </w:rPr>
        <w:t>再生塑料生产的成熟工艺，其先进性较高。</w:t>
      </w:r>
    </w:p>
    <w:p w14:paraId="6F39BFE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499" w:name="_Toc3664"/>
      <w:bookmarkStart w:id="500" w:name="_Toc24895"/>
      <w:r>
        <w:rPr>
          <w:rFonts w:ascii="Times New Roman" w:hAnsi="Times New Roman"/>
          <w:snapToGrid/>
          <w:color w:val="auto"/>
          <w:sz w:val="24"/>
          <w:szCs w:val="24"/>
          <w:lang w:eastAsia="zh-CN"/>
        </w:rPr>
        <w:t>（2）装备先进性</w:t>
      </w:r>
      <w:bookmarkEnd w:id="499"/>
      <w:bookmarkEnd w:id="500"/>
    </w:p>
    <w:p w14:paraId="1583BF5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按照“高效、低耗、先进、实用”的总体原则进行装备选型，所需设备均采用成熟先进的设备，设备精度较高，能够精确控制各种反应条件，确保达到较高的生产效率。设备自动化程度高，热熔造粒、切粒、包装，生产滴灌带均为自动化设备。自动化的设备既提高了劳动生产率、产品质量和产量，又能较好的控制生产过程中的冷却用水的使用量，降低因人为失误造成的污染物非正常排放。</w:t>
      </w:r>
    </w:p>
    <w:p w14:paraId="7A50058E">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501" w:name="_Toc4187"/>
      <w:bookmarkStart w:id="502" w:name="_Toc20264"/>
      <w:bookmarkStart w:id="503" w:name="_Toc1143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"C:\\Users\\jobezho\\AppData\\Local\\Temp\\Rar$DIa13476.12779\\3.9.1.2"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3.8.1.2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资源能源利用指标</w:t>
      </w:r>
      <w:bookmarkEnd w:id="501"/>
      <w:bookmarkEnd w:id="502"/>
      <w:bookmarkEnd w:id="503"/>
    </w:p>
    <w:p w14:paraId="6AF2051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504" w:name="_Toc8416"/>
      <w:bookmarkStart w:id="505" w:name="_Toc6808"/>
      <w:bookmarkStart w:id="506" w:name="_Toc7364"/>
      <w:r>
        <w:rPr>
          <w:rFonts w:ascii="Times New Roman" w:hAnsi="Times New Roman"/>
          <w:snapToGrid/>
          <w:color w:val="auto"/>
          <w:sz w:val="24"/>
          <w:szCs w:val="24"/>
          <w:lang w:eastAsia="zh-CN"/>
        </w:rPr>
        <w:t>1、原料利用指标</w:t>
      </w:r>
      <w:bookmarkEnd w:id="504"/>
      <w:bookmarkEnd w:id="505"/>
      <w:bookmarkEnd w:id="506"/>
    </w:p>
    <w:p w14:paraId="61B9D11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为废旧塑料资源节约综合利用项目，本项目生产滴灌带使用的原料为废旧滴灌带进行清洗造粒后的再生聚乙烯颗粒料，减少了原材料资源的浪费，同时回收了农业生产产生的废塑料，原料上就具有消除污染的特性。项目加热熔融采用电加热，水、电使用量较小。本项目的建设既可使其他单位产生的废物减量化、资源化、无害化处理，又可创造一定的经济及社会效益，符合国家对清洁生产及循环经济的要求。项目本身属于清洁生产型项目。</w:t>
      </w:r>
    </w:p>
    <w:p w14:paraId="30965C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507" w:name="_Toc15094"/>
      <w:bookmarkStart w:id="508" w:name="_Toc6526"/>
      <w:bookmarkStart w:id="509" w:name="_Toc18909"/>
      <w:r>
        <w:rPr>
          <w:rFonts w:ascii="Times New Roman" w:hAnsi="Times New Roman"/>
          <w:snapToGrid/>
          <w:color w:val="auto"/>
          <w:sz w:val="24"/>
          <w:szCs w:val="24"/>
          <w:lang w:eastAsia="zh-CN"/>
        </w:rPr>
        <w:t>2、水资源利用分析</w:t>
      </w:r>
      <w:bookmarkEnd w:id="507"/>
      <w:bookmarkEnd w:id="508"/>
      <w:bookmarkEnd w:id="509"/>
    </w:p>
    <w:p w14:paraId="1360021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为塑料再生造粒类企业，包括废塑料破碎及清洗生产过程。同时生产滴灌带产品。经项目水平衡核算，项目生产用水主要是清洗与冷却阶段，其中废滴灌带破碎与清洗过程消耗清洗水及冷却废水，造粒过程仅消耗循环水。</w:t>
      </w:r>
    </w:p>
    <w:p w14:paraId="653CF97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根据核算，全厂综合新水消耗</w:t>
      </w:r>
      <w:r>
        <w:rPr>
          <w:rFonts w:hint="eastAsia" w:ascii="Times New Roman" w:hAnsi="Times New Roman"/>
          <w:snapToGrid/>
          <w:color w:val="auto"/>
          <w:sz w:val="24"/>
          <w:szCs w:val="24"/>
          <w:lang w:val="en-US" w:eastAsia="zh-CN"/>
        </w:rPr>
        <w:t>0.63</w:t>
      </w:r>
      <w:r>
        <w:rPr>
          <w:rFonts w:ascii="Times New Roman" w:hAnsi="Times New Roman"/>
          <w:snapToGrid/>
          <w:color w:val="auto"/>
          <w:sz w:val="24"/>
          <w:szCs w:val="24"/>
          <w:lang w:eastAsia="zh-CN"/>
        </w:rPr>
        <w:t>吨/吨废塑料。塑料再生造粒冷却循环水消耗新水</w:t>
      </w:r>
      <w:r>
        <w:rPr>
          <w:rFonts w:hint="eastAsia" w:ascii="Times New Roman" w:hAnsi="Times New Roman"/>
          <w:snapToGrid/>
          <w:color w:val="auto"/>
          <w:sz w:val="24"/>
          <w:szCs w:val="24"/>
          <w:lang w:eastAsia="zh-CN"/>
        </w:rPr>
        <w:t>0.1152</w:t>
      </w:r>
      <w:r>
        <w:rPr>
          <w:rFonts w:ascii="Times New Roman" w:hAnsi="Times New Roman"/>
          <w:snapToGrid/>
          <w:color w:val="auto"/>
          <w:sz w:val="24"/>
          <w:szCs w:val="24"/>
          <w:lang w:eastAsia="zh-CN"/>
        </w:rPr>
        <w:t>吨/吨废塑料，符合《废塑料综合利用行业规范条件》中规定的：“废塑料破碎、清洗、分选类企业的综合新水消耗低于1.5吨/吨废塑料。塑料再生造粒类企业的综合新水消耗低于0.2吨/吨废塑料”要求。可见，项目生产用水资源重复循环利用率较高，属节水企业，水资源利用指标属良好。</w:t>
      </w:r>
    </w:p>
    <w:p w14:paraId="6F3AD3D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510" w:name="_Toc3085"/>
      <w:bookmarkStart w:id="511" w:name="_Toc16989"/>
      <w:bookmarkStart w:id="512" w:name="_Toc31913"/>
      <w:r>
        <w:rPr>
          <w:rFonts w:ascii="Times New Roman" w:hAnsi="Times New Roman"/>
          <w:snapToGrid/>
          <w:color w:val="auto"/>
          <w:sz w:val="24"/>
          <w:szCs w:val="24"/>
          <w:lang w:eastAsia="zh-CN"/>
        </w:rPr>
        <w:t>3、能源消耗</w:t>
      </w:r>
      <w:bookmarkEnd w:id="510"/>
      <w:bookmarkEnd w:id="511"/>
      <w:bookmarkEnd w:id="512"/>
    </w:p>
    <w:p w14:paraId="3EDD02B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本项目再生造粒与滴灌带生产总用电量约为</w:t>
      </w:r>
      <w:r>
        <w:rPr>
          <w:rFonts w:hint="eastAsia" w:ascii="Times New Roman" w:hAnsi="Times New Roman"/>
          <w:snapToGrid/>
          <w:color w:val="auto"/>
          <w:sz w:val="24"/>
          <w:szCs w:val="24"/>
          <w:lang w:eastAsia="zh-CN"/>
        </w:rPr>
        <w:t>20</w:t>
      </w:r>
      <w:r>
        <w:rPr>
          <w:rFonts w:ascii="Times New Roman" w:hAnsi="Times New Roman"/>
          <w:snapToGrid/>
          <w:color w:val="auto"/>
          <w:sz w:val="24"/>
          <w:szCs w:val="24"/>
          <w:lang w:eastAsia="zh-CN"/>
        </w:rPr>
        <w:t>万kwh/a，经核算项目综合电耗为</w:t>
      </w:r>
      <w:r>
        <w:rPr>
          <w:rFonts w:hint="eastAsia" w:ascii="Times New Roman" w:hAnsi="Times New Roman"/>
          <w:snapToGrid/>
          <w:color w:val="auto"/>
          <w:sz w:val="24"/>
          <w:szCs w:val="24"/>
          <w:lang w:val="en-US" w:eastAsia="zh-CN"/>
        </w:rPr>
        <w:t>37.38</w:t>
      </w:r>
      <w:r>
        <w:rPr>
          <w:rFonts w:ascii="Times New Roman" w:hAnsi="Times New Roman"/>
          <w:snapToGrid/>
          <w:color w:val="auto"/>
          <w:sz w:val="24"/>
          <w:szCs w:val="24"/>
          <w:lang w:eastAsia="zh-CN"/>
        </w:rPr>
        <w:t>kwh/t废塑料，符合《废塑料综合利用行业规范条件》中规定的：“塑料再生加工相关生产环节的综合电耗低于500kwh/t废塑料”，项目能源利用指标属较好水平。</w:t>
      </w:r>
    </w:p>
    <w:p w14:paraId="3FBE282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513" w:name="_Toc619"/>
      <w:bookmarkStart w:id="514" w:name="_Toc6153"/>
      <w:bookmarkStart w:id="515" w:name="_Toc29668"/>
      <w:r>
        <w:rPr>
          <w:rFonts w:ascii="Times New Roman" w:hAnsi="Times New Roman"/>
          <w:snapToGrid/>
          <w:color w:val="auto"/>
          <w:sz w:val="24"/>
          <w:szCs w:val="24"/>
          <w:lang w:eastAsia="zh-CN"/>
        </w:rPr>
        <w:t>4、产品指标</w:t>
      </w:r>
      <w:bookmarkEnd w:id="513"/>
      <w:bookmarkEnd w:id="514"/>
      <w:bookmarkEnd w:id="515"/>
    </w:p>
    <w:p w14:paraId="7D1856A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再生塑料颗粒生产过程中未使用发泡剂、增色剂及其他物质，废滴灌带仅热熔后使其再生，未改变原有塑料特性，废旧塑料颗粒仍可达到滴灌带生产原料的要求。本项目生产滴灌带满足《塑料节水灌溉器材第1部分：单翼迷宫式滴灌带》（GB/T19812.1-2017）中相关标准要求。</w:t>
      </w:r>
    </w:p>
    <w:p w14:paraId="29C16517">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516" w:name="_Toc24673"/>
      <w:bookmarkStart w:id="517" w:name="_Toc5623"/>
      <w:bookmarkStart w:id="518" w:name="_Toc24022"/>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"C:\\Users\\jobezho\\AppData\\Local\\Temp\\Rar$DIa13476.12779\\3.9.1.3"</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3.8.1.3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污染物产生指标（末端处理前）</w:t>
      </w:r>
      <w:bookmarkEnd w:id="516"/>
      <w:bookmarkEnd w:id="517"/>
      <w:bookmarkEnd w:id="518"/>
    </w:p>
    <w:p w14:paraId="7B4FF92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519" w:name="_Toc8748"/>
      <w:bookmarkStart w:id="520" w:name="_Toc23485"/>
      <w:r>
        <w:rPr>
          <w:rFonts w:ascii="Times New Roman" w:hAnsi="Times New Roman"/>
          <w:snapToGrid/>
          <w:color w:val="auto"/>
          <w:sz w:val="24"/>
          <w:szCs w:val="24"/>
          <w:lang w:eastAsia="zh-CN"/>
        </w:rPr>
        <w:t>（1）废气</w:t>
      </w:r>
      <w:bookmarkEnd w:id="519"/>
      <w:bookmarkEnd w:id="520"/>
    </w:p>
    <w:p w14:paraId="4615FF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采用的原料主要为废旧滴灌带、滴灌带不合格品、聚乙烯颗粒新料、抗老化剂和黑色母料，废气主要为废旧塑料颗粒加工生产过程造粒工序和滴灌带生产过程挤出成型工序中产生的有机废气，成分为非甲烷总烃。</w:t>
      </w:r>
    </w:p>
    <w:p w14:paraId="5503ED0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废旧塑料加工生产过程废气经集气罩收集，收集后的废气通过通风管道进入1套“</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经由15m高的排气筒（DA001）排放；项目采取的各项废气处置措施均为《排污许可证申请与核发技术规范废弃资源加工工业》（HJ1034-2019）中表A1.废弃资源加工工业排污单位废气污染防治可行技术参考表、《排污许可证申请与核发技术规范橡胶和塑料制品工业》（HJ1122-2020）中推荐的污染防治可行技术，经采取上述各项措施后大气污染物的排放浓度、排放速率均远低于标准限值要求。同时本项目在生产设备选型上选用污染小、密封性能好的设备，废旧塑料颗粒加工车间和滴灌带生产车间通过加强通风，可以降低车间内有机废气浓度</w:t>
      </w:r>
    </w:p>
    <w:p w14:paraId="12A952A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521" w:name="_Toc16675"/>
      <w:bookmarkStart w:id="522" w:name="_Toc26801"/>
      <w:r>
        <w:rPr>
          <w:rFonts w:ascii="Times New Roman" w:hAnsi="Times New Roman"/>
          <w:snapToGrid/>
          <w:color w:val="auto"/>
          <w:sz w:val="24"/>
          <w:szCs w:val="24"/>
          <w:lang w:eastAsia="zh-CN"/>
        </w:rPr>
        <w:t>（2）废水</w:t>
      </w:r>
      <w:bookmarkEnd w:id="521"/>
      <w:bookmarkEnd w:id="522"/>
    </w:p>
    <w:p w14:paraId="04D3B49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本项目生产工艺用水为废旧滴灌带破碎工段喷淋废水、废旧滴灌带清洗工段清洗废水、再生聚乙烯颗粒料和滴灌带循环冷却水，循环使用不外排，定期补充新鲜水，无生产废水产生。本项目生活污水</w:t>
      </w:r>
      <w:r>
        <w:rPr>
          <w:rFonts w:hint="eastAsia" w:ascii="Times New Roman" w:hAnsi="Times New Roman"/>
          <w:snapToGrid/>
          <w:color w:val="auto"/>
          <w:sz w:val="24"/>
          <w:szCs w:val="24"/>
          <w:lang w:eastAsia="zh-CN"/>
        </w:rPr>
        <w:t>排入防渗化粪池，定期抽运至木垒哈萨克自治县污水处理厂处理</w:t>
      </w:r>
      <w:r>
        <w:rPr>
          <w:rFonts w:ascii="Times New Roman" w:hAnsi="Times New Roman"/>
          <w:snapToGrid/>
          <w:color w:val="auto"/>
          <w:sz w:val="24"/>
          <w:szCs w:val="24"/>
          <w:lang w:eastAsia="zh-CN"/>
        </w:rPr>
        <w:t>。</w:t>
      </w:r>
    </w:p>
    <w:p w14:paraId="48C3F75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523" w:name="_Toc1261"/>
      <w:bookmarkStart w:id="524" w:name="_Toc19552"/>
      <w:r>
        <w:rPr>
          <w:rFonts w:ascii="Times New Roman" w:hAnsi="Times New Roman"/>
          <w:snapToGrid/>
          <w:color w:val="auto"/>
          <w:sz w:val="24"/>
          <w:szCs w:val="24"/>
          <w:lang w:eastAsia="zh-CN"/>
        </w:rPr>
        <w:t>（3）噪声</w:t>
      </w:r>
      <w:bookmarkEnd w:id="523"/>
      <w:bookmarkEnd w:id="524"/>
    </w:p>
    <w:p w14:paraId="20F4D9C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噪声选用低噪声设备，基础减振、采取厂房隔音等措施降噪。</w:t>
      </w:r>
    </w:p>
    <w:p w14:paraId="6C53E6A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525" w:name="_Toc20878"/>
      <w:bookmarkStart w:id="526" w:name="_Toc11850"/>
      <w:r>
        <w:rPr>
          <w:rFonts w:ascii="Times New Roman" w:hAnsi="Times New Roman"/>
          <w:snapToGrid/>
          <w:color w:val="auto"/>
          <w:sz w:val="24"/>
          <w:szCs w:val="24"/>
          <w:lang w:eastAsia="zh-CN"/>
        </w:rPr>
        <w:t>（4）固体废物</w:t>
      </w:r>
      <w:bookmarkEnd w:id="525"/>
      <w:bookmarkEnd w:id="526"/>
    </w:p>
    <w:p w14:paraId="69C4B7C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残次品及边角料全部回收后，作为本项目造粒工段原料使用；废滤网收集后</w:t>
      </w:r>
      <w:bookmarkStart w:id="527" w:name="bookmark73"/>
      <w:bookmarkEnd w:id="527"/>
      <w:r>
        <w:rPr>
          <w:rFonts w:ascii="Times New Roman" w:hAnsi="Times New Roman"/>
          <w:snapToGrid/>
          <w:color w:val="auto"/>
          <w:sz w:val="24"/>
          <w:szCs w:val="24"/>
          <w:lang w:eastAsia="zh-CN"/>
        </w:rPr>
        <w:t>定期由厂家回收，生活垃圾分类集中收集后，定期由环卫部门拉运统一处置。沉淀池泥沙</w:t>
      </w:r>
      <w:r>
        <w:rPr>
          <w:rFonts w:hint="eastAsia" w:ascii="Times New Roman" w:hAnsi="Times New Roman"/>
          <w:snapToGrid/>
          <w:color w:val="auto"/>
          <w:sz w:val="24"/>
          <w:szCs w:val="24"/>
          <w:lang w:eastAsia="zh-CN"/>
        </w:rPr>
        <w:t>经过自然风干</w:t>
      </w:r>
      <w:r>
        <w:rPr>
          <w:rFonts w:ascii="Times New Roman" w:hAnsi="Times New Roman"/>
          <w:snapToGrid/>
          <w:color w:val="auto"/>
          <w:sz w:val="24"/>
          <w:szCs w:val="24"/>
          <w:lang w:eastAsia="zh-CN"/>
        </w:rPr>
        <w:t>至含水率低于60%后，交由环卫部门处理处置。废润滑油</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废油桶</w:t>
      </w:r>
      <w:r>
        <w:rPr>
          <w:rFonts w:ascii="Times New Roman" w:hAnsi="Times New Roman"/>
          <w:snapToGrid/>
          <w:color w:val="auto"/>
          <w:sz w:val="24"/>
          <w:szCs w:val="24"/>
          <w:lang w:eastAsia="zh-CN"/>
        </w:rPr>
        <w:t>和废活性炭暂存于危废暂存间，交由有资质</w:t>
      </w:r>
      <w:r>
        <w:rPr>
          <w:rFonts w:hint="eastAsia" w:ascii="Times New Roman" w:hAnsi="Times New Roman"/>
          <w:snapToGrid/>
          <w:color w:val="auto"/>
          <w:sz w:val="24"/>
          <w:szCs w:val="24"/>
          <w:lang w:eastAsia="zh-CN"/>
        </w:rPr>
        <w:t>的</w:t>
      </w:r>
      <w:r>
        <w:rPr>
          <w:rFonts w:ascii="Times New Roman" w:hAnsi="Times New Roman"/>
          <w:snapToGrid/>
          <w:color w:val="auto"/>
          <w:sz w:val="24"/>
          <w:szCs w:val="24"/>
          <w:lang w:eastAsia="zh-CN"/>
        </w:rPr>
        <w:t>单位处置。</w:t>
      </w:r>
    </w:p>
    <w:p w14:paraId="3ACB847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通过采取环保治理措施，项目废气、废水、噪声、固废等污染物能够做到达标排放。项目在环境管理方面能够满足清洁生产的要求。</w:t>
      </w:r>
    </w:p>
    <w:p w14:paraId="2CA6B3E3">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528" w:name="_Toc8692"/>
      <w:bookmarkStart w:id="529" w:name="_Toc28548"/>
      <w:bookmarkStart w:id="530" w:name="_Toc20715"/>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"C:\\Users\\jobezho\\AppData\\Local\\Temp\\Rar$DIa13476.12779\\3.9.1.4"</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3.8.1.4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废物回收利用指标</w:t>
      </w:r>
      <w:bookmarkEnd w:id="528"/>
      <w:bookmarkEnd w:id="529"/>
      <w:bookmarkEnd w:id="530"/>
    </w:p>
    <w:p w14:paraId="124FC45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为废旧塑料资源节约综合利用项目，本项目生产滴灌带使用的原料为废旧滴灌带进行清洗造粒后的再生聚乙烯颗粒料，减少了原材料资源的浪费。项目滴灌带生产产生的滴灌带残次品及边角料重回造粒工序进行生产，进行废物回收利用，利用率达100%。项目清洗废水、冷却水循环利用不外排，循环使用率达100%。</w:t>
      </w:r>
    </w:p>
    <w:p w14:paraId="192BEBEA">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531" w:name="_Toc19942"/>
      <w:bookmarkStart w:id="532" w:name="_Toc8042"/>
      <w:bookmarkStart w:id="533" w:name="_Toc4747"/>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"C:\\Users\\jobezho\\AppData\\Local\\Temp\\Rar$DIa13476.12779\\3.9.1.5"</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3.8.1.5</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环境管理要求</w:t>
      </w:r>
      <w:bookmarkEnd w:id="531"/>
      <w:bookmarkEnd w:id="532"/>
      <w:bookmarkEnd w:id="533"/>
    </w:p>
    <w:p w14:paraId="45062D3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本项目符合国家和地方相关</w:t>
      </w:r>
      <w:r>
        <w:rPr>
          <w:rFonts w:hint="eastAsia" w:ascii="Times New Roman" w:hAnsi="Times New Roman"/>
          <w:snapToGrid/>
          <w:color w:val="auto"/>
          <w:sz w:val="24"/>
          <w:szCs w:val="24"/>
          <w:lang w:eastAsia="zh-CN"/>
        </w:rPr>
        <w:t>法律法规</w:t>
      </w:r>
      <w:r>
        <w:rPr>
          <w:rFonts w:ascii="Times New Roman" w:hAnsi="Times New Roman"/>
          <w:snapToGrid/>
          <w:color w:val="auto"/>
          <w:sz w:val="24"/>
          <w:szCs w:val="24"/>
          <w:lang w:eastAsia="zh-CN"/>
        </w:rPr>
        <w:t>要求，污染物均达标排放。</w:t>
      </w:r>
    </w:p>
    <w:p w14:paraId="1901CCE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提高企业清洁生产水平，要求建设方加强生产过程中环境管理，严格原材料质量检验；对能耗、水耗及产品合格率进行定量考核；确保物料堆存区及人流、物流活动区有明显标识，加强安全管理；加强管道检修，减少跑、冒、滴、漏现象，节约水资源。</w:t>
      </w:r>
    </w:p>
    <w:p w14:paraId="751EBB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14:paraId="36F98762">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34" w:name="_Toc25199"/>
      <w:bookmarkStart w:id="535" w:name="_Toc7461"/>
      <w:bookmarkStart w:id="536" w:name="_Toc29360"/>
      <w:r>
        <w:rPr>
          <w:rFonts w:hint="eastAsia" w:ascii="Times New Roman" w:hAnsi="Times New Roman" w:eastAsia="宋体" w:cs="Times New Roman"/>
          <w:snapToGrid/>
          <w:color w:val="auto"/>
          <w:lang w:eastAsia="zh-CN"/>
        </w:rPr>
        <w:t>3.8.2清洁生产小结</w:t>
      </w:r>
      <w:bookmarkEnd w:id="534"/>
      <w:bookmarkEnd w:id="535"/>
      <w:bookmarkEnd w:id="536"/>
    </w:p>
    <w:p w14:paraId="1DCB890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工程在采取了相应的防范措施后，可保证生产安全和环境安全；建设项目所用动力清洁，符合我国的能源政策要求；在运营过程中，各污染物均合理处置，不会产生二次污染物；污染物排放浓度和排放量，满足相应的标准要求，拟建项目满足清洁生产要求。</w:t>
      </w:r>
    </w:p>
    <w:p w14:paraId="24559862">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37" w:name="_Toc30924"/>
      <w:bookmarkStart w:id="538" w:name="_Toc1790"/>
      <w:bookmarkStart w:id="539" w:name="_Toc4647"/>
      <w:r>
        <w:rPr>
          <w:rFonts w:hint="eastAsia" w:ascii="Times New Roman" w:hAnsi="Times New Roman" w:eastAsia="宋体" w:cs="Times New Roman"/>
          <w:snapToGrid/>
          <w:color w:val="auto"/>
          <w:lang w:eastAsia="zh-CN"/>
        </w:rPr>
        <w:t>3.8.3清洁生产建议</w:t>
      </w:r>
      <w:bookmarkEnd w:id="537"/>
      <w:bookmarkEnd w:id="538"/>
      <w:bookmarkEnd w:id="539"/>
    </w:p>
    <w:p w14:paraId="02C3A73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经分析，拟建项目虽然符合清洁生产的要求，但还有进一步加强清洁生产的潜力，为此提出如下建议：</w:t>
      </w:r>
    </w:p>
    <w:p w14:paraId="26F2CAF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1、注重生产现场技术管理，保证生产过程的连续性、比例性和协调性。</w:t>
      </w:r>
    </w:p>
    <w:p w14:paraId="4B6215D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2、生产过程中必须加强循环利用和再资源化，对排放物的有效处理和回收利用，既可创造经济效益，又可减少污染。</w:t>
      </w:r>
    </w:p>
    <w:p w14:paraId="0CEDBA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3、进一步降低电耗、水耗，降低单位产品消耗水平，从而降低产品成本，增强市场竞争力。</w:t>
      </w:r>
    </w:p>
    <w:p w14:paraId="1725B81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4、进一步减少生产过程中的跑、冒、滴、漏，降低对环境造成的危害。</w:t>
      </w:r>
    </w:p>
    <w:p w14:paraId="1D1489C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5、落实环评报告书所提出的各项污染防治措施，加强污染防治设施的运行维护和管理，确保对周围环境影响的最小化。</w:t>
      </w:r>
    </w:p>
    <w:p w14:paraId="37F7347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6、建立严格完善的生产管理制度，加强业务培训和宣传教育工作，使每个职工树立节能意识，环保意识，保障清洁生产的目的顺利实施。</w:t>
      </w:r>
    </w:p>
    <w:p w14:paraId="21A4C5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7、拟建项目应参照ISO1</w:t>
      </w:r>
      <w:r>
        <w:rPr>
          <w:rFonts w:hint="eastAsia" w:ascii="Times New Roman" w:hAnsi="Times New Roman"/>
          <w:snapToGrid/>
          <w:color w:val="auto"/>
          <w:sz w:val="24"/>
          <w:szCs w:val="24"/>
          <w:lang w:eastAsia="zh-CN"/>
        </w:rPr>
        <w:t>796.64</w:t>
      </w:r>
      <w:r>
        <w:rPr>
          <w:rFonts w:ascii="Times New Roman" w:hAnsi="Times New Roman"/>
          <w:snapToGrid/>
          <w:color w:val="auto"/>
          <w:sz w:val="24"/>
          <w:szCs w:val="24"/>
          <w:lang w:eastAsia="zh-CN"/>
        </w:rPr>
        <w:t>标准的要求建立并运行环境管理体系，不断健全环境管理手册、程序文件及作业文件，进一步理顺全厂环境管理的关系，抓好企业环境管理。同时开展清洁生产审核，持续改进和提高企业环境管理水平。</w:t>
      </w:r>
    </w:p>
    <w:p w14:paraId="105DFEE8">
      <w:pPr>
        <w:widowControl w:val="0"/>
        <w:shd w:val="clear"/>
        <w:kinsoku/>
        <w:autoSpaceDE/>
        <w:autoSpaceDN/>
        <w:adjustRightInd/>
        <w:snapToGrid/>
        <w:spacing w:line="309" w:lineRule="auto"/>
        <w:textAlignment w:val="auto"/>
        <w:rPr>
          <w:rFonts w:ascii="Times New Roman" w:hAnsi="Times New Roman" w:eastAsia="宋体"/>
          <w:snapToGrid/>
          <w:color w:val="auto"/>
          <w:sz w:val="24"/>
          <w:szCs w:val="24"/>
          <w:lang w:eastAsia="zh-CN"/>
        </w:rPr>
        <w:sectPr>
          <w:headerReference r:id="rId27" w:type="default"/>
          <w:footerReference r:id="rId28" w:type="default"/>
          <w:pgSz w:w="11906" w:h="16838"/>
          <w:pgMar w:top="1136" w:right="1739" w:bottom="1157" w:left="1771" w:header="868" w:footer="994" w:gutter="0"/>
          <w:pgBorders>
            <w:top w:val="none" w:sz="0" w:space="0"/>
            <w:left w:val="none" w:sz="0" w:space="0"/>
            <w:bottom w:val="none" w:sz="0" w:space="0"/>
            <w:right w:val="none" w:sz="0" w:space="0"/>
          </w:pgBorders>
          <w:cols w:space="720" w:num="1"/>
        </w:sectPr>
      </w:pPr>
    </w:p>
    <w:p w14:paraId="638AC1E0">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540" w:name="bookmark27"/>
      <w:bookmarkEnd w:id="540"/>
      <w:bookmarkStart w:id="541" w:name="_Toc1097"/>
      <w:bookmarkStart w:id="542" w:name="_Toc13105"/>
      <w:bookmarkStart w:id="543" w:name="_Toc20679"/>
      <w:r>
        <w:rPr>
          <w:rFonts w:hint="eastAsia" w:ascii="Times New Roman" w:hAnsi="Times New Roman" w:eastAsia="宋体" w:cs="Times New Roman"/>
          <w:snapToGrid/>
          <w:color w:val="auto"/>
          <w:lang w:eastAsia="zh-CN"/>
        </w:rPr>
        <w:t>4、环境现状调查与评价</w:t>
      </w:r>
      <w:bookmarkEnd w:id="541"/>
      <w:bookmarkEnd w:id="542"/>
      <w:bookmarkEnd w:id="543"/>
    </w:p>
    <w:p w14:paraId="5D3C946D">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544" w:name="bookmark28"/>
      <w:bookmarkEnd w:id="544"/>
      <w:bookmarkStart w:id="545" w:name="_Toc5876"/>
      <w:bookmarkStart w:id="546" w:name="_Toc12301"/>
      <w:bookmarkStart w:id="547" w:name="_Toc28690"/>
      <w:r>
        <w:rPr>
          <w:rFonts w:hint="eastAsia" w:ascii="Times New Roman" w:hAnsi="Times New Roman" w:eastAsia="宋体"/>
          <w:snapToGrid/>
          <w:color w:val="auto"/>
          <w:lang w:eastAsia="zh-CN"/>
        </w:rPr>
        <w:t>4.1自然环境概况</w:t>
      </w:r>
      <w:bookmarkEnd w:id="545"/>
      <w:bookmarkEnd w:id="546"/>
      <w:bookmarkEnd w:id="547"/>
    </w:p>
    <w:p w14:paraId="78170292">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48" w:name="_Toc1323"/>
      <w:bookmarkStart w:id="549" w:name="_Toc1911"/>
      <w:bookmarkStart w:id="550" w:name="_Toc29513"/>
      <w:r>
        <w:rPr>
          <w:rFonts w:hint="eastAsia" w:ascii="Times New Roman" w:hAnsi="Times New Roman" w:eastAsia="宋体" w:cs="Times New Roman"/>
          <w:snapToGrid/>
          <w:color w:val="auto"/>
          <w:lang w:eastAsia="zh-CN"/>
        </w:rPr>
        <w:t>4.1.1地理位置</w:t>
      </w:r>
      <w:bookmarkEnd w:id="548"/>
      <w:bookmarkEnd w:id="549"/>
      <w:bookmarkEnd w:id="550"/>
    </w:p>
    <w:p w14:paraId="25CA873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木垒哈萨克自治县是新疆维吾尔自治区昌吉回族自治州最东边的一个县，位于天山北麓，准噶尔盆地东南缘，奇台县以东，</w:t>
      </w:r>
      <w:r>
        <w:rPr>
          <w:rFonts w:hint="eastAsia" w:ascii="Times New Roman" w:hAnsi="Times New Roman"/>
          <w:snapToGrid/>
          <w:color w:val="auto"/>
          <w:sz w:val="24"/>
          <w:szCs w:val="24"/>
          <w:lang w:eastAsia="zh-CN"/>
        </w:rPr>
        <w:t>巴里坤哈萨克自治县</w:t>
      </w:r>
      <w:r>
        <w:rPr>
          <w:rFonts w:ascii="Times New Roman" w:hAnsi="Times New Roman"/>
          <w:snapToGrid/>
          <w:color w:val="auto"/>
          <w:sz w:val="24"/>
          <w:szCs w:val="24"/>
          <w:lang w:eastAsia="zh-CN"/>
        </w:rPr>
        <w:t>以西，南倚天山与鄯善县隔山相望，北与蒙古国交界，总面积22171km</w:t>
      </w:r>
      <w:r>
        <w:rPr>
          <w:rFonts w:ascii="Times New Roman" w:hAnsi="Times New Roman"/>
          <w:snapToGrid/>
          <w:color w:val="auto"/>
          <w:sz w:val="24"/>
          <w:szCs w:val="24"/>
          <w:vertAlign w:val="superscript"/>
          <w:lang w:eastAsia="zh-CN"/>
        </w:rPr>
        <w:t>2</w:t>
      </w:r>
      <w:r>
        <w:rPr>
          <w:rFonts w:hint="eastAsia" w:ascii="Times New Roman" w:hAnsi="Times New Roman"/>
          <w:snapToGrid/>
          <w:color w:val="auto"/>
          <w:sz w:val="24"/>
          <w:szCs w:val="24"/>
          <w:lang w:eastAsia="zh-CN"/>
        </w:rPr>
        <w:t>。</w:t>
      </w:r>
    </w:p>
    <w:p w14:paraId="65B2EDB9">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51" w:name="_Toc29242"/>
      <w:bookmarkStart w:id="552" w:name="_Toc20793"/>
      <w:bookmarkStart w:id="553" w:name="_Toc602"/>
      <w:r>
        <w:rPr>
          <w:rFonts w:hint="eastAsia" w:ascii="Times New Roman" w:hAnsi="Times New Roman" w:eastAsia="宋体" w:cs="Times New Roman"/>
          <w:snapToGrid/>
          <w:color w:val="auto"/>
          <w:lang w:eastAsia="zh-CN"/>
        </w:rPr>
        <w:t>4.1.2地形地貌</w:t>
      </w:r>
      <w:bookmarkEnd w:id="551"/>
      <w:bookmarkEnd w:id="552"/>
      <w:bookmarkEnd w:id="553"/>
    </w:p>
    <w:p w14:paraId="1C56C5C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木垒哈萨克自治县地处阿尔泰构造带，博格达构造带和准噶尔地块交汇处。木垒哈萨克自治县地形地貌为三面环山，向西开阔的簸箕状地貌形态，南部博格达山区为天山山脉的东延部分，海拔绝大部分在3000m以下，位于本县西南边境的最高峰，海拔3482m；北部北塔山和大、小哈甫提克山系阿尔泰山向东延伸的余脉，海拔大部分在2000m以下；东部蒙罗克山向南延伸，与博格达山余脉衔接，海拔3105m以下，因此形成南、北、东三山相接围绕，中部低洼向西开口的半壁槽状盆地，山前丘陵延山体宽达20～30km。南部山前丘陵以下为冲洪积扇区，形成一望无垠的平原戈壁，盆地中部横卧着两道由西向东的沙梁，复杂的地形包括山地、丘陵、平原和沙漠四个不同的地貌单元。各单元地貌特征如下：</w:t>
      </w:r>
    </w:p>
    <w:p w14:paraId="47ED0DA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南部山区：南部博格达山属天山东段末梢，海拔在3482～1700m，山势由西向东递减，最高峰位于西吉尔南部，海拔3482m，这段山体均由比较坚硬的古生代火山凝灰岩、泥页岩、板岩等组成，因而山势雄伟高峻。全县6条山水河流均分布于博斯坦河以西的山区，这一地区地形起伏相对高差大，坡陡谷窄，河谷发育，部分地区基岩裸露，形成悬崖陡壁。博斯坦河以东的山区，山势逐渐低缓，海拔多在2000m左右，山地低矮，岩石裸露，无常年性河流分布。</w:t>
      </w:r>
    </w:p>
    <w:p w14:paraId="6C325EC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山前丘陵区：南部山前丘陵海拔1200～1700m，由于地形的复杂多变，使东西部丘陵形成明显的差异，博斯坦河以西的山前丘陵分布有大小河沟33条，山前缓坡被冲刷切割成梁槽相间的缓坡浅丘，地层为厚层土砾石层，覆盖着较厚的黄土状细土，梁顶浑圆而坡缓，25度以下的山坡大多已被开垦为旱地，部分25度以上的山坡也已被开垦，这一地区是木垒哈萨克自治县旱地作物的主要种植区。博斯坦河以东的山前丘陵由于降水较西部丘陵少，自西向东土层逐渐变薄，植被逐渐稀疏，山坡被风化岩石碎片覆盖，旱地种植较少。</w:t>
      </w:r>
    </w:p>
    <w:p w14:paraId="636B6D6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中部平原区：自山前丘陵以北到中部沙漠以南为辽阔的平原戈壁，整个地貌属冲洪积平原，海拔700～1200m，地势平坦、坡度较小，覆盖有厚度不等的冲积－洪积黄土。博斯坦牧场以西的平原区，土层较厚，宜耕性好，是木垒哈萨克自治县灌溉农业的主要种植区，新户乡和奇木公路一带，为河灌区，雀仁乡周边地段地下水位较高，为井灌区。博斯坦牧场以东的平原区，因降水少，河流发育差，无灌溉条件，农业耕地较少。</w:t>
      </w:r>
    </w:p>
    <w:p w14:paraId="2B50282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北部沙漠、戈壁区：位于木垒哈萨克自治县境内中北部，海拔600～800m，沙漠区属古尔班通古特沙漠的东段末梢，为东西走向的条带状，分两道沙梁横贯东西，多为固定和半固定垄状沙丘和平沙地，沙丘高约50～60m。二道沙梁以北的戈壁，土壤基质砾质化，由大面积的裸岩砾石地。</w:t>
      </w:r>
    </w:p>
    <w:p w14:paraId="3D2090E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北部山区：主要指北塔山和大、小哈甫提克山地，海拔多在2000m以下，山体矮小，地形复杂，地质结构凌乱，山体走向不一，阳坡由于风化作用，地表多被风化石片覆盖。</w:t>
      </w:r>
    </w:p>
    <w:p w14:paraId="2563744A">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54" w:name="_Toc17642"/>
      <w:bookmarkStart w:id="555" w:name="_Toc106663483"/>
      <w:r>
        <w:rPr>
          <w:rFonts w:hint="eastAsia" w:ascii="Times New Roman" w:hAnsi="Times New Roman" w:eastAsia="宋体" w:cs="Times New Roman"/>
          <w:snapToGrid/>
          <w:color w:val="auto"/>
          <w:lang w:eastAsia="zh-CN"/>
        </w:rPr>
        <w:t>4.1.3水文地质</w:t>
      </w:r>
      <w:bookmarkEnd w:id="554"/>
      <w:bookmarkEnd w:id="555"/>
    </w:p>
    <w:p w14:paraId="7370FF37">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哈萨克自治县境内河流均属山溪性河流，皆发源于天山山脉博格达山北坡，源头海拔1500～3340m，共有英格堡河、水磨沟河、东城河、木垒河、白杨河、博斯塘河6条河流。6条河流均位于南部山区，呈东西向平行排列。6条河流中以木垒河的年径流量为最大，该河多年平均年径流量为0.4424×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，年最大径流量为1984年的1.052×10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，年最小径流量为1974年的0.2066×10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；另5条河的多年平均年径流量均小于0.2×10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，具体数值分别为英格堡河0.0814×10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、水磨沟河0.0877×10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、东城河0.0795×10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、白杨河0.07307×10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、博斯塘河0.0801×10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。6条河的集水面积分别为英格堡河60.6km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、水磨沟河89.5km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、东城河83.8km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、木垒河467km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、白杨河80km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、博斯塘河74.5km</w:t>
      </w:r>
      <w:r>
        <w:rPr>
          <w:rFonts w:hint="eastAsia" w:ascii="Times New Roman" w:hAnsi="Times New Roman" w:eastAsia="宋体" w:cs="宋体"/>
          <w:snapToGrid/>
          <w:color w:val="auto"/>
          <w:sz w:val="24"/>
          <w:szCs w:val="24"/>
          <w:vertAlign w:val="superscript"/>
          <w:lang w:eastAsia="zh-CN"/>
        </w:rPr>
        <w:t>2</w:t>
      </w:r>
      <w:r>
        <w:rPr>
          <w:rFonts w:hint="eastAsia" w:ascii="Times New Roman" w:hAnsi="Times New Roman" w:eastAsia="宋体" w:cs="宋体"/>
          <w:snapToGrid/>
          <w:color w:val="auto"/>
          <w:sz w:val="24"/>
          <w:szCs w:val="24"/>
          <w:lang w:eastAsia="zh-CN"/>
        </w:rPr>
        <w:t>。</w:t>
      </w:r>
    </w:p>
    <w:p w14:paraId="50FBD3FF">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除上述6条河流外，木垒哈萨克自治县境内山区还分布有17条泉水沟和81处泉眼。17条泉水沟中有16条位于南部山区，这16条泉水沟分别为庙尔沟、菜籽沟、孙家沟、沈家沟、芦塘沟、响水河子、沙尔塞克、哈什湖、大浪沙、小浪沙、七城子、白石头沟、江湖里、乌宗布拉克、大石头沟及西地沟。16条泉水沟中小浪沙、七城子、白石头沟、江湖里、乌宗布拉克、大石头沟及西地沟等7条泉水沟集中分布在大石头乡一带；另9条泉水沟则散布于6条河流之间。还有</w:t>
      </w:r>
      <w:r>
        <w:rPr>
          <w:rFonts w:hint="eastAsia" w:ascii="Times New Roman" w:hAnsi="Times New Roman" w:eastAsia="宋体" w:cs="宋体"/>
          <w:snapToGrid/>
          <w:color w:val="auto"/>
          <w:sz w:val="24"/>
          <w:szCs w:val="24"/>
          <w:lang w:val="en-US" w:eastAsia="zh-CN"/>
        </w:rPr>
        <w:t>1条</w:t>
      </w:r>
      <w:r>
        <w:rPr>
          <w:rFonts w:hint="eastAsia" w:ascii="Times New Roman" w:hAnsi="Times New Roman" w:eastAsia="宋体" w:cs="宋体"/>
          <w:snapToGrid/>
          <w:color w:val="auto"/>
          <w:sz w:val="24"/>
          <w:szCs w:val="24"/>
          <w:lang w:eastAsia="zh-CN"/>
        </w:rPr>
        <w:t>泉水沟蒙勒克山泉水沟位于木垒境内东部山区。泉水沟年径流量为0.1224×10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。81处泉眼则散布于南、北、东山区、年径流量共0.0676×10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。总计山泉年径流量为0.1900×10</w:t>
      </w:r>
      <w:r>
        <w:rPr>
          <w:rFonts w:hint="eastAsia" w:ascii="Times New Roman" w:hAnsi="Times New Roman" w:eastAsia="宋体" w:cs="宋体"/>
          <w:snapToGrid/>
          <w:color w:val="auto"/>
          <w:sz w:val="24"/>
          <w:szCs w:val="24"/>
          <w:vertAlign w:val="superscript"/>
          <w:lang w:eastAsia="zh-CN"/>
        </w:rPr>
        <w:t>8</w:t>
      </w:r>
      <w:r>
        <w:rPr>
          <w:rFonts w:hint="eastAsia" w:ascii="Times New Roman" w:hAnsi="Times New Roman" w:eastAsia="宋体" w:cs="宋体"/>
          <w:snapToGrid/>
          <w:color w:val="auto"/>
          <w:sz w:val="24"/>
          <w:szCs w:val="24"/>
          <w:lang w:eastAsia="zh-CN"/>
        </w:rPr>
        <w:t>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w:t>
      </w:r>
    </w:p>
    <w:p w14:paraId="6800B095">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因山小源近流程短，源头又无现代冰川补给，地表径流受降水控制和影响，年内和年际变化都较大。</w:t>
      </w:r>
    </w:p>
    <w:p w14:paraId="7D8320E3">
      <w:pPr>
        <w:shd w:val="clear"/>
        <w:spacing w:line="500" w:lineRule="exact"/>
        <w:ind w:firstLine="480"/>
        <w:rPr>
          <w:color w:val="auto"/>
          <w:lang w:eastAsia="zh-CN"/>
        </w:rPr>
      </w:pPr>
      <w:r>
        <w:rPr>
          <w:rFonts w:hint="eastAsia" w:ascii="Times New Roman" w:hAnsi="Times New Roman" w:eastAsia="宋体" w:cs="宋体"/>
          <w:snapToGrid/>
          <w:color w:val="auto"/>
          <w:sz w:val="24"/>
          <w:szCs w:val="24"/>
          <w:lang w:eastAsia="zh-CN"/>
        </w:rPr>
        <w:t>全县共有16座拦蓄水库，其中中型水库1座，小（Ⅰ）型水库8座，小（Ⅱ）型水库7座，设计蓄水总库容达到4267万m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。全县共有坎儿井17条；成井613眼。木垒哈萨克自治县六条河流都建有引水工程，引水流量为0.5～15m</w:t>
      </w:r>
      <w:r>
        <w:rPr>
          <w:rFonts w:hint="eastAsia" w:ascii="Times New Roman" w:hAnsi="Times New Roman" w:eastAsia="宋体" w:cs="宋体"/>
          <w:snapToGrid/>
          <w:color w:val="auto"/>
          <w:sz w:val="24"/>
          <w:szCs w:val="24"/>
          <w:vertAlign w:val="superscript"/>
          <w:lang w:eastAsia="zh-CN"/>
        </w:rPr>
        <w:t>3</w:t>
      </w:r>
      <w:r>
        <w:rPr>
          <w:rFonts w:hint="eastAsia" w:ascii="Times New Roman" w:hAnsi="Times New Roman" w:eastAsia="宋体" w:cs="宋体"/>
          <w:snapToGrid/>
          <w:color w:val="auto"/>
          <w:sz w:val="24"/>
          <w:szCs w:val="24"/>
          <w:lang w:eastAsia="zh-CN"/>
        </w:rPr>
        <w:t>/s，共有各类渠道1341km，其中防渗渠道1287km</w:t>
      </w:r>
      <w:r>
        <w:rPr>
          <w:rFonts w:hint="eastAsia"/>
          <w:color w:val="auto"/>
          <w:lang w:eastAsia="zh-CN"/>
        </w:rPr>
        <w:t>。</w:t>
      </w:r>
    </w:p>
    <w:p w14:paraId="2A919FB9">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56" w:name="_Toc106663484"/>
      <w:bookmarkStart w:id="557" w:name="_Toc24470"/>
      <w:r>
        <w:rPr>
          <w:rFonts w:hint="eastAsia" w:ascii="Times New Roman" w:hAnsi="Times New Roman" w:eastAsia="宋体" w:cs="Times New Roman"/>
          <w:snapToGrid/>
          <w:color w:val="auto"/>
          <w:lang w:eastAsia="zh-CN"/>
        </w:rPr>
        <w:t>4.1.4气候、气象</w:t>
      </w:r>
      <w:bookmarkEnd w:id="556"/>
      <w:bookmarkEnd w:id="557"/>
    </w:p>
    <w:p w14:paraId="2FA94E68">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哈萨克自治县地处欧亚大陆中心，远离海洋，只有西风气流把大西洋上空的湿润空气，经过长途跋涉带入我区，形成降水。从西伯利亚来的强冷空气，从西北方入侵县境，常造成大风和降温天气。由于木垒哈萨克自治县所处地理位置和地形地貌的差异，大部分地区的气候特点是：冬季寒冷而漫长，夏季短而比较凉爽，光照充足，春、夏多风，降水少，属大陆性气候</w:t>
      </w:r>
    </w:p>
    <w:p w14:paraId="0D31A93A">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受地形地貌、植被的影响，地区差异性明显：平原小于山区，西部多于东部。沙漠区年降水量100～150mm，戈壁平原地带常年降水量150～250mm，山前丘陵区在照壁山以西为250mm～400mm，以东250mm左右。每年降水量主要集中在4～9月，占全年降水量的80%。</w:t>
      </w:r>
    </w:p>
    <w:p w14:paraId="4535C773">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木垒蒸发量存在垂直分带及水平分带性。木垒河以西山前丘陵蒸发量一般为200～2100mm，木垒河以东为2100～2200mm，戈壁平原及沙漠区为2200～2430mm。蒸发主要集中于每年的5～9月份，占全年蒸发量的72.3%。</w:t>
      </w:r>
    </w:p>
    <w:p w14:paraId="3B315527">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木垒哈萨克自治县由于地形地貌的不同，温度具有明显的差异：秋季和春季相差不大，冬季和夏季气温相差悬殊。</w:t>
      </w:r>
    </w:p>
    <w:p w14:paraId="6E9C92DB">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各地风速除山区外，其余各地均较大，其中以大石头地区最大，其次为雀仁乡。春夏多西风，秋季西风、南风各半。</w:t>
      </w:r>
    </w:p>
    <w:p w14:paraId="07BAC5A9">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木垒哈萨克自治县近30年常规气候统计资料如下：</w:t>
      </w:r>
    </w:p>
    <w:p w14:paraId="233D9FAA">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年平均气温5.3℃</w:t>
      </w:r>
    </w:p>
    <w:p w14:paraId="0E230A3D">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极端最高气温36.5℃</w:t>
      </w:r>
    </w:p>
    <w:p w14:paraId="714C7297">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极端最低气温-31.0℃</w:t>
      </w:r>
    </w:p>
    <w:p w14:paraId="1CD5000C">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年平均本站气压875.3hPa</w:t>
      </w:r>
    </w:p>
    <w:p w14:paraId="326F8322">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年平均水气压5.6</w:t>
      </w:r>
    </w:p>
    <w:p w14:paraId="7B0680B8">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年平均相对湿度55%</w:t>
      </w:r>
    </w:p>
    <w:p w14:paraId="43851D16">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最小相对湿度4%</w:t>
      </w:r>
    </w:p>
    <w:p w14:paraId="64B9B3C6">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年平均风速3.8m/s</w:t>
      </w:r>
    </w:p>
    <w:p w14:paraId="4332AA84">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主导风向SSW</w:t>
      </w:r>
    </w:p>
    <w:p w14:paraId="09C45FE6">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十分钟平均最大风速3.16m/s</w:t>
      </w:r>
    </w:p>
    <w:p w14:paraId="4D9FBB24">
      <w:pPr>
        <w:shd w:val="clear"/>
        <w:spacing w:line="500" w:lineRule="exact"/>
        <w:ind w:firstLine="480"/>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平均年降水量326.4mm</w:t>
      </w:r>
    </w:p>
    <w:p w14:paraId="03DB43F3">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58" w:name="_Toc25514"/>
      <w:r>
        <w:rPr>
          <w:rFonts w:hint="eastAsia" w:ascii="Times New Roman" w:hAnsi="Times New Roman" w:eastAsia="宋体" w:cs="Times New Roman"/>
          <w:snapToGrid/>
          <w:color w:val="auto"/>
          <w:lang w:eastAsia="zh-CN"/>
        </w:rPr>
        <w:t>4.1.5自然资源</w:t>
      </w:r>
      <w:bookmarkEnd w:id="558"/>
    </w:p>
    <w:p w14:paraId="0DCA7C06">
      <w:pPr>
        <w:pStyle w:val="41"/>
        <w:shd w:val="clear"/>
        <w:adjustRightInd/>
        <w:spacing w:line="480" w:lineRule="exact"/>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（1）土壤与植被</w:t>
      </w:r>
    </w:p>
    <w:p w14:paraId="2C04B53E">
      <w:pPr>
        <w:pStyle w:val="41"/>
        <w:shd w:val="clear"/>
        <w:adjustRightInd/>
        <w:spacing w:line="480" w:lineRule="exact"/>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lang w:eastAsia="zh-CN"/>
        </w:rPr>
        <w:t>木垒哈萨克自治县</w:t>
      </w:r>
      <w:r>
        <w:rPr>
          <w:rFonts w:hint="eastAsia" w:ascii="Times New Roman" w:eastAsia="宋体" w:cs="宋体"/>
          <w:color w:val="auto"/>
          <w:szCs w:val="24"/>
        </w:rPr>
        <w:t>南部山区主要土类为黑钙土、栗钙土和草甸土，土壤中有机质含量较高，大浪沙以西的山区由于地势高峻，受湿润气流的影响，植被垂直带发育较完整。海拔2700～3482m的山地，植被由苔草、蒿草、珠牙蓼、委陵菜、高山早熟禾、羊茅、火绒草等组成，草层高度4～8cm，盖度30%～80%。海拔1700～2700m的地带土壤肥沃，雨量充沛，植被种类丰富，在阴坡由高大的雪岭云杉、杨树、柳树、桦树等组成，阳坡沟谷林间空地由禾本科、菊科、牛儿苗科、豆科、莎草科、蔷薇科等植物组成不同群落，草层高度20～60m，植被盖度50%～80%。大浪沙以东至大石头地区，地形逐渐低缓，气候变干，植被种类由西部的旱生或中旱生为主逐渐转向以旱生和超旱生为主，种类和数量明显减少。</w:t>
      </w:r>
    </w:p>
    <w:p w14:paraId="4BA9D4CE">
      <w:pPr>
        <w:pStyle w:val="41"/>
        <w:shd w:val="clear"/>
        <w:adjustRightInd/>
        <w:spacing w:line="480" w:lineRule="exact"/>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山前丘陵带在大浪沙以西至英格堡一带主要土类以栗钙土和棕钙土为主，有少量灌耕土，有机质及养分含量高，土地肥沃，土层深厚，这一地区气候比较湿。润，植被以草甸草原为主，常见植物有铁杆蒿、灌木亚菊、糙苏、</w:t>
      </w:r>
      <w:r>
        <w:rPr>
          <w:rFonts w:hint="eastAsia" w:ascii="Times New Roman" w:eastAsia="宋体" w:cs="宋体"/>
          <w:color w:val="auto"/>
          <w:szCs w:val="24"/>
          <w:lang w:eastAsia="zh-CN"/>
        </w:rPr>
        <w:t>老鹳草</w:t>
      </w:r>
      <w:r>
        <w:rPr>
          <w:rFonts w:hint="eastAsia" w:ascii="Times New Roman" w:eastAsia="宋体" w:cs="宋体"/>
          <w:color w:val="auto"/>
          <w:szCs w:val="24"/>
        </w:rPr>
        <w:t>、唇香花、蓬子菜、羊茅、早熟禾、苔草等，灌木有蔷薇、兔儿条、锦鸡儿等，草层高度10～25cm，总盖度20%～80%。大浪沙以东至大石头一带气候较干旱，降水较西部少，土壤为栗钙土、棕钙土和草甸土，土地贫瘠，有机质含量低，土层较薄，一般厚度30～50cm。植被主要以荒漠草原为主，油锦鸡儿、针茅、羊茅、冰草、沙生针茅、蒿子、沙葱、小蓬、地肤、苔草、</w:t>
      </w:r>
      <w:r>
        <w:rPr>
          <w:rFonts w:hint="eastAsia" w:ascii="Times New Roman" w:eastAsia="宋体" w:cs="宋体"/>
          <w:color w:val="auto"/>
          <w:szCs w:val="24"/>
          <w:lang w:eastAsia="zh-CN"/>
        </w:rPr>
        <w:t>驼绒藜</w:t>
      </w:r>
      <w:r>
        <w:rPr>
          <w:rFonts w:hint="eastAsia" w:ascii="Times New Roman" w:eastAsia="宋体" w:cs="宋体"/>
          <w:color w:val="auto"/>
          <w:szCs w:val="24"/>
        </w:rPr>
        <w:t>、假木贼、麻黄等组成不同群落，这一地区干旱多风，地表常以砂砾石和风化碎石覆盖，草层高度一般在5～20cm，总盖度30%～40%。</w:t>
      </w:r>
    </w:p>
    <w:p w14:paraId="4D55AF0A">
      <w:pPr>
        <w:pStyle w:val="41"/>
        <w:shd w:val="clear"/>
        <w:adjustRightInd/>
        <w:spacing w:line="480" w:lineRule="exact"/>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中部平原南起山前丘陵下部，北至沙漠南缘，包括整个冲积、洪积平原，土壤主要有棕钙土、灰漠土、灌耕土、盐土、风沙土等。骆驼路以南为中上戈壁，为河灌区，土壤以棕钙土为主，并有部分灌耕土、灰漠土，土层厚度60～100cm，土壤质地板结，保水保肥性能差，有机质缺乏。骆驼路以北为下戈壁，属井灌区，土壤有灰漠土、盐土、风沙土，土层厚1～2m，土壤易板结，部分地区被风蚀、沙化明显，有机质含量低，pH值9～9.5，属碱性土壤。沙漠以南的广大平原区，植被主要以蒿子、地肤、</w:t>
      </w:r>
      <w:r>
        <w:rPr>
          <w:rFonts w:hint="eastAsia" w:ascii="Times New Roman" w:eastAsia="宋体" w:cs="宋体"/>
          <w:color w:val="auto"/>
          <w:szCs w:val="24"/>
          <w:lang w:eastAsia="zh-CN"/>
        </w:rPr>
        <w:t>驼绒藜</w:t>
      </w:r>
      <w:r>
        <w:rPr>
          <w:rFonts w:hint="eastAsia" w:ascii="Times New Roman" w:eastAsia="宋体" w:cs="宋体"/>
          <w:color w:val="auto"/>
          <w:szCs w:val="24"/>
        </w:rPr>
        <w:t>和一年生植物叉毛蓬、角果黎、猪毛菜等组成的荒漠植被，草层高度5～20cm，植被盖度20%～40%。</w:t>
      </w:r>
    </w:p>
    <w:p w14:paraId="6B28E20E">
      <w:pPr>
        <w:pStyle w:val="41"/>
        <w:shd w:val="clear"/>
        <w:adjustRightInd/>
        <w:spacing w:line="480" w:lineRule="exact"/>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北部沙漠、戈壁区南起平原北缘，北至北塔山南缘，土壤为风沙土、盐土和草甸土，沙漠区植被主要由梭梭、沙蒿、柽柳、盐节木、沙蒿、</w:t>
      </w:r>
      <w:r>
        <w:rPr>
          <w:rFonts w:hint="eastAsia" w:ascii="Times New Roman" w:eastAsia="宋体" w:cs="宋体"/>
          <w:color w:val="auto"/>
          <w:szCs w:val="24"/>
          <w:lang w:eastAsia="zh-CN"/>
        </w:rPr>
        <w:t>驼绒藜</w:t>
      </w:r>
      <w:r>
        <w:rPr>
          <w:rFonts w:hint="eastAsia" w:ascii="Times New Roman" w:eastAsia="宋体" w:cs="宋体"/>
          <w:color w:val="auto"/>
          <w:szCs w:val="24"/>
        </w:rPr>
        <w:t>、琵琶柴、三芒草、曲尖麻黄、猪毛菜、沙米等组成，盖度一般在20%～45%。二道沙梁以北的地区，土壤基质均不同程度地出现砾质化，植被主要由超旱生灌木、半灌木组成，一年生草本逐渐消失，有曲尖麻黄、中麻黄、霸王、梭梭、猪毛菜、琵琶柴、假木贼、</w:t>
      </w:r>
      <w:r>
        <w:rPr>
          <w:rFonts w:hint="eastAsia" w:ascii="Times New Roman" w:eastAsia="宋体" w:cs="宋体"/>
          <w:color w:val="auto"/>
          <w:szCs w:val="24"/>
          <w:lang w:eastAsia="zh-CN"/>
        </w:rPr>
        <w:t>驼绒藜</w:t>
      </w:r>
      <w:r>
        <w:rPr>
          <w:rFonts w:hint="eastAsia" w:ascii="Times New Roman" w:eastAsia="宋体" w:cs="宋体"/>
          <w:color w:val="auto"/>
          <w:szCs w:val="24"/>
        </w:rPr>
        <w:t>、戈壁针茅等灌木、半灌木及短命草本植物组成，草层高度10～20cm，植被盖度10%～30%。在北塔山盐池周围、哈依纳尔哈斯木托浪格等地有散生片状胡杨林，伴生有柽柳。</w:t>
      </w:r>
    </w:p>
    <w:p w14:paraId="1A75219C">
      <w:pPr>
        <w:pStyle w:val="41"/>
        <w:shd w:val="clear"/>
        <w:adjustRightInd/>
        <w:spacing w:line="480" w:lineRule="exact"/>
        <w:ind w:left="0" w:firstLine="480" w:firstLineChars="200"/>
        <w:jc w:val="both"/>
        <w:textAlignment w:val="auto"/>
        <w:rPr>
          <w:rFonts w:ascii="Times New Roman" w:eastAsia="宋体"/>
          <w:bCs/>
          <w:color w:val="auto"/>
        </w:rPr>
      </w:pPr>
      <w:r>
        <w:rPr>
          <w:rFonts w:hint="eastAsia" w:ascii="Times New Roman" w:eastAsia="宋体" w:cs="宋体"/>
          <w:color w:val="auto"/>
          <w:szCs w:val="24"/>
        </w:rPr>
        <w:t>北部山区山势较低，石质面积大，土壤为淡棕钙土、淡栗钙土，北坡沟谷处西伯利亚落叶松零星分布，阴坡沟槽有忍冬、绣线菊、圆柏、山楂树、锦鸡儿等灌木半灌木。该区水源缺乏，水草组合极差，植被有曲尖麻黄、中麻黄、假木贼、木本猪毛菜、</w:t>
      </w:r>
      <w:r>
        <w:rPr>
          <w:rFonts w:hint="eastAsia" w:ascii="Times New Roman" w:eastAsia="宋体" w:cs="宋体"/>
          <w:color w:val="auto"/>
          <w:szCs w:val="24"/>
          <w:lang w:eastAsia="zh-CN"/>
        </w:rPr>
        <w:t>驼绒藜</w:t>
      </w:r>
      <w:r>
        <w:rPr>
          <w:rFonts w:hint="eastAsia" w:ascii="Times New Roman" w:eastAsia="宋体" w:cs="宋体"/>
          <w:color w:val="auto"/>
          <w:szCs w:val="24"/>
        </w:rPr>
        <w:t>和少量戈壁针茅、细柄茅等，草层高度10～20cm，盖度一般在20%～30%。</w:t>
      </w:r>
    </w:p>
    <w:p w14:paraId="1A970E27">
      <w:pPr>
        <w:pStyle w:val="41"/>
        <w:shd w:val="clear"/>
        <w:adjustRightInd/>
        <w:spacing w:line="360" w:lineRule="auto"/>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（2）野生动物</w:t>
      </w:r>
    </w:p>
    <w:p w14:paraId="3006B5A7">
      <w:pPr>
        <w:pStyle w:val="41"/>
        <w:shd w:val="clear"/>
        <w:adjustRightInd/>
        <w:spacing w:line="360" w:lineRule="auto"/>
        <w:ind w:left="0" w:firstLine="480" w:firstLineChars="200"/>
        <w:jc w:val="both"/>
        <w:textAlignment w:val="auto"/>
        <w:rPr>
          <w:rFonts w:ascii="Times New Roman" w:eastAsia="宋体"/>
          <w:bCs/>
          <w:color w:val="auto"/>
        </w:rPr>
      </w:pPr>
      <w:r>
        <w:rPr>
          <w:rFonts w:hint="eastAsia" w:ascii="Times New Roman" w:eastAsia="宋体" w:cs="宋体"/>
          <w:color w:val="auto"/>
          <w:szCs w:val="24"/>
        </w:rPr>
        <w:t>木垒哈萨克自治县主要分布各类脊椎动物26目，55科，178种；鸟类16目，36科，127种；兽类6目，12科，38种。国家一级保护动物5种，国家二级保护动物19种。其中鸟类一级有金雕、玉带海雕、波斑鸨等三种，二级15种，主要为隼形目和号鸟形目的种类；兽类一级有雪豹、北山羊等2种，二级有石貂、猞猁、盘羊、鹅喉羚等4种。</w:t>
      </w:r>
    </w:p>
    <w:p w14:paraId="0C738616">
      <w:pPr>
        <w:pStyle w:val="41"/>
        <w:shd w:val="clear"/>
        <w:adjustRightInd/>
        <w:spacing w:line="360" w:lineRule="auto"/>
        <w:ind w:left="0" w:firstLine="480" w:firstLineChars="200"/>
        <w:jc w:val="both"/>
        <w:textAlignment w:val="auto"/>
        <w:rPr>
          <w:rFonts w:ascii="Times New Roman" w:eastAsia="宋体" w:cs="宋体"/>
          <w:color w:val="auto"/>
          <w:szCs w:val="24"/>
        </w:rPr>
      </w:pPr>
      <w:r>
        <w:rPr>
          <w:rFonts w:hint="eastAsia" w:ascii="Times New Roman" w:eastAsia="宋体" w:cs="宋体"/>
          <w:color w:val="auto"/>
          <w:szCs w:val="24"/>
        </w:rPr>
        <w:t>（3）区域矿产资源概况</w:t>
      </w:r>
    </w:p>
    <w:p w14:paraId="46EBB93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color w:val="auto"/>
          <w:sz w:val="24"/>
          <w:szCs w:val="24"/>
          <w:lang w:eastAsia="zh-CN"/>
        </w:rPr>
        <w:t>木垒哈萨克自治县境内矿产资源主要有煤、铜、金、石灰石、菱铁矿、湖盐、沸石、辉绿岩、方解石、云母、石棉矿、石墨、黄铁矿、辉铜矿、滑石、石英矿、砂页岩、磁铁矿、赤铁矿、铅锌矿、钾盐等三十多种。</w:t>
      </w:r>
    </w:p>
    <w:p w14:paraId="5C2DF1F6">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559" w:name="bookmark30"/>
      <w:bookmarkEnd w:id="559"/>
      <w:bookmarkStart w:id="560" w:name="bookmark29"/>
      <w:bookmarkEnd w:id="560"/>
      <w:bookmarkStart w:id="561" w:name="_Toc2962"/>
      <w:bookmarkStart w:id="562" w:name="_Toc11971"/>
      <w:bookmarkStart w:id="563" w:name="_Toc18820"/>
      <w:r>
        <w:rPr>
          <w:rFonts w:hint="eastAsia" w:ascii="Times New Roman" w:hAnsi="Times New Roman" w:eastAsia="宋体"/>
          <w:snapToGrid/>
          <w:color w:val="auto"/>
          <w:lang w:eastAsia="zh-CN"/>
        </w:rPr>
        <w:t>4.2环境现状调查与评价</w:t>
      </w:r>
      <w:bookmarkEnd w:id="561"/>
      <w:bookmarkEnd w:id="562"/>
      <w:bookmarkEnd w:id="563"/>
    </w:p>
    <w:p w14:paraId="7FAD48DF">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64" w:name="_Toc26364"/>
      <w:bookmarkStart w:id="565" w:name="_Toc31036"/>
      <w:bookmarkStart w:id="566" w:name="_Toc31227"/>
      <w:bookmarkStart w:id="567" w:name="_Toc10671"/>
      <w:bookmarkStart w:id="568" w:name="_Toc25689"/>
      <w:bookmarkStart w:id="569" w:name="_Toc24511"/>
      <w:r>
        <w:rPr>
          <w:rFonts w:hint="eastAsia" w:ascii="Times New Roman" w:hAnsi="Times New Roman" w:eastAsia="宋体" w:cs="Times New Roman"/>
          <w:snapToGrid/>
          <w:color w:val="auto"/>
          <w:lang w:eastAsia="zh-CN"/>
        </w:rPr>
        <w:t>4.2.1大气环境现状调查与评价</w:t>
      </w:r>
    </w:p>
    <w:p w14:paraId="6066BFE6">
      <w:pPr>
        <w:widowControl w:val="0"/>
        <w:shd w:val="clear"/>
        <w:kinsoku/>
        <w:autoSpaceDE/>
        <w:autoSpaceDN/>
        <w:adjustRightInd/>
        <w:snapToGrid/>
        <w:spacing w:line="500" w:lineRule="exact"/>
        <w:ind w:firstLine="480" w:firstLineChars="200"/>
        <w:jc w:val="both"/>
        <w:textAlignment w:val="auto"/>
        <w:rPr>
          <w:rFonts w:ascii="Times New Roman" w:hAnsi="Times New Roman" w:eastAsia="宋体" w:cs="Times New Roman"/>
          <w:snapToGrid/>
          <w:color w:val="auto"/>
          <w:sz w:val="24"/>
          <w:szCs w:val="24"/>
          <w:lang w:eastAsia="zh-CN"/>
        </w:rPr>
      </w:pPr>
      <w:r>
        <w:rPr>
          <w:rFonts w:hint="eastAsia" w:ascii="Times New Roman" w:hAnsi="Times New Roman" w:eastAsia="宋体" w:cs="Times New Roman"/>
          <w:snapToGrid/>
          <w:color w:val="auto"/>
          <w:sz w:val="24"/>
          <w:szCs w:val="24"/>
          <w:lang w:eastAsia="zh-CN"/>
        </w:rPr>
        <w:t>根据《环境影响评价技术导则大气环境》（HJ2.2-2018）的要求，分别对基本污染物的环境质量现状进行评价。</w:t>
      </w:r>
      <w:r>
        <w:rPr>
          <w:rFonts w:ascii="Times New Roman" w:hAnsi="Times New Roman"/>
          <w:color w:val="auto"/>
          <w:sz w:val="24"/>
          <w:szCs w:val="24"/>
          <w:lang w:eastAsia="zh-CN"/>
        </w:rPr>
        <w:t>根据20</w:t>
      </w:r>
      <w:r>
        <w:rPr>
          <w:rFonts w:hint="eastAsia" w:ascii="Times New Roman" w:hAnsi="Times New Roman"/>
          <w:color w:val="auto"/>
          <w:sz w:val="24"/>
          <w:szCs w:val="24"/>
          <w:lang w:eastAsia="zh-CN"/>
        </w:rPr>
        <w:t>23</w:t>
      </w:r>
      <w:r>
        <w:rPr>
          <w:rFonts w:ascii="Times New Roman" w:hAnsi="Times New Roman"/>
          <w:color w:val="auto"/>
          <w:sz w:val="24"/>
          <w:szCs w:val="24"/>
          <w:lang w:eastAsia="zh-CN"/>
        </w:rPr>
        <w:t>年</w:t>
      </w:r>
      <w:r>
        <w:rPr>
          <w:rFonts w:hint="eastAsia" w:ascii="Times New Roman" w:hAnsi="Times New Roman"/>
          <w:color w:val="auto"/>
          <w:sz w:val="24"/>
          <w:szCs w:val="24"/>
          <w:lang w:eastAsia="zh-CN"/>
        </w:rPr>
        <w:t>木垒哈萨克自治县环境监测站</w:t>
      </w:r>
      <w:r>
        <w:rPr>
          <w:rFonts w:ascii="Times New Roman" w:hAnsi="Times New Roman"/>
          <w:color w:val="auto"/>
          <w:sz w:val="24"/>
          <w:szCs w:val="24"/>
          <w:lang w:eastAsia="zh-CN"/>
        </w:rPr>
        <w:t>空气质量逐日统计结果，SO</w:t>
      </w:r>
      <w:r>
        <w:rPr>
          <w:rFonts w:ascii="Times New Roman" w:hAnsi="Times New Roman"/>
          <w:bCs/>
          <w:color w:val="auto"/>
          <w:kern w:val="2"/>
          <w:sz w:val="24"/>
          <w:szCs w:val="24"/>
          <w:vertAlign w:val="subscript"/>
          <w:lang w:eastAsia="zh-CN"/>
        </w:rPr>
        <w:t>2</w:t>
      </w:r>
      <w:r>
        <w:rPr>
          <w:rFonts w:ascii="Times New Roman" w:hAnsi="Times New Roman"/>
          <w:color w:val="auto"/>
          <w:sz w:val="24"/>
          <w:szCs w:val="24"/>
          <w:lang w:eastAsia="zh-CN"/>
        </w:rPr>
        <w:t>、NO</w:t>
      </w:r>
      <w:r>
        <w:rPr>
          <w:rFonts w:ascii="Times New Roman" w:hAnsi="Times New Roman"/>
          <w:bCs/>
          <w:color w:val="auto"/>
          <w:kern w:val="2"/>
          <w:sz w:val="24"/>
          <w:szCs w:val="24"/>
          <w:vertAlign w:val="subscript"/>
          <w:lang w:eastAsia="zh-CN"/>
        </w:rPr>
        <w:t>2</w:t>
      </w:r>
      <w:r>
        <w:rPr>
          <w:rFonts w:ascii="Times New Roman" w:hAnsi="Times New Roman"/>
          <w:color w:val="auto"/>
          <w:sz w:val="24"/>
          <w:szCs w:val="24"/>
          <w:lang w:eastAsia="zh-CN"/>
        </w:rPr>
        <w:t>、PM</w:t>
      </w:r>
      <w:r>
        <w:rPr>
          <w:rFonts w:ascii="Times New Roman" w:hAnsi="Times New Roman"/>
          <w:bCs/>
          <w:color w:val="auto"/>
          <w:kern w:val="2"/>
          <w:sz w:val="24"/>
          <w:szCs w:val="24"/>
          <w:vertAlign w:val="subscript"/>
          <w:lang w:eastAsia="zh-CN"/>
        </w:rPr>
        <w:t>10</w:t>
      </w:r>
      <w:r>
        <w:rPr>
          <w:rFonts w:ascii="Times New Roman" w:hAnsi="Times New Roman"/>
          <w:color w:val="auto"/>
          <w:sz w:val="24"/>
          <w:szCs w:val="24"/>
          <w:lang w:eastAsia="zh-CN"/>
        </w:rPr>
        <w:t>、PM</w:t>
      </w:r>
      <w:r>
        <w:rPr>
          <w:rFonts w:ascii="Times New Roman" w:hAnsi="Times New Roman"/>
          <w:bCs/>
          <w:color w:val="auto"/>
          <w:kern w:val="2"/>
          <w:sz w:val="24"/>
          <w:szCs w:val="24"/>
          <w:vertAlign w:val="subscript"/>
          <w:lang w:eastAsia="zh-CN"/>
        </w:rPr>
        <w:t>2.5</w:t>
      </w:r>
      <w:r>
        <w:rPr>
          <w:rFonts w:ascii="Times New Roman" w:hAnsi="Times New Roman"/>
          <w:color w:val="auto"/>
          <w:sz w:val="24"/>
          <w:szCs w:val="24"/>
          <w:lang w:eastAsia="zh-CN"/>
        </w:rPr>
        <w:t>、CO和O</w:t>
      </w:r>
      <w:r>
        <w:rPr>
          <w:rFonts w:ascii="Times New Roman" w:hAnsi="Times New Roman"/>
          <w:bCs/>
          <w:color w:val="auto"/>
          <w:kern w:val="2"/>
          <w:sz w:val="24"/>
          <w:szCs w:val="24"/>
          <w:vertAlign w:val="subscript"/>
          <w:lang w:eastAsia="zh-CN"/>
        </w:rPr>
        <w:t>3</w:t>
      </w:r>
      <w:r>
        <w:rPr>
          <w:rFonts w:ascii="Times New Roman" w:hAnsi="Times New Roman"/>
          <w:color w:val="auto"/>
          <w:sz w:val="24"/>
          <w:szCs w:val="24"/>
          <w:lang w:eastAsia="zh-CN"/>
        </w:rPr>
        <w:t>连续一年的基本污染物监测数据，基本污染物环境空气质量现状评价表</w:t>
      </w:r>
      <w:r>
        <w:rPr>
          <w:rFonts w:hint="eastAsia" w:ascii="Times New Roman" w:hAnsi="Times New Roman" w:eastAsia="宋体" w:cs="Times New Roman"/>
          <w:snapToGrid/>
          <w:color w:val="auto"/>
          <w:sz w:val="24"/>
          <w:szCs w:val="24"/>
          <w:lang w:eastAsia="zh-CN"/>
        </w:rPr>
        <w:t>。</w:t>
      </w:r>
    </w:p>
    <w:p w14:paraId="13C5D42E">
      <w:pPr>
        <w:widowControl w:val="0"/>
        <w:shd w:val="clear"/>
        <w:kinsoku/>
        <w:autoSpaceDE/>
        <w:autoSpaceDN/>
        <w:adjustRightInd/>
        <w:snapToGrid/>
        <w:spacing w:line="360" w:lineRule="auto"/>
        <w:ind w:firstLine="482" w:firstLineChars="200"/>
        <w:jc w:val="both"/>
        <w:textAlignment w:val="auto"/>
        <w:rPr>
          <w:rFonts w:hint="default" w:ascii="Times New Roman" w:hAnsi="Times New Roman" w:eastAsia="宋体" w:cstheme="majorBidi"/>
          <w:b/>
          <w:bCs/>
          <w:snapToGrid w:val="0"/>
          <w:color w:val="auto"/>
          <w:sz w:val="24"/>
          <w:szCs w:val="28"/>
          <w:lang w:val="en-US" w:eastAsia="zh-CN" w:bidi="ar-SA"/>
        </w:rPr>
      </w:pPr>
      <w:r>
        <w:rPr>
          <w:rFonts w:hint="eastAsia" w:ascii="Times New Roman" w:hAnsi="Times New Roman" w:eastAsia="宋体" w:cstheme="majorBidi"/>
          <w:b/>
          <w:bCs/>
          <w:snapToGrid w:val="0"/>
          <w:color w:val="auto"/>
          <w:sz w:val="24"/>
          <w:szCs w:val="28"/>
          <w:lang w:val="en-US" w:eastAsia="zh-CN" w:bidi="ar-SA"/>
        </w:rPr>
        <w:t>4.2.1.1空气质量达标去区判定</w:t>
      </w:r>
    </w:p>
    <w:p w14:paraId="3FCD4E4F">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（1）数据来源</w:t>
      </w:r>
    </w:p>
    <w:p w14:paraId="73902B03">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根据《环境影响评价技术导则大气环境》（HJ2.2-2018）对环境质量现状数据的要求，本次选择木垒哈萨克自治县监测站2023年的监测数据为本次环境空气质量评价的数据。</w:t>
      </w:r>
    </w:p>
    <w:p w14:paraId="5EEC6EF5">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（2）评价标准</w:t>
      </w:r>
    </w:p>
    <w:p w14:paraId="7E298E68">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项目所在区域环境空气质量执行《环境空气质量标准》（GB3095-2012，</w:t>
      </w:r>
      <w:r>
        <w:rPr>
          <w:rFonts w:hint="eastAsia" w:ascii="Times New Roman" w:hAnsi="Times New Roman" w:eastAsia="宋体" w:cs="Times New Roman"/>
          <w:snapToGrid/>
          <w:color w:val="auto"/>
          <w:sz w:val="24"/>
          <w:szCs w:val="20"/>
          <w:lang w:val="en-US" w:eastAsia="zh-CN"/>
        </w:rPr>
        <w:t>含2018年修改单</w:t>
      </w:r>
      <w:r>
        <w:rPr>
          <w:rFonts w:hint="eastAsia" w:ascii="Times New Roman" w:hAnsi="Times New Roman" w:eastAsia="宋体" w:cs="Times New Roman"/>
          <w:snapToGrid/>
          <w:color w:val="auto"/>
          <w:sz w:val="24"/>
          <w:szCs w:val="20"/>
          <w:lang w:eastAsia="zh-CN"/>
        </w:rPr>
        <w:t>）二级标准。环境空气质量标准限值见表4.2-1。</w:t>
      </w:r>
    </w:p>
    <w:p w14:paraId="0665C2A2">
      <w:pPr>
        <w:widowControl w:val="0"/>
        <w:shd w:val="clear"/>
        <w:spacing w:before="120" w:after="120" w:line="360" w:lineRule="auto"/>
        <w:jc w:val="center"/>
        <w:rPr>
          <w:rFonts w:ascii="Times New Roman" w:hAnsi="Times New Roman" w:eastAsia="宋体" w:cstheme="majorBidi"/>
          <w:b/>
          <w:color w:val="auto"/>
          <w:sz w:val="24"/>
          <w:lang w:eastAsia="zh-CN"/>
        </w:rPr>
      </w:pPr>
      <w:r>
        <w:rPr>
          <w:rFonts w:hint="eastAsia" w:ascii="Times New Roman" w:hAnsi="Times New Roman" w:eastAsia="宋体" w:cstheme="majorBidi"/>
          <w:b/>
          <w:color w:val="auto"/>
          <w:sz w:val="24"/>
          <w:lang w:eastAsia="zh-CN"/>
        </w:rPr>
        <w:t>表4.2-1环境空气污染物基本项目浓度限值</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715"/>
        <w:gridCol w:w="2250"/>
        <w:gridCol w:w="1210"/>
        <w:gridCol w:w="1144"/>
        <w:gridCol w:w="1100"/>
        <w:gridCol w:w="658"/>
        <w:gridCol w:w="691"/>
      </w:tblGrid>
      <w:tr w14:paraId="4D47A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noWrap w:val="0"/>
            <w:vAlign w:val="center"/>
          </w:tcPr>
          <w:p w14:paraId="5DEEB96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color w:val="auto"/>
                <w:sz w:val="21"/>
                <w:lang w:val="en-US"/>
              </w:rPr>
            </w:pPr>
            <w:r>
              <w:rPr>
                <w:rFonts w:hint="eastAsia" w:ascii="Times New Roman" w:hAnsi="Times New Roman" w:eastAsia="宋体"/>
                <w:b w:val="0"/>
                <w:bCs w:val="0"/>
                <w:color w:val="auto"/>
                <w:sz w:val="21"/>
                <w:lang w:val="en-US"/>
              </w:rPr>
              <w:t>点位名称</w:t>
            </w:r>
          </w:p>
        </w:tc>
        <w:tc>
          <w:tcPr>
            <w:tcW w:w="416" w:type="pct"/>
            <w:tcBorders>
              <w:tl2br w:val="nil"/>
              <w:tr2bl w:val="nil"/>
            </w:tcBorders>
            <w:noWrap w:val="0"/>
            <w:vAlign w:val="center"/>
          </w:tcPr>
          <w:p w14:paraId="58FA039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zh-CN"/>
              </w:rPr>
              <w:t>评价因子</w:t>
            </w:r>
          </w:p>
        </w:tc>
        <w:tc>
          <w:tcPr>
            <w:tcW w:w="1309" w:type="pct"/>
            <w:tcBorders>
              <w:tl2br w:val="nil"/>
              <w:tr2bl w:val="nil"/>
            </w:tcBorders>
            <w:noWrap w:val="0"/>
            <w:vAlign w:val="center"/>
          </w:tcPr>
          <w:p w14:paraId="54367F9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en-US"/>
              </w:rPr>
              <w:t>评价项目</w:t>
            </w:r>
          </w:p>
        </w:tc>
        <w:tc>
          <w:tcPr>
            <w:tcW w:w="704" w:type="pct"/>
            <w:tcBorders>
              <w:tl2br w:val="nil"/>
              <w:tr2bl w:val="nil"/>
            </w:tcBorders>
            <w:noWrap w:val="0"/>
            <w:vAlign w:val="center"/>
          </w:tcPr>
          <w:p w14:paraId="473BD0B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zh-CN"/>
              </w:rPr>
              <w:t>现状浓度</w:t>
            </w:r>
            <w:r>
              <w:rPr>
                <w:rFonts w:hint="default" w:ascii="Times New Roman" w:hAnsi="Times New Roman" w:eastAsia="宋体"/>
                <w:b w:val="0"/>
                <w:bCs w:val="0"/>
                <w:color w:val="auto"/>
                <w:sz w:val="21"/>
                <w:lang w:eastAsia="zh-CN"/>
              </w:rPr>
              <w:t>（</w:t>
            </w:r>
            <w:r>
              <w:rPr>
                <w:rFonts w:hint="default" w:ascii="Times New Roman" w:hAnsi="Times New Roman" w:eastAsia="宋体"/>
                <w:b w:val="0"/>
                <w:bCs w:val="0"/>
                <w:color w:val="auto"/>
                <w:sz w:val="21"/>
              </w:rPr>
              <w:t>μg/m</w:t>
            </w:r>
            <w:r>
              <w:rPr>
                <w:rFonts w:hint="default" w:ascii="Times New Roman" w:hAnsi="Times New Roman" w:eastAsia="宋体"/>
                <w:b w:val="0"/>
                <w:bCs w:val="0"/>
                <w:color w:val="auto"/>
                <w:sz w:val="21"/>
                <w:vertAlign w:val="superscript"/>
                <w:lang w:val="en-US" w:eastAsia="zh-CN"/>
              </w:rPr>
              <w:t>3</w:t>
            </w:r>
            <w:r>
              <w:rPr>
                <w:rFonts w:hint="default" w:ascii="Times New Roman" w:hAnsi="Times New Roman" w:eastAsia="宋体"/>
                <w:b w:val="0"/>
                <w:bCs w:val="0"/>
                <w:color w:val="auto"/>
                <w:sz w:val="21"/>
                <w:lang w:eastAsia="zh-CN"/>
              </w:rPr>
              <w:t>）</w:t>
            </w:r>
          </w:p>
        </w:tc>
        <w:tc>
          <w:tcPr>
            <w:tcW w:w="665" w:type="pct"/>
            <w:tcBorders>
              <w:tl2br w:val="nil"/>
              <w:tr2bl w:val="nil"/>
            </w:tcBorders>
            <w:noWrap w:val="0"/>
            <w:vAlign w:val="center"/>
          </w:tcPr>
          <w:p w14:paraId="7B841E2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zh-CN"/>
              </w:rPr>
              <w:t>标准限值</w:t>
            </w:r>
            <w:r>
              <w:rPr>
                <w:rFonts w:hint="default" w:ascii="Times New Roman" w:hAnsi="Times New Roman" w:eastAsia="宋体"/>
                <w:b w:val="0"/>
                <w:bCs w:val="0"/>
                <w:color w:val="auto"/>
                <w:sz w:val="21"/>
                <w:lang w:eastAsia="zh-CN"/>
              </w:rPr>
              <w:t>（</w:t>
            </w:r>
            <w:r>
              <w:rPr>
                <w:rFonts w:hint="default" w:ascii="Times New Roman" w:hAnsi="Times New Roman" w:eastAsia="宋体"/>
                <w:b w:val="0"/>
                <w:bCs w:val="0"/>
                <w:color w:val="auto"/>
                <w:sz w:val="21"/>
              </w:rPr>
              <w:t>μg/m</w:t>
            </w:r>
            <w:r>
              <w:rPr>
                <w:rFonts w:hint="default" w:ascii="Times New Roman" w:hAnsi="Times New Roman" w:eastAsia="宋体"/>
                <w:b w:val="0"/>
                <w:bCs w:val="0"/>
                <w:color w:val="auto"/>
                <w:sz w:val="21"/>
                <w:vertAlign w:val="superscript"/>
                <w:lang w:val="en-US" w:eastAsia="zh-CN"/>
              </w:rPr>
              <w:t>3</w:t>
            </w:r>
            <w:r>
              <w:rPr>
                <w:rFonts w:hint="default" w:ascii="Times New Roman" w:hAnsi="Times New Roman" w:eastAsia="宋体"/>
                <w:b w:val="0"/>
                <w:bCs w:val="0"/>
                <w:color w:val="auto"/>
                <w:sz w:val="21"/>
                <w:lang w:eastAsia="zh-CN"/>
              </w:rPr>
              <w:t>）</w:t>
            </w:r>
          </w:p>
        </w:tc>
        <w:tc>
          <w:tcPr>
            <w:tcW w:w="640" w:type="pct"/>
            <w:tcBorders>
              <w:tl2br w:val="nil"/>
              <w:tr2bl w:val="nil"/>
            </w:tcBorders>
            <w:noWrap w:val="0"/>
            <w:vAlign w:val="center"/>
          </w:tcPr>
          <w:p w14:paraId="74E5FB0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en-US"/>
              </w:rPr>
              <w:t>最大浓度</w:t>
            </w:r>
            <w:r>
              <w:rPr>
                <w:rFonts w:hint="eastAsia" w:ascii="Times New Roman" w:hAnsi="Times New Roman" w:eastAsia="宋体"/>
                <w:b w:val="0"/>
                <w:bCs w:val="0"/>
                <w:color w:val="auto"/>
                <w:sz w:val="21"/>
                <w:lang w:val="zh-CN"/>
              </w:rPr>
              <w:t>占标率%</w:t>
            </w:r>
          </w:p>
        </w:tc>
        <w:tc>
          <w:tcPr>
            <w:tcW w:w="383" w:type="pct"/>
            <w:tcBorders>
              <w:tl2br w:val="nil"/>
              <w:tr2bl w:val="nil"/>
            </w:tcBorders>
            <w:noWrap w:val="0"/>
            <w:vAlign w:val="center"/>
          </w:tcPr>
          <w:p w14:paraId="5A615F5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en-US" w:eastAsia="zh-CN"/>
              </w:rPr>
            </w:pPr>
            <w:r>
              <w:rPr>
                <w:rFonts w:hint="eastAsia" w:ascii="Times New Roman" w:hAnsi="Times New Roman" w:eastAsia="宋体"/>
                <w:b w:val="0"/>
                <w:bCs w:val="0"/>
                <w:color w:val="auto"/>
                <w:sz w:val="21"/>
                <w:lang w:val="en-US"/>
              </w:rPr>
              <w:t>超标</w:t>
            </w:r>
            <w:r>
              <w:rPr>
                <w:rFonts w:hint="eastAsia" w:ascii="Times New Roman" w:hAnsi="Times New Roman" w:eastAsia="宋体"/>
                <w:b w:val="0"/>
                <w:bCs w:val="0"/>
                <w:color w:val="auto"/>
                <w:sz w:val="21"/>
                <w:lang w:val="en-US" w:eastAsia="zh-CN"/>
              </w:rPr>
              <w:t>倍数</w:t>
            </w:r>
          </w:p>
        </w:tc>
        <w:tc>
          <w:tcPr>
            <w:tcW w:w="402" w:type="pct"/>
            <w:tcBorders>
              <w:tl2br w:val="nil"/>
              <w:tr2bl w:val="nil"/>
            </w:tcBorders>
            <w:noWrap w:val="0"/>
            <w:vAlign w:val="center"/>
          </w:tcPr>
          <w:p w14:paraId="14C51B1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auto"/>
                <w:sz w:val="21"/>
                <w:lang w:val="zh-CN"/>
              </w:rPr>
            </w:pPr>
            <w:r>
              <w:rPr>
                <w:rFonts w:hint="eastAsia" w:ascii="Times New Roman" w:hAnsi="Times New Roman" w:eastAsia="宋体"/>
                <w:b w:val="0"/>
                <w:bCs w:val="0"/>
                <w:color w:val="auto"/>
                <w:sz w:val="21"/>
                <w:lang w:val="zh-CN"/>
              </w:rPr>
              <w:t>达标情况</w:t>
            </w:r>
          </w:p>
        </w:tc>
      </w:tr>
      <w:tr w14:paraId="44D2A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restart"/>
            <w:tcBorders>
              <w:tl2br w:val="nil"/>
              <w:tr2bl w:val="nil"/>
            </w:tcBorders>
            <w:noWrap w:val="0"/>
            <w:vAlign w:val="center"/>
          </w:tcPr>
          <w:p w14:paraId="2DEDD9C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eastAsia="zh-CN"/>
              </w:rPr>
              <w:t>木垒哈萨克自治县环境监测站空气质量</w:t>
            </w:r>
          </w:p>
        </w:tc>
        <w:tc>
          <w:tcPr>
            <w:tcW w:w="416" w:type="pct"/>
            <w:vMerge w:val="restart"/>
            <w:tcBorders>
              <w:tl2br w:val="nil"/>
              <w:tr2bl w:val="nil"/>
            </w:tcBorders>
            <w:noWrap w:val="0"/>
            <w:vAlign w:val="center"/>
          </w:tcPr>
          <w:p w14:paraId="6B19548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SO</w:t>
            </w:r>
            <w:r>
              <w:rPr>
                <w:rFonts w:hint="eastAsia" w:ascii="Times New Roman" w:hAnsi="Times New Roman" w:eastAsia="宋体"/>
                <w:b w:val="0"/>
                <w:color w:val="auto"/>
                <w:sz w:val="21"/>
                <w:vertAlign w:val="subscript"/>
                <w:lang w:val="zh-CN"/>
              </w:rPr>
              <w:t>2</w:t>
            </w:r>
          </w:p>
        </w:tc>
        <w:tc>
          <w:tcPr>
            <w:tcW w:w="1309" w:type="pct"/>
            <w:tcBorders>
              <w:tl2br w:val="nil"/>
              <w:tr2bl w:val="nil"/>
            </w:tcBorders>
            <w:noWrap w:val="0"/>
            <w:vAlign w:val="center"/>
          </w:tcPr>
          <w:p w14:paraId="4A595E3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年平均</w:t>
            </w:r>
          </w:p>
        </w:tc>
        <w:tc>
          <w:tcPr>
            <w:tcW w:w="704" w:type="pct"/>
            <w:tcBorders>
              <w:tl2br w:val="nil"/>
              <w:tr2bl w:val="nil"/>
            </w:tcBorders>
            <w:noWrap w:val="0"/>
            <w:vAlign w:val="center"/>
          </w:tcPr>
          <w:p w14:paraId="3B2EAA5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eastAsia="zh-CN"/>
              </w:rPr>
            </w:pPr>
            <w:r>
              <w:rPr>
                <w:rFonts w:hint="eastAsia" w:ascii="Times New Roman" w:hAnsi="Times New Roman" w:eastAsia="宋体"/>
                <w:b w:val="0"/>
                <w:color w:val="auto"/>
                <w:sz w:val="21"/>
                <w:lang w:val="zh-CN" w:eastAsia="zh-CN"/>
              </w:rPr>
              <w:t>7</w:t>
            </w:r>
          </w:p>
        </w:tc>
        <w:tc>
          <w:tcPr>
            <w:tcW w:w="665" w:type="pct"/>
            <w:tcBorders>
              <w:tl2br w:val="nil"/>
              <w:tr2bl w:val="nil"/>
            </w:tcBorders>
            <w:noWrap w:val="0"/>
            <w:vAlign w:val="center"/>
          </w:tcPr>
          <w:p w14:paraId="2579473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60</w:t>
            </w:r>
          </w:p>
        </w:tc>
        <w:tc>
          <w:tcPr>
            <w:tcW w:w="640" w:type="pct"/>
            <w:tcBorders>
              <w:tl2br w:val="nil"/>
              <w:tr2bl w:val="nil"/>
            </w:tcBorders>
            <w:noWrap w:val="0"/>
            <w:vAlign w:val="center"/>
          </w:tcPr>
          <w:p w14:paraId="102F6EE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11.67</w:t>
            </w:r>
          </w:p>
        </w:tc>
        <w:tc>
          <w:tcPr>
            <w:tcW w:w="383" w:type="pct"/>
            <w:tcBorders>
              <w:tl2br w:val="nil"/>
              <w:tr2bl w:val="nil"/>
            </w:tcBorders>
            <w:noWrap w:val="0"/>
            <w:vAlign w:val="center"/>
          </w:tcPr>
          <w:p w14:paraId="3D340E6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6530690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4B8E4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58D25EF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continue"/>
            <w:tcBorders>
              <w:tl2br w:val="nil"/>
              <w:tr2bl w:val="nil"/>
            </w:tcBorders>
            <w:noWrap w:val="0"/>
            <w:vAlign w:val="center"/>
          </w:tcPr>
          <w:p w14:paraId="78232FD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1309" w:type="pct"/>
            <w:tcBorders>
              <w:tl2br w:val="nil"/>
              <w:tr2bl w:val="nil"/>
            </w:tcBorders>
            <w:noWrap w:val="0"/>
            <w:vAlign w:val="center"/>
          </w:tcPr>
          <w:p w14:paraId="52DFF17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百分位日均值（98）</w:t>
            </w:r>
          </w:p>
        </w:tc>
        <w:tc>
          <w:tcPr>
            <w:tcW w:w="704" w:type="pct"/>
            <w:tcBorders>
              <w:tl2br w:val="nil"/>
              <w:tr2bl w:val="nil"/>
            </w:tcBorders>
            <w:noWrap w:val="0"/>
            <w:vAlign w:val="center"/>
          </w:tcPr>
          <w:p w14:paraId="2C1F47B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5</w:t>
            </w:r>
          </w:p>
        </w:tc>
        <w:tc>
          <w:tcPr>
            <w:tcW w:w="665" w:type="pct"/>
            <w:tcBorders>
              <w:tl2br w:val="nil"/>
              <w:tr2bl w:val="nil"/>
            </w:tcBorders>
            <w:noWrap w:val="0"/>
            <w:vAlign w:val="center"/>
          </w:tcPr>
          <w:p w14:paraId="1FC8D79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150</w:t>
            </w:r>
          </w:p>
        </w:tc>
        <w:tc>
          <w:tcPr>
            <w:tcW w:w="640" w:type="pct"/>
            <w:tcBorders>
              <w:tl2br w:val="nil"/>
              <w:tr2bl w:val="nil"/>
            </w:tcBorders>
            <w:noWrap w:val="0"/>
            <w:vAlign w:val="center"/>
          </w:tcPr>
          <w:p w14:paraId="2A38439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3.33</w:t>
            </w:r>
          </w:p>
        </w:tc>
        <w:tc>
          <w:tcPr>
            <w:tcW w:w="383" w:type="pct"/>
            <w:tcBorders>
              <w:tl2br w:val="nil"/>
              <w:tr2bl w:val="nil"/>
            </w:tcBorders>
            <w:noWrap w:val="0"/>
            <w:vAlign w:val="center"/>
          </w:tcPr>
          <w:p w14:paraId="00A850C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6381C0D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6CE03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4DD4234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restart"/>
            <w:tcBorders>
              <w:tl2br w:val="nil"/>
              <w:tr2bl w:val="nil"/>
            </w:tcBorders>
            <w:noWrap w:val="0"/>
            <w:vAlign w:val="center"/>
          </w:tcPr>
          <w:p w14:paraId="3F50A68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NO</w:t>
            </w:r>
            <w:r>
              <w:rPr>
                <w:rFonts w:hint="eastAsia" w:ascii="Times New Roman" w:hAnsi="Times New Roman" w:eastAsia="宋体"/>
                <w:b w:val="0"/>
                <w:color w:val="auto"/>
                <w:sz w:val="21"/>
                <w:vertAlign w:val="subscript"/>
                <w:lang w:val="zh-CN"/>
              </w:rPr>
              <w:t>2</w:t>
            </w:r>
          </w:p>
        </w:tc>
        <w:tc>
          <w:tcPr>
            <w:tcW w:w="1309" w:type="pct"/>
            <w:tcBorders>
              <w:tl2br w:val="nil"/>
              <w:tr2bl w:val="nil"/>
            </w:tcBorders>
            <w:noWrap w:val="0"/>
            <w:vAlign w:val="center"/>
          </w:tcPr>
          <w:p w14:paraId="673A641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年平均</w:t>
            </w:r>
          </w:p>
        </w:tc>
        <w:tc>
          <w:tcPr>
            <w:tcW w:w="704" w:type="pct"/>
            <w:tcBorders>
              <w:tl2br w:val="nil"/>
              <w:tr2bl w:val="nil"/>
            </w:tcBorders>
            <w:noWrap w:val="0"/>
            <w:vAlign w:val="center"/>
          </w:tcPr>
          <w:p w14:paraId="1DC3E73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10</w:t>
            </w:r>
          </w:p>
        </w:tc>
        <w:tc>
          <w:tcPr>
            <w:tcW w:w="665" w:type="pct"/>
            <w:tcBorders>
              <w:tl2br w:val="nil"/>
              <w:tr2bl w:val="nil"/>
            </w:tcBorders>
            <w:noWrap w:val="0"/>
            <w:vAlign w:val="center"/>
          </w:tcPr>
          <w:p w14:paraId="33A0BB7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40</w:t>
            </w:r>
          </w:p>
        </w:tc>
        <w:tc>
          <w:tcPr>
            <w:tcW w:w="640" w:type="pct"/>
            <w:tcBorders>
              <w:tl2br w:val="nil"/>
              <w:tr2bl w:val="nil"/>
            </w:tcBorders>
            <w:noWrap w:val="0"/>
            <w:vAlign w:val="center"/>
          </w:tcPr>
          <w:p w14:paraId="3E88791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cs="Times New Roman"/>
                <w:bCs/>
                <w:color w:val="auto"/>
                <w:sz w:val="21"/>
                <w:szCs w:val="21"/>
                <w:lang w:eastAsia="zh-CN"/>
              </w:rPr>
              <w:t>25</w:t>
            </w:r>
          </w:p>
        </w:tc>
        <w:tc>
          <w:tcPr>
            <w:tcW w:w="383" w:type="pct"/>
            <w:tcBorders>
              <w:tl2br w:val="nil"/>
              <w:tr2bl w:val="nil"/>
            </w:tcBorders>
            <w:noWrap w:val="0"/>
            <w:vAlign w:val="center"/>
          </w:tcPr>
          <w:p w14:paraId="4713770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3E6ECA7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25DD5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6B8F727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continue"/>
            <w:tcBorders>
              <w:tl2br w:val="nil"/>
              <w:tr2bl w:val="nil"/>
            </w:tcBorders>
            <w:noWrap w:val="0"/>
            <w:vAlign w:val="center"/>
          </w:tcPr>
          <w:p w14:paraId="464FFFE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1309" w:type="pct"/>
            <w:tcBorders>
              <w:tl2br w:val="nil"/>
              <w:tr2bl w:val="nil"/>
            </w:tcBorders>
            <w:noWrap w:val="0"/>
            <w:vAlign w:val="center"/>
          </w:tcPr>
          <w:p w14:paraId="78DE292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百分位日均值（98）</w:t>
            </w:r>
          </w:p>
        </w:tc>
        <w:tc>
          <w:tcPr>
            <w:tcW w:w="704" w:type="pct"/>
            <w:tcBorders>
              <w:tl2br w:val="nil"/>
              <w:tr2bl w:val="nil"/>
            </w:tcBorders>
            <w:noWrap w:val="0"/>
            <w:vAlign w:val="center"/>
          </w:tcPr>
          <w:p w14:paraId="760A482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14</w:t>
            </w:r>
          </w:p>
        </w:tc>
        <w:tc>
          <w:tcPr>
            <w:tcW w:w="665" w:type="pct"/>
            <w:tcBorders>
              <w:tl2br w:val="nil"/>
              <w:tr2bl w:val="nil"/>
            </w:tcBorders>
            <w:noWrap w:val="0"/>
            <w:vAlign w:val="center"/>
          </w:tcPr>
          <w:p w14:paraId="25E5D35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80</w:t>
            </w:r>
          </w:p>
        </w:tc>
        <w:tc>
          <w:tcPr>
            <w:tcW w:w="640" w:type="pct"/>
            <w:tcBorders>
              <w:tl2br w:val="nil"/>
              <w:tr2bl w:val="nil"/>
            </w:tcBorders>
            <w:noWrap w:val="0"/>
            <w:vAlign w:val="center"/>
          </w:tcPr>
          <w:p w14:paraId="3A7BB64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17.5</w:t>
            </w:r>
          </w:p>
        </w:tc>
        <w:tc>
          <w:tcPr>
            <w:tcW w:w="383" w:type="pct"/>
            <w:tcBorders>
              <w:tl2br w:val="nil"/>
              <w:tr2bl w:val="nil"/>
            </w:tcBorders>
            <w:noWrap w:val="0"/>
            <w:vAlign w:val="center"/>
          </w:tcPr>
          <w:p w14:paraId="6645FA8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3A76F25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6629B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tcBorders>
              <w:tl2br w:val="nil"/>
              <w:tr2bl w:val="nil"/>
            </w:tcBorders>
            <w:noWrap w:val="0"/>
            <w:vAlign w:val="center"/>
          </w:tcPr>
          <w:p w14:paraId="40435D6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restart"/>
            <w:tcBorders>
              <w:tl2br w:val="nil"/>
              <w:tr2bl w:val="nil"/>
            </w:tcBorders>
            <w:noWrap w:val="0"/>
            <w:vAlign w:val="center"/>
          </w:tcPr>
          <w:p w14:paraId="01651C0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CO</w:t>
            </w:r>
          </w:p>
        </w:tc>
        <w:tc>
          <w:tcPr>
            <w:tcW w:w="1309" w:type="pct"/>
            <w:tcBorders>
              <w:tl2br w:val="nil"/>
              <w:tr2bl w:val="nil"/>
            </w:tcBorders>
            <w:noWrap w:val="0"/>
            <w:vAlign w:val="center"/>
          </w:tcPr>
          <w:p w14:paraId="47047B8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百分位日均值（95）</w:t>
            </w:r>
          </w:p>
        </w:tc>
        <w:tc>
          <w:tcPr>
            <w:tcW w:w="704" w:type="pct"/>
            <w:tcBorders>
              <w:tl2br w:val="nil"/>
              <w:tr2bl w:val="nil"/>
            </w:tcBorders>
            <w:noWrap w:val="0"/>
            <w:vAlign w:val="center"/>
          </w:tcPr>
          <w:p w14:paraId="2E2E50D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600</w:t>
            </w:r>
          </w:p>
        </w:tc>
        <w:tc>
          <w:tcPr>
            <w:tcW w:w="665" w:type="pct"/>
            <w:tcBorders>
              <w:tl2br w:val="nil"/>
              <w:tr2bl w:val="nil"/>
            </w:tcBorders>
            <w:noWrap w:val="0"/>
            <w:vAlign w:val="center"/>
          </w:tcPr>
          <w:p w14:paraId="2081FA5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4000</w:t>
            </w:r>
          </w:p>
        </w:tc>
        <w:tc>
          <w:tcPr>
            <w:tcW w:w="640" w:type="pct"/>
            <w:tcBorders>
              <w:tl2br w:val="nil"/>
              <w:tr2bl w:val="nil"/>
            </w:tcBorders>
            <w:noWrap w:val="0"/>
            <w:vAlign w:val="center"/>
          </w:tcPr>
          <w:p w14:paraId="33686A2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15</w:t>
            </w:r>
          </w:p>
        </w:tc>
        <w:tc>
          <w:tcPr>
            <w:tcW w:w="383" w:type="pct"/>
            <w:tcBorders>
              <w:tl2br w:val="nil"/>
              <w:tr2bl w:val="nil"/>
            </w:tcBorders>
            <w:noWrap w:val="0"/>
            <w:vAlign w:val="center"/>
          </w:tcPr>
          <w:p w14:paraId="629E4EB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4C4EECE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3ABE1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tcBorders>
              <w:tl2br w:val="nil"/>
              <w:tr2bl w:val="nil"/>
            </w:tcBorders>
            <w:noWrap w:val="0"/>
            <w:vAlign w:val="center"/>
          </w:tcPr>
          <w:p w14:paraId="1B00908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restart"/>
            <w:tcBorders>
              <w:tl2br w:val="nil"/>
              <w:tr2bl w:val="nil"/>
            </w:tcBorders>
            <w:noWrap w:val="0"/>
            <w:vAlign w:val="center"/>
          </w:tcPr>
          <w:p w14:paraId="48D8BEA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O</w:t>
            </w:r>
            <w:r>
              <w:rPr>
                <w:rFonts w:hint="eastAsia" w:ascii="Times New Roman" w:hAnsi="Times New Roman" w:eastAsia="宋体"/>
                <w:b w:val="0"/>
                <w:color w:val="auto"/>
                <w:sz w:val="21"/>
                <w:vertAlign w:val="subscript"/>
                <w:lang w:val="zh-CN"/>
              </w:rPr>
              <w:t>3</w:t>
            </w:r>
          </w:p>
        </w:tc>
        <w:tc>
          <w:tcPr>
            <w:tcW w:w="1309" w:type="pct"/>
            <w:tcBorders>
              <w:tl2br w:val="nil"/>
              <w:tr2bl w:val="nil"/>
            </w:tcBorders>
            <w:noWrap w:val="0"/>
            <w:vAlign w:val="center"/>
          </w:tcPr>
          <w:p w14:paraId="1619AE0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百分位8h均值（90）</w:t>
            </w:r>
          </w:p>
        </w:tc>
        <w:tc>
          <w:tcPr>
            <w:tcW w:w="704" w:type="pct"/>
            <w:tcBorders>
              <w:tl2br w:val="nil"/>
              <w:tr2bl w:val="nil"/>
            </w:tcBorders>
            <w:noWrap w:val="0"/>
            <w:vAlign w:val="center"/>
          </w:tcPr>
          <w:p w14:paraId="0783431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88</w:t>
            </w:r>
          </w:p>
        </w:tc>
        <w:tc>
          <w:tcPr>
            <w:tcW w:w="665" w:type="pct"/>
            <w:tcBorders>
              <w:tl2br w:val="nil"/>
              <w:tr2bl w:val="nil"/>
            </w:tcBorders>
            <w:noWrap w:val="0"/>
            <w:vAlign w:val="center"/>
          </w:tcPr>
          <w:p w14:paraId="6E22EDA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160</w:t>
            </w:r>
          </w:p>
        </w:tc>
        <w:tc>
          <w:tcPr>
            <w:tcW w:w="640" w:type="pct"/>
            <w:tcBorders>
              <w:tl2br w:val="nil"/>
              <w:tr2bl w:val="nil"/>
            </w:tcBorders>
            <w:noWrap w:val="0"/>
            <w:vAlign w:val="center"/>
          </w:tcPr>
          <w:p w14:paraId="67A0819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55</w:t>
            </w:r>
          </w:p>
        </w:tc>
        <w:tc>
          <w:tcPr>
            <w:tcW w:w="383" w:type="pct"/>
            <w:tcBorders>
              <w:tl2br w:val="nil"/>
              <w:tr2bl w:val="nil"/>
            </w:tcBorders>
            <w:noWrap w:val="0"/>
            <w:vAlign w:val="center"/>
          </w:tcPr>
          <w:p w14:paraId="16B4B63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5809634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592B3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7AF6DB3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restart"/>
            <w:tcBorders>
              <w:tl2br w:val="nil"/>
              <w:tr2bl w:val="nil"/>
            </w:tcBorders>
            <w:noWrap w:val="0"/>
            <w:vAlign w:val="center"/>
          </w:tcPr>
          <w:p w14:paraId="7A6A784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PM</w:t>
            </w:r>
            <w:r>
              <w:rPr>
                <w:rFonts w:hint="eastAsia" w:ascii="Times New Roman" w:hAnsi="Times New Roman" w:eastAsia="宋体"/>
                <w:b w:val="0"/>
                <w:color w:val="auto"/>
                <w:sz w:val="21"/>
                <w:vertAlign w:val="subscript"/>
                <w:lang w:val="zh-CN"/>
              </w:rPr>
              <w:t>2.5</w:t>
            </w:r>
          </w:p>
        </w:tc>
        <w:tc>
          <w:tcPr>
            <w:tcW w:w="1309" w:type="pct"/>
            <w:tcBorders>
              <w:tl2br w:val="nil"/>
              <w:tr2bl w:val="nil"/>
            </w:tcBorders>
            <w:noWrap w:val="0"/>
            <w:vAlign w:val="center"/>
          </w:tcPr>
          <w:p w14:paraId="1D95CB2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年平均</w:t>
            </w:r>
          </w:p>
        </w:tc>
        <w:tc>
          <w:tcPr>
            <w:tcW w:w="704" w:type="pct"/>
            <w:tcBorders>
              <w:tl2br w:val="nil"/>
              <w:tr2bl w:val="nil"/>
            </w:tcBorders>
            <w:noWrap w:val="0"/>
            <w:vAlign w:val="center"/>
          </w:tcPr>
          <w:p w14:paraId="5FA21E5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29</w:t>
            </w:r>
          </w:p>
        </w:tc>
        <w:tc>
          <w:tcPr>
            <w:tcW w:w="665" w:type="pct"/>
            <w:tcBorders>
              <w:tl2br w:val="nil"/>
              <w:tr2bl w:val="nil"/>
            </w:tcBorders>
            <w:noWrap w:val="0"/>
            <w:vAlign w:val="center"/>
          </w:tcPr>
          <w:p w14:paraId="7AA7834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35</w:t>
            </w:r>
          </w:p>
        </w:tc>
        <w:tc>
          <w:tcPr>
            <w:tcW w:w="640" w:type="pct"/>
            <w:tcBorders>
              <w:tl2br w:val="nil"/>
              <w:tr2bl w:val="nil"/>
            </w:tcBorders>
            <w:noWrap w:val="0"/>
            <w:vAlign w:val="center"/>
          </w:tcPr>
          <w:p w14:paraId="0991BF3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cs="Times New Roman"/>
                <w:bCs/>
                <w:color w:val="auto"/>
                <w:sz w:val="21"/>
                <w:szCs w:val="21"/>
                <w:lang w:val="en-US" w:eastAsia="zh-CN"/>
              </w:rPr>
              <w:t>82.9</w:t>
            </w:r>
          </w:p>
        </w:tc>
        <w:tc>
          <w:tcPr>
            <w:tcW w:w="383" w:type="pct"/>
            <w:tcBorders>
              <w:tl2br w:val="nil"/>
              <w:tr2bl w:val="nil"/>
            </w:tcBorders>
            <w:noWrap w:val="0"/>
            <w:vAlign w:val="center"/>
          </w:tcPr>
          <w:p w14:paraId="09D96D1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66F090D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4F37D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0921AE9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continue"/>
            <w:tcBorders>
              <w:tl2br w:val="nil"/>
              <w:tr2bl w:val="nil"/>
            </w:tcBorders>
            <w:noWrap w:val="0"/>
            <w:vAlign w:val="center"/>
          </w:tcPr>
          <w:p w14:paraId="488A838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1309" w:type="pct"/>
            <w:tcBorders>
              <w:tl2br w:val="nil"/>
              <w:tr2bl w:val="nil"/>
            </w:tcBorders>
            <w:noWrap w:val="0"/>
            <w:vAlign w:val="center"/>
          </w:tcPr>
          <w:p w14:paraId="699ACC6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百分位日均值（95）</w:t>
            </w:r>
          </w:p>
        </w:tc>
        <w:tc>
          <w:tcPr>
            <w:tcW w:w="704" w:type="pct"/>
            <w:tcBorders>
              <w:tl2br w:val="nil"/>
              <w:tr2bl w:val="nil"/>
            </w:tcBorders>
            <w:noWrap w:val="0"/>
            <w:vAlign w:val="center"/>
          </w:tcPr>
          <w:p w14:paraId="6D6580A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6</w:t>
            </w:r>
          </w:p>
        </w:tc>
        <w:tc>
          <w:tcPr>
            <w:tcW w:w="665" w:type="pct"/>
            <w:tcBorders>
              <w:tl2br w:val="nil"/>
              <w:tr2bl w:val="nil"/>
            </w:tcBorders>
            <w:noWrap w:val="0"/>
            <w:vAlign w:val="center"/>
          </w:tcPr>
          <w:p w14:paraId="6A8C53D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75</w:t>
            </w:r>
          </w:p>
        </w:tc>
        <w:tc>
          <w:tcPr>
            <w:tcW w:w="640" w:type="pct"/>
            <w:tcBorders>
              <w:tl2br w:val="nil"/>
              <w:tr2bl w:val="nil"/>
            </w:tcBorders>
            <w:noWrap w:val="0"/>
            <w:vAlign w:val="center"/>
          </w:tcPr>
          <w:p w14:paraId="76EA916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8</w:t>
            </w:r>
          </w:p>
        </w:tc>
        <w:tc>
          <w:tcPr>
            <w:tcW w:w="383" w:type="pct"/>
            <w:tcBorders>
              <w:tl2br w:val="nil"/>
              <w:tr2bl w:val="nil"/>
            </w:tcBorders>
            <w:noWrap w:val="0"/>
            <w:vAlign w:val="center"/>
          </w:tcPr>
          <w:p w14:paraId="2D3F0D2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01CF1A6B">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r w14:paraId="3C6E6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3825E1F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restart"/>
            <w:tcBorders>
              <w:tl2br w:val="nil"/>
              <w:tr2bl w:val="nil"/>
            </w:tcBorders>
            <w:noWrap w:val="0"/>
            <w:vAlign w:val="center"/>
          </w:tcPr>
          <w:p w14:paraId="1C1157C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PM</w:t>
            </w:r>
            <w:r>
              <w:rPr>
                <w:rFonts w:hint="eastAsia" w:ascii="Times New Roman" w:hAnsi="Times New Roman" w:eastAsia="宋体"/>
                <w:b w:val="0"/>
                <w:color w:val="auto"/>
                <w:sz w:val="21"/>
                <w:vertAlign w:val="subscript"/>
                <w:lang w:val="zh-CN"/>
              </w:rPr>
              <w:t>10</w:t>
            </w:r>
          </w:p>
        </w:tc>
        <w:tc>
          <w:tcPr>
            <w:tcW w:w="1309" w:type="pct"/>
            <w:tcBorders>
              <w:tl2br w:val="nil"/>
              <w:tr2bl w:val="nil"/>
            </w:tcBorders>
            <w:noWrap w:val="0"/>
            <w:vAlign w:val="center"/>
          </w:tcPr>
          <w:p w14:paraId="6B37556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年平均</w:t>
            </w:r>
          </w:p>
        </w:tc>
        <w:tc>
          <w:tcPr>
            <w:tcW w:w="704" w:type="pct"/>
            <w:tcBorders>
              <w:tl2br w:val="nil"/>
              <w:tr2bl w:val="nil"/>
            </w:tcBorders>
            <w:noWrap w:val="0"/>
            <w:vAlign w:val="center"/>
          </w:tcPr>
          <w:p w14:paraId="1B6F780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default" w:ascii="Times New Roman" w:hAnsi="Times New Roman" w:eastAsia="宋体"/>
                <w:b w:val="0"/>
                <w:color w:val="auto"/>
                <w:sz w:val="21"/>
                <w:lang w:val="en-US" w:eastAsia="zh-CN"/>
              </w:rPr>
              <w:t>9</w:t>
            </w:r>
          </w:p>
        </w:tc>
        <w:tc>
          <w:tcPr>
            <w:tcW w:w="665" w:type="pct"/>
            <w:tcBorders>
              <w:tl2br w:val="nil"/>
              <w:tr2bl w:val="nil"/>
            </w:tcBorders>
            <w:noWrap w:val="0"/>
            <w:vAlign w:val="center"/>
          </w:tcPr>
          <w:p w14:paraId="3A8A51F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70</w:t>
            </w:r>
          </w:p>
        </w:tc>
        <w:tc>
          <w:tcPr>
            <w:tcW w:w="640" w:type="pct"/>
            <w:tcBorders>
              <w:tl2br w:val="nil"/>
              <w:tr2bl w:val="nil"/>
            </w:tcBorders>
            <w:noWrap w:val="0"/>
            <w:vAlign w:val="center"/>
          </w:tcPr>
          <w:p w14:paraId="0FD2A07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12.9</w:t>
            </w:r>
          </w:p>
        </w:tc>
        <w:tc>
          <w:tcPr>
            <w:tcW w:w="383" w:type="pct"/>
            <w:tcBorders>
              <w:tl2br w:val="nil"/>
              <w:tr2bl w:val="nil"/>
            </w:tcBorders>
            <w:noWrap w:val="0"/>
            <w:vAlign w:val="center"/>
          </w:tcPr>
          <w:p w14:paraId="67603E6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59F97B04">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rPr>
            </w:pPr>
            <w:r>
              <w:rPr>
                <w:rFonts w:hint="eastAsia" w:ascii="Times New Roman" w:hAnsi="Times New Roman" w:eastAsia="宋体"/>
                <w:b w:val="0"/>
                <w:color w:val="auto"/>
                <w:sz w:val="21"/>
                <w:lang w:val="zh-CN"/>
              </w:rPr>
              <w:t>达标</w:t>
            </w:r>
          </w:p>
        </w:tc>
      </w:tr>
      <w:tr w14:paraId="5B717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5F1127F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416" w:type="pct"/>
            <w:vMerge w:val="continue"/>
            <w:tcBorders>
              <w:tl2br w:val="nil"/>
              <w:tr2bl w:val="nil"/>
            </w:tcBorders>
            <w:noWrap w:val="0"/>
            <w:vAlign w:val="center"/>
          </w:tcPr>
          <w:p w14:paraId="5AA97DE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p>
        </w:tc>
        <w:tc>
          <w:tcPr>
            <w:tcW w:w="1309" w:type="pct"/>
            <w:tcBorders>
              <w:tl2br w:val="nil"/>
              <w:tr2bl w:val="nil"/>
            </w:tcBorders>
            <w:noWrap w:val="0"/>
            <w:vAlign w:val="center"/>
          </w:tcPr>
          <w:p w14:paraId="67F9240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default" w:ascii="Times New Roman" w:hAnsi="Times New Roman" w:eastAsia="宋体"/>
                <w:b w:val="0"/>
                <w:color w:val="auto"/>
                <w:sz w:val="21"/>
                <w:lang w:val="en-US" w:eastAsia="zh-CN"/>
              </w:rPr>
              <w:t>百分位日均值（95）</w:t>
            </w:r>
          </w:p>
        </w:tc>
        <w:tc>
          <w:tcPr>
            <w:tcW w:w="704" w:type="pct"/>
            <w:tcBorders>
              <w:tl2br w:val="nil"/>
              <w:tr2bl w:val="nil"/>
            </w:tcBorders>
            <w:noWrap w:val="0"/>
            <w:vAlign w:val="center"/>
          </w:tcPr>
          <w:p w14:paraId="385473D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13</w:t>
            </w:r>
          </w:p>
        </w:tc>
        <w:tc>
          <w:tcPr>
            <w:tcW w:w="665" w:type="pct"/>
            <w:tcBorders>
              <w:tl2br w:val="nil"/>
              <w:tr2bl w:val="nil"/>
            </w:tcBorders>
            <w:noWrap w:val="0"/>
            <w:vAlign w:val="center"/>
          </w:tcPr>
          <w:p w14:paraId="44DC823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150</w:t>
            </w:r>
          </w:p>
        </w:tc>
        <w:tc>
          <w:tcPr>
            <w:tcW w:w="640" w:type="pct"/>
            <w:tcBorders>
              <w:tl2br w:val="nil"/>
              <w:tr2bl w:val="nil"/>
            </w:tcBorders>
            <w:noWrap w:val="0"/>
            <w:vAlign w:val="center"/>
          </w:tcPr>
          <w:p w14:paraId="04880EA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8.7</w:t>
            </w:r>
          </w:p>
        </w:tc>
        <w:tc>
          <w:tcPr>
            <w:tcW w:w="383" w:type="pct"/>
            <w:tcBorders>
              <w:tl2br w:val="nil"/>
              <w:tr2bl w:val="nil"/>
            </w:tcBorders>
            <w:noWrap w:val="0"/>
            <w:vAlign w:val="center"/>
          </w:tcPr>
          <w:p w14:paraId="08578D0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402" w:type="pct"/>
            <w:tcBorders>
              <w:tl2br w:val="nil"/>
              <w:tr2bl w:val="nil"/>
            </w:tcBorders>
            <w:noWrap w:val="0"/>
            <w:vAlign w:val="center"/>
          </w:tcPr>
          <w:p w14:paraId="16907188">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val="zh-CN"/>
              </w:rPr>
            </w:pPr>
            <w:r>
              <w:rPr>
                <w:rFonts w:hint="eastAsia" w:ascii="Times New Roman" w:hAnsi="Times New Roman" w:eastAsia="宋体"/>
                <w:b w:val="0"/>
                <w:color w:val="auto"/>
                <w:sz w:val="21"/>
                <w:lang w:val="zh-CN"/>
              </w:rPr>
              <w:t>达标</w:t>
            </w:r>
          </w:p>
        </w:tc>
      </w:tr>
    </w:tbl>
    <w:p w14:paraId="05BCE28E">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（3）评价方法</w:t>
      </w:r>
    </w:p>
    <w:p w14:paraId="31A6E87E">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采用最大浓度占标率法评价大气污染物在评价区域内的环境质量现状，计算公式如下：</w:t>
      </w:r>
    </w:p>
    <w:p w14:paraId="22208735">
      <w:pPr>
        <w:widowControl w:val="0"/>
        <w:shd w:val="clear"/>
        <w:kinsoku/>
        <w:autoSpaceDE/>
        <w:autoSpaceDN/>
        <w:adjustRightInd/>
        <w:snapToGrid/>
        <w:spacing w:line="360" w:lineRule="auto"/>
        <w:jc w:val="center"/>
        <w:textAlignment w:val="auto"/>
        <w:rPr>
          <w:rFonts w:ascii="Times New Roman" w:hAnsi="Times New Roman" w:eastAsia="宋体" w:cs="Times New Roman"/>
          <w:snapToGrid/>
          <w:color w:val="auto"/>
          <w:sz w:val="24"/>
          <w:szCs w:val="20"/>
          <w:lang w:eastAsia="zh-CN"/>
        </w:rPr>
      </w:pPr>
      <w:r>
        <w:rPr>
          <w:rFonts w:ascii="Times New Roman" w:hAnsi="Times New Roman" w:eastAsia="宋体" w:cs="宋体"/>
          <w:snapToGrid/>
          <w:color w:val="auto"/>
          <w:sz w:val="24"/>
          <w:lang w:eastAsia="zh-CN"/>
        </w:rPr>
        <w:object>
          <v:shape id="_x0000_i1026" o:spt="75" type="#_x0000_t75" style="height:36pt;width:88.15pt;" o:ole="t" filled="f" o:preferrelative="t" stroked="f" coordsize="21600,21600">
            <v:path/>
            <v:fill on="f" focussize="0,0"/>
            <v:stroke on="f" joinstyle="miter"/>
            <v:imagedata r:id="rId63" o:title=""/>
            <o:lock v:ext="edit" aspectratio="t"/>
            <w10:wrap type="none"/>
            <w10:anchorlock/>
          </v:shape>
          <o:OLEObject Type="Embed" ProgID="Equation.AxMath" ShapeID="_x0000_i1026" DrawAspect="Content" ObjectID="_1468075726" r:id="rId62">
            <o:LockedField>false</o:LockedField>
          </o:OLEObject>
        </w:object>
      </w:r>
    </w:p>
    <w:p w14:paraId="21970EAA">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式中：P</w:t>
      </w:r>
      <w:r>
        <w:rPr>
          <w:rFonts w:hint="eastAsia" w:ascii="Times New Roman" w:hAnsi="Times New Roman" w:eastAsia="宋体" w:cs="Times New Roman"/>
          <w:snapToGrid/>
          <w:color w:val="auto"/>
          <w:sz w:val="24"/>
          <w:szCs w:val="20"/>
          <w:vertAlign w:val="subscript"/>
          <w:lang w:eastAsia="zh-CN"/>
        </w:rPr>
        <w:t>i</w:t>
      </w:r>
      <w:r>
        <w:rPr>
          <w:rFonts w:hint="eastAsia" w:ascii="Times New Roman" w:hAnsi="Times New Roman" w:eastAsia="宋体" w:cs="Times New Roman"/>
          <w:snapToGrid/>
          <w:color w:val="auto"/>
          <w:sz w:val="24"/>
          <w:szCs w:val="20"/>
          <w:lang w:eastAsia="zh-CN"/>
        </w:rPr>
        <w:t>——污染物i的单项污染指数，%；</w:t>
      </w:r>
    </w:p>
    <w:p w14:paraId="1645EAFF">
      <w:pPr>
        <w:widowControl w:val="0"/>
        <w:shd w:val="clear"/>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C</w:t>
      </w:r>
      <w:r>
        <w:rPr>
          <w:rFonts w:hint="eastAsia" w:ascii="Times New Roman" w:hAnsi="Times New Roman" w:eastAsia="宋体" w:cs="Times New Roman"/>
          <w:snapToGrid/>
          <w:color w:val="auto"/>
          <w:sz w:val="24"/>
          <w:szCs w:val="20"/>
          <w:vertAlign w:val="subscript"/>
          <w:lang w:eastAsia="zh-CN"/>
        </w:rPr>
        <w:t>i</w:t>
      </w:r>
      <w:r>
        <w:rPr>
          <w:rFonts w:hint="eastAsia" w:ascii="Times New Roman" w:hAnsi="Times New Roman" w:eastAsia="宋体" w:cs="Times New Roman"/>
          <w:snapToGrid/>
          <w:color w:val="auto"/>
          <w:sz w:val="24"/>
          <w:szCs w:val="20"/>
          <w:lang w:eastAsia="zh-CN"/>
        </w:rPr>
        <w:t>——污染物i的平均浓度值，</w:t>
      </w:r>
      <w:r>
        <w:rPr>
          <w:rFonts w:ascii="Times New Roman" w:hAnsi="Times New Roman" w:eastAsia="宋体" w:cs="Times New Roman"/>
          <w:snapToGrid/>
          <w:color w:val="auto"/>
          <w:sz w:val="24"/>
          <w:szCs w:val="20"/>
          <w:lang w:eastAsia="zh-CN"/>
        </w:rPr>
        <w:t>μg/m</w:t>
      </w:r>
      <w:r>
        <w:rPr>
          <w:rFonts w:ascii="Times New Roman" w:hAnsi="Times New Roman" w:eastAsia="宋体" w:cs="Times New Roman"/>
          <w:snapToGrid/>
          <w:color w:val="auto"/>
          <w:sz w:val="24"/>
          <w:szCs w:val="20"/>
          <w:vertAlign w:val="superscript"/>
          <w:lang w:eastAsia="zh-CN"/>
        </w:rPr>
        <w:t>3</w:t>
      </w:r>
      <w:r>
        <w:rPr>
          <w:rFonts w:hint="eastAsia" w:ascii="Times New Roman" w:hAnsi="Times New Roman" w:eastAsia="宋体" w:cs="Times New Roman"/>
          <w:snapToGrid/>
          <w:color w:val="auto"/>
          <w:sz w:val="24"/>
          <w:szCs w:val="20"/>
          <w:lang w:eastAsia="zh-CN"/>
        </w:rPr>
        <w:t>；</w:t>
      </w:r>
    </w:p>
    <w:p w14:paraId="04237649">
      <w:pPr>
        <w:widowControl w:val="0"/>
        <w:shd w:val="clear"/>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C</w:t>
      </w:r>
      <w:r>
        <w:rPr>
          <w:rFonts w:hint="eastAsia" w:ascii="Times New Roman" w:hAnsi="Times New Roman" w:eastAsia="宋体" w:cs="Times New Roman"/>
          <w:snapToGrid/>
          <w:color w:val="auto"/>
          <w:sz w:val="24"/>
          <w:szCs w:val="20"/>
          <w:vertAlign w:val="subscript"/>
          <w:lang w:eastAsia="zh-CN"/>
        </w:rPr>
        <w:t>0i</w:t>
      </w:r>
      <w:r>
        <w:rPr>
          <w:rFonts w:hint="eastAsia" w:ascii="Times New Roman" w:hAnsi="Times New Roman" w:eastAsia="宋体" w:cs="Times New Roman"/>
          <w:snapToGrid/>
          <w:color w:val="auto"/>
          <w:sz w:val="24"/>
          <w:szCs w:val="20"/>
          <w:lang w:eastAsia="zh-CN"/>
        </w:rPr>
        <w:t>——污染物i的环境空气质量浓度标准，</w:t>
      </w:r>
      <w:r>
        <w:rPr>
          <w:rFonts w:ascii="Times New Roman" w:hAnsi="Times New Roman" w:eastAsia="宋体" w:cs="Times New Roman"/>
          <w:snapToGrid/>
          <w:color w:val="auto"/>
          <w:sz w:val="24"/>
          <w:szCs w:val="20"/>
          <w:lang w:eastAsia="zh-CN"/>
        </w:rPr>
        <w:t>μg/m</w:t>
      </w:r>
      <w:r>
        <w:rPr>
          <w:rFonts w:ascii="Times New Roman" w:hAnsi="Times New Roman" w:eastAsia="宋体" w:cs="Times New Roman"/>
          <w:snapToGrid/>
          <w:color w:val="auto"/>
          <w:sz w:val="24"/>
          <w:szCs w:val="20"/>
          <w:vertAlign w:val="superscript"/>
          <w:lang w:eastAsia="zh-CN"/>
        </w:rPr>
        <w:t>3</w:t>
      </w:r>
      <w:r>
        <w:rPr>
          <w:rFonts w:hint="eastAsia" w:ascii="Times New Roman" w:hAnsi="Times New Roman" w:eastAsia="宋体" w:cs="Times New Roman"/>
          <w:snapToGrid/>
          <w:color w:val="auto"/>
          <w:sz w:val="24"/>
          <w:szCs w:val="20"/>
          <w:lang w:eastAsia="zh-CN"/>
        </w:rPr>
        <w:t>。</w:t>
      </w:r>
    </w:p>
    <w:p w14:paraId="6A619CF0">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当P</w:t>
      </w:r>
      <w:r>
        <w:rPr>
          <w:rFonts w:hint="eastAsia" w:ascii="Times New Roman" w:hAnsi="Times New Roman" w:eastAsia="宋体" w:cs="Times New Roman"/>
          <w:snapToGrid/>
          <w:color w:val="auto"/>
          <w:sz w:val="24"/>
          <w:szCs w:val="20"/>
          <w:vertAlign w:val="subscript"/>
          <w:lang w:eastAsia="zh-CN"/>
        </w:rPr>
        <w:t>i</w:t>
      </w:r>
      <w:r>
        <w:rPr>
          <w:rFonts w:hint="eastAsia" w:ascii="Times New Roman" w:hAnsi="Times New Roman" w:eastAsia="宋体" w:cs="Times New Roman"/>
          <w:snapToGrid/>
          <w:color w:val="auto"/>
          <w:sz w:val="24"/>
          <w:szCs w:val="20"/>
          <w:lang w:eastAsia="zh-CN"/>
        </w:rPr>
        <w:t>≥1时，说明环境中i污染物含量超过标准值，当P</w:t>
      </w:r>
      <w:r>
        <w:rPr>
          <w:rFonts w:hint="eastAsia" w:ascii="Times New Roman" w:hAnsi="Times New Roman" w:eastAsia="宋体" w:cs="Times New Roman"/>
          <w:snapToGrid/>
          <w:color w:val="auto"/>
          <w:sz w:val="24"/>
          <w:szCs w:val="20"/>
          <w:vertAlign w:val="subscript"/>
          <w:lang w:eastAsia="zh-CN"/>
        </w:rPr>
        <w:t>i</w:t>
      </w:r>
      <w:r>
        <w:rPr>
          <w:rFonts w:hint="eastAsia" w:ascii="Times New Roman" w:hAnsi="Times New Roman" w:eastAsia="宋体" w:cs="Times New Roman"/>
          <w:snapToGrid/>
          <w:color w:val="auto"/>
          <w:sz w:val="24"/>
          <w:szCs w:val="20"/>
          <w:lang w:eastAsia="zh-CN"/>
        </w:rPr>
        <w:t>&lt;1时，则说明i污染物符合标准。某污染物的P</w:t>
      </w:r>
      <w:r>
        <w:rPr>
          <w:rFonts w:hint="eastAsia" w:ascii="Times New Roman" w:hAnsi="Times New Roman" w:eastAsia="宋体" w:cs="Times New Roman"/>
          <w:snapToGrid/>
          <w:color w:val="auto"/>
          <w:sz w:val="24"/>
          <w:szCs w:val="20"/>
          <w:vertAlign w:val="subscript"/>
          <w:lang w:eastAsia="zh-CN"/>
        </w:rPr>
        <w:t>i</w:t>
      </w:r>
      <w:r>
        <w:rPr>
          <w:rFonts w:hint="eastAsia" w:ascii="Times New Roman" w:hAnsi="Times New Roman" w:eastAsia="宋体" w:cs="Times New Roman"/>
          <w:snapToGrid/>
          <w:color w:val="auto"/>
          <w:sz w:val="24"/>
          <w:szCs w:val="20"/>
          <w:lang w:eastAsia="zh-CN"/>
        </w:rPr>
        <w:t>值越大，则污染相对越严重。</w:t>
      </w:r>
    </w:p>
    <w:p w14:paraId="4C319774">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eastAsia" w:ascii="Times New Roman" w:hAnsi="Times New Roman" w:eastAsia="宋体" w:cs="Times New Roman"/>
          <w:snapToGrid/>
          <w:color w:val="auto"/>
          <w:sz w:val="24"/>
          <w:szCs w:val="20"/>
          <w:lang w:eastAsia="zh-CN"/>
        </w:rPr>
        <w:t>（4）评价结果统计</w:t>
      </w:r>
    </w:p>
    <w:p w14:paraId="5E0FA31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snapToGrid/>
          <w:color w:val="auto"/>
          <w:sz w:val="24"/>
          <w:szCs w:val="20"/>
          <w:lang w:eastAsia="zh-CN"/>
        </w:rPr>
      </w:pPr>
      <w:r>
        <w:rPr>
          <w:rFonts w:hint="eastAsia" w:ascii="Times New Roman" w:hAnsi="Times New Roman" w:eastAsia="宋体" w:cs="Times New Roman"/>
          <w:snapToGrid/>
          <w:color w:val="auto"/>
          <w:sz w:val="24"/>
          <w:szCs w:val="24"/>
          <w:lang w:eastAsia="zh-CN"/>
        </w:rPr>
        <w:t>基本污染物：引用木垒哈萨克自治县环境监测站SO</w:t>
      </w:r>
      <w:r>
        <w:rPr>
          <w:rFonts w:hint="eastAsia" w:ascii="Times New Roman" w:hAnsi="Times New Roman" w:eastAsia="宋体" w:cs="Times New Roman"/>
          <w:snapToGrid/>
          <w:color w:val="auto"/>
          <w:sz w:val="24"/>
          <w:szCs w:val="24"/>
          <w:vertAlign w:val="subscript"/>
          <w:lang w:eastAsia="zh-CN"/>
        </w:rPr>
        <w:t>2</w:t>
      </w:r>
      <w:r>
        <w:rPr>
          <w:rFonts w:hint="eastAsia" w:ascii="Times New Roman" w:hAnsi="Times New Roman" w:eastAsia="宋体" w:cs="Times New Roman"/>
          <w:snapToGrid/>
          <w:color w:val="auto"/>
          <w:sz w:val="24"/>
          <w:szCs w:val="24"/>
          <w:lang w:eastAsia="zh-CN"/>
        </w:rPr>
        <w:t>、NO</w:t>
      </w:r>
      <w:r>
        <w:rPr>
          <w:rFonts w:hint="eastAsia" w:ascii="Times New Roman" w:hAnsi="Times New Roman" w:eastAsia="宋体" w:cs="Times New Roman"/>
          <w:snapToGrid/>
          <w:color w:val="auto"/>
          <w:sz w:val="24"/>
          <w:szCs w:val="24"/>
          <w:vertAlign w:val="subscript"/>
          <w:lang w:eastAsia="zh-CN"/>
        </w:rPr>
        <w:t>2</w:t>
      </w:r>
      <w:r>
        <w:rPr>
          <w:rFonts w:hint="eastAsia" w:ascii="Times New Roman" w:hAnsi="Times New Roman" w:eastAsia="宋体" w:cs="Times New Roman"/>
          <w:snapToGrid/>
          <w:color w:val="auto"/>
          <w:sz w:val="24"/>
          <w:szCs w:val="24"/>
          <w:lang w:eastAsia="zh-CN"/>
        </w:rPr>
        <w:t>、PM</w:t>
      </w:r>
      <w:r>
        <w:rPr>
          <w:rFonts w:hint="eastAsia" w:ascii="Times New Roman" w:hAnsi="Times New Roman" w:eastAsia="宋体" w:cs="Times New Roman"/>
          <w:snapToGrid/>
          <w:color w:val="auto"/>
          <w:sz w:val="24"/>
          <w:szCs w:val="24"/>
          <w:vertAlign w:val="subscript"/>
          <w:lang w:eastAsia="zh-CN"/>
        </w:rPr>
        <w:t>10</w:t>
      </w:r>
      <w:r>
        <w:rPr>
          <w:rFonts w:hint="eastAsia" w:ascii="Times New Roman" w:hAnsi="Times New Roman" w:eastAsia="宋体" w:cs="Times New Roman"/>
          <w:snapToGrid/>
          <w:color w:val="auto"/>
          <w:sz w:val="24"/>
          <w:szCs w:val="24"/>
          <w:lang w:eastAsia="zh-CN"/>
        </w:rPr>
        <w:t>、PM</w:t>
      </w:r>
      <w:r>
        <w:rPr>
          <w:rFonts w:hint="eastAsia" w:ascii="Times New Roman" w:hAnsi="Times New Roman" w:eastAsia="宋体" w:cs="Times New Roman"/>
          <w:snapToGrid/>
          <w:color w:val="auto"/>
          <w:sz w:val="24"/>
          <w:szCs w:val="24"/>
          <w:vertAlign w:val="subscript"/>
          <w:lang w:eastAsia="zh-CN"/>
        </w:rPr>
        <w:t>2.5</w:t>
      </w:r>
      <w:r>
        <w:rPr>
          <w:rFonts w:hint="eastAsia" w:ascii="Times New Roman" w:hAnsi="Times New Roman" w:eastAsia="宋体" w:cs="Times New Roman"/>
          <w:snapToGrid/>
          <w:color w:val="auto"/>
          <w:sz w:val="24"/>
          <w:szCs w:val="24"/>
          <w:lang w:eastAsia="zh-CN"/>
        </w:rPr>
        <w:t>、CO、O</w:t>
      </w:r>
      <w:r>
        <w:rPr>
          <w:rFonts w:hint="eastAsia" w:ascii="Times New Roman" w:hAnsi="Times New Roman" w:eastAsia="宋体" w:cs="Times New Roman"/>
          <w:snapToGrid/>
          <w:color w:val="auto"/>
          <w:sz w:val="24"/>
          <w:szCs w:val="24"/>
          <w:vertAlign w:val="subscript"/>
          <w:lang w:eastAsia="zh-CN"/>
        </w:rPr>
        <w:t>3</w:t>
      </w:r>
      <w:r>
        <w:rPr>
          <w:rFonts w:hint="eastAsia" w:ascii="Times New Roman" w:hAnsi="Times New Roman" w:eastAsia="宋体" w:cs="Times New Roman"/>
          <w:snapToGrid/>
          <w:color w:val="auto"/>
          <w:sz w:val="24"/>
          <w:szCs w:val="24"/>
          <w:lang w:eastAsia="zh-CN"/>
        </w:rPr>
        <w:t>六项基本污染物2023年的环境质量数据。</w:t>
      </w:r>
    </w:p>
    <w:p w14:paraId="487E2A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color w:val="auto"/>
          <w:sz w:val="24"/>
          <w:szCs w:val="20"/>
          <w:lang w:eastAsia="zh-CN"/>
        </w:rPr>
      </w:pPr>
      <w:r>
        <w:rPr>
          <w:rFonts w:hint="default" w:ascii="Times New Roman" w:hAnsi="Times New Roman" w:eastAsia="宋体" w:cs="Times New Roman"/>
          <w:snapToGrid/>
          <w:color w:val="auto"/>
          <w:sz w:val="24"/>
          <w:szCs w:val="20"/>
          <w:lang w:val="en-US" w:eastAsia="zh-CN"/>
        </w:rPr>
        <w:t>根据《环境影响评价技术导则 大气环境》（HJ 2.2-2018）要求，PM</w:t>
      </w:r>
      <w:r>
        <w:rPr>
          <w:rFonts w:hint="default" w:ascii="Times New Roman" w:hAnsi="Times New Roman" w:eastAsia="宋体" w:cs="Times New Roman"/>
          <w:snapToGrid/>
          <w:color w:val="auto"/>
          <w:sz w:val="24"/>
          <w:szCs w:val="20"/>
          <w:vertAlign w:val="subscript"/>
          <w:lang w:val="en-US" w:eastAsia="zh-CN"/>
        </w:rPr>
        <w:t>10</w:t>
      </w:r>
      <w:r>
        <w:rPr>
          <w:rFonts w:hint="default" w:ascii="Times New Roman" w:hAnsi="Times New Roman" w:eastAsia="宋体" w:cs="Times New Roman"/>
          <w:snapToGrid/>
          <w:color w:val="auto"/>
          <w:sz w:val="24"/>
          <w:szCs w:val="20"/>
          <w:lang w:val="en-US" w:eastAsia="zh-CN"/>
        </w:rPr>
        <w:t>、PM</w:t>
      </w:r>
      <w:r>
        <w:rPr>
          <w:rFonts w:hint="default" w:ascii="Times New Roman" w:hAnsi="Times New Roman" w:eastAsia="宋体" w:cs="Times New Roman"/>
          <w:snapToGrid/>
          <w:color w:val="auto"/>
          <w:sz w:val="24"/>
          <w:szCs w:val="20"/>
          <w:vertAlign w:val="subscript"/>
          <w:lang w:val="en-US" w:eastAsia="zh-CN"/>
        </w:rPr>
        <w:t>2.5</w:t>
      </w:r>
      <w:r>
        <w:rPr>
          <w:rFonts w:hint="default" w:ascii="Times New Roman" w:hAnsi="Times New Roman" w:eastAsia="宋体" w:cs="Times New Roman"/>
          <w:snapToGrid/>
          <w:color w:val="auto"/>
          <w:sz w:val="24"/>
          <w:szCs w:val="20"/>
          <w:lang w:val="en-US" w:eastAsia="zh-CN"/>
        </w:rPr>
        <w:t>、SO</w:t>
      </w:r>
      <w:r>
        <w:rPr>
          <w:rFonts w:hint="default" w:ascii="Times New Roman" w:hAnsi="Times New Roman" w:eastAsia="宋体" w:cs="Times New Roman"/>
          <w:snapToGrid/>
          <w:color w:val="auto"/>
          <w:sz w:val="24"/>
          <w:szCs w:val="20"/>
          <w:vertAlign w:val="subscript"/>
          <w:lang w:val="en-US" w:eastAsia="zh-CN"/>
        </w:rPr>
        <w:t>2</w:t>
      </w:r>
      <w:r>
        <w:rPr>
          <w:rFonts w:hint="default" w:ascii="Times New Roman" w:hAnsi="Times New Roman" w:eastAsia="宋体" w:cs="Times New Roman"/>
          <w:snapToGrid/>
          <w:color w:val="auto"/>
          <w:sz w:val="24"/>
          <w:szCs w:val="20"/>
          <w:lang w:val="en-US" w:eastAsia="zh-CN"/>
        </w:rPr>
        <w:t>、NO</w:t>
      </w:r>
      <w:r>
        <w:rPr>
          <w:rFonts w:hint="default" w:ascii="Times New Roman" w:hAnsi="Times New Roman" w:eastAsia="宋体" w:cs="Times New Roman"/>
          <w:snapToGrid/>
          <w:color w:val="auto"/>
          <w:sz w:val="24"/>
          <w:szCs w:val="20"/>
          <w:vertAlign w:val="subscript"/>
          <w:lang w:val="en-US" w:eastAsia="zh-CN"/>
        </w:rPr>
        <w:t>2</w:t>
      </w:r>
      <w:r>
        <w:rPr>
          <w:rFonts w:hint="default" w:ascii="Times New Roman" w:hAnsi="Times New Roman" w:eastAsia="宋体" w:cs="Times New Roman"/>
          <w:snapToGrid/>
          <w:color w:val="auto"/>
          <w:sz w:val="24"/>
          <w:szCs w:val="20"/>
          <w:lang w:val="en-US" w:eastAsia="zh-CN"/>
        </w:rPr>
        <w:t>、CO、O</w:t>
      </w:r>
      <w:r>
        <w:rPr>
          <w:rFonts w:hint="default" w:ascii="Times New Roman" w:hAnsi="Times New Roman" w:eastAsia="宋体" w:cs="Times New Roman"/>
          <w:snapToGrid/>
          <w:color w:val="auto"/>
          <w:sz w:val="24"/>
          <w:szCs w:val="20"/>
          <w:vertAlign w:val="subscript"/>
          <w:lang w:val="en-US" w:eastAsia="zh-CN"/>
        </w:rPr>
        <w:t>3</w:t>
      </w:r>
      <w:r>
        <w:rPr>
          <w:rFonts w:hint="default" w:ascii="Times New Roman" w:hAnsi="Times New Roman" w:eastAsia="宋体" w:cs="Times New Roman"/>
          <w:snapToGrid/>
          <w:color w:val="auto"/>
          <w:sz w:val="24"/>
          <w:szCs w:val="20"/>
          <w:lang w:val="en-US" w:eastAsia="zh-CN"/>
        </w:rPr>
        <w:t>六项全部达标即为城市环境空气质量达标，</w:t>
      </w:r>
      <w:r>
        <w:rPr>
          <w:rFonts w:hint="eastAsia" w:ascii="Times New Roman" w:hAnsi="Times New Roman" w:eastAsia="宋体" w:cs="Times New Roman"/>
          <w:snapToGrid/>
          <w:color w:val="auto"/>
          <w:sz w:val="24"/>
          <w:szCs w:val="20"/>
          <w:lang w:eastAsia="zh-CN"/>
        </w:rPr>
        <w:t>由表4.2-1可知，</w:t>
      </w:r>
      <w:r>
        <w:rPr>
          <w:rFonts w:hint="default" w:ascii="Times New Roman" w:hAnsi="Times New Roman" w:eastAsia="宋体" w:cs="Times New Roman"/>
          <w:snapToGrid/>
          <w:color w:val="auto"/>
          <w:sz w:val="24"/>
          <w:szCs w:val="20"/>
          <w:lang w:val="en-US" w:eastAsia="zh-CN"/>
        </w:rPr>
        <w:t>项目所在区域为达标区</w:t>
      </w:r>
      <w:r>
        <w:rPr>
          <w:rFonts w:ascii="Times New Roman" w:hAnsi="Times New Roman" w:eastAsia="宋体" w:cs="Times New Roman"/>
          <w:snapToGrid/>
          <w:color w:val="auto"/>
          <w:sz w:val="24"/>
          <w:szCs w:val="20"/>
          <w:lang w:eastAsia="zh-CN"/>
        </w:rPr>
        <w:t>。</w:t>
      </w:r>
    </w:p>
    <w:p w14:paraId="3137AC09">
      <w:pPr>
        <w:pStyle w:val="7"/>
        <w:widowControl w:val="0"/>
        <w:shd w:val="clear"/>
        <w:kinsoku/>
        <w:autoSpaceDE/>
        <w:autoSpaceDN/>
        <w:adjustRightInd/>
        <w:snapToGrid/>
        <w:spacing w:line="360" w:lineRule="auto"/>
        <w:ind w:firstLine="482" w:firstLineChars="200"/>
        <w:jc w:val="both"/>
        <w:textAlignment w:val="auto"/>
        <w:rPr>
          <w:b/>
          <w:bCs/>
          <w:color w:val="auto"/>
          <w:sz w:val="24"/>
          <w:lang w:val="en-US" w:eastAsia="zh-CN"/>
        </w:rPr>
      </w:pPr>
      <w:r>
        <w:rPr>
          <w:rFonts w:hint="eastAsia" w:ascii="Times New Roman" w:hAnsi="Times New Roman" w:eastAsia="宋体"/>
          <w:b/>
          <w:bCs/>
          <w:color w:val="auto"/>
          <w:sz w:val="24"/>
          <w:lang w:val="en-US" w:eastAsia="zh-CN"/>
        </w:rPr>
        <w:t>4.1.1.2其他污染物监测结果及评价</w:t>
      </w:r>
    </w:p>
    <w:p w14:paraId="2AC2991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（1）监测点布设</w:t>
      </w:r>
    </w:p>
    <w:p w14:paraId="57B3059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根据《环境影响评价技术导则大气环境》（HJ2.2－2018）中相关要求，结合本项目所在区域地形特点及当地气象特征，本项目环境空气质量现状调查采用实测的方法，本项目评价实测监测点位位于项目区</w:t>
      </w:r>
      <w:r>
        <w:rPr>
          <w:rFonts w:hint="eastAsia" w:ascii="Times New Roman" w:hAnsi="Times New Roman"/>
          <w:snapToGrid/>
          <w:color w:val="auto"/>
          <w:sz w:val="24"/>
          <w:szCs w:val="24"/>
          <w:lang w:eastAsia="zh-CN"/>
        </w:rPr>
        <w:t>下风向</w:t>
      </w:r>
      <w:r>
        <w:rPr>
          <w:rFonts w:ascii="Times New Roman" w:hAnsi="Times New Roman"/>
          <w:snapToGrid/>
          <w:color w:val="auto"/>
          <w:sz w:val="24"/>
          <w:szCs w:val="24"/>
          <w:lang w:eastAsia="zh-CN"/>
        </w:rPr>
        <w:t>，在</w:t>
      </w:r>
      <w:r>
        <w:rPr>
          <w:rFonts w:hint="eastAsia" w:ascii="Times New Roman" w:hAnsi="Times New Roman"/>
          <w:snapToGrid/>
          <w:color w:val="auto"/>
          <w:sz w:val="24"/>
          <w:szCs w:val="24"/>
          <w:lang w:val="en-US" w:eastAsia="zh-CN"/>
        </w:rPr>
        <w:t>项目区下风向</w:t>
      </w:r>
      <w:r>
        <w:rPr>
          <w:rFonts w:ascii="Times New Roman" w:hAnsi="Times New Roman"/>
          <w:snapToGrid/>
          <w:color w:val="auto"/>
          <w:sz w:val="24"/>
          <w:szCs w:val="24"/>
          <w:lang w:eastAsia="zh-CN"/>
        </w:rPr>
        <w:t>布设</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个监测点，对TSP、非甲烷总烃进行了监测。详见图</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-1监测点位图。</w:t>
      </w:r>
    </w:p>
    <w:p w14:paraId="6CE98000">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2</w:t>
      </w:r>
      <w:r>
        <w:rPr>
          <w:rFonts w:ascii="Times New Roman" w:hAnsi="Times New Roman"/>
          <w:b/>
          <w:bCs/>
          <w:snapToGrid/>
          <w:color w:val="auto"/>
          <w:sz w:val="24"/>
          <w:lang w:eastAsia="zh-CN"/>
        </w:rPr>
        <w:t>其他污染物监测点位基本情况</w:t>
      </w:r>
    </w:p>
    <w:p w14:paraId="456E7B7A">
      <w:pPr>
        <w:widowControl w:val="0"/>
        <w:shd w:val="clear"/>
        <w:kinsoku/>
        <w:autoSpaceDE/>
        <w:autoSpaceDN/>
        <w:adjustRightInd/>
        <w:snapToGrid/>
        <w:spacing w:line="25" w:lineRule="exact"/>
        <w:textAlignment w:val="auto"/>
        <w:rPr>
          <w:rFonts w:ascii="Times New Roman" w:hAnsi="Times New Roman" w:eastAsia="宋体"/>
          <w:snapToGrid/>
          <w:color w:val="auto"/>
          <w:lang w:eastAsia="zh-CN"/>
        </w:r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896"/>
        <w:gridCol w:w="2549"/>
        <w:gridCol w:w="1174"/>
        <w:gridCol w:w="1599"/>
        <w:gridCol w:w="899"/>
        <w:gridCol w:w="957"/>
      </w:tblGrid>
      <w:tr w14:paraId="1A44B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noWrap w:val="0"/>
            <w:vAlign w:val="center"/>
          </w:tcPr>
          <w:p w14:paraId="4C325E6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color w:val="auto"/>
                <w:sz w:val="21"/>
              </w:rPr>
            </w:pPr>
            <w:r>
              <w:rPr>
                <w:rFonts w:hint="eastAsia" w:ascii="Times New Roman" w:hAnsi="Times New Roman" w:eastAsia="宋体"/>
                <w:b/>
                <w:bCs/>
                <w:color w:val="auto"/>
                <w:sz w:val="21"/>
              </w:rPr>
              <w:t>序号</w:t>
            </w:r>
          </w:p>
        </w:tc>
        <w:tc>
          <w:tcPr>
            <w:tcW w:w="0" w:type="auto"/>
            <w:tcBorders>
              <w:tl2br w:val="nil"/>
              <w:tr2bl w:val="nil"/>
            </w:tcBorders>
            <w:noWrap w:val="0"/>
            <w:vAlign w:val="center"/>
          </w:tcPr>
          <w:p w14:paraId="2998EBB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sz w:val="21"/>
                <w:lang w:eastAsia="zh-CN"/>
              </w:rPr>
            </w:pPr>
            <w:r>
              <w:rPr>
                <w:rFonts w:hint="eastAsia" w:ascii="Times New Roman" w:hAnsi="Times New Roman" w:eastAsia="宋体"/>
                <w:b/>
                <w:bCs/>
                <w:color w:val="auto"/>
                <w:sz w:val="21"/>
                <w:lang w:eastAsia="zh-CN"/>
              </w:rPr>
              <w:t>监测点位</w:t>
            </w:r>
          </w:p>
        </w:tc>
        <w:tc>
          <w:tcPr>
            <w:tcW w:w="0" w:type="auto"/>
            <w:tcBorders>
              <w:tl2br w:val="nil"/>
              <w:tr2bl w:val="nil"/>
            </w:tcBorders>
            <w:noWrap w:val="0"/>
            <w:vAlign w:val="center"/>
          </w:tcPr>
          <w:p w14:paraId="46D8497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sz w:val="21"/>
                <w:lang w:eastAsia="zh-CN"/>
              </w:rPr>
            </w:pPr>
            <w:r>
              <w:rPr>
                <w:rFonts w:hint="eastAsia" w:ascii="Times New Roman" w:hAnsi="Times New Roman" w:eastAsia="宋体"/>
                <w:b/>
                <w:bCs/>
                <w:color w:val="auto"/>
                <w:sz w:val="21"/>
                <w:lang w:eastAsia="zh-CN"/>
              </w:rPr>
              <w:t>坐标</w:t>
            </w:r>
          </w:p>
        </w:tc>
        <w:tc>
          <w:tcPr>
            <w:tcW w:w="0" w:type="auto"/>
            <w:tcBorders>
              <w:tl2br w:val="nil"/>
              <w:tr2bl w:val="nil"/>
            </w:tcBorders>
            <w:noWrap w:val="0"/>
            <w:vAlign w:val="center"/>
          </w:tcPr>
          <w:p w14:paraId="07B4907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color w:val="auto"/>
                <w:sz w:val="21"/>
              </w:rPr>
            </w:pPr>
            <w:r>
              <w:rPr>
                <w:rFonts w:hint="eastAsia" w:ascii="Times New Roman" w:hAnsi="Times New Roman" w:eastAsia="宋体"/>
                <w:b/>
                <w:bCs/>
                <w:color w:val="auto"/>
                <w:sz w:val="21"/>
              </w:rPr>
              <w:t>监测项目</w:t>
            </w:r>
          </w:p>
        </w:tc>
        <w:tc>
          <w:tcPr>
            <w:tcW w:w="0" w:type="auto"/>
            <w:tcBorders>
              <w:tl2br w:val="nil"/>
              <w:tr2bl w:val="nil"/>
            </w:tcBorders>
            <w:noWrap w:val="0"/>
            <w:vAlign w:val="center"/>
          </w:tcPr>
          <w:p w14:paraId="689AC91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sz w:val="21"/>
                <w:lang w:eastAsia="zh-CN"/>
              </w:rPr>
            </w:pPr>
            <w:r>
              <w:rPr>
                <w:rFonts w:hint="eastAsia" w:ascii="Times New Roman" w:hAnsi="Times New Roman" w:eastAsia="宋体"/>
                <w:b/>
                <w:bCs/>
                <w:color w:val="auto"/>
                <w:sz w:val="21"/>
                <w:lang w:eastAsia="zh-CN"/>
              </w:rPr>
              <w:t>监测时段</w:t>
            </w:r>
          </w:p>
        </w:tc>
        <w:tc>
          <w:tcPr>
            <w:tcW w:w="0" w:type="auto"/>
            <w:tcBorders>
              <w:tl2br w:val="nil"/>
              <w:tr2bl w:val="nil"/>
            </w:tcBorders>
            <w:noWrap w:val="0"/>
            <w:vAlign w:val="center"/>
          </w:tcPr>
          <w:p w14:paraId="6F69F41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sz w:val="21"/>
                <w:lang w:eastAsia="zh-CN"/>
              </w:rPr>
            </w:pPr>
            <w:r>
              <w:rPr>
                <w:rFonts w:hint="eastAsia" w:ascii="Times New Roman" w:hAnsi="Times New Roman" w:eastAsia="宋体"/>
                <w:b/>
                <w:bCs/>
                <w:color w:val="auto"/>
                <w:sz w:val="21"/>
                <w:lang w:eastAsia="zh-CN"/>
              </w:rPr>
              <w:t>相对厂址方位</w:t>
            </w:r>
          </w:p>
        </w:tc>
        <w:tc>
          <w:tcPr>
            <w:tcW w:w="0" w:type="auto"/>
            <w:tcBorders>
              <w:tl2br w:val="nil"/>
              <w:tr2bl w:val="nil"/>
            </w:tcBorders>
            <w:noWrap w:val="0"/>
            <w:vAlign w:val="center"/>
          </w:tcPr>
          <w:p w14:paraId="2286063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sz w:val="21"/>
                <w:lang w:eastAsia="zh-CN"/>
              </w:rPr>
            </w:pPr>
            <w:r>
              <w:rPr>
                <w:rFonts w:hint="eastAsia" w:ascii="Times New Roman" w:hAnsi="Times New Roman" w:eastAsia="宋体"/>
                <w:b/>
                <w:bCs/>
                <w:color w:val="auto"/>
                <w:sz w:val="21"/>
                <w:lang w:eastAsia="zh-CN"/>
              </w:rPr>
              <w:t>相对厂界距离</w:t>
            </w:r>
          </w:p>
        </w:tc>
      </w:tr>
      <w:tr w14:paraId="7AFC3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noWrap w:val="0"/>
            <w:vAlign w:val="center"/>
          </w:tcPr>
          <w:p w14:paraId="5D361E0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val="0"/>
                <w:color w:val="auto"/>
                <w:sz w:val="21"/>
              </w:rPr>
            </w:pPr>
            <w:r>
              <w:rPr>
                <w:rFonts w:ascii="Times New Roman" w:hAnsi="Times New Roman" w:eastAsia="宋体"/>
                <w:b w:val="0"/>
                <w:color w:val="auto"/>
                <w:sz w:val="21"/>
              </w:rPr>
              <w:t>1</w:t>
            </w:r>
          </w:p>
        </w:tc>
        <w:tc>
          <w:tcPr>
            <w:tcW w:w="0" w:type="auto"/>
            <w:tcBorders>
              <w:tl2br w:val="nil"/>
              <w:tr2bl w:val="nil"/>
            </w:tcBorders>
            <w:noWrap w:val="0"/>
            <w:vAlign w:val="center"/>
          </w:tcPr>
          <w:p w14:paraId="1676E89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eastAsia="zh-CN"/>
              </w:rPr>
              <w:t>项目区</w:t>
            </w:r>
            <w:r>
              <w:rPr>
                <w:rFonts w:hint="eastAsia" w:ascii="Times New Roman" w:hAnsi="Times New Roman" w:eastAsia="宋体"/>
                <w:b w:val="0"/>
                <w:color w:val="auto"/>
                <w:sz w:val="21"/>
                <w:lang w:val="en-US" w:eastAsia="zh-CN"/>
              </w:rPr>
              <w:t>下风向</w:t>
            </w:r>
          </w:p>
        </w:tc>
        <w:tc>
          <w:tcPr>
            <w:tcW w:w="0" w:type="auto"/>
            <w:tcBorders>
              <w:tl2br w:val="nil"/>
              <w:tr2bl w:val="nil"/>
            </w:tcBorders>
            <w:noWrap w:val="0"/>
            <w:vAlign w:val="center"/>
          </w:tcPr>
          <w:p w14:paraId="00F26B7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rPr>
            </w:pPr>
            <w:r>
              <w:rPr>
                <w:rFonts w:hint="default" w:ascii="Times New Roman" w:hAnsi="Times New Roman" w:eastAsia="宋体"/>
                <w:b w:val="0"/>
                <w:color w:val="auto"/>
                <w:sz w:val="21"/>
                <w:lang w:val="en-US" w:eastAsia="zh-CN"/>
              </w:rPr>
              <w:t>东经90°7′11.79867″北纬44°6′15.11289″</w:t>
            </w:r>
          </w:p>
        </w:tc>
        <w:tc>
          <w:tcPr>
            <w:tcW w:w="0" w:type="auto"/>
            <w:tcBorders>
              <w:tl2br w:val="nil"/>
              <w:tr2bl w:val="nil"/>
            </w:tcBorders>
            <w:noWrap w:val="0"/>
            <w:vAlign w:val="center"/>
          </w:tcPr>
          <w:p w14:paraId="0AE7E69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rPr>
              <w:t>非甲烷总烃</w:t>
            </w:r>
            <w:r>
              <w:rPr>
                <w:rFonts w:hint="eastAsia" w:ascii="Times New Roman" w:hAnsi="Times New Roman" w:eastAsia="宋体"/>
                <w:b w:val="0"/>
                <w:color w:val="auto"/>
                <w:sz w:val="21"/>
                <w:lang w:eastAsia="zh-CN"/>
              </w:rPr>
              <w:t>、</w:t>
            </w:r>
            <w:r>
              <w:rPr>
                <w:rFonts w:hint="eastAsia" w:ascii="Times New Roman" w:hAnsi="Times New Roman" w:eastAsia="宋体"/>
                <w:b w:val="0"/>
                <w:color w:val="auto"/>
                <w:sz w:val="21"/>
                <w:lang w:val="en-US" w:eastAsia="zh-CN"/>
              </w:rPr>
              <w:t>TSP</w:t>
            </w:r>
          </w:p>
        </w:tc>
        <w:tc>
          <w:tcPr>
            <w:tcW w:w="0" w:type="auto"/>
            <w:tcBorders>
              <w:tl2br w:val="nil"/>
              <w:tr2bl w:val="nil"/>
            </w:tcBorders>
            <w:noWrap w:val="0"/>
            <w:vAlign w:val="center"/>
          </w:tcPr>
          <w:p w14:paraId="05A3F3D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rPr>
              <w:t>2</w:t>
            </w:r>
            <w:r>
              <w:rPr>
                <w:rFonts w:hint="eastAsia" w:ascii="Times New Roman" w:hAnsi="Times New Roman" w:eastAsia="宋体"/>
                <w:b w:val="0"/>
                <w:color w:val="auto"/>
                <w:sz w:val="21"/>
                <w:lang w:eastAsia="zh-CN"/>
              </w:rPr>
              <w:t>024</w:t>
            </w:r>
            <w:r>
              <w:rPr>
                <w:rFonts w:hint="eastAsia" w:ascii="Times New Roman" w:hAnsi="Times New Roman" w:eastAsia="宋体"/>
                <w:b w:val="0"/>
                <w:color w:val="auto"/>
                <w:sz w:val="21"/>
              </w:rPr>
              <w:t>年</w:t>
            </w:r>
            <w:r>
              <w:rPr>
                <w:rFonts w:hint="eastAsia" w:ascii="Times New Roman" w:hAnsi="Times New Roman" w:eastAsia="宋体"/>
                <w:b w:val="0"/>
                <w:color w:val="auto"/>
                <w:sz w:val="21"/>
                <w:lang w:eastAsia="zh-CN"/>
              </w:rPr>
              <w:t>8</w:t>
            </w:r>
            <w:r>
              <w:rPr>
                <w:rFonts w:hint="eastAsia" w:ascii="Times New Roman" w:hAnsi="Times New Roman" w:eastAsia="宋体"/>
                <w:b w:val="0"/>
                <w:color w:val="auto"/>
                <w:sz w:val="21"/>
              </w:rPr>
              <w:t>月</w:t>
            </w:r>
            <w:r>
              <w:rPr>
                <w:rFonts w:hint="eastAsia" w:ascii="Times New Roman" w:hAnsi="Times New Roman" w:eastAsia="宋体"/>
                <w:b w:val="0"/>
                <w:color w:val="auto"/>
                <w:sz w:val="21"/>
                <w:lang w:eastAsia="zh-CN"/>
              </w:rPr>
              <w:t>6</w:t>
            </w:r>
            <w:r>
              <w:rPr>
                <w:rFonts w:hint="eastAsia" w:ascii="Times New Roman" w:hAnsi="Times New Roman" w:eastAsia="宋体"/>
                <w:b w:val="0"/>
                <w:color w:val="auto"/>
                <w:sz w:val="21"/>
              </w:rPr>
              <w:t>日</w:t>
            </w:r>
            <w:r>
              <w:rPr>
                <w:rFonts w:hint="eastAsia" w:ascii="Times New Roman" w:hAnsi="Times New Roman" w:eastAsia="宋体"/>
                <w:b w:val="0"/>
                <w:color w:val="auto"/>
                <w:sz w:val="21"/>
                <w:lang w:eastAsia="zh-CN"/>
              </w:rPr>
              <w:t>—8</w:t>
            </w:r>
            <w:r>
              <w:rPr>
                <w:rFonts w:hint="eastAsia" w:ascii="Times New Roman" w:hAnsi="Times New Roman" w:eastAsia="宋体"/>
                <w:b w:val="0"/>
                <w:color w:val="auto"/>
                <w:sz w:val="21"/>
              </w:rPr>
              <w:t>月</w:t>
            </w:r>
            <w:r>
              <w:rPr>
                <w:rFonts w:hint="eastAsia" w:ascii="Times New Roman" w:hAnsi="Times New Roman" w:eastAsia="宋体"/>
                <w:b w:val="0"/>
                <w:color w:val="auto"/>
                <w:sz w:val="21"/>
                <w:lang w:eastAsia="zh-CN"/>
              </w:rPr>
              <w:t>13</w:t>
            </w:r>
            <w:r>
              <w:rPr>
                <w:rFonts w:hint="eastAsia" w:ascii="Times New Roman" w:hAnsi="Times New Roman" w:eastAsia="宋体"/>
                <w:b w:val="0"/>
                <w:color w:val="auto"/>
                <w:sz w:val="21"/>
              </w:rPr>
              <w:t>日</w:t>
            </w:r>
          </w:p>
        </w:tc>
        <w:tc>
          <w:tcPr>
            <w:tcW w:w="0" w:type="auto"/>
            <w:tcBorders>
              <w:tl2br w:val="nil"/>
              <w:tr2bl w:val="nil"/>
            </w:tcBorders>
            <w:noWrap w:val="0"/>
            <w:vAlign w:val="center"/>
          </w:tcPr>
          <w:p w14:paraId="325A9FC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b w:val="0"/>
                <w:color w:val="auto"/>
                <w:sz w:val="21"/>
                <w:lang w:eastAsia="zh-CN"/>
              </w:rPr>
            </w:pPr>
            <w:r>
              <w:rPr>
                <w:rFonts w:hint="eastAsia" w:ascii="Times New Roman" w:hAnsi="Times New Roman" w:eastAsia="宋体"/>
                <w:b w:val="0"/>
                <w:color w:val="auto"/>
                <w:sz w:val="21"/>
                <w:lang w:val="en-US" w:eastAsia="zh-CN"/>
              </w:rPr>
              <w:t>西南</w:t>
            </w:r>
          </w:p>
        </w:tc>
        <w:tc>
          <w:tcPr>
            <w:tcW w:w="0" w:type="auto"/>
            <w:tcBorders>
              <w:tl2br w:val="nil"/>
              <w:tr2bl w:val="nil"/>
            </w:tcBorders>
            <w:noWrap w:val="0"/>
            <w:vAlign w:val="center"/>
          </w:tcPr>
          <w:p w14:paraId="3697176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200</w:t>
            </w:r>
          </w:p>
        </w:tc>
      </w:tr>
    </w:tbl>
    <w:p w14:paraId="0F1F475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（2）监测项目及分析方法</w:t>
      </w:r>
    </w:p>
    <w:p w14:paraId="27910B1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本次评价环境空气补充监测因子选取TSP、非甲烷总烃。环境空气采样及分析方法均根据原国家环保总局颁布的《空气和废气监测分析方法</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环境监测技术规范》中的有关规定执行。环境空气监测项目分析方法见表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3</w:t>
      </w:r>
      <w:r>
        <w:rPr>
          <w:rFonts w:ascii="Times New Roman" w:hAnsi="Times New Roman"/>
          <w:snapToGrid/>
          <w:color w:val="auto"/>
          <w:sz w:val="24"/>
          <w:szCs w:val="24"/>
          <w:lang w:eastAsia="zh-CN"/>
        </w:rPr>
        <w:t>。</w:t>
      </w:r>
    </w:p>
    <w:p w14:paraId="42409733">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3</w:t>
      </w:r>
      <w:r>
        <w:rPr>
          <w:rFonts w:ascii="Times New Roman" w:hAnsi="Times New Roman"/>
          <w:b/>
          <w:bCs/>
          <w:snapToGrid/>
          <w:color w:val="auto"/>
          <w:sz w:val="24"/>
          <w:lang w:eastAsia="zh-CN"/>
        </w:rPr>
        <w:t>环境空气监测项目分析方法</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01"/>
        <w:gridCol w:w="2735"/>
        <w:gridCol w:w="1889"/>
        <w:gridCol w:w="2381"/>
      </w:tblGrid>
      <w:tr w14:paraId="4727E6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833" w:type="pct"/>
            <w:tcBorders>
              <w:tl2br w:val="nil"/>
              <w:tr2bl w:val="nil"/>
            </w:tcBorders>
            <w:vAlign w:val="center"/>
          </w:tcPr>
          <w:p w14:paraId="35A2BDA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名称</w:t>
            </w:r>
          </w:p>
        </w:tc>
        <w:tc>
          <w:tcPr>
            <w:tcW w:w="1626" w:type="pct"/>
            <w:tcBorders>
              <w:tl2br w:val="nil"/>
              <w:tr2bl w:val="nil"/>
            </w:tcBorders>
            <w:vAlign w:val="center"/>
          </w:tcPr>
          <w:p w14:paraId="0B2718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分析方法</w:t>
            </w:r>
          </w:p>
        </w:tc>
        <w:tc>
          <w:tcPr>
            <w:tcW w:w="1123" w:type="pct"/>
            <w:tcBorders>
              <w:tl2br w:val="nil"/>
              <w:tr2bl w:val="nil"/>
            </w:tcBorders>
            <w:vAlign w:val="center"/>
          </w:tcPr>
          <w:p w14:paraId="138E57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标准号</w:t>
            </w:r>
          </w:p>
        </w:tc>
        <w:tc>
          <w:tcPr>
            <w:tcW w:w="1416" w:type="pct"/>
            <w:tcBorders>
              <w:tl2br w:val="nil"/>
              <w:tr2bl w:val="nil"/>
            </w:tcBorders>
            <w:vAlign w:val="center"/>
          </w:tcPr>
          <w:p w14:paraId="735ADA2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检出限</w:t>
            </w:r>
          </w:p>
        </w:tc>
      </w:tr>
      <w:tr w14:paraId="21E9DE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833" w:type="pct"/>
            <w:tcBorders>
              <w:tl2br w:val="nil"/>
              <w:tr2bl w:val="nil"/>
            </w:tcBorders>
            <w:vAlign w:val="center"/>
          </w:tcPr>
          <w:p w14:paraId="3E9FF90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TSP</w:t>
            </w:r>
          </w:p>
        </w:tc>
        <w:tc>
          <w:tcPr>
            <w:tcW w:w="1626" w:type="pct"/>
            <w:tcBorders>
              <w:tl2br w:val="nil"/>
              <w:tr2bl w:val="nil"/>
            </w:tcBorders>
            <w:vAlign w:val="center"/>
          </w:tcPr>
          <w:p w14:paraId="26DE4D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环境空气总悬浮颗粒物的测定重量法</w:t>
            </w:r>
          </w:p>
        </w:tc>
        <w:tc>
          <w:tcPr>
            <w:tcW w:w="1123" w:type="pct"/>
            <w:tcBorders>
              <w:tl2br w:val="nil"/>
              <w:tr2bl w:val="nil"/>
            </w:tcBorders>
            <w:vAlign w:val="center"/>
          </w:tcPr>
          <w:p w14:paraId="504C45E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HJ1263-2022</w:t>
            </w:r>
          </w:p>
        </w:tc>
        <w:tc>
          <w:tcPr>
            <w:tcW w:w="1416" w:type="pct"/>
            <w:tcBorders>
              <w:tl2br w:val="nil"/>
              <w:tr2bl w:val="nil"/>
            </w:tcBorders>
            <w:vAlign w:val="center"/>
          </w:tcPr>
          <w:p w14:paraId="18E99AED">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snapToGrid/>
                <w:color w:val="auto"/>
              </w:rPr>
              <w:t>7µg/m</w:t>
            </w:r>
            <w:r>
              <w:rPr>
                <w:rFonts w:eastAsia="宋体"/>
                <w:snapToGrid/>
                <w:color w:val="auto"/>
                <w:szCs w:val="13"/>
                <w:vertAlign w:val="superscript"/>
              </w:rPr>
              <w:t>3</w:t>
            </w:r>
          </w:p>
        </w:tc>
      </w:tr>
      <w:tr w14:paraId="42E5D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4" w:hRule="atLeast"/>
          <w:jc w:val="center"/>
        </w:trPr>
        <w:tc>
          <w:tcPr>
            <w:tcW w:w="833" w:type="pct"/>
            <w:tcBorders>
              <w:tl2br w:val="nil"/>
              <w:tr2bl w:val="nil"/>
            </w:tcBorders>
            <w:vAlign w:val="center"/>
          </w:tcPr>
          <w:p w14:paraId="648A732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626" w:type="pct"/>
            <w:tcBorders>
              <w:tl2br w:val="nil"/>
              <w:tr2bl w:val="nil"/>
            </w:tcBorders>
            <w:vAlign w:val="center"/>
          </w:tcPr>
          <w:p w14:paraId="3A8C43F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环境空气总烃、甲烷和非甲烷总烃的测定直接进样</w:t>
            </w:r>
            <w:r>
              <w:rPr>
                <w:rFonts w:ascii="Times New Roman" w:hAnsi="Times New Roman" w:eastAsia="宋体"/>
                <w:snapToGrid/>
                <w:color w:val="auto"/>
                <w:lang w:eastAsia="zh-CN"/>
              </w:rPr>
              <w:t>-</w:t>
            </w:r>
            <w:r>
              <w:rPr>
                <w:rFonts w:ascii="Times New Roman" w:hAnsi="Times New Roman" w:eastAsia="宋体" w:cs="宋体"/>
                <w:snapToGrid/>
                <w:color w:val="auto"/>
                <w:lang w:eastAsia="zh-CN"/>
              </w:rPr>
              <w:t>气相色谱法</w:t>
            </w:r>
          </w:p>
        </w:tc>
        <w:tc>
          <w:tcPr>
            <w:tcW w:w="1123" w:type="pct"/>
            <w:tcBorders>
              <w:tl2br w:val="nil"/>
              <w:tr2bl w:val="nil"/>
            </w:tcBorders>
            <w:vAlign w:val="center"/>
          </w:tcPr>
          <w:p w14:paraId="102C1DA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HJ604-2017</w:t>
            </w:r>
          </w:p>
        </w:tc>
        <w:tc>
          <w:tcPr>
            <w:tcW w:w="1416" w:type="pct"/>
            <w:tcBorders>
              <w:tl2br w:val="nil"/>
              <w:tr2bl w:val="nil"/>
            </w:tcBorders>
            <w:vAlign w:val="center"/>
          </w:tcPr>
          <w:p w14:paraId="6C95F3B5">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eastAsia="宋体"/>
                <w:snapToGrid/>
                <w:color w:val="auto"/>
              </w:rPr>
              <w:t>0.07mg/m</w:t>
            </w:r>
            <w:r>
              <w:rPr>
                <w:rFonts w:eastAsia="宋体"/>
                <w:snapToGrid/>
                <w:color w:val="auto"/>
                <w:szCs w:val="13"/>
                <w:vertAlign w:val="superscript"/>
              </w:rPr>
              <w:t>3</w:t>
            </w:r>
          </w:p>
        </w:tc>
      </w:tr>
    </w:tbl>
    <w:p w14:paraId="1C00CC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（3）监测时间及频率</w:t>
      </w:r>
    </w:p>
    <w:p w14:paraId="21848E7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特征因子：TSP监测时间为</w:t>
      </w:r>
      <w:r>
        <w:rPr>
          <w:rFonts w:hint="eastAsia" w:ascii="Times New Roman" w:hAnsi="Times New Roman"/>
          <w:snapToGrid/>
          <w:color w:val="auto"/>
          <w:sz w:val="24"/>
          <w:szCs w:val="24"/>
          <w:lang w:eastAsia="zh-CN"/>
        </w:rPr>
        <w:t>2024</w:t>
      </w:r>
      <w:r>
        <w:rPr>
          <w:rFonts w:ascii="Times New Roman" w:hAnsi="Times New Roman"/>
          <w:snapToGrid/>
          <w:color w:val="auto"/>
          <w:sz w:val="24"/>
          <w:szCs w:val="24"/>
          <w:lang w:eastAsia="zh-CN"/>
        </w:rPr>
        <w:t>年</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日</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13</w:t>
      </w:r>
      <w:r>
        <w:rPr>
          <w:rFonts w:ascii="Times New Roman" w:hAnsi="Times New Roman"/>
          <w:snapToGrid/>
          <w:color w:val="auto"/>
          <w:sz w:val="24"/>
          <w:szCs w:val="24"/>
          <w:lang w:eastAsia="zh-CN"/>
        </w:rPr>
        <w:t>日，共监测7天；</w:t>
      </w:r>
    </w:p>
    <w:p w14:paraId="7243EA9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非甲烷总烃监测时间为</w:t>
      </w:r>
      <w:r>
        <w:rPr>
          <w:rFonts w:hint="eastAsia" w:ascii="Times New Roman" w:hAnsi="Times New Roman"/>
          <w:snapToGrid/>
          <w:color w:val="auto"/>
          <w:sz w:val="24"/>
          <w:szCs w:val="24"/>
          <w:lang w:eastAsia="zh-CN"/>
        </w:rPr>
        <w:t>2024</w:t>
      </w:r>
      <w:r>
        <w:rPr>
          <w:rFonts w:ascii="Times New Roman" w:hAnsi="Times New Roman"/>
          <w:snapToGrid/>
          <w:color w:val="auto"/>
          <w:sz w:val="24"/>
          <w:szCs w:val="24"/>
          <w:lang w:eastAsia="zh-CN"/>
        </w:rPr>
        <w:t>年</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日</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13</w:t>
      </w:r>
      <w:r>
        <w:rPr>
          <w:rFonts w:ascii="Times New Roman" w:hAnsi="Times New Roman"/>
          <w:snapToGrid/>
          <w:color w:val="auto"/>
          <w:sz w:val="24"/>
          <w:szCs w:val="24"/>
          <w:lang w:eastAsia="zh-CN"/>
        </w:rPr>
        <w:t>日，共监测7天。</w:t>
      </w:r>
    </w:p>
    <w:p w14:paraId="6F4A9BC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（3）监测结果统计与评价</w:t>
      </w:r>
    </w:p>
    <w:p w14:paraId="1250CA0C">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4</w:t>
      </w:r>
      <w:r>
        <w:rPr>
          <w:rFonts w:ascii="Times New Roman" w:hAnsi="Times New Roman"/>
          <w:b/>
          <w:bCs/>
          <w:snapToGrid/>
          <w:color w:val="auto"/>
          <w:sz w:val="24"/>
          <w:lang w:eastAsia="zh-CN"/>
        </w:rPr>
        <w:t>其他污染物环境质量现状监测与评价</w:t>
      </w: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8"/>
        <w:gridCol w:w="1743"/>
        <w:gridCol w:w="540"/>
        <w:gridCol w:w="1286"/>
        <w:gridCol w:w="1013"/>
        <w:gridCol w:w="1426"/>
        <w:gridCol w:w="962"/>
        <w:gridCol w:w="585"/>
        <w:gridCol w:w="521"/>
      </w:tblGrid>
      <w:tr w14:paraId="7901D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226" w:type="pct"/>
            <w:tcBorders>
              <w:tl2br w:val="nil"/>
              <w:tr2bl w:val="nil"/>
            </w:tcBorders>
            <w:vAlign w:val="center"/>
          </w:tcPr>
          <w:p w14:paraId="2B3507A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监测点位</w:t>
            </w:r>
          </w:p>
        </w:tc>
        <w:tc>
          <w:tcPr>
            <w:tcW w:w="826" w:type="pct"/>
            <w:tcBorders>
              <w:tl2br w:val="nil"/>
              <w:tr2bl w:val="nil"/>
            </w:tcBorders>
            <w:vAlign w:val="center"/>
          </w:tcPr>
          <w:p w14:paraId="213A446F">
            <w:pPr>
              <w:widowControl w:val="0"/>
              <w:shd w:val="clear"/>
              <w:kinsoku/>
              <w:autoSpaceDE/>
              <w:autoSpaceDN/>
              <w:adjustRightInd/>
              <w:snapToGrid/>
              <w:spacing w:line="360" w:lineRule="auto"/>
              <w:jc w:val="center"/>
              <w:textAlignment w:val="auto"/>
              <w:rPr>
                <w:rFonts w:hint="default" w:ascii="Times New Roman" w:hAnsi="Times New Roman" w:eastAsia="宋体" w:cs="宋体"/>
                <w:b/>
                <w:bCs/>
                <w:snapToGrid/>
                <w:color w:val="auto"/>
                <w:lang w:val="en-US" w:eastAsia="zh-CN"/>
              </w:rPr>
            </w:pPr>
            <w:r>
              <w:rPr>
                <w:rFonts w:hint="eastAsia" w:ascii="Times New Roman" w:hAnsi="Times New Roman" w:eastAsia="宋体" w:cs="宋体"/>
                <w:b/>
                <w:bCs/>
                <w:snapToGrid/>
                <w:color w:val="auto"/>
                <w:lang w:val="en-US" w:eastAsia="zh-CN"/>
              </w:rPr>
              <w:t>监测坐标</w:t>
            </w:r>
          </w:p>
        </w:tc>
        <w:tc>
          <w:tcPr>
            <w:tcW w:w="352" w:type="pct"/>
            <w:tcBorders>
              <w:tl2br w:val="nil"/>
              <w:tr2bl w:val="nil"/>
            </w:tcBorders>
            <w:vAlign w:val="center"/>
          </w:tcPr>
          <w:p w14:paraId="562C15F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项目</w:t>
            </w:r>
          </w:p>
        </w:tc>
        <w:tc>
          <w:tcPr>
            <w:tcW w:w="795" w:type="pct"/>
            <w:tcBorders>
              <w:tl2br w:val="nil"/>
              <w:tr2bl w:val="nil"/>
            </w:tcBorders>
            <w:vAlign w:val="center"/>
          </w:tcPr>
          <w:p w14:paraId="3F3D7D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监测时间</w:t>
            </w:r>
          </w:p>
        </w:tc>
        <w:tc>
          <w:tcPr>
            <w:tcW w:w="598" w:type="pct"/>
            <w:tcBorders>
              <w:tl2br w:val="nil"/>
              <w:tr2bl w:val="nil"/>
            </w:tcBorders>
            <w:vAlign w:val="center"/>
          </w:tcPr>
          <w:p w14:paraId="78F617B0">
            <w:pPr>
              <w:pStyle w:val="37"/>
              <w:widowControl w:val="0"/>
              <w:shd w:val="clear"/>
              <w:kinsoku/>
              <w:autoSpaceDE/>
              <w:autoSpaceDN/>
              <w:adjustRightInd/>
              <w:snapToGrid/>
              <w:spacing w:line="360" w:lineRule="auto"/>
              <w:jc w:val="center"/>
              <w:textAlignment w:val="auto"/>
              <w:rPr>
                <w:rFonts w:eastAsia="宋体" w:cs="宋体"/>
                <w:b/>
                <w:bCs/>
                <w:snapToGrid/>
                <w:color w:val="auto"/>
              </w:rPr>
            </w:pPr>
            <w:r>
              <w:rPr>
                <w:rFonts w:eastAsia="宋体" w:cs="宋体"/>
                <w:b/>
                <w:bCs/>
                <w:snapToGrid/>
                <w:color w:val="auto"/>
              </w:rPr>
              <w:t>标准值（</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878" w:type="pct"/>
            <w:tcBorders>
              <w:tl2br w:val="nil"/>
              <w:tr2bl w:val="nil"/>
            </w:tcBorders>
            <w:vAlign w:val="center"/>
          </w:tcPr>
          <w:p w14:paraId="75C8ABD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浓度范围（</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602" w:type="pct"/>
            <w:tcBorders>
              <w:tl2br w:val="nil"/>
              <w:tr2bl w:val="nil"/>
            </w:tcBorders>
            <w:vAlign w:val="center"/>
          </w:tcPr>
          <w:p w14:paraId="774B67B1">
            <w:pPr>
              <w:pStyle w:val="37"/>
              <w:widowControl w:val="0"/>
              <w:shd w:val="clear"/>
              <w:kinsoku/>
              <w:autoSpaceDE/>
              <w:autoSpaceDN/>
              <w:adjustRightInd/>
              <w:snapToGrid/>
              <w:spacing w:line="360" w:lineRule="auto"/>
              <w:jc w:val="both"/>
              <w:textAlignment w:val="auto"/>
              <w:rPr>
                <w:rFonts w:hint="default" w:eastAsia="宋体" w:cs="宋体"/>
                <w:b/>
                <w:bCs/>
                <w:snapToGrid/>
                <w:color w:val="auto"/>
                <w:lang w:val="en-US" w:eastAsia="zh-CN"/>
              </w:rPr>
            </w:pPr>
            <w:r>
              <w:rPr>
                <w:rFonts w:hint="eastAsia" w:eastAsia="宋体" w:cs="宋体"/>
                <w:b/>
                <w:bCs/>
                <w:snapToGrid/>
                <w:color w:val="auto"/>
                <w:lang w:val="en-US" w:eastAsia="zh-CN"/>
              </w:rPr>
              <w:t>最大浓度占标率/%</w:t>
            </w:r>
          </w:p>
        </w:tc>
        <w:tc>
          <w:tcPr>
            <w:tcW w:w="378" w:type="pct"/>
            <w:tcBorders>
              <w:tl2br w:val="nil"/>
              <w:tr2bl w:val="nil"/>
            </w:tcBorders>
            <w:vAlign w:val="center"/>
          </w:tcPr>
          <w:p w14:paraId="775331AB">
            <w:pPr>
              <w:pStyle w:val="37"/>
              <w:widowControl w:val="0"/>
              <w:shd w:val="clear"/>
              <w:kinsoku/>
              <w:autoSpaceDE/>
              <w:autoSpaceDN/>
              <w:adjustRightInd/>
              <w:snapToGrid/>
              <w:spacing w:line="360" w:lineRule="auto"/>
              <w:jc w:val="center"/>
              <w:textAlignment w:val="auto"/>
              <w:rPr>
                <w:rFonts w:hint="default" w:eastAsia="宋体" w:cs="宋体"/>
                <w:b/>
                <w:bCs/>
                <w:snapToGrid/>
                <w:color w:val="auto"/>
                <w:lang w:val="en-US" w:eastAsia="zh-CN"/>
              </w:rPr>
            </w:pPr>
            <w:r>
              <w:rPr>
                <w:rFonts w:hint="eastAsia" w:eastAsia="宋体" w:cs="宋体"/>
                <w:b/>
                <w:bCs/>
                <w:snapToGrid/>
                <w:color w:val="auto"/>
                <w:lang w:val="en-US" w:eastAsia="zh-CN"/>
              </w:rPr>
              <w:t>超标率/%</w:t>
            </w:r>
          </w:p>
        </w:tc>
        <w:tc>
          <w:tcPr>
            <w:tcW w:w="340" w:type="pct"/>
            <w:tcBorders>
              <w:tl2br w:val="nil"/>
              <w:tr2bl w:val="nil"/>
            </w:tcBorders>
            <w:vAlign w:val="center"/>
          </w:tcPr>
          <w:p w14:paraId="5720C9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达标情况</w:t>
            </w:r>
          </w:p>
        </w:tc>
      </w:tr>
      <w:tr w14:paraId="18EC7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26" w:type="pct"/>
            <w:vMerge w:val="restart"/>
            <w:tcBorders>
              <w:tl2br w:val="nil"/>
              <w:tr2bl w:val="nil"/>
            </w:tcBorders>
            <w:vAlign w:val="center"/>
          </w:tcPr>
          <w:p w14:paraId="29C57913">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hint="eastAsia" w:eastAsia="宋体" w:cs="宋体"/>
                <w:snapToGrid/>
                <w:color w:val="auto"/>
                <w:lang w:eastAsia="zh-CN"/>
              </w:rPr>
              <w:t>1#</w:t>
            </w:r>
          </w:p>
        </w:tc>
        <w:tc>
          <w:tcPr>
            <w:tcW w:w="826" w:type="pct"/>
            <w:vMerge w:val="restart"/>
            <w:tcBorders>
              <w:tl2br w:val="nil"/>
              <w:tr2bl w:val="nil"/>
            </w:tcBorders>
            <w:vAlign w:val="center"/>
          </w:tcPr>
          <w:p w14:paraId="26BAD2C3">
            <w:pPr>
              <w:pStyle w:val="37"/>
              <w:widowControl w:val="0"/>
              <w:shd w:val="clear"/>
              <w:kinsoku/>
              <w:autoSpaceDE/>
              <w:autoSpaceDN/>
              <w:adjustRightInd/>
              <w:snapToGrid/>
              <w:spacing w:line="360" w:lineRule="auto"/>
              <w:jc w:val="center"/>
              <w:textAlignment w:val="auto"/>
              <w:rPr>
                <w:rFonts w:hint="eastAsia" w:eastAsia="宋体" w:cs="宋体"/>
                <w:snapToGrid/>
                <w:color w:val="auto"/>
                <w:lang w:eastAsia="zh-CN"/>
              </w:rPr>
            </w:pPr>
            <w:r>
              <w:rPr>
                <w:rFonts w:hint="eastAsia" w:eastAsia="宋体" w:cs="宋体"/>
                <w:snapToGrid/>
                <w:color w:val="auto"/>
                <w:lang w:val="en-US" w:eastAsia="zh-CN"/>
              </w:rPr>
              <w:t>东经90°7′11.79867″北纬44°6′15.11289″</w:t>
            </w:r>
          </w:p>
        </w:tc>
        <w:tc>
          <w:tcPr>
            <w:tcW w:w="352" w:type="pct"/>
            <w:vMerge w:val="restart"/>
            <w:tcBorders>
              <w:tl2br w:val="nil"/>
              <w:tr2bl w:val="nil"/>
            </w:tcBorders>
            <w:textDirection w:val="tbRlV"/>
            <w:vAlign w:val="center"/>
          </w:tcPr>
          <w:p w14:paraId="0948D52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795" w:type="pct"/>
            <w:vMerge w:val="restart"/>
            <w:tcBorders>
              <w:tl2br w:val="nil"/>
              <w:tr2bl w:val="nil"/>
            </w:tcBorders>
            <w:vAlign w:val="center"/>
          </w:tcPr>
          <w:p w14:paraId="7BB938D2">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rPr>
              <w:t>2024.08.06-2024.08.07</w:t>
            </w:r>
          </w:p>
        </w:tc>
        <w:tc>
          <w:tcPr>
            <w:tcW w:w="598" w:type="pct"/>
            <w:vMerge w:val="restart"/>
            <w:tcBorders>
              <w:tl2br w:val="nil"/>
              <w:tr2bl w:val="nil"/>
            </w:tcBorders>
            <w:vAlign w:val="center"/>
          </w:tcPr>
          <w:p w14:paraId="3985ACD7">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eastAsia="宋体"/>
                <w:snapToGrid/>
                <w:color w:val="auto"/>
              </w:rPr>
              <w:t>2</w:t>
            </w:r>
          </w:p>
        </w:tc>
        <w:tc>
          <w:tcPr>
            <w:tcW w:w="878" w:type="pct"/>
            <w:tcBorders>
              <w:tl2br w:val="nil"/>
              <w:tr2bl w:val="nil"/>
            </w:tcBorders>
            <w:vAlign w:val="center"/>
          </w:tcPr>
          <w:p w14:paraId="75BA0EC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0.61</w:t>
            </w:r>
          </w:p>
        </w:tc>
        <w:tc>
          <w:tcPr>
            <w:tcW w:w="602" w:type="pct"/>
            <w:tcBorders>
              <w:tl2br w:val="nil"/>
              <w:tr2bl w:val="nil"/>
            </w:tcBorders>
            <w:vAlign w:val="center"/>
          </w:tcPr>
          <w:p w14:paraId="34C7FFC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30.5</w:t>
            </w:r>
          </w:p>
        </w:tc>
        <w:tc>
          <w:tcPr>
            <w:tcW w:w="378" w:type="pct"/>
            <w:tcBorders>
              <w:tl2br w:val="nil"/>
              <w:tr2bl w:val="nil"/>
            </w:tcBorders>
            <w:vAlign w:val="center"/>
          </w:tcPr>
          <w:p w14:paraId="1B623D5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w:t>
            </w:r>
          </w:p>
        </w:tc>
        <w:tc>
          <w:tcPr>
            <w:tcW w:w="340" w:type="pct"/>
            <w:tcBorders>
              <w:tl2br w:val="nil"/>
              <w:tr2bl w:val="nil"/>
            </w:tcBorders>
            <w:vAlign w:val="center"/>
          </w:tcPr>
          <w:p w14:paraId="17AE68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54637E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26" w:type="pct"/>
            <w:vMerge w:val="continue"/>
            <w:tcBorders>
              <w:tl2br w:val="nil"/>
              <w:tr2bl w:val="nil"/>
            </w:tcBorders>
            <w:vAlign w:val="center"/>
          </w:tcPr>
          <w:p w14:paraId="393C5AAD">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826" w:type="pct"/>
            <w:vMerge w:val="continue"/>
            <w:tcBorders>
              <w:tl2br w:val="nil"/>
              <w:tr2bl w:val="nil"/>
            </w:tcBorders>
            <w:textDirection w:val="tbRlV"/>
            <w:vAlign w:val="center"/>
          </w:tcPr>
          <w:p w14:paraId="38329A64">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352" w:type="pct"/>
            <w:vMerge w:val="continue"/>
            <w:tcBorders>
              <w:tl2br w:val="nil"/>
              <w:tr2bl w:val="nil"/>
            </w:tcBorders>
            <w:textDirection w:val="tbRlV"/>
            <w:vAlign w:val="center"/>
          </w:tcPr>
          <w:p w14:paraId="1354AD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795" w:type="pct"/>
            <w:vMerge w:val="continue"/>
            <w:tcBorders>
              <w:tl2br w:val="nil"/>
              <w:tr2bl w:val="nil"/>
            </w:tcBorders>
            <w:vAlign w:val="center"/>
          </w:tcPr>
          <w:p w14:paraId="05B08853">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440543E7">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2EEE377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w:t>
            </w:r>
          </w:p>
        </w:tc>
        <w:tc>
          <w:tcPr>
            <w:tcW w:w="602" w:type="pct"/>
            <w:tcBorders>
              <w:tl2br w:val="nil"/>
              <w:tr2bl w:val="nil"/>
            </w:tcBorders>
            <w:vAlign w:val="center"/>
          </w:tcPr>
          <w:p w14:paraId="40C5B38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w:t>
            </w:r>
          </w:p>
        </w:tc>
        <w:tc>
          <w:tcPr>
            <w:tcW w:w="378" w:type="pct"/>
            <w:tcBorders>
              <w:tl2br w:val="nil"/>
              <w:tr2bl w:val="nil"/>
            </w:tcBorders>
            <w:vAlign w:val="center"/>
          </w:tcPr>
          <w:p w14:paraId="5F49EEA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w:t>
            </w:r>
          </w:p>
        </w:tc>
        <w:tc>
          <w:tcPr>
            <w:tcW w:w="340" w:type="pct"/>
            <w:tcBorders>
              <w:tl2br w:val="nil"/>
              <w:tr2bl w:val="nil"/>
            </w:tcBorders>
            <w:vAlign w:val="center"/>
          </w:tcPr>
          <w:p w14:paraId="2231F2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4A3352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26" w:type="pct"/>
            <w:vMerge w:val="continue"/>
            <w:tcBorders>
              <w:tl2br w:val="nil"/>
              <w:tr2bl w:val="nil"/>
            </w:tcBorders>
            <w:vAlign w:val="center"/>
          </w:tcPr>
          <w:p w14:paraId="515D52BE">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826" w:type="pct"/>
            <w:vMerge w:val="continue"/>
            <w:tcBorders>
              <w:tl2br w:val="nil"/>
              <w:tr2bl w:val="nil"/>
            </w:tcBorders>
            <w:textDirection w:val="tbRlV"/>
            <w:vAlign w:val="center"/>
          </w:tcPr>
          <w:p w14:paraId="6C88425B">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352" w:type="pct"/>
            <w:vMerge w:val="continue"/>
            <w:tcBorders>
              <w:tl2br w:val="nil"/>
              <w:tr2bl w:val="nil"/>
            </w:tcBorders>
            <w:textDirection w:val="tbRlV"/>
            <w:vAlign w:val="center"/>
          </w:tcPr>
          <w:p w14:paraId="08339C4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795" w:type="pct"/>
            <w:vMerge w:val="continue"/>
            <w:tcBorders>
              <w:tl2br w:val="nil"/>
              <w:tr2bl w:val="nil"/>
            </w:tcBorders>
            <w:vAlign w:val="center"/>
          </w:tcPr>
          <w:p w14:paraId="63E1DC2B">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2143FCF4">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7DBEF73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59F6D2F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0313E000">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540189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72E67B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26" w:type="pct"/>
            <w:vMerge w:val="continue"/>
            <w:tcBorders>
              <w:tl2br w:val="nil"/>
              <w:tr2bl w:val="nil"/>
            </w:tcBorders>
            <w:vAlign w:val="center"/>
          </w:tcPr>
          <w:p w14:paraId="5F21BFCF">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826" w:type="pct"/>
            <w:vMerge w:val="continue"/>
            <w:tcBorders>
              <w:tl2br w:val="nil"/>
              <w:tr2bl w:val="nil"/>
            </w:tcBorders>
            <w:textDirection w:val="tbRlV"/>
            <w:vAlign w:val="center"/>
          </w:tcPr>
          <w:p w14:paraId="300F6F86">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352" w:type="pct"/>
            <w:vMerge w:val="continue"/>
            <w:tcBorders>
              <w:tl2br w:val="nil"/>
              <w:tr2bl w:val="nil"/>
            </w:tcBorders>
            <w:textDirection w:val="tbRlV"/>
            <w:vAlign w:val="center"/>
          </w:tcPr>
          <w:p w14:paraId="099C9DF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795" w:type="pct"/>
            <w:vMerge w:val="continue"/>
            <w:tcBorders>
              <w:tl2br w:val="nil"/>
              <w:tr2bl w:val="nil"/>
            </w:tcBorders>
            <w:vAlign w:val="center"/>
          </w:tcPr>
          <w:p w14:paraId="27E3771D">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2564AA9A">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4B14794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0.62</w:t>
            </w:r>
          </w:p>
        </w:tc>
        <w:tc>
          <w:tcPr>
            <w:tcW w:w="602" w:type="pct"/>
            <w:tcBorders>
              <w:tl2br w:val="nil"/>
              <w:tr2bl w:val="nil"/>
            </w:tcBorders>
            <w:vAlign w:val="center"/>
          </w:tcPr>
          <w:p w14:paraId="75F730D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31</w:t>
            </w:r>
          </w:p>
        </w:tc>
        <w:tc>
          <w:tcPr>
            <w:tcW w:w="378" w:type="pct"/>
            <w:tcBorders>
              <w:tl2br w:val="nil"/>
              <w:tr2bl w:val="nil"/>
            </w:tcBorders>
            <w:vAlign w:val="center"/>
          </w:tcPr>
          <w:p w14:paraId="4DCA87D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8DD6BF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BECC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4A817F1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4A0F027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13FD4D5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77E592F9">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rPr>
              <w:t>2024.08.07-2024.08.08</w:t>
            </w:r>
          </w:p>
        </w:tc>
        <w:tc>
          <w:tcPr>
            <w:tcW w:w="598" w:type="pct"/>
            <w:vMerge w:val="continue"/>
            <w:tcBorders>
              <w:tl2br w:val="nil"/>
              <w:tr2bl w:val="nil"/>
            </w:tcBorders>
            <w:vAlign w:val="center"/>
          </w:tcPr>
          <w:p w14:paraId="64B9201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2AF5F1B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w:t>
            </w:r>
          </w:p>
        </w:tc>
        <w:tc>
          <w:tcPr>
            <w:tcW w:w="602" w:type="pct"/>
            <w:tcBorders>
              <w:tl2br w:val="nil"/>
              <w:tr2bl w:val="nil"/>
            </w:tcBorders>
            <w:vAlign w:val="center"/>
          </w:tcPr>
          <w:p w14:paraId="6FF83C3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w:t>
            </w:r>
          </w:p>
        </w:tc>
        <w:tc>
          <w:tcPr>
            <w:tcW w:w="378" w:type="pct"/>
            <w:tcBorders>
              <w:tl2br w:val="nil"/>
              <w:tr2bl w:val="nil"/>
            </w:tcBorders>
            <w:vAlign w:val="center"/>
          </w:tcPr>
          <w:p w14:paraId="1AE7E04A">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03CB4A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6933EF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0D10EA0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1AB3207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93AE3E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52DDC73">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5DCBAFEE">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7167387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0.55</w:t>
            </w:r>
          </w:p>
        </w:tc>
        <w:tc>
          <w:tcPr>
            <w:tcW w:w="602" w:type="pct"/>
            <w:tcBorders>
              <w:tl2br w:val="nil"/>
              <w:tr2bl w:val="nil"/>
            </w:tcBorders>
            <w:vAlign w:val="center"/>
          </w:tcPr>
          <w:p w14:paraId="794F8A0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27.5</w:t>
            </w:r>
          </w:p>
        </w:tc>
        <w:tc>
          <w:tcPr>
            <w:tcW w:w="378" w:type="pct"/>
            <w:tcBorders>
              <w:tl2br w:val="nil"/>
              <w:tr2bl w:val="nil"/>
            </w:tcBorders>
            <w:vAlign w:val="center"/>
          </w:tcPr>
          <w:p w14:paraId="166D3CFD">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6EA339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78F7C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3DFEA01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0D9F1D1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3FAB6AC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13DF342">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653FCBF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11352A9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3D47F97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676C0364">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7C316AF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293B2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184631A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56A654C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4652ED8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D44EEE2">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137023CA">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3BE8AD9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0.60</w:t>
            </w:r>
          </w:p>
        </w:tc>
        <w:tc>
          <w:tcPr>
            <w:tcW w:w="602" w:type="pct"/>
            <w:tcBorders>
              <w:tl2br w:val="nil"/>
              <w:tr2bl w:val="nil"/>
            </w:tcBorders>
            <w:vAlign w:val="center"/>
          </w:tcPr>
          <w:p w14:paraId="067F79D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30</w:t>
            </w:r>
          </w:p>
        </w:tc>
        <w:tc>
          <w:tcPr>
            <w:tcW w:w="378" w:type="pct"/>
            <w:tcBorders>
              <w:tl2br w:val="nil"/>
              <w:tr2bl w:val="nil"/>
            </w:tcBorders>
            <w:vAlign w:val="center"/>
          </w:tcPr>
          <w:p w14:paraId="12562175">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701F056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A958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7A9E1D5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220E00D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9E63E2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7699332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rPr>
              <w:t>2024.08.08-2024.08.09</w:t>
            </w:r>
          </w:p>
        </w:tc>
        <w:tc>
          <w:tcPr>
            <w:tcW w:w="598" w:type="pct"/>
            <w:vMerge w:val="continue"/>
            <w:tcBorders>
              <w:tl2br w:val="nil"/>
              <w:tr2bl w:val="nil"/>
            </w:tcBorders>
            <w:vAlign w:val="center"/>
          </w:tcPr>
          <w:p w14:paraId="7829A96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D1FA4D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713AC75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0D9DB22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7BC482A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64255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5B6C49C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75AC8C2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495E97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4D6B04CD">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54061ADD">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9DE163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w:t>
            </w:r>
          </w:p>
        </w:tc>
        <w:tc>
          <w:tcPr>
            <w:tcW w:w="602" w:type="pct"/>
            <w:tcBorders>
              <w:tl2br w:val="nil"/>
              <w:tr2bl w:val="nil"/>
            </w:tcBorders>
            <w:vAlign w:val="center"/>
          </w:tcPr>
          <w:p w14:paraId="5EF8965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w:t>
            </w:r>
          </w:p>
        </w:tc>
        <w:tc>
          <w:tcPr>
            <w:tcW w:w="378" w:type="pct"/>
            <w:tcBorders>
              <w:tl2br w:val="nil"/>
              <w:tr2bl w:val="nil"/>
            </w:tcBorders>
            <w:vAlign w:val="center"/>
          </w:tcPr>
          <w:p w14:paraId="74F2F528">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014E9D0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09320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619EBA2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94AF50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36B4F4A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01A1A54E">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10705CD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3FAAA0C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4BEE580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60D31B6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6526CE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731A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5197DA5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7C4EDEE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2AEA3B3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62F38D46">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1AD5379F">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488DE2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0.59</w:t>
            </w:r>
          </w:p>
        </w:tc>
        <w:tc>
          <w:tcPr>
            <w:tcW w:w="602" w:type="pct"/>
            <w:tcBorders>
              <w:tl2br w:val="nil"/>
              <w:tr2bl w:val="nil"/>
            </w:tcBorders>
            <w:vAlign w:val="center"/>
          </w:tcPr>
          <w:p w14:paraId="700BAC8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29.5</w:t>
            </w:r>
          </w:p>
        </w:tc>
        <w:tc>
          <w:tcPr>
            <w:tcW w:w="378" w:type="pct"/>
            <w:tcBorders>
              <w:tl2br w:val="nil"/>
              <w:tr2bl w:val="nil"/>
            </w:tcBorders>
            <w:vAlign w:val="center"/>
          </w:tcPr>
          <w:p w14:paraId="0B20767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6C2F9A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743134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70FD4BC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A1419B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2E6B77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1544D096">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cs="宋体"/>
                <w:snapToGrid/>
                <w:color w:val="auto"/>
              </w:rPr>
              <w:t>2024.08.09-2024.08.10</w:t>
            </w:r>
          </w:p>
        </w:tc>
        <w:tc>
          <w:tcPr>
            <w:tcW w:w="598" w:type="pct"/>
            <w:vMerge w:val="continue"/>
            <w:tcBorders>
              <w:tl2br w:val="nil"/>
              <w:tr2bl w:val="nil"/>
            </w:tcBorders>
            <w:vAlign w:val="center"/>
          </w:tcPr>
          <w:p w14:paraId="38DA298E">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CC373E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20F747E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61CD9427">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A2639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5D282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723B6A6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47B6FD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640F59A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09B97C01">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2BFDBDC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17B727D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w:t>
            </w:r>
          </w:p>
        </w:tc>
        <w:tc>
          <w:tcPr>
            <w:tcW w:w="602" w:type="pct"/>
            <w:tcBorders>
              <w:tl2br w:val="nil"/>
              <w:tr2bl w:val="nil"/>
            </w:tcBorders>
            <w:vAlign w:val="center"/>
          </w:tcPr>
          <w:p w14:paraId="09EE946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w:t>
            </w:r>
          </w:p>
        </w:tc>
        <w:tc>
          <w:tcPr>
            <w:tcW w:w="378" w:type="pct"/>
            <w:tcBorders>
              <w:tl2br w:val="nil"/>
              <w:tr2bl w:val="nil"/>
            </w:tcBorders>
            <w:vAlign w:val="center"/>
          </w:tcPr>
          <w:p w14:paraId="1C24FD6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1F3D8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65F6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276AF70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23EAB54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1C9DBE8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0278A8C">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664B5C9E">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079C16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0.57</w:t>
            </w:r>
          </w:p>
        </w:tc>
        <w:tc>
          <w:tcPr>
            <w:tcW w:w="602" w:type="pct"/>
            <w:tcBorders>
              <w:tl2br w:val="nil"/>
              <w:tr2bl w:val="nil"/>
            </w:tcBorders>
            <w:vAlign w:val="center"/>
          </w:tcPr>
          <w:p w14:paraId="6B9B747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28.5</w:t>
            </w:r>
          </w:p>
        </w:tc>
        <w:tc>
          <w:tcPr>
            <w:tcW w:w="378" w:type="pct"/>
            <w:tcBorders>
              <w:tl2br w:val="nil"/>
              <w:tr2bl w:val="nil"/>
            </w:tcBorders>
            <w:vAlign w:val="center"/>
          </w:tcPr>
          <w:p w14:paraId="4D615D3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AB4AB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0529A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429664F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0B2F1C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5FD72ED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76ECA78">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6ADEAF5E">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6840F2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w:t>
            </w:r>
          </w:p>
        </w:tc>
        <w:tc>
          <w:tcPr>
            <w:tcW w:w="602" w:type="pct"/>
            <w:tcBorders>
              <w:tl2br w:val="nil"/>
              <w:tr2bl w:val="nil"/>
            </w:tcBorders>
            <w:vAlign w:val="center"/>
          </w:tcPr>
          <w:p w14:paraId="777394D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w:t>
            </w:r>
          </w:p>
        </w:tc>
        <w:tc>
          <w:tcPr>
            <w:tcW w:w="378" w:type="pct"/>
            <w:tcBorders>
              <w:tl2br w:val="nil"/>
              <w:tr2bl w:val="nil"/>
            </w:tcBorders>
            <w:vAlign w:val="center"/>
          </w:tcPr>
          <w:p w14:paraId="1B794E4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474F4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21A68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164DF57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8C9E07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34CA472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5630589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cs="宋体"/>
                <w:snapToGrid/>
                <w:color w:val="auto"/>
              </w:rPr>
              <w:t>2024.08.10-2024.08.11</w:t>
            </w:r>
          </w:p>
        </w:tc>
        <w:tc>
          <w:tcPr>
            <w:tcW w:w="598" w:type="pct"/>
            <w:vMerge w:val="continue"/>
            <w:tcBorders>
              <w:tl2br w:val="nil"/>
              <w:tr2bl w:val="nil"/>
            </w:tcBorders>
            <w:vAlign w:val="center"/>
          </w:tcPr>
          <w:p w14:paraId="351F2BCD">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4A7AE4B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0.62</w:t>
            </w:r>
          </w:p>
        </w:tc>
        <w:tc>
          <w:tcPr>
            <w:tcW w:w="602" w:type="pct"/>
            <w:tcBorders>
              <w:tl2br w:val="nil"/>
              <w:tr2bl w:val="nil"/>
            </w:tcBorders>
            <w:vAlign w:val="center"/>
          </w:tcPr>
          <w:p w14:paraId="707BB03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31</w:t>
            </w:r>
          </w:p>
        </w:tc>
        <w:tc>
          <w:tcPr>
            <w:tcW w:w="378" w:type="pct"/>
            <w:tcBorders>
              <w:tl2br w:val="nil"/>
              <w:tr2bl w:val="nil"/>
            </w:tcBorders>
            <w:vAlign w:val="center"/>
          </w:tcPr>
          <w:p w14:paraId="11D4515A">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5B165B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13B5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646C422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2671108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0CD8E56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4CF951DF">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6EE5B4E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702A05F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0.61</w:t>
            </w:r>
          </w:p>
        </w:tc>
        <w:tc>
          <w:tcPr>
            <w:tcW w:w="602" w:type="pct"/>
            <w:tcBorders>
              <w:tl2br w:val="nil"/>
              <w:tr2bl w:val="nil"/>
            </w:tcBorders>
            <w:vAlign w:val="center"/>
          </w:tcPr>
          <w:p w14:paraId="557DB54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30.5</w:t>
            </w:r>
          </w:p>
        </w:tc>
        <w:tc>
          <w:tcPr>
            <w:tcW w:w="378" w:type="pct"/>
            <w:tcBorders>
              <w:tl2br w:val="nil"/>
              <w:tr2bl w:val="nil"/>
            </w:tcBorders>
            <w:vAlign w:val="center"/>
          </w:tcPr>
          <w:p w14:paraId="718ECBD5">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7D54923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3E82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3BB8696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4C2312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3F50F05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6231C92E">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2B3729AF">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11C424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367AD66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04B3C73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F4E97D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4F7D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26" w:type="pct"/>
            <w:vMerge w:val="continue"/>
            <w:tcBorders>
              <w:tl2br w:val="nil"/>
              <w:tr2bl w:val="nil"/>
            </w:tcBorders>
            <w:vAlign w:val="center"/>
          </w:tcPr>
          <w:p w14:paraId="057880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3485585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E5C77B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1EE478FD">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598" w:type="pct"/>
            <w:vMerge w:val="continue"/>
            <w:tcBorders>
              <w:tl2br w:val="nil"/>
              <w:tr2bl w:val="nil"/>
            </w:tcBorders>
            <w:vAlign w:val="center"/>
          </w:tcPr>
          <w:p w14:paraId="4C07FFD1">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3E8EC8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0.57</w:t>
            </w:r>
          </w:p>
        </w:tc>
        <w:tc>
          <w:tcPr>
            <w:tcW w:w="602" w:type="pct"/>
            <w:tcBorders>
              <w:tl2br w:val="nil"/>
              <w:tr2bl w:val="nil"/>
            </w:tcBorders>
            <w:vAlign w:val="center"/>
          </w:tcPr>
          <w:p w14:paraId="65A702C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28.5</w:t>
            </w:r>
          </w:p>
        </w:tc>
        <w:tc>
          <w:tcPr>
            <w:tcW w:w="378" w:type="pct"/>
            <w:tcBorders>
              <w:tl2br w:val="nil"/>
              <w:tr2bl w:val="nil"/>
            </w:tcBorders>
            <w:vAlign w:val="center"/>
          </w:tcPr>
          <w:p w14:paraId="6B93EAC5">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D33B7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26B1B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7A944F5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7007764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5563F63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416D9895">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rPr>
              <w:t>2024.08.11-2024.08.12</w:t>
            </w:r>
          </w:p>
        </w:tc>
        <w:tc>
          <w:tcPr>
            <w:tcW w:w="598" w:type="pct"/>
            <w:vMerge w:val="continue"/>
            <w:tcBorders>
              <w:tl2br w:val="nil"/>
              <w:tr2bl w:val="nil"/>
            </w:tcBorders>
            <w:vAlign w:val="center"/>
          </w:tcPr>
          <w:p w14:paraId="67AF6C8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DC1E4C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32B7A12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25164A7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224F1F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6176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24344EB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1445322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824F1E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44FECFDF">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0AA1EB2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FC0DC5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0.55</w:t>
            </w:r>
          </w:p>
        </w:tc>
        <w:tc>
          <w:tcPr>
            <w:tcW w:w="602" w:type="pct"/>
            <w:tcBorders>
              <w:tl2br w:val="nil"/>
              <w:tr2bl w:val="nil"/>
            </w:tcBorders>
            <w:vAlign w:val="center"/>
          </w:tcPr>
          <w:p w14:paraId="4BE08F5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27.5</w:t>
            </w:r>
          </w:p>
        </w:tc>
        <w:tc>
          <w:tcPr>
            <w:tcW w:w="378" w:type="pct"/>
            <w:tcBorders>
              <w:tl2br w:val="nil"/>
              <w:tr2bl w:val="nil"/>
            </w:tcBorders>
            <w:vAlign w:val="center"/>
          </w:tcPr>
          <w:p w14:paraId="081499E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A2288D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583D3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1BCE6B9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41166D1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0802761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2841134E">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29CB19D5">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1D3B95F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0.62</w:t>
            </w:r>
          </w:p>
        </w:tc>
        <w:tc>
          <w:tcPr>
            <w:tcW w:w="602" w:type="pct"/>
            <w:tcBorders>
              <w:tl2br w:val="nil"/>
              <w:tr2bl w:val="nil"/>
            </w:tcBorders>
            <w:vAlign w:val="center"/>
          </w:tcPr>
          <w:p w14:paraId="0671578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31</w:t>
            </w:r>
          </w:p>
        </w:tc>
        <w:tc>
          <w:tcPr>
            <w:tcW w:w="378" w:type="pct"/>
            <w:tcBorders>
              <w:tl2br w:val="nil"/>
              <w:tr2bl w:val="nil"/>
            </w:tcBorders>
            <w:vAlign w:val="center"/>
          </w:tcPr>
          <w:p w14:paraId="3D86FC4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73B19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26BCC4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26" w:type="pct"/>
            <w:vMerge w:val="continue"/>
            <w:tcBorders>
              <w:tl2br w:val="nil"/>
              <w:tr2bl w:val="nil"/>
            </w:tcBorders>
            <w:vAlign w:val="center"/>
          </w:tcPr>
          <w:p w14:paraId="01F4EFC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102F793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7E62744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07FF239A">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6DFFAA9D">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5B3504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2BDDDA5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283B7343">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5FEAFA2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6D511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26" w:type="pct"/>
            <w:vMerge w:val="continue"/>
            <w:tcBorders>
              <w:tl2br w:val="nil"/>
              <w:tr2bl w:val="nil"/>
            </w:tcBorders>
            <w:vAlign w:val="center"/>
          </w:tcPr>
          <w:p w14:paraId="6A63667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52A8D2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1F1D76B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restart"/>
            <w:tcBorders>
              <w:tl2br w:val="nil"/>
              <w:tr2bl w:val="nil"/>
            </w:tcBorders>
            <w:vAlign w:val="center"/>
          </w:tcPr>
          <w:p w14:paraId="2D3763B5">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rPr>
              <w:t>2024.08.12-2024.08.13</w:t>
            </w:r>
          </w:p>
        </w:tc>
        <w:tc>
          <w:tcPr>
            <w:tcW w:w="598" w:type="pct"/>
            <w:vMerge w:val="continue"/>
            <w:tcBorders>
              <w:tl2br w:val="nil"/>
              <w:tr2bl w:val="nil"/>
            </w:tcBorders>
            <w:vAlign w:val="center"/>
          </w:tcPr>
          <w:p w14:paraId="79090FA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5884D26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0.60</w:t>
            </w:r>
          </w:p>
        </w:tc>
        <w:tc>
          <w:tcPr>
            <w:tcW w:w="602" w:type="pct"/>
            <w:tcBorders>
              <w:tl2br w:val="nil"/>
              <w:tr2bl w:val="nil"/>
            </w:tcBorders>
            <w:vAlign w:val="center"/>
          </w:tcPr>
          <w:p w14:paraId="1329F73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30</w:t>
            </w:r>
          </w:p>
        </w:tc>
        <w:tc>
          <w:tcPr>
            <w:tcW w:w="378" w:type="pct"/>
            <w:tcBorders>
              <w:tl2br w:val="nil"/>
              <w:tr2bl w:val="nil"/>
            </w:tcBorders>
            <w:vAlign w:val="center"/>
          </w:tcPr>
          <w:p w14:paraId="5056F7D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7B28CD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64DE4B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26" w:type="pct"/>
            <w:vMerge w:val="continue"/>
            <w:tcBorders>
              <w:tl2br w:val="nil"/>
              <w:tr2bl w:val="nil"/>
            </w:tcBorders>
            <w:vAlign w:val="center"/>
          </w:tcPr>
          <w:p w14:paraId="15BAEAF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7479AC2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16A948A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69543716">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459C3A07">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34F32AA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0.58</w:t>
            </w:r>
          </w:p>
        </w:tc>
        <w:tc>
          <w:tcPr>
            <w:tcW w:w="602" w:type="pct"/>
            <w:tcBorders>
              <w:tl2br w:val="nil"/>
              <w:tr2bl w:val="nil"/>
            </w:tcBorders>
            <w:vAlign w:val="center"/>
          </w:tcPr>
          <w:p w14:paraId="007FA55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w:t>
            </w:r>
          </w:p>
        </w:tc>
        <w:tc>
          <w:tcPr>
            <w:tcW w:w="378" w:type="pct"/>
            <w:tcBorders>
              <w:tl2br w:val="nil"/>
              <w:tr2bl w:val="nil"/>
            </w:tcBorders>
            <w:vAlign w:val="center"/>
          </w:tcPr>
          <w:p w14:paraId="1D9963A8">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2DC8C0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C3BA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26" w:type="pct"/>
            <w:vMerge w:val="continue"/>
            <w:tcBorders>
              <w:tl2br w:val="nil"/>
              <w:tr2bl w:val="nil"/>
            </w:tcBorders>
            <w:vAlign w:val="center"/>
          </w:tcPr>
          <w:p w14:paraId="2FF7A83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6CAAEAC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1748DA8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7409E2F3">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0F851AB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47E80DB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0.57</w:t>
            </w:r>
          </w:p>
        </w:tc>
        <w:tc>
          <w:tcPr>
            <w:tcW w:w="602" w:type="pct"/>
            <w:tcBorders>
              <w:tl2br w:val="nil"/>
              <w:tr2bl w:val="nil"/>
            </w:tcBorders>
            <w:vAlign w:val="center"/>
          </w:tcPr>
          <w:p w14:paraId="2F69A02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28.5</w:t>
            </w:r>
          </w:p>
        </w:tc>
        <w:tc>
          <w:tcPr>
            <w:tcW w:w="378" w:type="pct"/>
            <w:tcBorders>
              <w:tl2br w:val="nil"/>
              <w:tr2bl w:val="nil"/>
            </w:tcBorders>
            <w:vAlign w:val="center"/>
          </w:tcPr>
          <w:p w14:paraId="4B3746B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3B7ECA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2538C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26" w:type="pct"/>
            <w:vMerge w:val="continue"/>
            <w:tcBorders>
              <w:tl2br w:val="nil"/>
              <w:tr2bl w:val="nil"/>
            </w:tcBorders>
            <w:vAlign w:val="center"/>
          </w:tcPr>
          <w:p w14:paraId="5DBB6DE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textDirection w:val="tbRlV"/>
            <w:vAlign w:val="center"/>
          </w:tcPr>
          <w:p w14:paraId="5CF208D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textDirection w:val="tbRlV"/>
            <w:vAlign w:val="center"/>
          </w:tcPr>
          <w:p w14:paraId="215354E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vMerge w:val="continue"/>
            <w:tcBorders>
              <w:tl2br w:val="nil"/>
              <w:tr2bl w:val="nil"/>
            </w:tcBorders>
            <w:vAlign w:val="center"/>
          </w:tcPr>
          <w:p w14:paraId="55EEAC2B">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598" w:type="pct"/>
            <w:vMerge w:val="continue"/>
            <w:tcBorders>
              <w:tl2br w:val="nil"/>
              <w:tr2bl w:val="nil"/>
            </w:tcBorders>
            <w:vAlign w:val="center"/>
          </w:tcPr>
          <w:p w14:paraId="319BFED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670A08E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0.59</w:t>
            </w:r>
          </w:p>
        </w:tc>
        <w:tc>
          <w:tcPr>
            <w:tcW w:w="602" w:type="pct"/>
            <w:tcBorders>
              <w:tl2br w:val="nil"/>
              <w:tr2bl w:val="nil"/>
            </w:tcBorders>
            <w:vAlign w:val="center"/>
          </w:tcPr>
          <w:p w14:paraId="2D58F5B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29.5</w:t>
            </w:r>
          </w:p>
        </w:tc>
        <w:tc>
          <w:tcPr>
            <w:tcW w:w="378" w:type="pct"/>
            <w:tcBorders>
              <w:tl2br w:val="nil"/>
              <w:tr2bl w:val="nil"/>
            </w:tcBorders>
            <w:vAlign w:val="center"/>
          </w:tcPr>
          <w:p w14:paraId="5EBEC443">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6F3523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4C9E3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6" w:type="pct"/>
            <w:vMerge w:val="continue"/>
            <w:tcBorders>
              <w:tl2br w:val="nil"/>
              <w:tr2bl w:val="nil"/>
            </w:tcBorders>
            <w:vAlign w:val="center"/>
          </w:tcPr>
          <w:p w14:paraId="15C9882B">
            <w:pPr>
              <w:pStyle w:val="37"/>
              <w:widowControl w:val="0"/>
              <w:shd w:val="clear"/>
              <w:kinsoku/>
              <w:autoSpaceDE/>
              <w:autoSpaceDN/>
              <w:adjustRightInd/>
              <w:snapToGrid/>
              <w:spacing w:line="360" w:lineRule="auto"/>
              <w:jc w:val="center"/>
              <w:textAlignment w:val="auto"/>
              <w:rPr>
                <w:rFonts w:eastAsia="宋体" w:cs="宋体"/>
                <w:snapToGrid/>
                <w:color w:val="auto"/>
              </w:rPr>
            </w:pPr>
          </w:p>
        </w:tc>
        <w:tc>
          <w:tcPr>
            <w:tcW w:w="826" w:type="pct"/>
            <w:vMerge w:val="restart"/>
            <w:tcBorders>
              <w:tl2br w:val="nil"/>
              <w:tr2bl w:val="nil"/>
            </w:tcBorders>
            <w:vAlign w:val="center"/>
          </w:tcPr>
          <w:p w14:paraId="1A2A4C6E">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default" w:ascii="Times New Roman" w:hAnsi="Times New Roman" w:eastAsia="宋体"/>
                <w:b w:val="0"/>
                <w:color w:val="auto"/>
                <w:sz w:val="21"/>
                <w:lang w:val="en-US" w:eastAsia="zh-CN"/>
              </w:rPr>
              <w:t>东经90°7′11.79867″北纬44°6′15.11289″</w:t>
            </w:r>
          </w:p>
        </w:tc>
        <w:tc>
          <w:tcPr>
            <w:tcW w:w="352" w:type="pct"/>
            <w:vMerge w:val="restart"/>
            <w:tcBorders>
              <w:tl2br w:val="nil"/>
              <w:tr2bl w:val="nil"/>
            </w:tcBorders>
            <w:vAlign w:val="center"/>
          </w:tcPr>
          <w:p w14:paraId="541EC08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TSP</w:t>
            </w:r>
          </w:p>
        </w:tc>
        <w:tc>
          <w:tcPr>
            <w:tcW w:w="795" w:type="pct"/>
            <w:tcBorders>
              <w:tl2br w:val="nil"/>
              <w:tr2bl w:val="nil"/>
            </w:tcBorders>
            <w:vAlign w:val="center"/>
          </w:tcPr>
          <w:p w14:paraId="61FD47F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rPr>
              <w:t>2024.08.06-2024.08.07</w:t>
            </w:r>
          </w:p>
        </w:tc>
        <w:tc>
          <w:tcPr>
            <w:tcW w:w="598" w:type="pct"/>
            <w:vMerge w:val="restart"/>
            <w:tcBorders>
              <w:tl2br w:val="nil"/>
              <w:tr2bl w:val="nil"/>
            </w:tcBorders>
            <w:vAlign w:val="center"/>
          </w:tcPr>
          <w:p w14:paraId="35AB1CA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0.3</w:t>
            </w:r>
          </w:p>
        </w:tc>
        <w:tc>
          <w:tcPr>
            <w:tcW w:w="878" w:type="pct"/>
            <w:tcBorders>
              <w:tl2br w:val="nil"/>
              <w:tr2bl w:val="nil"/>
            </w:tcBorders>
            <w:vAlign w:val="center"/>
          </w:tcPr>
          <w:p w14:paraId="780440E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0.223</w:t>
            </w:r>
          </w:p>
        </w:tc>
        <w:tc>
          <w:tcPr>
            <w:tcW w:w="602" w:type="pct"/>
            <w:tcBorders>
              <w:tl2br w:val="nil"/>
              <w:tr2bl w:val="nil"/>
            </w:tcBorders>
            <w:vAlign w:val="center"/>
          </w:tcPr>
          <w:p w14:paraId="0D42D8C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74.3</w:t>
            </w:r>
          </w:p>
        </w:tc>
        <w:tc>
          <w:tcPr>
            <w:tcW w:w="378" w:type="pct"/>
            <w:tcBorders>
              <w:tl2br w:val="nil"/>
              <w:tr2bl w:val="nil"/>
            </w:tcBorders>
            <w:vAlign w:val="center"/>
          </w:tcPr>
          <w:p w14:paraId="7BB37CF1">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21BF126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0EFC7E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6" w:type="pct"/>
            <w:vMerge w:val="continue"/>
            <w:tcBorders>
              <w:tl2br w:val="nil"/>
              <w:tr2bl w:val="nil"/>
            </w:tcBorders>
            <w:vAlign w:val="center"/>
          </w:tcPr>
          <w:p w14:paraId="6A35966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5904D6B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75C415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63F8738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rPr>
              <w:t>2024.08.07-2024.08.08</w:t>
            </w:r>
          </w:p>
        </w:tc>
        <w:tc>
          <w:tcPr>
            <w:tcW w:w="598" w:type="pct"/>
            <w:vMerge w:val="continue"/>
            <w:tcBorders>
              <w:tl2br w:val="nil"/>
              <w:tr2bl w:val="nil"/>
            </w:tcBorders>
            <w:vAlign w:val="center"/>
          </w:tcPr>
          <w:p w14:paraId="7240F21B">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7632E3B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0.224</w:t>
            </w:r>
          </w:p>
        </w:tc>
        <w:tc>
          <w:tcPr>
            <w:tcW w:w="602" w:type="pct"/>
            <w:tcBorders>
              <w:tl2br w:val="nil"/>
              <w:tr2bl w:val="nil"/>
            </w:tcBorders>
            <w:vAlign w:val="center"/>
          </w:tcPr>
          <w:p w14:paraId="6F09A29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74.7</w:t>
            </w:r>
          </w:p>
        </w:tc>
        <w:tc>
          <w:tcPr>
            <w:tcW w:w="378" w:type="pct"/>
            <w:tcBorders>
              <w:tl2br w:val="nil"/>
              <w:tr2bl w:val="nil"/>
            </w:tcBorders>
            <w:vAlign w:val="center"/>
          </w:tcPr>
          <w:p w14:paraId="168730D5">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495730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04DC7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226" w:type="pct"/>
            <w:vMerge w:val="continue"/>
            <w:tcBorders>
              <w:tl2br w:val="nil"/>
              <w:tr2bl w:val="nil"/>
            </w:tcBorders>
            <w:vAlign w:val="center"/>
          </w:tcPr>
          <w:p w14:paraId="4B8D65F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27DC5BC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385B0D3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7194AB9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rPr>
              <w:t>2024.08.08-2024.08.09</w:t>
            </w:r>
          </w:p>
        </w:tc>
        <w:tc>
          <w:tcPr>
            <w:tcW w:w="598" w:type="pct"/>
            <w:vMerge w:val="continue"/>
            <w:tcBorders>
              <w:tl2br w:val="nil"/>
              <w:tr2bl w:val="nil"/>
            </w:tcBorders>
            <w:vAlign w:val="center"/>
          </w:tcPr>
          <w:p w14:paraId="5A5EF88C">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33397C6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0.222</w:t>
            </w:r>
          </w:p>
        </w:tc>
        <w:tc>
          <w:tcPr>
            <w:tcW w:w="602" w:type="pct"/>
            <w:tcBorders>
              <w:tl2br w:val="nil"/>
              <w:tr2bl w:val="nil"/>
            </w:tcBorders>
            <w:vAlign w:val="center"/>
          </w:tcPr>
          <w:p w14:paraId="752D7D6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74</w:t>
            </w:r>
          </w:p>
        </w:tc>
        <w:tc>
          <w:tcPr>
            <w:tcW w:w="378" w:type="pct"/>
            <w:tcBorders>
              <w:tl2br w:val="nil"/>
              <w:tr2bl w:val="nil"/>
            </w:tcBorders>
            <w:vAlign w:val="center"/>
          </w:tcPr>
          <w:p w14:paraId="5D8D2C21">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7C326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36F0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6" w:type="pct"/>
            <w:vMerge w:val="continue"/>
            <w:tcBorders>
              <w:tl2br w:val="nil"/>
              <w:tr2bl w:val="nil"/>
            </w:tcBorders>
            <w:vAlign w:val="center"/>
          </w:tcPr>
          <w:p w14:paraId="394E0AB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2F6B81E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6C5FA2D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70A324A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snapToGrid/>
                <w:color w:val="auto"/>
              </w:rPr>
              <w:t>2024.08.09-2024.08.10</w:t>
            </w:r>
          </w:p>
        </w:tc>
        <w:tc>
          <w:tcPr>
            <w:tcW w:w="598" w:type="pct"/>
            <w:vMerge w:val="continue"/>
            <w:tcBorders>
              <w:tl2br w:val="nil"/>
              <w:tr2bl w:val="nil"/>
            </w:tcBorders>
            <w:vAlign w:val="center"/>
          </w:tcPr>
          <w:p w14:paraId="46F23FD6">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3391815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0.226</w:t>
            </w:r>
          </w:p>
        </w:tc>
        <w:tc>
          <w:tcPr>
            <w:tcW w:w="602" w:type="pct"/>
            <w:tcBorders>
              <w:tl2br w:val="nil"/>
              <w:tr2bl w:val="nil"/>
            </w:tcBorders>
            <w:vAlign w:val="center"/>
          </w:tcPr>
          <w:p w14:paraId="31D6CF3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75.3</w:t>
            </w:r>
          </w:p>
        </w:tc>
        <w:tc>
          <w:tcPr>
            <w:tcW w:w="378" w:type="pct"/>
            <w:tcBorders>
              <w:tl2br w:val="nil"/>
              <w:tr2bl w:val="nil"/>
            </w:tcBorders>
            <w:vAlign w:val="center"/>
          </w:tcPr>
          <w:p w14:paraId="05C64384">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0779334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62319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6" w:type="pct"/>
            <w:vMerge w:val="continue"/>
            <w:tcBorders>
              <w:tl2br w:val="nil"/>
              <w:tr2bl w:val="nil"/>
            </w:tcBorders>
            <w:vAlign w:val="center"/>
          </w:tcPr>
          <w:p w14:paraId="75A7ED0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00D3926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5C487EB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74CFF78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snapToGrid/>
                <w:color w:val="auto"/>
              </w:rPr>
              <w:t>2024.08.10-2024.08.11</w:t>
            </w:r>
          </w:p>
        </w:tc>
        <w:tc>
          <w:tcPr>
            <w:tcW w:w="598" w:type="pct"/>
            <w:vMerge w:val="continue"/>
            <w:tcBorders>
              <w:tl2br w:val="nil"/>
              <w:tr2bl w:val="nil"/>
            </w:tcBorders>
            <w:vAlign w:val="center"/>
          </w:tcPr>
          <w:p w14:paraId="52529A18">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1D5567F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0.227</w:t>
            </w:r>
          </w:p>
        </w:tc>
        <w:tc>
          <w:tcPr>
            <w:tcW w:w="602" w:type="pct"/>
            <w:tcBorders>
              <w:tl2br w:val="nil"/>
              <w:tr2bl w:val="nil"/>
            </w:tcBorders>
            <w:vAlign w:val="center"/>
          </w:tcPr>
          <w:p w14:paraId="0B2CFE2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75.7</w:t>
            </w:r>
          </w:p>
        </w:tc>
        <w:tc>
          <w:tcPr>
            <w:tcW w:w="378" w:type="pct"/>
            <w:tcBorders>
              <w:tl2br w:val="nil"/>
              <w:tr2bl w:val="nil"/>
            </w:tcBorders>
            <w:vAlign w:val="center"/>
          </w:tcPr>
          <w:p w14:paraId="68474800">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6FC402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1CEE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6" w:type="pct"/>
            <w:vMerge w:val="continue"/>
            <w:tcBorders>
              <w:tl2br w:val="nil"/>
              <w:tr2bl w:val="nil"/>
            </w:tcBorders>
            <w:vAlign w:val="center"/>
          </w:tcPr>
          <w:p w14:paraId="5C0A0DB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2F22EDF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7D3E7AF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562AB7A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rPr>
              <w:t>2024.08.11-2024.08.12</w:t>
            </w:r>
          </w:p>
        </w:tc>
        <w:tc>
          <w:tcPr>
            <w:tcW w:w="598" w:type="pct"/>
            <w:vMerge w:val="continue"/>
            <w:tcBorders>
              <w:tl2br w:val="nil"/>
              <w:tr2bl w:val="nil"/>
            </w:tcBorders>
            <w:vAlign w:val="center"/>
          </w:tcPr>
          <w:p w14:paraId="664CB5C9">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061C6DD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0.225</w:t>
            </w:r>
          </w:p>
        </w:tc>
        <w:tc>
          <w:tcPr>
            <w:tcW w:w="602" w:type="pct"/>
            <w:tcBorders>
              <w:tl2br w:val="nil"/>
              <w:tr2bl w:val="nil"/>
            </w:tcBorders>
            <w:vAlign w:val="center"/>
          </w:tcPr>
          <w:p w14:paraId="2B6060A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75</w:t>
            </w:r>
          </w:p>
        </w:tc>
        <w:tc>
          <w:tcPr>
            <w:tcW w:w="378" w:type="pct"/>
            <w:tcBorders>
              <w:tl2br w:val="nil"/>
              <w:tr2bl w:val="nil"/>
            </w:tcBorders>
            <w:vAlign w:val="center"/>
          </w:tcPr>
          <w:p w14:paraId="3EAAC9D0">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134EFA1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11E77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226" w:type="pct"/>
            <w:vMerge w:val="continue"/>
            <w:tcBorders>
              <w:tl2br w:val="nil"/>
              <w:tr2bl w:val="nil"/>
            </w:tcBorders>
            <w:vAlign w:val="center"/>
          </w:tcPr>
          <w:p w14:paraId="3218B30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26" w:type="pct"/>
            <w:vMerge w:val="continue"/>
            <w:tcBorders>
              <w:tl2br w:val="nil"/>
              <w:tr2bl w:val="nil"/>
            </w:tcBorders>
            <w:vAlign w:val="center"/>
          </w:tcPr>
          <w:p w14:paraId="1F2AAAC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52" w:type="pct"/>
            <w:vMerge w:val="continue"/>
            <w:tcBorders>
              <w:tl2br w:val="nil"/>
              <w:tr2bl w:val="nil"/>
            </w:tcBorders>
            <w:vAlign w:val="center"/>
          </w:tcPr>
          <w:p w14:paraId="76FC560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5" w:type="pct"/>
            <w:tcBorders>
              <w:tl2br w:val="nil"/>
              <w:tr2bl w:val="nil"/>
            </w:tcBorders>
            <w:vAlign w:val="center"/>
          </w:tcPr>
          <w:p w14:paraId="6CB9DDD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rPr>
              <w:t>2024.08.12-2024.08.13</w:t>
            </w:r>
          </w:p>
        </w:tc>
        <w:tc>
          <w:tcPr>
            <w:tcW w:w="598" w:type="pct"/>
            <w:vMerge w:val="continue"/>
            <w:tcBorders>
              <w:tl2br w:val="nil"/>
              <w:tr2bl w:val="nil"/>
            </w:tcBorders>
            <w:vAlign w:val="center"/>
          </w:tcPr>
          <w:p w14:paraId="2F512A81">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p>
        </w:tc>
        <w:tc>
          <w:tcPr>
            <w:tcW w:w="878" w:type="pct"/>
            <w:tcBorders>
              <w:tl2br w:val="nil"/>
              <w:tr2bl w:val="nil"/>
            </w:tcBorders>
            <w:vAlign w:val="center"/>
          </w:tcPr>
          <w:p w14:paraId="4154C4F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0.228</w:t>
            </w:r>
          </w:p>
        </w:tc>
        <w:tc>
          <w:tcPr>
            <w:tcW w:w="602" w:type="pct"/>
            <w:tcBorders>
              <w:tl2br w:val="nil"/>
              <w:tr2bl w:val="nil"/>
            </w:tcBorders>
            <w:vAlign w:val="center"/>
          </w:tcPr>
          <w:p w14:paraId="68587B3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76</w:t>
            </w:r>
          </w:p>
        </w:tc>
        <w:tc>
          <w:tcPr>
            <w:tcW w:w="378" w:type="pct"/>
            <w:tcBorders>
              <w:tl2br w:val="nil"/>
              <w:tr2bl w:val="nil"/>
            </w:tcBorders>
            <w:vAlign w:val="center"/>
          </w:tcPr>
          <w:p w14:paraId="0222BE41">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val="en-US" w:eastAsia="zh-CN"/>
              </w:rPr>
              <w:t>0</w:t>
            </w:r>
          </w:p>
        </w:tc>
        <w:tc>
          <w:tcPr>
            <w:tcW w:w="340" w:type="pct"/>
            <w:tcBorders>
              <w:tl2br w:val="nil"/>
              <w:tr2bl w:val="nil"/>
            </w:tcBorders>
            <w:vAlign w:val="center"/>
          </w:tcPr>
          <w:p w14:paraId="2247A5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bl>
    <w:p w14:paraId="304CC28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由表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-5可知，项目所在区域TSP满足《环境空气质量标准》（GB3095-2012</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含2018年修改单</w:t>
      </w:r>
      <w:r>
        <w:rPr>
          <w:rFonts w:ascii="Times New Roman" w:hAnsi="Times New Roman"/>
          <w:snapToGrid/>
          <w:color w:val="auto"/>
          <w:sz w:val="24"/>
          <w:szCs w:val="24"/>
          <w:lang w:eastAsia="zh-CN"/>
        </w:rPr>
        <w:t>）中的二级标准；非甲烷总烃的1小时浓度值满足《大气污染物综合排放标准详解》中的环境管理推荐限值，项目所在地环境空气质量中非甲烷总烃达标。</w:t>
      </w:r>
    </w:p>
    <w:p w14:paraId="3476B34F">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rPr>
        <w:t>4.2.3地下水环境现状调查与评价</w:t>
      </w:r>
      <w:bookmarkEnd w:id="564"/>
      <w:bookmarkEnd w:id="565"/>
      <w:bookmarkEnd w:id="566"/>
    </w:p>
    <w:p w14:paraId="413831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（1）监测点位和时间</w:t>
      </w:r>
    </w:p>
    <w:p w14:paraId="2625E41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根据《环境影响评价技术导则地下水环境》（HJ610-2016）关于地下水环境质量调查和评价的相关要求，本次评价在项目所在区域设置3个地下水监测点进行水质监测。监测点监测数据委托</w:t>
      </w:r>
      <w:r>
        <w:rPr>
          <w:rFonts w:hint="eastAsia" w:ascii="Times New Roman" w:hAnsi="Times New Roman"/>
          <w:snapToGrid/>
          <w:color w:val="auto"/>
          <w:sz w:val="24"/>
          <w:szCs w:val="24"/>
          <w:lang w:eastAsia="zh-CN"/>
        </w:rPr>
        <w:t>新疆国科检测有限公司</w:t>
      </w:r>
      <w:r>
        <w:rPr>
          <w:rFonts w:ascii="Times New Roman" w:hAnsi="Times New Roman"/>
          <w:snapToGrid/>
          <w:color w:val="auto"/>
          <w:sz w:val="24"/>
          <w:szCs w:val="24"/>
          <w:lang w:eastAsia="zh-CN"/>
        </w:rPr>
        <w:t>负责监测，监测时间为2</w:t>
      </w:r>
      <w:r>
        <w:rPr>
          <w:rFonts w:hint="eastAsia" w:ascii="Times New Roman" w:hAnsi="Times New Roman"/>
          <w:snapToGrid/>
          <w:color w:val="auto"/>
          <w:sz w:val="24"/>
          <w:szCs w:val="24"/>
          <w:lang w:eastAsia="zh-CN"/>
        </w:rPr>
        <w:t>024</w:t>
      </w:r>
      <w:r>
        <w:rPr>
          <w:rFonts w:ascii="Times New Roman" w:hAnsi="Times New Roman"/>
          <w:snapToGrid/>
          <w:color w:val="auto"/>
          <w:sz w:val="24"/>
          <w:szCs w:val="24"/>
          <w:lang w:eastAsia="zh-CN"/>
        </w:rPr>
        <w:t>年</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13</w:t>
      </w:r>
      <w:r>
        <w:rPr>
          <w:rFonts w:ascii="Times New Roman" w:hAnsi="Times New Roman"/>
          <w:snapToGrid/>
          <w:color w:val="auto"/>
          <w:sz w:val="24"/>
          <w:szCs w:val="24"/>
          <w:lang w:eastAsia="zh-CN"/>
        </w:rPr>
        <w:t>日。地下水监测点位及监测因子见表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5</w:t>
      </w:r>
      <w:r>
        <w:rPr>
          <w:rFonts w:ascii="Times New Roman" w:hAnsi="Times New Roman"/>
          <w:snapToGrid/>
          <w:color w:val="auto"/>
          <w:sz w:val="24"/>
          <w:szCs w:val="24"/>
          <w:lang w:eastAsia="zh-CN"/>
        </w:rPr>
        <w:t>。监测点位图见图</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w:t>
      </w:r>
    </w:p>
    <w:p w14:paraId="0536888A">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5</w:t>
      </w:r>
      <w:r>
        <w:rPr>
          <w:rFonts w:ascii="Times New Roman" w:hAnsi="Times New Roman"/>
          <w:b/>
          <w:bCs/>
          <w:snapToGrid/>
          <w:color w:val="auto"/>
          <w:sz w:val="24"/>
          <w:lang w:eastAsia="zh-CN"/>
        </w:rPr>
        <w:t>地下水监测点与厂址相对位置</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25"/>
        <w:gridCol w:w="1524"/>
        <w:gridCol w:w="1571"/>
        <w:gridCol w:w="1199"/>
        <w:gridCol w:w="1235"/>
        <w:gridCol w:w="976"/>
        <w:gridCol w:w="976"/>
      </w:tblGrid>
      <w:tr w14:paraId="4DB6B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550" w:type="pct"/>
            <w:tcBorders>
              <w:tl2br w:val="nil"/>
              <w:tr2bl w:val="nil"/>
            </w:tcBorders>
            <w:vAlign w:val="center"/>
          </w:tcPr>
          <w:p w14:paraId="7319FED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w:t>
            </w:r>
          </w:p>
        </w:tc>
        <w:tc>
          <w:tcPr>
            <w:tcW w:w="906" w:type="pct"/>
            <w:tcBorders>
              <w:tl2br w:val="nil"/>
              <w:tr2bl w:val="nil"/>
            </w:tcBorders>
            <w:vAlign w:val="center"/>
          </w:tcPr>
          <w:p w14:paraId="2048B84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名称</w:t>
            </w:r>
          </w:p>
        </w:tc>
        <w:tc>
          <w:tcPr>
            <w:tcW w:w="1647" w:type="pct"/>
            <w:gridSpan w:val="2"/>
            <w:tcBorders>
              <w:tl2br w:val="nil"/>
              <w:tr2bl w:val="nil"/>
            </w:tcBorders>
            <w:vAlign w:val="center"/>
          </w:tcPr>
          <w:p w14:paraId="1EF735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地理坐标</w:t>
            </w:r>
          </w:p>
        </w:tc>
        <w:tc>
          <w:tcPr>
            <w:tcW w:w="734" w:type="pct"/>
            <w:tcBorders>
              <w:tl2br w:val="nil"/>
              <w:tr2bl w:val="nil"/>
            </w:tcBorders>
            <w:vAlign w:val="center"/>
          </w:tcPr>
          <w:p w14:paraId="66B18D1B">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井深</w:t>
            </w:r>
          </w:p>
        </w:tc>
        <w:tc>
          <w:tcPr>
            <w:tcW w:w="580" w:type="pct"/>
            <w:tcBorders>
              <w:tl2br w:val="nil"/>
              <w:tr2bl w:val="nil"/>
            </w:tcBorders>
            <w:vAlign w:val="center"/>
          </w:tcPr>
          <w:p w14:paraId="57F0B208">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eastAsia="zh-CN"/>
              </w:rPr>
            </w:pPr>
            <w:r>
              <w:rPr>
                <w:rFonts w:hint="eastAsia" w:ascii="Times New Roman" w:hAnsi="Times New Roman" w:eastAsia="宋体" w:cs="宋体"/>
                <w:b/>
                <w:bCs/>
                <w:snapToGrid/>
                <w:color w:val="auto"/>
                <w:lang w:val="en-US" w:eastAsia="zh-CN"/>
              </w:rPr>
              <w:t>水位</w:t>
            </w:r>
          </w:p>
        </w:tc>
        <w:tc>
          <w:tcPr>
            <w:tcW w:w="580" w:type="pct"/>
            <w:tcBorders>
              <w:tl2br w:val="nil"/>
              <w:tr2bl w:val="nil"/>
            </w:tcBorders>
            <w:vAlign w:val="center"/>
          </w:tcPr>
          <w:p w14:paraId="540C614C">
            <w:pPr>
              <w:widowControl w:val="0"/>
              <w:shd w:val="clear"/>
              <w:kinsoku/>
              <w:autoSpaceDE/>
              <w:autoSpaceDN/>
              <w:adjustRightInd/>
              <w:snapToGrid/>
              <w:spacing w:line="360" w:lineRule="auto"/>
              <w:jc w:val="center"/>
              <w:textAlignment w:val="auto"/>
              <w:rPr>
                <w:rFonts w:hint="eastAsia" w:ascii="Times New Roman" w:hAnsi="Times New Roman" w:eastAsia="宋体" w:cs="宋体"/>
                <w:b/>
                <w:bCs/>
                <w:snapToGrid/>
                <w:color w:val="auto"/>
                <w:lang w:val="en-US" w:eastAsia="zh-CN"/>
              </w:rPr>
            </w:pPr>
            <w:r>
              <w:rPr>
                <w:rFonts w:hint="eastAsia" w:ascii="Times New Roman" w:hAnsi="Times New Roman" w:eastAsia="宋体" w:cs="宋体"/>
                <w:b/>
                <w:bCs/>
                <w:snapToGrid/>
                <w:color w:val="auto"/>
                <w:lang w:val="en-US" w:eastAsia="zh-CN"/>
              </w:rPr>
              <w:t>用途</w:t>
            </w:r>
          </w:p>
        </w:tc>
      </w:tr>
      <w:tr w14:paraId="72ED2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550" w:type="pct"/>
            <w:tcBorders>
              <w:tl2br w:val="nil"/>
              <w:tr2bl w:val="nil"/>
            </w:tcBorders>
            <w:vAlign w:val="center"/>
          </w:tcPr>
          <w:p w14:paraId="55498EB6">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1</w:t>
            </w:r>
          </w:p>
        </w:tc>
        <w:tc>
          <w:tcPr>
            <w:tcW w:w="906" w:type="pct"/>
            <w:tcBorders>
              <w:tl2br w:val="nil"/>
              <w:tr2bl w:val="nil"/>
            </w:tcBorders>
            <w:vAlign w:val="center"/>
          </w:tcPr>
          <w:p w14:paraId="20CD27E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地下井水</w:t>
            </w:r>
          </w:p>
        </w:tc>
        <w:tc>
          <w:tcPr>
            <w:tcW w:w="934" w:type="pct"/>
            <w:tcBorders>
              <w:tl2br w:val="nil"/>
              <w:tr2bl w:val="nil"/>
            </w:tcBorders>
            <w:vAlign w:val="center"/>
          </w:tcPr>
          <w:p w14:paraId="56FAF8A2">
            <w:pPr>
              <w:pStyle w:val="37"/>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snapToGrid/>
                <w:color w:val="auto"/>
              </w:rPr>
              <w:t>E:</w:t>
            </w:r>
            <w:r>
              <w:rPr>
                <w:rFonts w:hint="eastAsia" w:ascii="Times New Roman" w:hAnsi="Times New Roman" w:eastAsia="宋体"/>
                <w:snapToGrid/>
                <w:color w:val="auto"/>
              </w:rPr>
              <w:t>90.128776°</w:t>
            </w:r>
            <w:r>
              <w:rPr>
                <w:rFonts w:hint="eastAsia" w:eastAsia="宋体"/>
                <w:snapToGrid/>
                <w:color w:val="auto"/>
                <w:lang w:eastAsia="zh-CN"/>
              </w:rPr>
              <w:t>;</w:t>
            </w:r>
          </w:p>
        </w:tc>
        <w:tc>
          <w:tcPr>
            <w:tcW w:w="712" w:type="pct"/>
            <w:tcBorders>
              <w:tl2br w:val="nil"/>
              <w:tr2bl w:val="nil"/>
            </w:tcBorders>
            <w:vAlign w:val="center"/>
          </w:tcPr>
          <w:p w14:paraId="1C637C2E">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N:44</w:t>
            </w:r>
            <w:r>
              <w:rPr>
                <w:rFonts w:hint="eastAsia" w:ascii="Times New Roman" w:hAnsi="Times New Roman" w:eastAsia="宋体"/>
                <w:snapToGrid/>
                <w:color w:val="auto"/>
                <w:lang w:eastAsia="zh-CN"/>
              </w:rPr>
              <w:t>.102312</w:t>
            </w:r>
            <w:r>
              <w:rPr>
                <w:rFonts w:ascii="Times New Roman" w:hAnsi="Times New Roman" w:eastAsia="宋体"/>
                <w:snapToGrid/>
                <w:color w:val="auto"/>
              </w:rPr>
              <w:t>°</w:t>
            </w:r>
          </w:p>
        </w:tc>
        <w:tc>
          <w:tcPr>
            <w:tcW w:w="734" w:type="pct"/>
            <w:tcBorders>
              <w:tl2br w:val="nil"/>
              <w:tr2bl w:val="nil"/>
            </w:tcBorders>
            <w:vAlign w:val="center"/>
          </w:tcPr>
          <w:p w14:paraId="025E4AD0">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rPr>
            </w:pPr>
            <w:r>
              <w:rPr>
                <w:rFonts w:hint="eastAsia" w:ascii="Times New Roman" w:hAnsi="Times New Roman" w:eastAsia="宋体" w:cs="宋体"/>
                <w:color w:val="auto"/>
                <w:lang w:val="en-US" w:eastAsia="zh-CN"/>
              </w:rPr>
              <w:t>50m</w:t>
            </w:r>
          </w:p>
        </w:tc>
        <w:tc>
          <w:tcPr>
            <w:tcW w:w="580" w:type="pct"/>
            <w:tcBorders>
              <w:tl2br w:val="nil"/>
              <w:tr2bl w:val="nil"/>
            </w:tcBorders>
            <w:vAlign w:val="center"/>
          </w:tcPr>
          <w:p w14:paraId="47B299C8">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5m</w:t>
            </w:r>
          </w:p>
        </w:tc>
        <w:tc>
          <w:tcPr>
            <w:tcW w:w="580" w:type="pct"/>
            <w:tcBorders>
              <w:tl2br w:val="nil"/>
              <w:tr2bl w:val="nil"/>
            </w:tcBorders>
            <w:vAlign w:val="center"/>
          </w:tcPr>
          <w:p w14:paraId="0C0BCE62">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灌溉井</w:t>
            </w:r>
          </w:p>
        </w:tc>
      </w:tr>
      <w:tr w14:paraId="15C8C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50" w:type="pct"/>
            <w:tcBorders>
              <w:tl2br w:val="nil"/>
              <w:tr2bl w:val="nil"/>
            </w:tcBorders>
            <w:vAlign w:val="center"/>
          </w:tcPr>
          <w:p w14:paraId="1B489BDD">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2</w:t>
            </w:r>
          </w:p>
        </w:tc>
        <w:tc>
          <w:tcPr>
            <w:tcW w:w="906" w:type="pct"/>
            <w:tcBorders>
              <w:tl2br w:val="nil"/>
              <w:tr2bl w:val="nil"/>
            </w:tcBorders>
            <w:vAlign w:val="center"/>
          </w:tcPr>
          <w:p w14:paraId="3A1E789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地下井水</w:t>
            </w:r>
          </w:p>
        </w:tc>
        <w:tc>
          <w:tcPr>
            <w:tcW w:w="934" w:type="pct"/>
            <w:tcBorders>
              <w:tl2br w:val="nil"/>
              <w:tr2bl w:val="nil"/>
            </w:tcBorders>
            <w:vAlign w:val="center"/>
          </w:tcPr>
          <w:p w14:paraId="5F1C8020">
            <w:pPr>
              <w:pStyle w:val="37"/>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snapToGrid/>
                <w:color w:val="auto"/>
              </w:rPr>
              <w:t>E:</w:t>
            </w:r>
            <w:r>
              <w:rPr>
                <w:rFonts w:hint="eastAsia" w:ascii="Times New Roman" w:hAnsi="Times New Roman" w:eastAsia="宋体"/>
                <w:snapToGrid/>
                <w:color w:val="auto"/>
                <w:lang w:eastAsia="zh-CN"/>
              </w:rPr>
              <w:t>90.122262</w:t>
            </w:r>
            <w:r>
              <w:rPr>
                <w:rFonts w:ascii="Times New Roman" w:hAnsi="Times New Roman" w:eastAsia="宋体"/>
                <w:snapToGrid/>
                <w:color w:val="auto"/>
              </w:rPr>
              <w:t>°</w:t>
            </w:r>
            <w:r>
              <w:rPr>
                <w:rFonts w:hint="eastAsia" w:eastAsia="宋体"/>
                <w:snapToGrid/>
                <w:color w:val="auto"/>
                <w:lang w:eastAsia="zh-CN"/>
              </w:rPr>
              <w:t>;</w:t>
            </w:r>
          </w:p>
        </w:tc>
        <w:tc>
          <w:tcPr>
            <w:tcW w:w="712" w:type="pct"/>
            <w:tcBorders>
              <w:tl2br w:val="nil"/>
              <w:tr2bl w:val="nil"/>
            </w:tcBorders>
            <w:vAlign w:val="center"/>
          </w:tcPr>
          <w:p w14:paraId="272461DE">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N:44</w:t>
            </w:r>
            <w:r>
              <w:rPr>
                <w:rFonts w:hint="eastAsia" w:ascii="Times New Roman" w:hAnsi="Times New Roman" w:eastAsia="宋体"/>
                <w:snapToGrid/>
                <w:color w:val="auto"/>
                <w:lang w:eastAsia="zh-CN"/>
              </w:rPr>
              <w:t>.099543</w:t>
            </w:r>
            <w:r>
              <w:rPr>
                <w:rFonts w:ascii="Times New Roman" w:hAnsi="Times New Roman" w:eastAsia="宋体"/>
                <w:snapToGrid/>
                <w:color w:val="auto"/>
              </w:rPr>
              <w:t>°</w:t>
            </w:r>
          </w:p>
        </w:tc>
        <w:tc>
          <w:tcPr>
            <w:tcW w:w="734" w:type="pct"/>
            <w:tcBorders>
              <w:tl2br w:val="nil"/>
              <w:tr2bl w:val="nil"/>
            </w:tcBorders>
            <w:vAlign w:val="center"/>
          </w:tcPr>
          <w:p w14:paraId="00B0E6B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color w:val="auto"/>
                <w:lang w:val="en-US" w:eastAsia="zh-CN"/>
              </w:rPr>
              <w:t>50m</w:t>
            </w:r>
          </w:p>
        </w:tc>
        <w:tc>
          <w:tcPr>
            <w:tcW w:w="580" w:type="pct"/>
            <w:tcBorders>
              <w:tl2br w:val="nil"/>
              <w:tr2bl w:val="nil"/>
            </w:tcBorders>
            <w:vAlign w:val="center"/>
          </w:tcPr>
          <w:p w14:paraId="1D6420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5m</w:t>
            </w:r>
          </w:p>
        </w:tc>
        <w:tc>
          <w:tcPr>
            <w:tcW w:w="580" w:type="pct"/>
            <w:tcBorders>
              <w:tl2br w:val="nil"/>
              <w:tr2bl w:val="nil"/>
            </w:tcBorders>
            <w:vAlign w:val="center"/>
          </w:tcPr>
          <w:p w14:paraId="465F37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灌溉井</w:t>
            </w:r>
          </w:p>
        </w:tc>
      </w:tr>
      <w:tr w14:paraId="0AF0D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550" w:type="pct"/>
            <w:tcBorders>
              <w:tl2br w:val="nil"/>
              <w:tr2bl w:val="nil"/>
            </w:tcBorders>
            <w:vAlign w:val="center"/>
          </w:tcPr>
          <w:p w14:paraId="1C3EE272">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3</w:t>
            </w:r>
          </w:p>
        </w:tc>
        <w:tc>
          <w:tcPr>
            <w:tcW w:w="906" w:type="pct"/>
            <w:tcBorders>
              <w:tl2br w:val="nil"/>
              <w:tr2bl w:val="nil"/>
            </w:tcBorders>
            <w:vAlign w:val="center"/>
          </w:tcPr>
          <w:p w14:paraId="007C08D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地下井水</w:t>
            </w:r>
          </w:p>
        </w:tc>
        <w:tc>
          <w:tcPr>
            <w:tcW w:w="934" w:type="pct"/>
            <w:tcBorders>
              <w:tl2br w:val="nil"/>
              <w:tr2bl w:val="nil"/>
            </w:tcBorders>
            <w:vAlign w:val="center"/>
          </w:tcPr>
          <w:p w14:paraId="1076D823">
            <w:pPr>
              <w:pStyle w:val="37"/>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snapToGrid/>
                <w:color w:val="auto"/>
              </w:rPr>
              <w:t>E:</w:t>
            </w:r>
            <w:r>
              <w:rPr>
                <w:rFonts w:hint="eastAsia" w:ascii="Times New Roman" w:hAnsi="Times New Roman" w:eastAsia="宋体"/>
                <w:snapToGrid/>
                <w:color w:val="auto"/>
                <w:lang w:eastAsia="zh-CN"/>
              </w:rPr>
              <w:t>90.125923</w:t>
            </w:r>
            <w:r>
              <w:rPr>
                <w:rFonts w:ascii="Times New Roman" w:hAnsi="Times New Roman" w:eastAsia="宋体"/>
                <w:snapToGrid/>
                <w:color w:val="auto"/>
              </w:rPr>
              <w:t>°</w:t>
            </w:r>
            <w:r>
              <w:rPr>
                <w:rFonts w:hint="eastAsia" w:eastAsia="宋体"/>
                <w:snapToGrid/>
                <w:color w:val="auto"/>
                <w:lang w:eastAsia="zh-CN"/>
              </w:rPr>
              <w:t>;</w:t>
            </w:r>
          </w:p>
        </w:tc>
        <w:tc>
          <w:tcPr>
            <w:tcW w:w="712" w:type="pct"/>
            <w:tcBorders>
              <w:tl2br w:val="nil"/>
              <w:tr2bl w:val="nil"/>
            </w:tcBorders>
            <w:vAlign w:val="center"/>
          </w:tcPr>
          <w:p w14:paraId="7FA3D2D6">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N:44</w:t>
            </w:r>
            <w:r>
              <w:rPr>
                <w:rFonts w:hint="eastAsia" w:ascii="Times New Roman" w:hAnsi="Times New Roman" w:eastAsia="宋体"/>
                <w:snapToGrid/>
                <w:color w:val="auto"/>
                <w:lang w:eastAsia="zh-CN"/>
              </w:rPr>
              <w:t>.108334</w:t>
            </w:r>
            <w:r>
              <w:rPr>
                <w:rFonts w:ascii="Times New Roman" w:hAnsi="Times New Roman" w:eastAsia="宋体"/>
                <w:snapToGrid/>
                <w:color w:val="auto"/>
              </w:rPr>
              <w:t>°</w:t>
            </w:r>
          </w:p>
        </w:tc>
        <w:tc>
          <w:tcPr>
            <w:tcW w:w="734" w:type="pct"/>
            <w:tcBorders>
              <w:tl2br w:val="nil"/>
              <w:tr2bl w:val="nil"/>
            </w:tcBorders>
            <w:vAlign w:val="center"/>
          </w:tcPr>
          <w:p w14:paraId="4FE9DFB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color w:val="auto"/>
                <w:lang w:val="en-US" w:eastAsia="zh-CN"/>
              </w:rPr>
              <w:t>50m</w:t>
            </w:r>
          </w:p>
        </w:tc>
        <w:tc>
          <w:tcPr>
            <w:tcW w:w="580" w:type="pct"/>
            <w:tcBorders>
              <w:tl2br w:val="nil"/>
              <w:tr2bl w:val="nil"/>
            </w:tcBorders>
            <w:vAlign w:val="center"/>
          </w:tcPr>
          <w:p w14:paraId="7C8D694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5m</w:t>
            </w:r>
          </w:p>
        </w:tc>
        <w:tc>
          <w:tcPr>
            <w:tcW w:w="580" w:type="pct"/>
            <w:tcBorders>
              <w:tl2br w:val="nil"/>
              <w:tr2bl w:val="nil"/>
            </w:tcBorders>
            <w:vAlign w:val="center"/>
          </w:tcPr>
          <w:p w14:paraId="1C57D7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灌溉井</w:t>
            </w:r>
          </w:p>
        </w:tc>
      </w:tr>
    </w:tbl>
    <w:p w14:paraId="410A1DD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（2）监测项目及分析方法</w:t>
      </w:r>
    </w:p>
    <w:p w14:paraId="75F9BA7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监测项目包括</w:t>
      </w:r>
      <w:r>
        <w:rPr>
          <w:rFonts w:hint="eastAsia" w:ascii="Times New Roman" w:hAnsi="Times New Roman"/>
          <w:snapToGrid/>
          <w:color w:val="auto"/>
          <w:sz w:val="24"/>
          <w:szCs w:val="24"/>
          <w:lang w:eastAsia="zh-CN"/>
        </w:rPr>
        <w:t>：</w:t>
      </w:r>
      <w:r>
        <w:rPr>
          <w:rFonts w:hint="eastAsia" w:ascii="Times New Roman" w:hAnsi="Times New Roman"/>
          <w:color w:val="auto"/>
          <w:sz w:val="24"/>
          <w:lang w:eastAsia="zh-CN"/>
        </w:rPr>
        <w:t>pH、氨氮、硝酸盐、亚硝酸盐、挥发性酚类、氰化物、砷、汞、铬（六价）、总硬度、铅、氟、镉、铁、锰、溶解性总固体、</w:t>
      </w:r>
      <w:r>
        <w:rPr>
          <w:rFonts w:hint="eastAsia" w:ascii="Times New Roman" w:hAnsi="Times New Roman"/>
          <w:color w:val="auto"/>
          <w:sz w:val="24"/>
          <w:lang w:val="en-US" w:eastAsia="zh-CN"/>
        </w:rPr>
        <w:t>耗氧量</w:t>
      </w:r>
      <w:r>
        <w:rPr>
          <w:rFonts w:hint="eastAsia" w:ascii="Times New Roman" w:hAnsi="Times New Roman"/>
          <w:color w:val="auto"/>
          <w:sz w:val="24"/>
          <w:lang w:eastAsia="zh-CN"/>
        </w:rPr>
        <w:t>、硫酸盐、氯化物、总大肠菌群、</w:t>
      </w:r>
      <w:r>
        <w:rPr>
          <w:rFonts w:hint="eastAsia" w:ascii="Times New Roman" w:hAnsi="Times New Roman"/>
          <w:color w:val="auto"/>
          <w:sz w:val="24"/>
          <w:lang w:val="en-US" w:eastAsia="zh-CN"/>
        </w:rPr>
        <w:t>菌落总数</w:t>
      </w:r>
      <w:r>
        <w:rPr>
          <w:rFonts w:hint="eastAsia" w:ascii="Times New Roman" w:hAnsi="Times New Roman"/>
          <w:color w:val="auto"/>
          <w:sz w:val="24"/>
          <w:lang w:eastAsia="zh-CN"/>
        </w:rPr>
        <w:t>、K</w:t>
      </w:r>
      <w:r>
        <w:rPr>
          <w:rFonts w:hint="eastAsia" w:ascii="Times New Roman" w:hAnsi="Times New Roman"/>
          <w:color w:val="auto"/>
          <w:sz w:val="24"/>
          <w:vertAlign w:val="superscript"/>
          <w:lang w:eastAsia="zh-CN"/>
        </w:rPr>
        <w:t>+</w:t>
      </w:r>
      <w:r>
        <w:rPr>
          <w:rFonts w:hint="eastAsia" w:ascii="Times New Roman" w:hAnsi="Times New Roman"/>
          <w:color w:val="auto"/>
          <w:sz w:val="24"/>
          <w:lang w:eastAsia="zh-CN"/>
        </w:rPr>
        <w:t>、Na</w:t>
      </w:r>
      <w:r>
        <w:rPr>
          <w:rFonts w:hint="eastAsia" w:ascii="Times New Roman" w:hAnsi="Times New Roman"/>
          <w:color w:val="auto"/>
          <w:sz w:val="24"/>
          <w:vertAlign w:val="superscript"/>
          <w:lang w:eastAsia="zh-CN"/>
        </w:rPr>
        <w:t>+</w:t>
      </w:r>
      <w:r>
        <w:rPr>
          <w:rFonts w:hint="eastAsia" w:ascii="Times New Roman" w:hAnsi="Times New Roman"/>
          <w:color w:val="auto"/>
          <w:sz w:val="24"/>
          <w:lang w:eastAsia="zh-CN"/>
        </w:rPr>
        <w:t>、Ca</w:t>
      </w:r>
      <w:r>
        <w:rPr>
          <w:rFonts w:hint="eastAsia" w:ascii="Times New Roman" w:hAnsi="Times New Roman"/>
          <w:color w:val="auto"/>
          <w:sz w:val="24"/>
          <w:vertAlign w:val="superscript"/>
          <w:lang w:eastAsia="zh-CN"/>
        </w:rPr>
        <w:t>2+</w:t>
      </w:r>
      <w:r>
        <w:rPr>
          <w:rFonts w:hint="eastAsia" w:ascii="Times New Roman" w:hAnsi="Times New Roman"/>
          <w:color w:val="auto"/>
          <w:sz w:val="24"/>
          <w:lang w:eastAsia="zh-CN"/>
        </w:rPr>
        <w:t>、Mg</w:t>
      </w:r>
      <w:r>
        <w:rPr>
          <w:rFonts w:hint="eastAsia" w:ascii="Times New Roman" w:hAnsi="Times New Roman"/>
          <w:color w:val="auto"/>
          <w:sz w:val="24"/>
          <w:vertAlign w:val="superscript"/>
          <w:lang w:eastAsia="zh-CN"/>
        </w:rPr>
        <w:t>2+</w:t>
      </w:r>
      <w:r>
        <w:rPr>
          <w:rFonts w:hint="eastAsia" w:ascii="Times New Roman" w:hAnsi="Times New Roman"/>
          <w:color w:val="auto"/>
          <w:sz w:val="24"/>
          <w:lang w:eastAsia="zh-CN"/>
        </w:rPr>
        <w:t>、CO</w:t>
      </w:r>
      <w:r>
        <w:rPr>
          <w:rFonts w:hint="eastAsia" w:ascii="Times New Roman" w:hAnsi="Times New Roman"/>
          <w:color w:val="auto"/>
          <w:sz w:val="24"/>
          <w:vertAlign w:val="subscript"/>
          <w:lang w:eastAsia="zh-CN"/>
        </w:rPr>
        <w:t>3</w:t>
      </w:r>
      <w:r>
        <w:rPr>
          <w:rFonts w:hint="eastAsia" w:ascii="Times New Roman" w:hAnsi="Times New Roman"/>
          <w:color w:val="auto"/>
          <w:sz w:val="24"/>
          <w:vertAlign w:val="superscript"/>
          <w:lang w:eastAsia="zh-CN"/>
        </w:rPr>
        <w:t>2-</w:t>
      </w:r>
      <w:r>
        <w:rPr>
          <w:rFonts w:hint="eastAsia" w:ascii="Times New Roman" w:hAnsi="Times New Roman"/>
          <w:color w:val="auto"/>
          <w:sz w:val="24"/>
          <w:lang w:eastAsia="zh-CN"/>
        </w:rPr>
        <w:t>、HCO</w:t>
      </w:r>
      <w:r>
        <w:rPr>
          <w:rFonts w:hint="eastAsia" w:ascii="Times New Roman" w:hAnsi="Times New Roman"/>
          <w:color w:val="auto"/>
          <w:sz w:val="24"/>
          <w:vertAlign w:val="subscript"/>
          <w:lang w:eastAsia="zh-CN"/>
        </w:rPr>
        <w:t>3</w:t>
      </w:r>
      <w:r>
        <w:rPr>
          <w:rFonts w:hint="eastAsia" w:ascii="Times New Roman" w:hAnsi="Times New Roman"/>
          <w:color w:val="auto"/>
          <w:sz w:val="24"/>
          <w:lang w:eastAsia="zh-CN"/>
        </w:rPr>
        <w:t>-、Cl-、SO</w:t>
      </w:r>
      <w:r>
        <w:rPr>
          <w:rFonts w:hint="eastAsia" w:ascii="Times New Roman" w:hAnsi="Times New Roman"/>
          <w:color w:val="auto"/>
          <w:sz w:val="24"/>
          <w:vertAlign w:val="subscript"/>
          <w:lang w:eastAsia="zh-CN"/>
        </w:rPr>
        <w:t>4</w:t>
      </w:r>
      <w:r>
        <w:rPr>
          <w:rFonts w:hint="eastAsia" w:ascii="Times New Roman" w:hAnsi="Times New Roman"/>
          <w:color w:val="auto"/>
          <w:sz w:val="24"/>
          <w:vertAlign w:val="superscript"/>
          <w:lang w:eastAsia="zh-CN"/>
        </w:rPr>
        <w:t>2-</w:t>
      </w:r>
      <w:r>
        <w:rPr>
          <w:rFonts w:ascii="Times New Roman" w:hAnsi="Times New Roman"/>
          <w:snapToGrid/>
          <w:color w:val="auto"/>
          <w:sz w:val="24"/>
          <w:szCs w:val="24"/>
          <w:lang w:eastAsia="zh-CN"/>
        </w:rPr>
        <w:t>。</w:t>
      </w:r>
    </w:p>
    <w:p w14:paraId="4DC811E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本次环评水质现状监测项目及分析方法依照国家环保局颁布的《环境水质监测质量保证手册》与《水和废水监测分析方法》的规定进行。</w:t>
      </w:r>
    </w:p>
    <w:p w14:paraId="08B1A6E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（3）评价标准及评价方法</w:t>
      </w:r>
    </w:p>
    <w:p w14:paraId="067919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评价标准：本次地下水环境现状评价采用《地下水质量标准》（GB/T14848-2017）中Ⅲ类标准进行评价。</w:t>
      </w:r>
    </w:p>
    <w:p w14:paraId="035A53E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评价方法：采用标准指数法对监测结果进行评价。其单项水质参数i在第j点的标准指数为：</w:t>
      </w:r>
    </w:p>
    <w:p w14:paraId="3EB856DD">
      <w:pPr>
        <w:widowControl w:val="0"/>
        <w:shd w:val="clear"/>
        <w:kinsoku/>
        <w:autoSpaceDE/>
        <w:autoSpaceDN/>
        <w:adjustRightInd/>
        <w:snapToGrid/>
        <w:spacing w:before="141" w:line="206" w:lineRule="auto"/>
        <w:ind w:left="3965"/>
        <w:textAlignment w:val="auto"/>
        <w:rPr>
          <w:rFonts w:ascii="Times New Roman" w:hAnsi="Times New Roman" w:eastAsia="宋体" w:cs="Times New Roman"/>
          <w:snapToGrid/>
          <w:color w:val="auto"/>
          <w:sz w:val="16"/>
          <w:szCs w:val="16"/>
          <w:lang w:eastAsia="zh-CN"/>
        </w:rPr>
      </w:pPr>
      <w:r>
        <w:rPr>
          <w:rFonts w:ascii="Times New Roman" w:hAnsi="Times New Roman" w:eastAsia="宋体" w:cs="Times New Roman"/>
          <w:snapToGrid/>
          <w:color w:val="auto"/>
          <w:sz w:val="24"/>
          <w:szCs w:val="24"/>
          <w:lang w:eastAsia="zh-CN"/>
        </w:rPr>
        <w:t>S</w:t>
      </w:r>
      <w:r>
        <w:rPr>
          <w:rFonts w:ascii="Times New Roman" w:hAnsi="Times New Roman" w:eastAsia="宋体" w:cs="Times New Roman"/>
          <w:snapToGrid/>
          <w:color w:val="auto"/>
          <w:sz w:val="16"/>
          <w:szCs w:val="16"/>
          <w:lang w:eastAsia="zh-CN"/>
        </w:rPr>
        <w:t>ij</w:t>
      </w:r>
      <w:r>
        <w:rPr>
          <w:rFonts w:ascii="Times New Roman" w:hAnsi="Times New Roman" w:eastAsia="宋体" w:cs="Times New Roman"/>
          <w:snapToGrid/>
          <w:color w:val="auto"/>
          <w:sz w:val="24"/>
          <w:szCs w:val="24"/>
          <w:lang w:eastAsia="zh-CN"/>
        </w:rPr>
        <w:t>=C</w:t>
      </w:r>
      <w:r>
        <w:rPr>
          <w:rFonts w:ascii="Times New Roman" w:hAnsi="Times New Roman" w:eastAsia="宋体" w:cs="Times New Roman"/>
          <w:snapToGrid/>
          <w:color w:val="auto"/>
          <w:sz w:val="16"/>
          <w:szCs w:val="16"/>
          <w:lang w:eastAsia="zh-CN"/>
        </w:rPr>
        <w:t>ij</w:t>
      </w:r>
      <w:r>
        <w:rPr>
          <w:rFonts w:ascii="Times New Roman" w:hAnsi="Times New Roman" w:eastAsia="宋体" w:cs="Times New Roman"/>
          <w:snapToGrid/>
          <w:color w:val="auto"/>
          <w:sz w:val="24"/>
          <w:szCs w:val="24"/>
          <w:lang w:eastAsia="zh-CN"/>
        </w:rPr>
        <w:t>/C</w:t>
      </w:r>
      <w:r>
        <w:rPr>
          <w:rFonts w:ascii="Times New Roman" w:hAnsi="Times New Roman" w:eastAsia="宋体" w:cs="Times New Roman"/>
          <w:snapToGrid/>
          <w:color w:val="auto"/>
          <w:sz w:val="16"/>
          <w:szCs w:val="16"/>
          <w:lang w:eastAsia="zh-CN"/>
        </w:rPr>
        <w:t>si</w:t>
      </w:r>
    </w:p>
    <w:p w14:paraId="5446D91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对于以评价标准为区间值的水质参数（如：pH值为6.5-8.5）时，其计算公式为：</w:t>
      </w:r>
    </w:p>
    <w:p w14:paraId="2739ACF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1787525" cy="391160"/>
            <wp:effectExtent l="0" t="0" r="3175" b="889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64"/>
                    <a:stretch>
                      <a:fillRect/>
                    </a:stretch>
                  </pic:blipFill>
                  <pic:spPr>
                    <a:xfrm>
                      <a:off x="0" y="0"/>
                      <a:ext cx="1787659" cy="391217"/>
                    </a:xfrm>
                    <a:prstGeom prst="rect">
                      <a:avLst/>
                    </a:prstGeom>
                  </pic:spPr>
                </pic:pic>
              </a:graphicData>
            </a:graphic>
          </wp:inline>
        </w:drawing>
      </w:r>
    </w:p>
    <w:p w14:paraId="1093ABB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1758315" cy="364490"/>
            <wp:effectExtent l="0" t="0" r="13335" b="1651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65"/>
                    <a:stretch>
                      <a:fillRect/>
                    </a:stretch>
                  </pic:blipFill>
                  <pic:spPr>
                    <a:xfrm>
                      <a:off x="0" y="0"/>
                      <a:ext cx="1758644" cy="364869"/>
                    </a:xfrm>
                    <a:prstGeom prst="rect">
                      <a:avLst/>
                    </a:prstGeom>
                  </pic:spPr>
                </pic:pic>
              </a:graphicData>
            </a:graphic>
          </wp:inline>
        </w:drawing>
      </w:r>
    </w:p>
    <w:p w14:paraId="24666D5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式中：S</w:t>
      </w:r>
      <w:r>
        <w:rPr>
          <w:rFonts w:ascii="Times New Roman" w:hAnsi="Times New Roman"/>
          <w:snapToGrid/>
          <w:color w:val="auto"/>
          <w:sz w:val="24"/>
          <w:szCs w:val="24"/>
          <w:vertAlign w:val="subscript"/>
          <w:lang w:eastAsia="zh-CN"/>
        </w:rPr>
        <w:t>pH</w:t>
      </w:r>
      <w:r>
        <w:rPr>
          <w:rFonts w:hint="eastAsia" w:ascii="Times New Roman" w:hAnsi="Times New Roman"/>
          <w:snapToGrid/>
          <w:color w:val="auto"/>
          <w:sz w:val="24"/>
          <w:szCs w:val="24"/>
          <w:vertAlign w:val="subscript"/>
          <w:lang w:eastAsia="zh-CN"/>
        </w:rPr>
        <w:t>，</w:t>
      </w:r>
      <w:r>
        <w:rPr>
          <w:rFonts w:ascii="Times New Roman" w:hAnsi="Times New Roman"/>
          <w:snapToGrid/>
          <w:color w:val="auto"/>
          <w:sz w:val="24"/>
          <w:szCs w:val="24"/>
          <w:vertAlign w:val="subscript"/>
          <w:lang w:eastAsia="zh-CN"/>
        </w:rPr>
        <w:t>j</w:t>
      </w:r>
      <w:r>
        <w:rPr>
          <w:rFonts w:ascii="Times New Roman" w:hAnsi="Times New Roman"/>
          <w:snapToGrid/>
          <w:color w:val="auto"/>
          <w:sz w:val="24"/>
          <w:szCs w:val="24"/>
          <w:lang w:eastAsia="zh-CN"/>
        </w:rPr>
        <w:t>——pH标准指数；pH</w:t>
      </w:r>
      <w:r>
        <w:rPr>
          <w:rFonts w:ascii="Times New Roman" w:hAnsi="Times New Roman"/>
          <w:snapToGrid/>
          <w:color w:val="auto"/>
          <w:sz w:val="24"/>
          <w:szCs w:val="24"/>
          <w:vertAlign w:val="subscript"/>
          <w:lang w:eastAsia="zh-CN"/>
        </w:rPr>
        <w:t>j</w:t>
      </w:r>
      <w:r>
        <w:rPr>
          <w:rFonts w:ascii="Times New Roman" w:hAnsi="Times New Roman"/>
          <w:snapToGrid/>
          <w:color w:val="auto"/>
          <w:sz w:val="24"/>
          <w:szCs w:val="24"/>
          <w:lang w:eastAsia="zh-CN"/>
        </w:rPr>
        <w:t>——j点实测值；</w:t>
      </w:r>
    </w:p>
    <w:p w14:paraId="44CFD94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pH</w:t>
      </w:r>
      <w:r>
        <w:rPr>
          <w:rFonts w:ascii="Times New Roman" w:hAnsi="Times New Roman"/>
          <w:snapToGrid/>
          <w:color w:val="auto"/>
          <w:sz w:val="24"/>
          <w:szCs w:val="24"/>
          <w:vertAlign w:val="subscript"/>
          <w:lang w:eastAsia="zh-CN"/>
        </w:rPr>
        <w:t>sd</w:t>
      </w:r>
      <w:r>
        <w:rPr>
          <w:rFonts w:ascii="Times New Roman" w:hAnsi="Times New Roman"/>
          <w:snapToGrid/>
          <w:color w:val="auto"/>
          <w:sz w:val="24"/>
          <w:szCs w:val="24"/>
          <w:lang w:eastAsia="zh-CN"/>
        </w:rPr>
        <w:t>——标准中pH的下限值（6.5）；pH</w:t>
      </w:r>
      <w:r>
        <w:rPr>
          <w:rFonts w:ascii="Times New Roman" w:hAnsi="Times New Roman"/>
          <w:snapToGrid/>
          <w:color w:val="auto"/>
          <w:sz w:val="24"/>
          <w:szCs w:val="24"/>
          <w:vertAlign w:val="subscript"/>
          <w:lang w:eastAsia="zh-CN"/>
        </w:rPr>
        <w:t>su</w:t>
      </w:r>
      <w:r>
        <w:rPr>
          <w:rFonts w:ascii="Times New Roman" w:hAnsi="Times New Roman"/>
          <w:snapToGrid/>
          <w:color w:val="auto"/>
          <w:sz w:val="24"/>
          <w:szCs w:val="24"/>
          <w:lang w:eastAsia="zh-CN"/>
        </w:rPr>
        <w:t>——标准中pH的上限值（8.5）。</w:t>
      </w:r>
    </w:p>
    <w:p w14:paraId="47491D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（4）监测数据及评价结果</w:t>
      </w:r>
    </w:p>
    <w:p w14:paraId="2E0CC06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地下水水质监测数据以及评价结果见表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6</w:t>
      </w:r>
    </w:p>
    <w:p w14:paraId="38900829">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6</w:t>
      </w:r>
      <w:r>
        <w:rPr>
          <w:rFonts w:ascii="Times New Roman" w:hAnsi="Times New Roman"/>
          <w:b/>
          <w:bCs/>
          <w:snapToGrid/>
          <w:color w:val="auto"/>
          <w:sz w:val="24"/>
          <w:lang w:eastAsia="zh-CN"/>
        </w:rPr>
        <w:t>地下水评价单项因子污染指数结果单位mg/L</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91"/>
        <w:gridCol w:w="1551"/>
        <w:gridCol w:w="1351"/>
        <w:gridCol w:w="927"/>
        <w:gridCol w:w="897"/>
        <w:gridCol w:w="898"/>
        <w:gridCol w:w="789"/>
        <w:gridCol w:w="811"/>
        <w:gridCol w:w="791"/>
      </w:tblGrid>
      <w:tr w14:paraId="063C0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234" w:type="pct"/>
            <w:tcBorders>
              <w:tl2br w:val="nil"/>
              <w:tr2bl w:val="nil"/>
            </w:tcBorders>
            <w:vAlign w:val="center"/>
          </w:tcPr>
          <w:p w14:paraId="385732D1">
            <w:pPr>
              <w:widowControl w:val="0"/>
              <w:shd w:val="clear"/>
              <w:kinsoku/>
              <w:autoSpaceDE/>
              <w:autoSpaceDN/>
              <w:adjustRightInd/>
              <w:snapToGrid/>
              <w:spacing w:line="360" w:lineRule="auto"/>
              <w:jc w:val="center"/>
              <w:textAlignment w:val="auto"/>
              <w:rPr>
                <w:rFonts w:ascii="Times New Roman" w:hAnsi="Times New Roman" w:eastAsia="宋体" w:cs="宋体"/>
                <w:b/>
                <w:bCs/>
                <w:snapToGrid/>
                <w:color w:val="auto"/>
              </w:rPr>
            </w:pPr>
            <w:r>
              <w:rPr>
                <w:rFonts w:ascii="Times New Roman" w:hAnsi="Times New Roman" w:eastAsia="宋体" w:cs="宋体"/>
                <w:b/>
                <w:bCs/>
                <w:snapToGrid/>
                <w:color w:val="auto"/>
              </w:rPr>
              <w:t>序号</w:t>
            </w:r>
          </w:p>
        </w:tc>
        <w:tc>
          <w:tcPr>
            <w:tcW w:w="923" w:type="pct"/>
            <w:tcBorders>
              <w:tl2br w:val="nil"/>
              <w:tr2bl w:val="nil"/>
            </w:tcBorders>
            <w:vAlign w:val="center"/>
          </w:tcPr>
          <w:p w14:paraId="1DE95A39">
            <w:pPr>
              <w:widowControl w:val="0"/>
              <w:shd w:val="clear"/>
              <w:kinsoku/>
              <w:autoSpaceDE/>
              <w:autoSpaceDN/>
              <w:adjustRightInd/>
              <w:snapToGrid/>
              <w:spacing w:line="360" w:lineRule="auto"/>
              <w:jc w:val="center"/>
              <w:textAlignment w:val="auto"/>
              <w:rPr>
                <w:rFonts w:ascii="Times New Roman" w:hAnsi="Times New Roman" w:eastAsia="宋体" w:cs="宋体"/>
                <w:b/>
                <w:bCs/>
                <w:snapToGrid/>
                <w:color w:val="auto"/>
              </w:rPr>
            </w:pPr>
            <w:r>
              <w:rPr>
                <w:rFonts w:ascii="Times New Roman" w:hAnsi="Times New Roman" w:eastAsia="宋体" w:cs="宋体"/>
                <w:b/>
                <w:bCs/>
                <w:snapToGrid/>
                <w:color w:val="auto"/>
              </w:rPr>
              <w:t>监测项目</w:t>
            </w:r>
          </w:p>
        </w:tc>
        <w:tc>
          <w:tcPr>
            <w:tcW w:w="804" w:type="pct"/>
            <w:tcBorders>
              <w:tl2br w:val="nil"/>
              <w:tr2bl w:val="nil"/>
            </w:tcBorders>
            <w:vAlign w:val="center"/>
          </w:tcPr>
          <w:p w14:paraId="4DA5CD0A">
            <w:pPr>
              <w:pStyle w:val="37"/>
              <w:widowControl w:val="0"/>
              <w:shd w:val="clear"/>
              <w:kinsoku/>
              <w:autoSpaceDE/>
              <w:autoSpaceDN/>
              <w:adjustRightInd/>
              <w:snapToGrid/>
              <w:spacing w:line="360" w:lineRule="auto"/>
              <w:jc w:val="center"/>
              <w:textAlignment w:val="auto"/>
              <w:rPr>
                <w:rFonts w:eastAsia="宋体" w:cs="宋体"/>
                <w:b/>
                <w:bCs/>
                <w:snapToGrid/>
                <w:color w:val="auto"/>
              </w:rPr>
            </w:pPr>
            <w:r>
              <w:rPr>
                <w:rFonts w:eastAsia="宋体" w:cs="宋体"/>
                <w:b/>
                <w:bCs/>
                <w:snapToGrid/>
                <w:color w:val="auto"/>
              </w:rPr>
              <w:t>标准值（</w:t>
            </w:r>
            <w:r>
              <w:rPr>
                <w:rFonts w:eastAsia="宋体"/>
                <w:b/>
                <w:bCs/>
                <w:snapToGrid/>
                <w:color w:val="auto"/>
              </w:rPr>
              <w:t>mg/L</w:t>
            </w:r>
            <w:r>
              <w:rPr>
                <w:rFonts w:eastAsia="宋体" w:cs="宋体"/>
                <w:b/>
                <w:bCs/>
                <w:snapToGrid/>
                <w:color w:val="auto"/>
              </w:rPr>
              <w:t>）</w:t>
            </w:r>
          </w:p>
        </w:tc>
        <w:tc>
          <w:tcPr>
            <w:tcW w:w="553" w:type="pct"/>
            <w:tcBorders>
              <w:tl2br w:val="nil"/>
              <w:tr2bl w:val="nil"/>
            </w:tcBorders>
            <w:vAlign w:val="center"/>
          </w:tcPr>
          <w:p w14:paraId="42AFA2F1">
            <w:pPr>
              <w:pStyle w:val="37"/>
              <w:widowControl w:val="0"/>
              <w:shd w:val="clear"/>
              <w:kinsoku/>
              <w:autoSpaceDE/>
              <w:autoSpaceDN/>
              <w:adjustRightInd/>
              <w:snapToGrid/>
              <w:spacing w:line="360" w:lineRule="auto"/>
              <w:jc w:val="center"/>
              <w:textAlignment w:val="auto"/>
              <w:rPr>
                <w:rFonts w:eastAsia="宋体"/>
                <w:b/>
                <w:bCs/>
                <w:snapToGrid/>
                <w:color w:val="auto"/>
                <w:lang w:eastAsia="zh-CN"/>
              </w:rPr>
            </w:pPr>
            <w:r>
              <w:rPr>
                <w:rFonts w:hint="eastAsia" w:eastAsia="宋体"/>
                <w:b/>
                <w:bCs/>
                <w:snapToGrid/>
                <w:color w:val="auto"/>
                <w:lang w:eastAsia="zh-CN"/>
              </w:rPr>
              <w:t>1</w:t>
            </w:r>
          </w:p>
        </w:tc>
        <w:tc>
          <w:tcPr>
            <w:tcW w:w="535" w:type="pct"/>
            <w:tcBorders>
              <w:tl2br w:val="nil"/>
              <w:tr2bl w:val="nil"/>
            </w:tcBorders>
            <w:vAlign w:val="center"/>
          </w:tcPr>
          <w:p w14:paraId="43F99D61">
            <w:pPr>
              <w:pStyle w:val="37"/>
              <w:widowControl w:val="0"/>
              <w:shd w:val="clear"/>
              <w:kinsoku/>
              <w:autoSpaceDE/>
              <w:autoSpaceDN/>
              <w:adjustRightInd/>
              <w:snapToGrid/>
              <w:spacing w:line="360" w:lineRule="auto"/>
              <w:jc w:val="center"/>
              <w:textAlignment w:val="auto"/>
              <w:rPr>
                <w:rFonts w:hint="default" w:eastAsia="宋体"/>
                <w:b/>
                <w:bCs/>
                <w:snapToGrid/>
                <w:color w:val="auto"/>
                <w:lang w:val="en-US" w:eastAsia="zh-CN"/>
              </w:rPr>
            </w:pPr>
            <w:r>
              <w:rPr>
                <w:rFonts w:hint="eastAsia" w:eastAsia="宋体"/>
                <w:b/>
                <w:bCs/>
                <w:snapToGrid/>
                <w:color w:val="auto"/>
                <w:lang w:val="en-US" w:eastAsia="zh-CN"/>
              </w:rPr>
              <w:t>Pi</w:t>
            </w:r>
          </w:p>
        </w:tc>
        <w:tc>
          <w:tcPr>
            <w:tcW w:w="535" w:type="pct"/>
            <w:tcBorders>
              <w:tl2br w:val="nil"/>
              <w:tr2bl w:val="nil"/>
            </w:tcBorders>
            <w:vAlign w:val="center"/>
          </w:tcPr>
          <w:p w14:paraId="22B599EC">
            <w:pPr>
              <w:pStyle w:val="37"/>
              <w:widowControl w:val="0"/>
              <w:shd w:val="clear"/>
              <w:kinsoku/>
              <w:autoSpaceDE/>
              <w:autoSpaceDN/>
              <w:adjustRightInd/>
              <w:snapToGrid/>
              <w:spacing w:line="360" w:lineRule="auto"/>
              <w:jc w:val="center"/>
              <w:textAlignment w:val="auto"/>
              <w:rPr>
                <w:rFonts w:eastAsia="宋体"/>
                <w:b/>
                <w:bCs/>
                <w:snapToGrid/>
                <w:color w:val="auto"/>
                <w:lang w:eastAsia="zh-CN"/>
              </w:rPr>
            </w:pPr>
            <w:r>
              <w:rPr>
                <w:rFonts w:hint="eastAsia" w:eastAsia="宋体"/>
                <w:b/>
                <w:bCs/>
                <w:snapToGrid/>
                <w:color w:val="auto"/>
                <w:lang w:eastAsia="zh-CN"/>
              </w:rPr>
              <w:t>2</w:t>
            </w:r>
          </w:p>
        </w:tc>
        <w:tc>
          <w:tcPr>
            <w:tcW w:w="470" w:type="pct"/>
            <w:tcBorders>
              <w:tl2br w:val="nil"/>
              <w:tr2bl w:val="nil"/>
            </w:tcBorders>
            <w:vAlign w:val="center"/>
          </w:tcPr>
          <w:p w14:paraId="6C404BF8">
            <w:pPr>
              <w:pStyle w:val="37"/>
              <w:widowControl w:val="0"/>
              <w:shd w:val="clear"/>
              <w:kinsoku/>
              <w:autoSpaceDE/>
              <w:autoSpaceDN/>
              <w:adjustRightInd/>
              <w:snapToGrid/>
              <w:spacing w:line="360" w:lineRule="auto"/>
              <w:jc w:val="center"/>
              <w:textAlignment w:val="auto"/>
              <w:rPr>
                <w:rFonts w:hint="eastAsia" w:eastAsia="宋体"/>
                <w:b/>
                <w:bCs/>
                <w:snapToGrid/>
                <w:color w:val="auto"/>
                <w:lang w:eastAsia="zh-CN"/>
              </w:rPr>
            </w:pPr>
            <w:r>
              <w:rPr>
                <w:rFonts w:hint="eastAsia" w:eastAsia="宋体"/>
                <w:b/>
                <w:bCs/>
                <w:snapToGrid/>
                <w:color w:val="auto"/>
                <w:lang w:val="en-US" w:eastAsia="zh-CN"/>
              </w:rPr>
              <w:t>Pi</w:t>
            </w:r>
          </w:p>
        </w:tc>
        <w:tc>
          <w:tcPr>
            <w:tcW w:w="471" w:type="pct"/>
            <w:tcBorders>
              <w:tl2br w:val="nil"/>
              <w:tr2bl w:val="nil"/>
            </w:tcBorders>
            <w:vAlign w:val="center"/>
          </w:tcPr>
          <w:p w14:paraId="36953485">
            <w:pPr>
              <w:pStyle w:val="37"/>
              <w:widowControl w:val="0"/>
              <w:shd w:val="clear"/>
              <w:kinsoku/>
              <w:autoSpaceDE/>
              <w:autoSpaceDN/>
              <w:adjustRightInd/>
              <w:snapToGrid/>
              <w:spacing w:line="360" w:lineRule="auto"/>
              <w:jc w:val="center"/>
              <w:textAlignment w:val="auto"/>
              <w:rPr>
                <w:rFonts w:eastAsia="宋体"/>
                <w:b/>
                <w:bCs/>
                <w:snapToGrid/>
                <w:color w:val="auto"/>
                <w:lang w:eastAsia="zh-CN"/>
              </w:rPr>
            </w:pPr>
            <w:r>
              <w:rPr>
                <w:rFonts w:hint="eastAsia" w:eastAsia="宋体"/>
                <w:b/>
                <w:bCs/>
                <w:snapToGrid/>
                <w:color w:val="auto"/>
                <w:lang w:eastAsia="zh-CN"/>
              </w:rPr>
              <w:t>3</w:t>
            </w:r>
          </w:p>
        </w:tc>
        <w:tc>
          <w:tcPr>
            <w:tcW w:w="471" w:type="pct"/>
            <w:tcBorders>
              <w:tl2br w:val="nil"/>
              <w:tr2bl w:val="nil"/>
            </w:tcBorders>
            <w:vAlign w:val="center"/>
          </w:tcPr>
          <w:p w14:paraId="30584A24">
            <w:pPr>
              <w:pStyle w:val="37"/>
              <w:widowControl w:val="0"/>
              <w:shd w:val="clear"/>
              <w:kinsoku/>
              <w:autoSpaceDE/>
              <w:autoSpaceDN/>
              <w:adjustRightInd/>
              <w:snapToGrid/>
              <w:spacing w:line="360" w:lineRule="auto"/>
              <w:jc w:val="center"/>
              <w:textAlignment w:val="auto"/>
              <w:rPr>
                <w:rFonts w:eastAsia="宋体"/>
                <w:b/>
                <w:bCs/>
                <w:snapToGrid/>
                <w:color w:val="auto"/>
                <w:lang w:eastAsia="zh-CN"/>
              </w:rPr>
            </w:pPr>
            <w:r>
              <w:rPr>
                <w:rFonts w:hint="eastAsia" w:eastAsia="宋体"/>
                <w:b/>
                <w:bCs/>
                <w:snapToGrid/>
                <w:color w:val="auto"/>
                <w:lang w:val="en-US" w:eastAsia="zh-CN"/>
              </w:rPr>
              <w:t>Pi</w:t>
            </w:r>
          </w:p>
        </w:tc>
      </w:tr>
      <w:tr w14:paraId="5DD53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234" w:type="pct"/>
            <w:tcBorders>
              <w:tl2br w:val="nil"/>
              <w:tr2bl w:val="nil"/>
            </w:tcBorders>
            <w:vAlign w:val="center"/>
          </w:tcPr>
          <w:p w14:paraId="4CD72D9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923" w:type="pct"/>
            <w:tcBorders>
              <w:tl2br w:val="nil"/>
              <w:tr2bl w:val="nil"/>
            </w:tcBorders>
            <w:vAlign w:val="center"/>
          </w:tcPr>
          <w:p w14:paraId="1F52324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pH</w:t>
            </w:r>
          </w:p>
        </w:tc>
        <w:tc>
          <w:tcPr>
            <w:tcW w:w="804" w:type="pct"/>
            <w:tcBorders>
              <w:tl2br w:val="nil"/>
              <w:tr2bl w:val="nil"/>
            </w:tcBorders>
            <w:vAlign w:val="center"/>
          </w:tcPr>
          <w:p w14:paraId="2F36DCB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6.5-8.5</w:t>
            </w:r>
          </w:p>
        </w:tc>
        <w:tc>
          <w:tcPr>
            <w:tcW w:w="553" w:type="pct"/>
            <w:tcBorders>
              <w:tl2br w:val="nil"/>
              <w:tr2bl w:val="nil"/>
            </w:tcBorders>
            <w:vAlign w:val="center"/>
          </w:tcPr>
          <w:p w14:paraId="3678233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7.2</w:t>
            </w:r>
          </w:p>
        </w:tc>
        <w:tc>
          <w:tcPr>
            <w:tcW w:w="535" w:type="pct"/>
            <w:tcBorders>
              <w:tl2br w:val="nil"/>
              <w:tr2bl w:val="nil"/>
            </w:tcBorders>
            <w:vAlign w:val="center"/>
          </w:tcPr>
          <w:p w14:paraId="05EF168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205423F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7.3</w:t>
            </w:r>
          </w:p>
        </w:tc>
        <w:tc>
          <w:tcPr>
            <w:tcW w:w="470" w:type="pct"/>
            <w:tcBorders>
              <w:tl2br w:val="nil"/>
              <w:tr2bl w:val="nil"/>
            </w:tcBorders>
            <w:vAlign w:val="center"/>
          </w:tcPr>
          <w:p w14:paraId="019C1AD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470144E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7.3</w:t>
            </w:r>
          </w:p>
        </w:tc>
        <w:tc>
          <w:tcPr>
            <w:tcW w:w="471" w:type="pct"/>
            <w:tcBorders>
              <w:tl2br w:val="nil"/>
              <w:tr2bl w:val="nil"/>
            </w:tcBorders>
            <w:vAlign w:val="center"/>
          </w:tcPr>
          <w:p w14:paraId="66C8B8F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r>
      <w:tr w14:paraId="587F6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34" w:type="pct"/>
            <w:tcBorders>
              <w:tl2br w:val="nil"/>
              <w:tr2bl w:val="nil"/>
            </w:tcBorders>
            <w:vAlign w:val="center"/>
          </w:tcPr>
          <w:p w14:paraId="2920D58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2</w:t>
            </w:r>
          </w:p>
        </w:tc>
        <w:tc>
          <w:tcPr>
            <w:tcW w:w="923" w:type="pct"/>
            <w:tcBorders>
              <w:tl2br w:val="nil"/>
              <w:tr2bl w:val="nil"/>
            </w:tcBorders>
            <w:vAlign w:val="center"/>
          </w:tcPr>
          <w:p w14:paraId="15E0469F">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eastAsia="宋体"/>
                <w:color w:val="auto"/>
                <w:lang w:val="en-US" w:eastAsia="zh-CN"/>
              </w:rPr>
              <w:t>耗氧量</w:t>
            </w:r>
          </w:p>
        </w:tc>
        <w:tc>
          <w:tcPr>
            <w:tcW w:w="804" w:type="pct"/>
            <w:tcBorders>
              <w:tl2br w:val="nil"/>
              <w:tr2bl w:val="nil"/>
            </w:tcBorders>
            <w:vAlign w:val="center"/>
          </w:tcPr>
          <w:p w14:paraId="470E5C6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≤3.0</w:t>
            </w:r>
          </w:p>
        </w:tc>
        <w:tc>
          <w:tcPr>
            <w:tcW w:w="553" w:type="pct"/>
            <w:tcBorders>
              <w:tl2br w:val="nil"/>
              <w:tr2bl w:val="nil"/>
            </w:tcBorders>
            <w:vAlign w:val="center"/>
          </w:tcPr>
          <w:p w14:paraId="3C9FA1D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2.1</w:t>
            </w:r>
          </w:p>
        </w:tc>
        <w:tc>
          <w:tcPr>
            <w:tcW w:w="535" w:type="pct"/>
            <w:tcBorders>
              <w:tl2br w:val="nil"/>
              <w:tr2bl w:val="nil"/>
            </w:tcBorders>
            <w:vAlign w:val="center"/>
          </w:tcPr>
          <w:p w14:paraId="3CD69F7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w:t>
            </w:r>
          </w:p>
        </w:tc>
        <w:tc>
          <w:tcPr>
            <w:tcW w:w="535" w:type="pct"/>
            <w:tcBorders>
              <w:tl2br w:val="nil"/>
              <w:tr2bl w:val="nil"/>
            </w:tcBorders>
            <w:vAlign w:val="center"/>
          </w:tcPr>
          <w:p w14:paraId="45B61F1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w:t>
            </w:r>
          </w:p>
        </w:tc>
        <w:tc>
          <w:tcPr>
            <w:tcW w:w="470" w:type="pct"/>
            <w:tcBorders>
              <w:tl2br w:val="nil"/>
              <w:tr2bl w:val="nil"/>
            </w:tcBorders>
            <w:vAlign w:val="center"/>
          </w:tcPr>
          <w:p w14:paraId="79CD0E9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0.63</w:t>
            </w:r>
          </w:p>
        </w:tc>
        <w:tc>
          <w:tcPr>
            <w:tcW w:w="471" w:type="pct"/>
            <w:tcBorders>
              <w:tl2br w:val="nil"/>
              <w:tr2bl w:val="nil"/>
            </w:tcBorders>
            <w:vAlign w:val="center"/>
          </w:tcPr>
          <w:p w14:paraId="586C4AE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1.8</w:t>
            </w:r>
          </w:p>
        </w:tc>
        <w:tc>
          <w:tcPr>
            <w:tcW w:w="471" w:type="pct"/>
            <w:tcBorders>
              <w:tl2br w:val="nil"/>
              <w:tr2bl w:val="nil"/>
            </w:tcBorders>
            <w:vAlign w:val="center"/>
          </w:tcPr>
          <w:p w14:paraId="78DFDF9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0.6</w:t>
            </w:r>
          </w:p>
        </w:tc>
      </w:tr>
      <w:tr w14:paraId="21CFF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34" w:type="pct"/>
            <w:tcBorders>
              <w:tl2br w:val="nil"/>
              <w:tr2bl w:val="nil"/>
            </w:tcBorders>
            <w:vAlign w:val="center"/>
          </w:tcPr>
          <w:p w14:paraId="7A828D6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w:t>
            </w:r>
          </w:p>
        </w:tc>
        <w:tc>
          <w:tcPr>
            <w:tcW w:w="923" w:type="pct"/>
            <w:tcBorders>
              <w:tl2br w:val="nil"/>
              <w:tr2bl w:val="nil"/>
            </w:tcBorders>
            <w:vAlign w:val="center"/>
          </w:tcPr>
          <w:p w14:paraId="7B470B2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总硬度</w:t>
            </w:r>
          </w:p>
        </w:tc>
        <w:tc>
          <w:tcPr>
            <w:tcW w:w="804" w:type="pct"/>
            <w:tcBorders>
              <w:tl2br w:val="nil"/>
              <w:tr2bl w:val="nil"/>
            </w:tcBorders>
            <w:vAlign w:val="center"/>
          </w:tcPr>
          <w:p w14:paraId="29506F0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≤450</w:t>
            </w:r>
          </w:p>
        </w:tc>
        <w:tc>
          <w:tcPr>
            <w:tcW w:w="553" w:type="pct"/>
            <w:tcBorders>
              <w:tl2br w:val="nil"/>
              <w:tr2bl w:val="nil"/>
            </w:tcBorders>
            <w:vAlign w:val="center"/>
          </w:tcPr>
          <w:p w14:paraId="72D5E7B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98</w:t>
            </w:r>
          </w:p>
        </w:tc>
        <w:tc>
          <w:tcPr>
            <w:tcW w:w="535" w:type="pct"/>
            <w:tcBorders>
              <w:tl2br w:val="nil"/>
              <w:tr2bl w:val="nil"/>
            </w:tcBorders>
            <w:vAlign w:val="center"/>
          </w:tcPr>
          <w:p w14:paraId="031F499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0.22</w:t>
            </w:r>
          </w:p>
        </w:tc>
        <w:tc>
          <w:tcPr>
            <w:tcW w:w="535" w:type="pct"/>
            <w:tcBorders>
              <w:tl2br w:val="nil"/>
              <w:tr2bl w:val="nil"/>
            </w:tcBorders>
            <w:vAlign w:val="center"/>
          </w:tcPr>
          <w:p w14:paraId="603FDAC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92</w:t>
            </w:r>
          </w:p>
        </w:tc>
        <w:tc>
          <w:tcPr>
            <w:tcW w:w="470" w:type="pct"/>
            <w:tcBorders>
              <w:tl2br w:val="nil"/>
              <w:tr2bl w:val="nil"/>
            </w:tcBorders>
            <w:vAlign w:val="center"/>
          </w:tcPr>
          <w:p w14:paraId="6FA7AB0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0.20</w:t>
            </w:r>
          </w:p>
        </w:tc>
        <w:tc>
          <w:tcPr>
            <w:tcW w:w="471" w:type="pct"/>
            <w:tcBorders>
              <w:tl2br w:val="nil"/>
              <w:tr2bl w:val="nil"/>
            </w:tcBorders>
            <w:vAlign w:val="center"/>
          </w:tcPr>
          <w:p w14:paraId="72EE7A2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85</w:t>
            </w:r>
          </w:p>
        </w:tc>
        <w:tc>
          <w:tcPr>
            <w:tcW w:w="471" w:type="pct"/>
            <w:tcBorders>
              <w:tl2br w:val="nil"/>
              <w:tr2bl w:val="nil"/>
            </w:tcBorders>
            <w:vAlign w:val="center"/>
          </w:tcPr>
          <w:p w14:paraId="2C62119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0.19</w:t>
            </w:r>
          </w:p>
        </w:tc>
      </w:tr>
      <w:tr w14:paraId="50839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0BB7DC0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w:t>
            </w:r>
          </w:p>
        </w:tc>
        <w:tc>
          <w:tcPr>
            <w:tcW w:w="923" w:type="pct"/>
            <w:tcBorders>
              <w:tl2br w:val="nil"/>
              <w:tr2bl w:val="nil"/>
            </w:tcBorders>
            <w:vAlign w:val="center"/>
          </w:tcPr>
          <w:p w14:paraId="00D7AD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溶解性总固体</w:t>
            </w:r>
          </w:p>
        </w:tc>
        <w:tc>
          <w:tcPr>
            <w:tcW w:w="804" w:type="pct"/>
            <w:tcBorders>
              <w:tl2br w:val="nil"/>
              <w:tr2bl w:val="nil"/>
            </w:tcBorders>
            <w:vAlign w:val="center"/>
          </w:tcPr>
          <w:p w14:paraId="6C0E1E9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≤1000</w:t>
            </w:r>
          </w:p>
        </w:tc>
        <w:tc>
          <w:tcPr>
            <w:tcW w:w="553" w:type="pct"/>
            <w:tcBorders>
              <w:tl2br w:val="nil"/>
              <w:tr2bl w:val="nil"/>
            </w:tcBorders>
            <w:vAlign w:val="center"/>
          </w:tcPr>
          <w:p w14:paraId="61B7DD9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547</w:t>
            </w:r>
          </w:p>
        </w:tc>
        <w:tc>
          <w:tcPr>
            <w:tcW w:w="535" w:type="pct"/>
            <w:tcBorders>
              <w:tl2br w:val="nil"/>
              <w:tr2bl w:val="nil"/>
            </w:tcBorders>
            <w:vAlign w:val="center"/>
          </w:tcPr>
          <w:p w14:paraId="4E370F9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0.547</w:t>
            </w:r>
          </w:p>
        </w:tc>
        <w:tc>
          <w:tcPr>
            <w:tcW w:w="535" w:type="pct"/>
            <w:tcBorders>
              <w:tl2br w:val="nil"/>
              <w:tr2bl w:val="nil"/>
            </w:tcBorders>
            <w:vAlign w:val="center"/>
          </w:tcPr>
          <w:p w14:paraId="471186B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598</w:t>
            </w:r>
          </w:p>
        </w:tc>
        <w:tc>
          <w:tcPr>
            <w:tcW w:w="470" w:type="pct"/>
            <w:tcBorders>
              <w:tl2br w:val="nil"/>
              <w:tr2bl w:val="nil"/>
            </w:tcBorders>
            <w:vAlign w:val="center"/>
          </w:tcPr>
          <w:p w14:paraId="61EBA53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0.598</w:t>
            </w:r>
          </w:p>
        </w:tc>
        <w:tc>
          <w:tcPr>
            <w:tcW w:w="471" w:type="pct"/>
            <w:tcBorders>
              <w:tl2br w:val="nil"/>
              <w:tr2bl w:val="nil"/>
            </w:tcBorders>
            <w:vAlign w:val="center"/>
          </w:tcPr>
          <w:p w14:paraId="476ECB0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553</w:t>
            </w:r>
          </w:p>
        </w:tc>
        <w:tc>
          <w:tcPr>
            <w:tcW w:w="471" w:type="pct"/>
            <w:tcBorders>
              <w:tl2br w:val="nil"/>
              <w:tr2bl w:val="nil"/>
            </w:tcBorders>
            <w:vAlign w:val="center"/>
          </w:tcPr>
          <w:p w14:paraId="63D9B9F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0.553</w:t>
            </w:r>
          </w:p>
        </w:tc>
      </w:tr>
      <w:tr w14:paraId="6041A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234" w:type="pct"/>
            <w:tcBorders>
              <w:tl2br w:val="nil"/>
              <w:tr2bl w:val="nil"/>
            </w:tcBorders>
            <w:vAlign w:val="center"/>
          </w:tcPr>
          <w:p w14:paraId="632EA6C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5</w:t>
            </w:r>
          </w:p>
        </w:tc>
        <w:tc>
          <w:tcPr>
            <w:tcW w:w="923" w:type="pct"/>
            <w:tcBorders>
              <w:tl2br w:val="nil"/>
              <w:tr2bl w:val="nil"/>
            </w:tcBorders>
            <w:vAlign w:val="center"/>
          </w:tcPr>
          <w:p w14:paraId="3DE1E5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硝酸盐</w:t>
            </w:r>
          </w:p>
        </w:tc>
        <w:tc>
          <w:tcPr>
            <w:tcW w:w="804" w:type="pct"/>
            <w:tcBorders>
              <w:tl2br w:val="nil"/>
              <w:tr2bl w:val="nil"/>
            </w:tcBorders>
            <w:vAlign w:val="center"/>
          </w:tcPr>
          <w:p w14:paraId="029DBD9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≤20.0</w:t>
            </w:r>
          </w:p>
        </w:tc>
        <w:tc>
          <w:tcPr>
            <w:tcW w:w="553" w:type="pct"/>
            <w:tcBorders>
              <w:tl2br w:val="nil"/>
              <w:tr2bl w:val="nil"/>
            </w:tcBorders>
            <w:vAlign w:val="center"/>
          </w:tcPr>
          <w:p w14:paraId="108DCAD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0.482</w:t>
            </w:r>
          </w:p>
        </w:tc>
        <w:tc>
          <w:tcPr>
            <w:tcW w:w="535" w:type="pct"/>
            <w:tcBorders>
              <w:tl2br w:val="nil"/>
              <w:tr2bl w:val="nil"/>
            </w:tcBorders>
            <w:vAlign w:val="center"/>
          </w:tcPr>
          <w:p w14:paraId="553A848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0.024</w:t>
            </w:r>
          </w:p>
        </w:tc>
        <w:tc>
          <w:tcPr>
            <w:tcW w:w="535" w:type="pct"/>
            <w:tcBorders>
              <w:tl2br w:val="nil"/>
              <w:tr2bl w:val="nil"/>
            </w:tcBorders>
            <w:vAlign w:val="center"/>
          </w:tcPr>
          <w:p w14:paraId="4F7A75B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0.560</w:t>
            </w:r>
          </w:p>
        </w:tc>
        <w:tc>
          <w:tcPr>
            <w:tcW w:w="470" w:type="pct"/>
            <w:tcBorders>
              <w:tl2br w:val="nil"/>
              <w:tr2bl w:val="nil"/>
            </w:tcBorders>
            <w:vAlign w:val="center"/>
          </w:tcPr>
          <w:p w14:paraId="4448036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0.028</w:t>
            </w:r>
          </w:p>
        </w:tc>
        <w:tc>
          <w:tcPr>
            <w:tcW w:w="471" w:type="pct"/>
            <w:tcBorders>
              <w:tl2br w:val="nil"/>
              <w:tr2bl w:val="nil"/>
            </w:tcBorders>
            <w:vAlign w:val="center"/>
          </w:tcPr>
          <w:p w14:paraId="272C73C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0.671</w:t>
            </w:r>
          </w:p>
        </w:tc>
        <w:tc>
          <w:tcPr>
            <w:tcW w:w="471" w:type="pct"/>
            <w:tcBorders>
              <w:tl2br w:val="nil"/>
              <w:tr2bl w:val="nil"/>
            </w:tcBorders>
            <w:vAlign w:val="center"/>
          </w:tcPr>
          <w:p w14:paraId="6F99951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0.034</w:t>
            </w:r>
          </w:p>
        </w:tc>
      </w:tr>
      <w:tr w14:paraId="3DF9D3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3F8B1D2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6</w:t>
            </w:r>
          </w:p>
        </w:tc>
        <w:tc>
          <w:tcPr>
            <w:tcW w:w="923" w:type="pct"/>
            <w:tcBorders>
              <w:tl2br w:val="nil"/>
              <w:tr2bl w:val="nil"/>
            </w:tcBorders>
            <w:vAlign w:val="center"/>
          </w:tcPr>
          <w:p w14:paraId="5B8DB2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亚硝酸盐氮</w:t>
            </w:r>
          </w:p>
        </w:tc>
        <w:tc>
          <w:tcPr>
            <w:tcW w:w="804" w:type="pct"/>
            <w:tcBorders>
              <w:tl2br w:val="nil"/>
              <w:tr2bl w:val="nil"/>
            </w:tcBorders>
            <w:vAlign w:val="center"/>
          </w:tcPr>
          <w:p w14:paraId="47ACB82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≤1.00</w:t>
            </w:r>
          </w:p>
        </w:tc>
        <w:tc>
          <w:tcPr>
            <w:tcW w:w="553" w:type="pct"/>
            <w:tcBorders>
              <w:tl2br w:val="nil"/>
              <w:tr2bl w:val="nil"/>
            </w:tcBorders>
            <w:vAlign w:val="center"/>
          </w:tcPr>
          <w:p w14:paraId="5D073BE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&lt;0.003</w:t>
            </w:r>
          </w:p>
        </w:tc>
        <w:tc>
          <w:tcPr>
            <w:tcW w:w="535" w:type="pct"/>
            <w:tcBorders>
              <w:tl2br w:val="nil"/>
              <w:tr2bl w:val="nil"/>
            </w:tcBorders>
            <w:vAlign w:val="center"/>
          </w:tcPr>
          <w:p w14:paraId="3F4B0DB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0.003</w:t>
            </w:r>
          </w:p>
        </w:tc>
        <w:tc>
          <w:tcPr>
            <w:tcW w:w="535" w:type="pct"/>
            <w:tcBorders>
              <w:tl2br w:val="nil"/>
              <w:tr2bl w:val="nil"/>
            </w:tcBorders>
            <w:vAlign w:val="center"/>
          </w:tcPr>
          <w:p w14:paraId="4735E08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&lt;0.003</w:t>
            </w:r>
          </w:p>
        </w:tc>
        <w:tc>
          <w:tcPr>
            <w:tcW w:w="470" w:type="pct"/>
            <w:tcBorders>
              <w:tl2br w:val="nil"/>
              <w:tr2bl w:val="nil"/>
            </w:tcBorders>
            <w:vAlign w:val="center"/>
          </w:tcPr>
          <w:p w14:paraId="422C8F1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0.003</w:t>
            </w:r>
          </w:p>
        </w:tc>
        <w:tc>
          <w:tcPr>
            <w:tcW w:w="471" w:type="pct"/>
            <w:tcBorders>
              <w:tl2br w:val="nil"/>
              <w:tr2bl w:val="nil"/>
            </w:tcBorders>
            <w:vAlign w:val="center"/>
          </w:tcPr>
          <w:p w14:paraId="5F5CB6E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&lt;0.003</w:t>
            </w:r>
          </w:p>
        </w:tc>
        <w:tc>
          <w:tcPr>
            <w:tcW w:w="471" w:type="pct"/>
            <w:tcBorders>
              <w:tl2br w:val="nil"/>
              <w:tr2bl w:val="nil"/>
            </w:tcBorders>
            <w:vAlign w:val="center"/>
          </w:tcPr>
          <w:p w14:paraId="1BDD1E4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0.003</w:t>
            </w:r>
          </w:p>
        </w:tc>
      </w:tr>
      <w:tr w14:paraId="0163D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234" w:type="pct"/>
            <w:tcBorders>
              <w:tl2br w:val="nil"/>
              <w:tr2bl w:val="nil"/>
            </w:tcBorders>
            <w:vAlign w:val="center"/>
          </w:tcPr>
          <w:p w14:paraId="7B358CA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7</w:t>
            </w:r>
          </w:p>
        </w:tc>
        <w:tc>
          <w:tcPr>
            <w:tcW w:w="923" w:type="pct"/>
            <w:tcBorders>
              <w:tl2br w:val="nil"/>
              <w:tr2bl w:val="nil"/>
            </w:tcBorders>
            <w:vAlign w:val="center"/>
          </w:tcPr>
          <w:p w14:paraId="6EC63E7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氨氮</w:t>
            </w:r>
          </w:p>
        </w:tc>
        <w:tc>
          <w:tcPr>
            <w:tcW w:w="804" w:type="pct"/>
            <w:tcBorders>
              <w:tl2br w:val="nil"/>
              <w:tr2bl w:val="nil"/>
            </w:tcBorders>
            <w:vAlign w:val="center"/>
          </w:tcPr>
          <w:p w14:paraId="62330A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≤0.5</w:t>
            </w:r>
          </w:p>
        </w:tc>
        <w:tc>
          <w:tcPr>
            <w:tcW w:w="553" w:type="pct"/>
            <w:tcBorders>
              <w:tl2br w:val="nil"/>
              <w:tr2bl w:val="nil"/>
            </w:tcBorders>
            <w:vAlign w:val="center"/>
          </w:tcPr>
          <w:p w14:paraId="1BD49C6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0.353</w:t>
            </w:r>
          </w:p>
        </w:tc>
        <w:tc>
          <w:tcPr>
            <w:tcW w:w="535" w:type="pct"/>
            <w:tcBorders>
              <w:tl2br w:val="nil"/>
              <w:tr2bl w:val="nil"/>
            </w:tcBorders>
            <w:vAlign w:val="center"/>
          </w:tcPr>
          <w:p w14:paraId="64141D4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0.706</w:t>
            </w:r>
          </w:p>
        </w:tc>
        <w:tc>
          <w:tcPr>
            <w:tcW w:w="535" w:type="pct"/>
            <w:tcBorders>
              <w:tl2br w:val="nil"/>
              <w:tr2bl w:val="nil"/>
            </w:tcBorders>
            <w:vAlign w:val="center"/>
          </w:tcPr>
          <w:p w14:paraId="24909E1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0.355</w:t>
            </w:r>
          </w:p>
        </w:tc>
        <w:tc>
          <w:tcPr>
            <w:tcW w:w="470" w:type="pct"/>
            <w:tcBorders>
              <w:tl2br w:val="nil"/>
              <w:tr2bl w:val="nil"/>
            </w:tcBorders>
            <w:vAlign w:val="center"/>
          </w:tcPr>
          <w:p w14:paraId="38F0A0F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0.71</w:t>
            </w:r>
          </w:p>
        </w:tc>
        <w:tc>
          <w:tcPr>
            <w:tcW w:w="471" w:type="pct"/>
            <w:tcBorders>
              <w:tl2br w:val="nil"/>
              <w:tr2bl w:val="nil"/>
            </w:tcBorders>
            <w:vAlign w:val="center"/>
          </w:tcPr>
          <w:p w14:paraId="1A9EEEE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0.327</w:t>
            </w:r>
          </w:p>
        </w:tc>
        <w:tc>
          <w:tcPr>
            <w:tcW w:w="471" w:type="pct"/>
            <w:tcBorders>
              <w:tl2br w:val="nil"/>
              <w:tr2bl w:val="nil"/>
            </w:tcBorders>
            <w:vAlign w:val="center"/>
          </w:tcPr>
          <w:p w14:paraId="5F3A460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0.654</w:t>
            </w:r>
          </w:p>
        </w:tc>
      </w:tr>
      <w:tr w14:paraId="4511B2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0DF6A520">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8</w:t>
            </w:r>
          </w:p>
        </w:tc>
        <w:tc>
          <w:tcPr>
            <w:tcW w:w="923" w:type="pct"/>
            <w:tcBorders>
              <w:tl2br w:val="nil"/>
              <w:tr2bl w:val="nil"/>
            </w:tcBorders>
            <w:vAlign w:val="center"/>
          </w:tcPr>
          <w:p w14:paraId="784C8C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挥发酚</w:t>
            </w:r>
          </w:p>
        </w:tc>
        <w:tc>
          <w:tcPr>
            <w:tcW w:w="804" w:type="pct"/>
            <w:tcBorders>
              <w:tl2br w:val="nil"/>
              <w:tr2bl w:val="nil"/>
            </w:tcBorders>
            <w:vAlign w:val="center"/>
          </w:tcPr>
          <w:p w14:paraId="35745A3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≤0.002</w:t>
            </w:r>
          </w:p>
        </w:tc>
        <w:tc>
          <w:tcPr>
            <w:tcW w:w="553" w:type="pct"/>
            <w:tcBorders>
              <w:tl2br w:val="nil"/>
              <w:tr2bl w:val="nil"/>
            </w:tcBorders>
            <w:vAlign w:val="center"/>
          </w:tcPr>
          <w:p w14:paraId="16634D5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535" w:type="pct"/>
            <w:tcBorders>
              <w:tl2br w:val="nil"/>
              <w:tr2bl w:val="nil"/>
            </w:tcBorders>
            <w:vAlign w:val="center"/>
          </w:tcPr>
          <w:p w14:paraId="6AA20EB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0.15</w:t>
            </w:r>
          </w:p>
        </w:tc>
        <w:tc>
          <w:tcPr>
            <w:tcW w:w="535" w:type="pct"/>
            <w:tcBorders>
              <w:tl2br w:val="nil"/>
              <w:tr2bl w:val="nil"/>
            </w:tcBorders>
            <w:vAlign w:val="center"/>
          </w:tcPr>
          <w:p w14:paraId="57551334">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470" w:type="pct"/>
            <w:tcBorders>
              <w:tl2br w:val="nil"/>
              <w:tr2bl w:val="nil"/>
            </w:tcBorders>
            <w:vAlign w:val="center"/>
          </w:tcPr>
          <w:p w14:paraId="6F0EE37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0.15</w:t>
            </w:r>
          </w:p>
        </w:tc>
        <w:tc>
          <w:tcPr>
            <w:tcW w:w="471" w:type="pct"/>
            <w:tcBorders>
              <w:tl2br w:val="nil"/>
              <w:tr2bl w:val="nil"/>
            </w:tcBorders>
            <w:vAlign w:val="center"/>
          </w:tcPr>
          <w:p w14:paraId="4D39598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471" w:type="pct"/>
            <w:tcBorders>
              <w:tl2br w:val="nil"/>
              <w:tr2bl w:val="nil"/>
            </w:tcBorders>
            <w:vAlign w:val="center"/>
          </w:tcPr>
          <w:p w14:paraId="65E5270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0.15</w:t>
            </w:r>
          </w:p>
        </w:tc>
      </w:tr>
      <w:tr w14:paraId="52EE8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34" w:type="pct"/>
            <w:tcBorders>
              <w:tl2br w:val="nil"/>
              <w:tr2bl w:val="nil"/>
            </w:tcBorders>
            <w:vAlign w:val="center"/>
          </w:tcPr>
          <w:p w14:paraId="16895CF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w:t>
            </w:r>
          </w:p>
        </w:tc>
        <w:tc>
          <w:tcPr>
            <w:tcW w:w="923" w:type="pct"/>
            <w:tcBorders>
              <w:tl2br w:val="nil"/>
              <w:tr2bl w:val="nil"/>
            </w:tcBorders>
            <w:vAlign w:val="center"/>
          </w:tcPr>
          <w:p w14:paraId="58C024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氰化物</w:t>
            </w:r>
          </w:p>
        </w:tc>
        <w:tc>
          <w:tcPr>
            <w:tcW w:w="804" w:type="pct"/>
            <w:tcBorders>
              <w:tl2br w:val="nil"/>
              <w:tr2bl w:val="nil"/>
            </w:tcBorders>
            <w:vAlign w:val="center"/>
          </w:tcPr>
          <w:p w14:paraId="63B5E96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≤0.05</w:t>
            </w:r>
          </w:p>
        </w:tc>
        <w:tc>
          <w:tcPr>
            <w:tcW w:w="553" w:type="pct"/>
            <w:tcBorders>
              <w:tl2br w:val="nil"/>
              <w:tr2bl w:val="nil"/>
            </w:tcBorders>
            <w:vAlign w:val="center"/>
          </w:tcPr>
          <w:p w14:paraId="254D214A">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535" w:type="pct"/>
            <w:tcBorders>
              <w:tl2br w:val="nil"/>
              <w:tr2bl w:val="nil"/>
            </w:tcBorders>
            <w:vAlign w:val="center"/>
          </w:tcPr>
          <w:p w14:paraId="5587C0B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w:t>
            </w:r>
          </w:p>
        </w:tc>
        <w:tc>
          <w:tcPr>
            <w:tcW w:w="535" w:type="pct"/>
            <w:tcBorders>
              <w:tl2br w:val="nil"/>
              <w:tr2bl w:val="nil"/>
            </w:tcBorders>
            <w:vAlign w:val="center"/>
          </w:tcPr>
          <w:p w14:paraId="3B0AA2DD">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470" w:type="pct"/>
            <w:tcBorders>
              <w:tl2br w:val="nil"/>
              <w:tr2bl w:val="nil"/>
            </w:tcBorders>
            <w:vAlign w:val="center"/>
          </w:tcPr>
          <w:p w14:paraId="7FD92E2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w:t>
            </w:r>
          </w:p>
        </w:tc>
        <w:tc>
          <w:tcPr>
            <w:tcW w:w="471" w:type="pct"/>
            <w:tcBorders>
              <w:tl2br w:val="nil"/>
              <w:tr2bl w:val="nil"/>
            </w:tcBorders>
            <w:vAlign w:val="center"/>
          </w:tcPr>
          <w:p w14:paraId="57178540">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471" w:type="pct"/>
            <w:tcBorders>
              <w:tl2br w:val="nil"/>
              <w:tr2bl w:val="nil"/>
            </w:tcBorders>
            <w:vAlign w:val="center"/>
          </w:tcPr>
          <w:p w14:paraId="05BAF8B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0.08</w:t>
            </w:r>
          </w:p>
        </w:tc>
      </w:tr>
      <w:tr w14:paraId="124C1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05977A4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10</w:t>
            </w:r>
          </w:p>
        </w:tc>
        <w:tc>
          <w:tcPr>
            <w:tcW w:w="923" w:type="pct"/>
            <w:tcBorders>
              <w:tl2br w:val="nil"/>
              <w:tr2bl w:val="nil"/>
            </w:tcBorders>
            <w:vAlign w:val="center"/>
          </w:tcPr>
          <w:p w14:paraId="16639C7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氯化物</w:t>
            </w:r>
          </w:p>
        </w:tc>
        <w:tc>
          <w:tcPr>
            <w:tcW w:w="804" w:type="pct"/>
            <w:tcBorders>
              <w:tl2br w:val="nil"/>
              <w:tr2bl w:val="nil"/>
            </w:tcBorders>
            <w:vAlign w:val="center"/>
          </w:tcPr>
          <w:p w14:paraId="1AE18A5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≤250</w:t>
            </w:r>
          </w:p>
        </w:tc>
        <w:tc>
          <w:tcPr>
            <w:tcW w:w="553" w:type="pct"/>
            <w:tcBorders>
              <w:tl2br w:val="nil"/>
              <w:tr2bl w:val="nil"/>
            </w:tcBorders>
            <w:vAlign w:val="center"/>
          </w:tcPr>
          <w:p w14:paraId="0FDE0DA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146</w:t>
            </w:r>
          </w:p>
        </w:tc>
        <w:tc>
          <w:tcPr>
            <w:tcW w:w="535" w:type="pct"/>
            <w:tcBorders>
              <w:tl2br w:val="nil"/>
              <w:tr2bl w:val="nil"/>
            </w:tcBorders>
            <w:vAlign w:val="center"/>
          </w:tcPr>
          <w:p w14:paraId="437DAFD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0.584</w:t>
            </w:r>
          </w:p>
        </w:tc>
        <w:tc>
          <w:tcPr>
            <w:tcW w:w="535" w:type="pct"/>
            <w:tcBorders>
              <w:tl2br w:val="nil"/>
              <w:tr2bl w:val="nil"/>
            </w:tcBorders>
            <w:vAlign w:val="center"/>
          </w:tcPr>
          <w:p w14:paraId="71F0947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160</w:t>
            </w:r>
          </w:p>
        </w:tc>
        <w:tc>
          <w:tcPr>
            <w:tcW w:w="470" w:type="pct"/>
            <w:tcBorders>
              <w:tl2br w:val="nil"/>
              <w:tr2bl w:val="nil"/>
            </w:tcBorders>
            <w:vAlign w:val="center"/>
          </w:tcPr>
          <w:p w14:paraId="6A15772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0.64</w:t>
            </w:r>
          </w:p>
        </w:tc>
        <w:tc>
          <w:tcPr>
            <w:tcW w:w="471" w:type="pct"/>
            <w:tcBorders>
              <w:tl2br w:val="nil"/>
              <w:tr2bl w:val="nil"/>
            </w:tcBorders>
            <w:vAlign w:val="center"/>
          </w:tcPr>
          <w:p w14:paraId="54249CB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155</w:t>
            </w:r>
          </w:p>
        </w:tc>
        <w:tc>
          <w:tcPr>
            <w:tcW w:w="471" w:type="pct"/>
            <w:tcBorders>
              <w:tl2br w:val="nil"/>
              <w:tr2bl w:val="nil"/>
            </w:tcBorders>
            <w:vAlign w:val="center"/>
          </w:tcPr>
          <w:p w14:paraId="3AD9054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0.62</w:t>
            </w:r>
          </w:p>
        </w:tc>
      </w:tr>
      <w:tr w14:paraId="0A4FA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234" w:type="pct"/>
            <w:tcBorders>
              <w:tl2br w:val="nil"/>
              <w:tr2bl w:val="nil"/>
            </w:tcBorders>
            <w:vAlign w:val="center"/>
          </w:tcPr>
          <w:p w14:paraId="7A1813B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11</w:t>
            </w:r>
          </w:p>
        </w:tc>
        <w:tc>
          <w:tcPr>
            <w:tcW w:w="923" w:type="pct"/>
            <w:tcBorders>
              <w:tl2br w:val="nil"/>
              <w:tr2bl w:val="nil"/>
            </w:tcBorders>
            <w:vAlign w:val="center"/>
          </w:tcPr>
          <w:p w14:paraId="7730370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硫酸盐</w:t>
            </w:r>
          </w:p>
        </w:tc>
        <w:tc>
          <w:tcPr>
            <w:tcW w:w="804" w:type="pct"/>
            <w:tcBorders>
              <w:tl2br w:val="nil"/>
              <w:tr2bl w:val="nil"/>
            </w:tcBorders>
            <w:vAlign w:val="center"/>
          </w:tcPr>
          <w:p w14:paraId="67FA527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≤250</w:t>
            </w:r>
          </w:p>
        </w:tc>
        <w:tc>
          <w:tcPr>
            <w:tcW w:w="553" w:type="pct"/>
            <w:tcBorders>
              <w:tl2br w:val="nil"/>
              <w:tr2bl w:val="nil"/>
            </w:tcBorders>
            <w:vAlign w:val="center"/>
          </w:tcPr>
          <w:p w14:paraId="49E3355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192</w:t>
            </w:r>
          </w:p>
        </w:tc>
        <w:tc>
          <w:tcPr>
            <w:tcW w:w="535" w:type="pct"/>
            <w:tcBorders>
              <w:tl2br w:val="nil"/>
              <w:tr2bl w:val="nil"/>
            </w:tcBorders>
            <w:vAlign w:val="center"/>
          </w:tcPr>
          <w:p w14:paraId="24D3C81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0.768</w:t>
            </w:r>
          </w:p>
        </w:tc>
        <w:tc>
          <w:tcPr>
            <w:tcW w:w="535" w:type="pct"/>
            <w:tcBorders>
              <w:tl2br w:val="nil"/>
              <w:tr2bl w:val="nil"/>
            </w:tcBorders>
            <w:vAlign w:val="center"/>
          </w:tcPr>
          <w:p w14:paraId="37621B9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195</w:t>
            </w:r>
          </w:p>
        </w:tc>
        <w:tc>
          <w:tcPr>
            <w:tcW w:w="470" w:type="pct"/>
            <w:tcBorders>
              <w:tl2br w:val="nil"/>
              <w:tr2bl w:val="nil"/>
            </w:tcBorders>
            <w:vAlign w:val="center"/>
          </w:tcPr>
          <w:p w14:paraId="53488DF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0.78</w:t>
            </w:r>
          </w:p>
        </w:tc>
        <w:tc>
          <w:tcPr>
            <w:tcW w:w="471" w:type="pct"/>
            <w:tcBorders>
              <w:tl2br w:val="nil"/>
              <w:tr2bl w:val="nil"/>
            </w:tcBorders>
            <w:vAlign w:val="center"/>
          </w:tcPr>
          <w:p w14:paraId="1EC508E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203</w:t>
            </w:r>
          </w:p>
        </w:tc>
        <w:tc>
          <w:tcPr>
            <w:tcW w:w="471" w:type="pct"/>
            <w:tcBorders>
              <w:tl2br w:val="nil"/>
              <w:tr2bl w:val="nil"/>
            </w:tcBorders>
            <w:vAlign w:val="center"/>
          </w:tcPr>
          <w:p w14:paraId="7865D3B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eastAsia="zh-CN"/>
              </w:rPr>
              <w:t>0.81</w:t>
            </w:r>
            <w:r>
              <w:rPr>
                <w:rFonts w:hint="eastAsia" w:eastAsia="宋体"/>
                <w:snapToGrid/>
                <w:color w:val="auto"/>
                <w:lang w:val="en-US" w:eastAsia="zh-CN"/>
              </w:rPr>
              <w:t>2</w:t>
            </w:r>
          </w:p>
        </w:tc>
      </w:tr>
      <w:tr w14:paraId="4C1A90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234" w:type="pct"/>
            <w:tcBorders>
              <w:tl2br w:val="nil"/>
              <w:tr2bl w:val="nil"/>
            </w:tcBorders>
            <w:vAlign w:val="center"/>
          </w:tcPr>
          <w:p w14:paraId="76F1AF6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12</w:t>
            </w:r>
          </w:p>
        </w:tc>
        <w:tc>
          <w:tcPr>
            <w:tcW w:w="923" w:type="pct"/>
            <w:tcBorders>
              <w:tl2br w:val="nil"/>
              <w:tr2bl w:val="nil"/>
            </w:tcBorders>
            <w:vAlign w:val="center"/>
          </w:tcPr>
          <w:p w14:paraId="331C43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氟化物</w:t>
            </w:r>
          </w:p>
        </w:tc>
        <w:tc>
          <w:tcPr>
            <w:tcW w:w="804" w:type="pct"/>
            <w:tcBorders>
              <w:tl2br w:val="nil"/>
              <w:tr2bl w:val="nil"/>
            </w:tcBorders>
            <w:vAlign w:val="center"/>
          </w:tcPr>
          <w:p w14:paraId="1B05BBB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≤1.0</w:t>
            </w:r>
          </w:p>
        </w:tc>
        <w:tc>
          <w:tcPr>
            <w:tcW w:w="553" w:type="pct"/>
            <w:tcBorders>
              <w:tl2br w:val="nil"/>
              <w:tr2bl w:val="nil"/>
            </w:tcBorders>
            <w:vAlign w:val="center"/>
          </w:tcPr>
          <w:p w14:paraId="6E0BB79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0.474</w:t>
            </w:r>
          </w:p>
        </w:tc>
        <w:tc>
          <w:tcPr>
            <w:tcW w:w="535" w:type="pct"/>
            <w:tcBorders>
              <w:tl2br w:val="nil"/>
              <w:tr2bl w:val="nil"/>
            </w:tcBorders>
            <w:vAlign w:val="center"/>
          </w:tcPr>
          <w:p w14:paraId="1F2ACFE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0.474</w:t>
            </w:r>
          </w:p>
        </w:tc>
        <w:tc>
          <w:tcPr>
            <w:tcW w:w="535" w:type="pct"/>
            <w:tcBorders>
              <w:tl2br w:val="nil"/>
              <w:tr2bl w:val="nil"/>
            </w:tcBorders>
            <w:vAlign w:val="center"/>
          </w:tcPr>
          <w:p w14:paraId="299FB5E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0.510</w:t>
            </w:r>
          </w:p>
        </w:tc>
        <w:tc>
          <w:tcPr>
            <w:tcW w:w="470" w:type="pct"/>
            <w:tcBorders>
              <w:tl2br w:val="nil"/>
              <w:tr2bl w:val="nil"/>
            </w:tcBorders>
            <w:vAlign w:val="center"/>
          </w:tcPr>
          <w:p w14:paraId="36089B0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0.51</w:t>
            </w:r>
          </w:p>
        </w:tc>
        <w:tc>
          <w:tcPr>
            <w:tcW w:w="471" w:type="pct"/>
            <w:tcBorders>
              <w:tl2br w:val="nil"/>
              <w:tr2bl w:val="nil"/>
            </w:tcBorders>
            <w:vAlign w:val="center"/>
          </w:tcPr>
          <w:p w14:paraId="614048A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0.472</w:t>
            </w:r>
          </w:p>
        </w:tc>
        <w:tc>
          <w:tcPr>
            <w:tcW w:w="471" w:type="pct"/>
            <w:tcBorders>
              <w:tl2br w:val="nil"/>
              <w:tr2bl w:val="nil"/>
            </w:tcBorders>
            <w:vAlign w:val="center"/>
          </w:tcPr>
          <w:p w14:paraId="4125CF3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0.472</w:t>
            </w:r>
          </w:p>
        </w:tc>
      </w:tr>
      <w:tr w14:paraId="5C2F0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659490B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13</w:t>
            </w:r>
          </w:p>
        </w:tc>
        <w:tc>
          <w:tcPr>
            <w:tcW w:w="923" w:type="pct"/>
            <w:tcBorders>
              <w:tl2br w:val="nil"/>
              <w:tr2bl w:val="nil"/>
            </w:tcBorders>
            <w:vAlign w:val="center"/>
          </w:tcPr>
          <w:p w14:paraId="49D2B7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六价铬</w:t>
            </w:r>
          </w:p>
        </w:tc>
        <w:tc>
          <w:tcPr>
            <w:tcW w:w="804" w:type="pct"/>
            <w:tcBorders>
              <w:tl2br w:val="nil"/>
              <w:tr2bl w:val="nil"/>
            </w:tcBorders>
            <w:vAlign w:val="center"/>
          </w:tcPr>
          <w:p w14:paraId="2D7468D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≤0.05</w:t>
            </w:r>
          </w:p>
        </w:tc>
        <w:tc>
          <w:tcPr>
            <w:tcW w:w="553" w:type="pct"/>
            <w:tcBorders>
              <w:tl2br w:val="nil"/>
              <w:tr2bl w:val="nil"/>
            </w:tcBorders>
            <w:vAlign w:val="center"/>
          </w:tcPr>
          <w:p w14:paraId="3EB00933">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535" w:type="pct"/>
            <w:tcBorders>
              <w:tl2br w:val="nil"/>
              <w:tr2bl w:val="nil"/>
            </w:tcBorders>
            <w:vAlign w:val="center"/>
          </w:tcPr>
          <w:p w14:paraId="696956C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w:t>
            </w:r>
          </w:p>
        </w:tc>
        <w:tc>
          <w:tcPr>
            <w:tcW w:w="535" w:type="pct"/>
            <w:tcBorders>
              <w:tl2br w:val="nil"/>
              <w:tr2bl w:val="nil"/>
            </w:tcBorders>
            <w:vAlign w:val="center"/>
          </w:tcPr>
          <w:p w14:paraId="51C219C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470" w:type="pct"/>
            <w:tcBorders>
              <w:tl2br w:val="nil"/>
              <w:tr2bl w:val="nil"/>
            </w:tcBorders>
            <w:vAlign w:val="center"/>
          </w:tcPr>
          <w:p w14:paraId="513E605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w:t>
            </w:r>
          </w:p>
        </w:tc>
        <w:tc>
          <w:tcPr>
            <w:tcW w:w="471" w:type="pct"/>
            <w:tcBorders>
              <w:tl2br w:val="nil"/>
              <w:tr2bl w:val="nil"/>
            </w:tcBorders>
            <w:vAlign w:val="center"/>
          </w:tcPr>
          <w:p w14:paraId="22259A90">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&lt;0.004</w:t>
            </w:r>
          </w:p>
        </w:tc>
        <w:tc>
          <w:tcPr>
            <w:tcW w:w="471" w:type="pct"/>
            <w:tcBorders>
              <w:tl2br w:val="nil"/>
              <w:tr2bl w:val="nil"/>
            </w:tcBorders>
            <w:vAlign w:val="center"/>
          </w:tcPr>
          <w:p w14:paraId="7095D39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0.08</w:t>
            </w:r>
          </w:p>
        </w:tc>
      </w:tr>
      <w:tr w14:paraId="67C07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418F0DE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w:t>
            </w:r>
          </w:p>
        </w:tc>
        <w:tc>
          <w:tcPr>
            <w:tcW w:w="923" w:type="pct"/>
            <w:tcBorders>
              <w:tl2br w:val="nil"/>
              <w:tr2bl w:val="nil"/>
            </w:tcBorders>
            <w:vAlign w:val="center"/>
          </w:tcPr>
          <w:p w14:paraId="68A1FA6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砷</w:t>
            </w:r>
          </w:p>
        </w:tc>
        <w:tc>
          <w:tcPr>
            <w:tcW w:w="804" w:type="pct"/>
            <w:tcBorders>
              <w:tl2br w:val="nil"/>
              <w:tr2bl w:val="nil"/>
            </w:tcBorders>
            <w:vAlign w:val="center"/>
          </w:tcPr>
          <w:p w14:paraId="0E5CE94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≤0.01</w:t>
            </w:r>
          </w:p>
        </w:tc>
        <w:tc>
          <w:tcPr>
            <w:tcW w:w="553" w:type="pct"/>
            <w:tcBorders>
              <w:tl2br w:val="nil"/>
              <w:tr2bl w:val="nil"/>
            </w:tcBorders>
            <w:vAlign w:val="center"/>
          </w:tcPr>
          <w:p w14:paraId="506EBBB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535" w:type="pct"/>
            <w:tcBorders>
              <w:tl2br w:val="nil"/>
              <w:tr2bl w:val="nil"/>
            </w:tcBorders>
            <w:vAlign w:val="center"/>
          </w:tcPr>
          <w:p w14:paraId="09CE61B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w:t>
            </w:r>
          </w:p>
        </w:tc>
        <w:tc>
          <w:tcPr>
            <w:tcW w:w="535" w:type="pct"/>
            <w:tcBorders>
              <w:tl2br w:val="nil"/>
              <w:tr2bl w:val="nil"/>
            </w:tcBorders>
            <w:vAlign w:val="center"/>
          </w:tcPr>
          <w:p w14:paraId="4DC7B507">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470" w:type="pct"/>
            <w:tcBorders>
              <w:tl2br w:val="nil"/>
              <w:tr2bl w:val="nil"/>
            </w:tcBorders>
            <w:vAlign w:val="center"/>
          </w:tcPr>
          <w:p w14:paraId="29CF856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w:t>
            </w:r>
          </w:p>
        </w:tc>
        <w:tc>
          <w:tcPr>
            <w:tcW w:w="471" w:type="pct"/>
            <w:tcBorders>
              <w:tl2br w:val="nil"/>
              <w:tr2bl w:val="nil"/>
            </w:tcBorders>
            <w:vAlign w:val="center"/>
          </w:tcPr>
          <w:p w14:paraId="790E7154">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&lt;0.0003</w:t>
            </w:r>
          </w:p>
        </w:tc>
        <w:tc>
          <w:tcPr>
            <w:tcW w:w="471" w:type="pct"/>
            <w:tcBorders>
              <w:tl2br w:val="nil"/>
              <w:tr2bl w:val="nil"/>
            </w:tcBorders>
            <w:vAlign w:val="center"/>
          </w:tcPr>
          <w:p w14:paraId="26AFC84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0.03</w:t>
            </w:r>
          </w:p>
        </w:tc>
      </w:tr>
      <w:tr w14:paraId="17FDA0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34" w:type="pct"/>
            <w:tcBorders>
              <w:tl2br w:val="nil"/>
              <w:tr2bl w:val="nil"/>
            </w:tcBorders>
            <w:vAlign w:val="center"/>
          </w:tcPr>
          <w:p w14:paraId="5412DA9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15</w:t>
            </w:r>
          </w:p>
        </w:tc>
        <w:tc>
          <w:tcPr>
            <w:tcW w:w="923" w:type="pct"/>
            <w:tcBorders>
              <w:tl2br w:val="nil"/>
              <w:tr2bl w:val="nil"/>
            </w:tcBorders>
            <w:vAlign w:val="center"/>
          </w:tcPr>
          <w:p w14:paraId="289F131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汞</w:t>
            </w:r>
          </w:p>
        </w:tc>
        <w:tc>
          <w:tcPr>
            <w:tcW w:w="804" w:type="pct"/>
            <w:tcBorders>
              <w:tl2br w:val="nil"/>
              <w:tr2bl w:val="nil"/>
            </w:tcBorders>
            <w:vAlign w:val="center"/>
          </w:tcPr>
          <w:p w14:paraId="5080011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≤0.001</w:t>
            </w:r>
          </w:p>
        </w:tc>
        <w:tc>
          <w:tcPr>
            <w:tcW w:w="553" w:type="pct"/>
            <w:tcBorders>
              <w:tl2br w:val="nil"/>
              <w:tr2bl w:val="nil"/>
            </w:tcBorders>
            <w:vAlign w:val="center"/>
          </w:tcPr>
          <w:p w14:paraId="4FBBFC61">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&lt;0.00004</w:t>
            </w:r>
          </w:p>
        </w:tc>
        <w:tc>
          <w:tcPr>
            <w:tcW w:w="535" w:type="pct"/>
            <w:tcBorders>
              <w:tl2br w:val="nil"/>
              <w:tr2bl w:val="nil"/>
            </w:tcBorders>
            <w:vAlign w:val="center"/>
          </w:tcPr>
          <w:p w14:paraId="6AE8936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eastAsia="zh-CN"/>
              </w:rPr>
              <w:t>0.0004</w:t>
            </w:r>
          </w:p>
        </w:tc>
        <w:tc>
          <w:tcPr>
            <w:tcW w:w="535" w:type="pct"/>
            <w:tcBorders>
              <w:tl2br w:val="nil"/>
              <w:tr2bl w:val="nil"/>
            </w:tcBorders>
            <w:vAlign w:val="center"/>
          </w:tcPr>
          <w:p w14:paraId="43AC00A9">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&lt;0.00004</w:t>
            </w:r>
          </w:p>
        </w:tc>
        <w:tc>
          <w:tcPr>
            <w:tcW w:w="470" w:type="pct"/>
            <w:tcBorders>
              <w:tl2br w:val="nil"/>
              <w:tr2bl w:val="nil"/>
            </w:tcBorders>
            <w:vAlign w:val="center"/>
          </w:tcPr>
          <w:p w14:paraId="56EF32A8">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hint="eastAsia" w:eastAsia="宋体"/>
                <w:snapToGrid/>
                <w:color w:val="auto"/>
                <w:lang w:eastAsia="zh-CN"/>
              </w:rPr>
              <w:t>0.0004</w:t>
            </w:r>
          </w:p>
        </w:tc>
        <w:tc>
          <w:tcPr>
            <w:tcW w:w="471" w:type="pct"/>
            <w:tcBorders>
              <w:tl2br w:val="nil"/>
              <w:tr2bl w:val="nil"/>
            </w:tcBorders>
            <w:vAlign w:val="center"/>
          </w:tcPr>
          <w:p w14:paraId="1197E972">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&lt;0.00004</w:t>
            </w:r>
          </w:p>
        </w:tc>
        <w:tc>
          <w:tcPr>
            <w:tcW w:w="471" w:type="pct"/>
            <w:tcBorders>
              <w:tl2br w:val="nil"/>
              <w:tr2bl w:val="nil"/>
            </w:tcBorders>
            <w:vAlign w:val="center"/>
          </w:tcPr>
          <w:p w14:paraId="2745139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0.0004</w:t>
            </w:r>
          </w:p>
        </w:tc>
      </w:tr>
      <w:tr w14:paraId="74F8D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234" w:type="pct"/>
            <w:tcBorders>
              <w:tl2br w:val="nil"/>
              <w:tr2bl w:val="nil"/>
            </w:tcBorders>
            <w:vAlign w:val="center"/>
          </w:tcPr>
          <w:p w14:paraId="7240BA7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16</w:t>
            </w:r>
          </w:p>
        </w:tc>
        <w:tc>
          <w:tcPr>
            <w:tcW w:w="923" w:type="pct"/>
            <w:tcBorders>
              <w:tl2br w:val="nil"/>
              <w:tr2bl w:val="nil"/>
            </w:tcBorders>
            <w:vAlign w:val="center"/>
          </w:tcPr>
          <w:p w14:paraId="38EAA0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铅</w:t>
            </w:r>
          </w:p>
        </w:tc>
        <w:tc>
          <w:tcPr>
            <w:tcW w:w="804" w:type="pct"/>
            <w:tcBorders>
              <w:tl2br w:val="nil"/>
              <w:tr2bl w:val="nil"/>
            </w:tcBorders>
            <w:vAlign w:val="center"/>
          </w:tcPr>
          <w:p w14:paraId="0D5D49A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≤0.01</w:t>
            </w:r>
          </w:p>
        </w:tc>
        <w:tc>
          <w:tcPr>
            <w:tcW w:w="553" w:type="pct"/>
            <w:tcBorders>
              <w:tl2br w:val="nil"/>
              <w:tr2bl w:val="nil"/>
            </w:tcBorders>
            <w:vAlign w:val="center"/>
          </w:tcPr>
          <w:p w14:paraId="7784F17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535" w:type="pct"/>
            <w:tcBorders>
              <w:tl2br w:val="nil"/>
              <w:tr2bl w:val="nil"/>
            </w:tcBorders>
            <w:vAlign w:val="center"/>
          </w:tcPr>
          <w:p w14:paraId="5A37C37B">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&lt;1</w:t>
            </w:r>
          </w:p>
        </w:tc>
        <w:tc>
          <w:tcPr>
            <w:tcW w:w="535" w:type="pct"/>
            <w:tcBorders>
              <w:tl2br w:val="nil"/>
              <w:tr2bl w:val="nil"/>
            </w:tcBorders>
            <w:vAlign w:val="center"/>
          </w:tcPr>
          <w:p w14:paraId="27DA336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0" w:type="pct"/>
            <w:tcBorders>
              <w:tl2br w:val="nil"/>
              <w:tr2bl w:val="nil"/>
            </w:tcBorders>
            <w:vAlign w:val="center"/>
          </w:tcPr>
          <w:p w14:paraId="6925660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&lt;1</w:t>
            </w:r>
          </w:p>
        </w:tc>
        <w:tc>
          <w:tcPr>
            <w:tcW w:w="471" w:type="pct"/>
            <w:tcBorders>
              <w:tl2br w:val="nil"/>
              <w:tr2bl w:val="nil"/>
            </w:tcBorders>
            <w:vAlign w:val="center"/>
          </w:tcPr>
          <w:p w14:paraId="2D8D324D">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1" w:type="pct"/>
            <w:tcBorders>
              <w:tl2br w:val="nil"/>
              <w:tr2bl w:val="nil"/>
            </w:tcBorders>
            <w:vAlign w:val="center"/>
          </w:tcPr>
          <w:p w14:paraId="55B5CF9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val="en-US" w:eastAsia="zh-CN"/>
              </w:rPr>
              <w:t>&lt;</w:t>
            </w:r>
            <w:r>
              <w:rPr>
                <w:rFonts w:hint="eastAsia" w:eastAsia="宋体"/>
                <w:snapToGrid/>
                <w:color w:val="auto"/>
                <w:lang w:eastAsia="zh-CN"/>
              </w:rPr>
              <w:t>1</w:t>
            </w:r>
          </w:p>
        </w:tc>
      </w:tr>
      <w:tr w14:paraId="3BD2AB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698AF85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17</w:t>
            </w:r>
          </w:p>
        </w:tc>
        <w:tc>
          <w:tcPr>
            <w:tcW w:w="923" w:type="pct"/>
            <w:tcBorders>
              <w:tl2br w:val="nil"/>
              <w:tr2bl w:val="nil"/>
            </w:tcBorders>
            <w:vAlign w:val="center"/>
          </w:tcPr>
          <w:p w14:paraId="43925B3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镉</w:t>
            </w:r>
          </w:p>
        </w:tc>
        <w:tc>
          <w:tcPr>
            <w:tcW w:w="804" w:type="pct"/>
            <w:tcBorders>
              <w:tl2br w:val="nil"/>
              <w:tr2bl w:val="nil"/>
            </w:tcBorders>
            <w:vAlign w:val="center"/>
          </w:tcPr>
          <w:p w14:paraId="51218DF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≤0.005</w:t>
            </w:r>
          </w:p>
        </w:tc>
        <w:tc>
          <w:tcPr>
            <w:tcW w:w="553" w:type="pct"/>
            <w:tcBorders>
              <w:tl2br w:val="nil"/>
              <w:tr2bl w:val="nil"/>
            </w:tcBorders>
            <w:vAlign w:val="center"/>
          </w:tcPr>
          <w:p w14:paraId="1825DEE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&lt;0.005</w:t>
            </w:r>
          </w:p>
        </w:tc>
        <w:tc>
          <w:tcPr>
            <w:tcW w:w="535" w:type="pct"/>
            <w:tcBorders>
              <w:tl2br w:val="nil"/>
              <w:tr2bl w:val="nil"/>
            </w:tcBorders>
            <w:vAlign w:val="center"/>
          </w:tcPr>
          <w:p w14:paraId="04AFE2F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&lt;1</w:t>
            </w:r>
          </w:p>
        </w:tc>
        <w:tc>
          <w:tcPr>
            <w:tcW w:w="535" w:type="pct"/>
            <w:tcBorders>
              <w:tl2br w:val="nil"/>
              <w:tr2bl w:val="nil"/>
            </w:tcBorders>
            <w:vAlign w:val="center"/>
          </w:tcPr>
          <w:p w14:paraId="79FE485E">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&lt;0.005</w:t>
            </w:r>
          </w:p>
        </w:tc>
        <w:tc>
          <w:tcPr>
            <w:tcW w:w="470" w:type="pct"/>
            <w:tcBorders>
              <w:tl2br w:val="nil"/>
              <w:tr2bl w:val="nil"/>
            </w:tcBorders>
            <w:vAlign w:val="center"/>
          </w:tcPr>
          <w:p w14:paraId="0EFCF54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&lt;1</w:t>
            </w:r>
          </w:p>
        </w:tc>
        <w:tc>
          <w:tcPr>
            <w:tcW w:w="471" w:type="pct"/>
            <w:tcBorders>
              <w:tl2br w:val="nil"/>
              <w:tr2bl w:val="nil"/>
            </w:tcBorders>
            <w:vAlign w:val="center"/>
          </w:tcPr>
          <w:p w14:paraId="70FE3F6D">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&lt;0.005</w:t>
            </w:r>
          </w:p>
        </w:tc>
        <w:tc>
          <w:tcPr>
            <w:tcW w:w="471" w:type="pct"/>
            <w:tcBorders>
              <w:tl2br w:val="nil"/>
              <w:tr2bl w:val="nil"/>
            </w:tcBorders>
            <w:vAlign w:val="center"/>
          </w:tcPr>
          <w:p w14:paraId="4CB5BBC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val="en-US" w:eastAsia="zh-CN"/>
              </w:rPr>
              <w:t>&lt;</w:t>
            </w:r>
            <w:r>
              <w:rPr>
                <w:rFonts w:hint="eastAsia" w:eastAsia="宋体"/>
                <w:snapToGrid/>
                <w:color w:val="auto"/>
                <w:lang w:eastAsia="zh-CN"/>
              </w:rPr>
              <w:t>1</w:t>
            </w:r>
          </w:p>
        </w:tc>
      </w:tr>
      <w:tr w14:paraId="30834F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34" w:type="pct"/>
            <w:tcBorders>
              <w:tl2br w:val="nil"/>
              <w:tr2bl w:val="nil"/>
            </w:tcBorders>
            <w:vAlign w:val="center"/>
          </w:tcPr>
          <w:p w14:paraId="78797D7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18</w:t>
            </w:r>
          </w:p>
        </w:tc>
        <w:tc>
          <w:tcPr>
            <w:tcW w:w="923" w:type="pct"/>
            <w:tcBorders>
              <w:tl2br w:val="nil"/>
              <w:tr2bl w:val="nil"/>
            </w:tcBorders>
            <w:vAlign w:val="center"/>
          </w:tcPr>
          <w:p w14:paraId="71F4C8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铁</w:t>
            </w:r>
          </w:p>
        </w:tc>
        <w:tc>
          <w:tcPr>
            <w:tcW w:w="804" w:type="pct"/>
            <w:tcBorders>
              <w:tl2br w:val="nil"/>
              <w:tr2bl w:val="nil"/>
            </w:tcBorders>
            <w:vAlign w:val="center"/>
          </w:tcPr>
          <w:p w14:paraId="292AD4D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≤0.3</w:t>
            </w:r>
          </w:p>
        </w:tc>
        <w:tc>
          <w:tcPr>
            <w:tcW w:w="553" w:type="pct"/>
            <w:tcBorders>
              <w:tl2br w:val="nil"/>
              <w:tr2bl w:val="nil"/>
            </w:tcBorders>
            <w:vAlign w:val="center"/>
          </w:tcPr>
          <w:p w14:paraId="295A867D">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535" w:type="pct"/>
            <w:tcBorders>
              <w:tl2br w:val="nil"/>
              <w:tr2bl w:val="nil"/>
            </w:tcBorders>
            <w:vAlign w:val="center"/>
          </w:tcPr>
          <w:p w14:paraId="760071A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w:t>
            </w:r>
          </w:p>
        </w:tc>
        <w:tc>
          <w:tcPr>
            <w:tcW w:w="535" w:type="pct"/>
            <w:tcBorders>
              <w:tl2br w:val="nil"/>
              <w:tr2bl w:val="nil"/>
            </w:tcBorders>
            <w:vAlign w:val="center"/>
          </w:tcPr>
          <w:p w14:paraId="6559FD4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0" w:type="pct"/>
            <w:tcBorders>
              <w:tl2br w:val="nil"/>
              <w:tr2bl w:val="nil"/>
            </w:tcBorders>
            <w:vAlign w:val="center"/>
          </w:tcPr>
          <w:p w14:paraId="5CF7E88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0.03</w:t>
            </w:r>
          </w:p>
        </w:tc>
        <w:tc>
          <w:tcPr>
            <w:tcW w:w="471" w:type="pct"/>
            <w:tcBorders>
              <w:tl2br w:val="nil"/>
              <w:tr2bl w:val="nil"/>
            </w:tcBorders>
            <w:vAlign w:val="center"/>
          </w:tcPr>
          <w:p w14:paraId="5856B0A6">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1" w:type="pct"/>
            <w:tcBorders>
              <w:tl2br w:val="nil"/>
              <w:tr2bl w:val="nil"/>
            </w:tcBorders>
            <w:vAlign w:val="center"/>
          </w:tcPr>
          <w:p w14:paraId="6967717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0.03</w:t>
            </w:r>
          </w:p>
        </w:tc>
      </w:tr>
      <w:tr w14:paraId="1B129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234" w:type="pct"/>
            <w:tcBorders>
              <w:tl2br w:val="nil"/>
              <w:tr2bl w:val="nil"/>
            </w:tcBorders>
            <w:vAlign w:val="center"/>
          </w:tcPr>
          <w:p w14:paraId="28F5F67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w:t>
            </w:r>
          </w:p>
        </w:tc>
        <w:tc>
          <w:tcPr>
            <w:tcW w:w="923" w:type="pct"/>
            <w:tcBorders>
              <w:tl2br w:val="nil"/>
              <w:tr2bl w:val="nil"/>
            </w:tcBorders>
            <w:vAlign w:val="center"/>
          </w:tcPr>
          <w:p w14:paraId="219CF3F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锰</w:t>
            </w:r>
          </w:p>
        </w:tc>
        <w:tc>
          <w:tcPr>
            <w:tcW w:w="804" w:type="pct"/>
            <w:tcBorders>
              <w:tl2br w:val="nil"/>
              <w:tr2bl w:val="nil"/>
            </w:tcBorders>
            <w:vAlign w:val="center"/>
          </w:tcPr>
          <w:p w14:paraId="37EB63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≤0.1</w:t>
            </w:r>
          </w:p>
        </w:tc>
        <w:tc>
          <w:tcPr>
            <w:tcW w:w="553" w:type="pct"/>
            <w:tcBorders>
              <w:tl2br w:val="nil"/>
              <w:tr2bl w:val="nil"/>
            </w:tcBorders>
            <w:vAlign w:val="center"/>
          </w:tcPr>
          <w:p w14:paraId="6A2D0DEB">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535" w:type="pct"/>
            <w:tcBorders>
              <w:tl2br w:val="nil"/>
              <w:tr2bl w:val="nil"/>
            </w:tcBorders>
            <w:vAlign w:val="center"/>
          </w:tcPr>
          <w:p w14:paraId="7F5D00D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w:t>
            </w:r>
          </w:p>
        </w:tc>
        <w:tc>
          <w:tcPr>
            <w:tcW w:w="535" w:type="pct"/>
            <w:tcBorders>
              <w:tl2br w:val="nil"/>
              <w:tr2bl w:val="nil"/>
            </w:tcBorders>
            <w:vAlign w:val="center"/>
          </w:tcPr>
          <w:p w14:paraId="16F7FA33">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0" w:type="pct"/>
            <w:tcBorders>
              <w:tl2br w:val="nil"/>
              <w:tr2bl w:val="nil"/>
            </w:tcBorders>
            <w:vAlign w:val="center"/>
          </w:tcPr>
          <w:p w14:paraId="47F267F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w:t>
            </w:r>
          </w:p>
        </w:tc>
        <w:tc>
          <w:tcPr>
            <w:tcW w:w="471" w:type="pct"/>
            <w:tcBorders>
              <w:tl2br w:val="nil"/>
              <w:tr2bl w:val="nil"/>
            </w:tcBorders>
            <w:vAlign w:val="center"/>
          </w:tcPr>
          <w:p w14:paraId="2FC045F5">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&lt;0.01</w:t>
            </w:r>
          </w:p>
        </w:tc>
        <w:tc>
          <w:tcPr>
            <w:tcW w:w="471" w:type="pct"/>
            <w:tcBorders>
              <w:tl2br w:val="nil"/>
              <w:tr2bl w:val="nil"/>
            </w:tcBorders>
            <w:vAlign w:val="center"/>
          </w:tcPr>
          <w:p w14:paraId="3542C8C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0.1</w:t>
            </w:r>
          </w:p>
        </w:tc>
      </w:tr>
      <w:tr w14:paraId="045DC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234" w:type="pct"/>
            <w:tcBorders>
              <w:tl2br w:val="nil"/>
              <w:tr2bl w:val="nil"/>
            </w:tcBorders>
            <w:vAlign w:val="center"/>
          </w:tcPr>
          <w:p w14:paraId="6C760CF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20</w:t>
            </w:r>
          </w:p>
        </w:tc>
        <w:tc>
          <w:tcPr>
            <w:tcW w:w="923" w:type="pct"/>
            <w:tcBorders>
              <w:tl2br w:val="nil"/>
              <w:tr2bl w:val="nil"/>
            </w:tcBorders>
            <w:vAlign w:val="center"/>
          </w:tcPr>
          <w:p w14:paraId="30E0F2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hint="eastAsia" w:ascii="Times New Roman" w:hAnsi="Times New Roman" w:eastAsia="宋体" w:cs="宋体"/>
                <w:snapToGrid/>
                <w:color w:val="auto"/>
                <w:szCs w:val="18"/>
              </w:rPr>
              <w:t>钾</w:t>
            </w:r>
          </w:p>
        </w:tc>
        <w:tc>
          <w:tcPr>
            <w:tcW w:w="804" w:type="pct"/>
            <w:tcBorders>
              <w:tl2br w:val="nil"/>
              <w:tr2bl w:val="nil"/>
            </w:tcBorders>
            <w:vAlign w:val="center"/>
          </w:tcPr>
          <w:p w14:paraId="542BAB62">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lang w:eastAsia="zh-CN"/>
              </w:rPr>
              <w:t>/</w:t>
            </w:r>
          </w:p>
        </w:tc>
        <w:tc>
          <w:tcPr>
            <w:tcW w:w="553" w:type="pct"/>
            <w:tcBorders>
              <w:tl2br w:val="nil"/>
              <w:tr2bl w:val="nil"/>
            </w:tcBorders>
            <w:vAlign w:val="center"/>
          </w:tcPr>
          <w:p w14:paraId="304D98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0.465</w:t>
            </w:r>
          </w:p>
        </w:tc>
        <w:tc>
          <w:tcPr>
            <w:tcW w:w="535" w:type="pct"/>
            <w:tcBorders>
              <w:tl2br w:val="nil"/>
              <w:tr2bl w:val="nil"/>
            </w:tcBorders>
            <w:vAlign w:val="center"/>
          </w:tcPr>
          <w:p w14:paraId="6AD68146">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535" w:type="pct"/>
            <w:tcBorders>
              <w:tl2br w:val="nil"/>
              <w:tr2bl w:val="nil"/>
            </w:tcBorders>
            <w:vAlign w:val="center"/>
          </w:tcPr>
          <w:p w14:paraId="1B7F4D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0.468</w:t>
            </w:r>
          </w:p>
        </w:tc>
        <w:tc>
          <w:tcPr>
            <w:tcW w:w="470" w:type="pct"/>
            <w:tcBorders>
              <w:tl2br w:val="nil"/>
              <w:tr2bl w:val="nil"/>
            </w:tcBorders>
            <w:vAlign w:val="center"/>
          </w:tcPr>
          <w:p w14:paraId="33F72DE0">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471" w:type="pct"/>
            <w:tcBorders>
              <w:tl2br w:val="nil"/>
              <w:tr2bl w:val="nil"/>
            </w:tcBorders>
            <w:vAlign w:val="center"/>
          </w:tcPr>
          <w:p w14:paraId="69EADEC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0.468</w:t>
            </w:r>
          </w:p>
        </w:tc>
        <w:tc>
          <w:tcPr>
            <w:tcW w:w="471" w:type="pct"/>
            <w:tcBorders>
              <w:tl2br w:val="nil"/>
              <w:tr2bl w:val="nil"/>
            </w:tcBorders>
            <w:vAlign w:val="center"/>
          </w:tcPr>
          <w:p w14:paraId="3ACC767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w:t>
            </w:r>
          </w:p>
        </w:tc>
      </w:tr>
      <w:tr w14:paraId="6DB6B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234" w:type="pct"/>
            <w:tcBorders>
              <w:tl2br w:val="nil"/>
              <w:tr2bl w:val="nil"/>
            </w:tcBorders>
            <w:vAlign w:val="center"/>
          </w:tcPr>
          <w:p w14:paraId="15AEE05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21</w:t>
            </w:r>
          </w:p>
        </w:tc>
        <w:tc>
          <w:tcPr>
            <w:tcW w:w="923" w:type="pct"/>
            <w:tcBorders>
              <w:tl2br w:val="nil"/>
              <w:tr2bl w:val="nil"/>
            </w:tcBorders>
            <w:vAlign w:val="center"/>
          </w:tcPr>
          <w:p w14:paraId="2FC74D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hint="eastAsia" w:ascii="Times New Roman" w:hAnsi="Times New Roman" w:eastAsia="宋体" w:cs="宋体"/>
                <w:snapToGrid/>
                <w:color w:val="auto"/>
                <w:szCs w:val="18"/>
              </w:rPr>
              <w:t>钠</w:t>
            </w:r>
          </w:p>
        </w:tc>
        <w:tc>
          <w:tcPr>
            <w:tcW w:w="804" w:type="pct"/>
            <w:tcBorders>
              <w:tl2br w:val="nil"/>
              <w:tr2bl w:val="nil"/>
            </w:tcBorders>
            <w:vAlign w:val="center"/>
          </w:tcPr>
          <w:p w14:paraId="38E16EF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≤200</w:t>
            </w:r>
          </w:p>
        </w:tc>
        <w:tc>
          <w:tcPr>
            <w:tcW w:w="553" w:type="pct"/>
            <w:tcBorders>
              <w:tl2br w:val="nil"/>
              <w:tr2bl w:val="nil"/>
            </w:tcBorders>
            <w:vAlign w:val="center"/>
          </w:tcPr>
          <w:p w14:paraId="0C5E8A8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9.21</w:t>
            </w:r>
          </w:p>
        </w:tc>
        <w:tc>
          <w:tcPr>
            <w:tcW w:w="535" w:type="pct"/>
            <w:tcBorders>
              <w:tl2br w:val="nil"/>
              <w:tr2bl w:val="nil"/>
            </w:tcBorders>
            <w:vAlign w:val="center"/>
          </w:tcPr>
          <w:p w14:paraId="022E705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0.046</w:t>
            </w:r>
          </w:p>
        </w:tc>
        <w:tc>
          <w:tcPr>
            <w:tcW w:w="535" w:type="pct"/>
            <w:tcBorders>
              <w:tl2br w:val="nil"/>
              <w:tr2bl w:val="nil"/>
            </w:tcBorders>
            <w:vAlign w:val="center"/>
          </w:tcPr>
          <w:p w14:paraId="5B3D589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9.20</w:t>
            </w:r>
          </w:p>
        </w:tc>
        <w:tc>
          <w:tcPr>
            <w:tcW w:w="470" w:type="pct"/>
            <w:tcBorders>
              <w:tl2br w:val="nil"/>
              <w:tr2bl w:val="nil"/>
            </w:tcBorders>
            <w:vAlign w:val="center"/>
          </w:tcPr>
          <w:p w14:paraId="24F8D37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0.046</w:t>
            </w:r>
          </w:p>
        </w:tc>
        <w:tc>
          <w:tcPr>
            <w:tcW w:w="471" w:type="pct"/>
            <w:tcBorders>
              <w:tl2br w:val="nil"/>
              <w:tr2bl w:val="nil"/>
            </w:tcBorders>
            <w:vAlign w:val="center"/>
          </w:tcPr>
          <w:p w14:paraId="519FBC5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9.24</w:t>
            </w:r>
          </w:p>
        </w:tc>
        <w:tc>
          <w:tcPr>
            <w:tcW w:w="471" w:type="pct"/>
            <w:tcBorders>
              <w:tl2br w:val="nil"/>
              <w:tr2bl w:val="nil"/>
            </w:tcBorders>
            <w:vAlign w:val="center"/>
          </w:tcPr>
          <w:p w14:paraId="04537AA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0.046</w:t>
            </w:r>
          </w:p>
        </w:tc>
      </w:tr>
      <w:tr w14:paraId="62F18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3404BFA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22</w:t>
            </w:r>
          </w:p>
        </w:tc>
        <w:tc>
          <w:tcPr>
            <w:tcW w:w="923" w:type="pct"/>
            <w:tcBorders>
              <w:tl2br w:val="nil"/>
              <w:tr2bl w:val="nil"/>
            </w:tcBorders>
            <w:vAlign w:val="center"/>
          </w:tcPr>
          <w:p w14:paraId="432AEEF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rPr>
              <w:t>钙</w:t>
            </w:r>
          </w:p>
        </w:tc>
        <w:tc>
          <w:tcPr>
            <w:tcW w:w="804" w:type="pct"/>
            <w:tcBorders>
              <w:tl2br w:val="nil"/>
              <w:tr2bl w:val="nil"/>
            </w:tcBorders>
            <w:vAlign w:val="center"/>
          </w:tcPr>
          <w:p w14:paraId="5D053C33">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lang w:eastAsia="zh-CN"/>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0B9233E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18.6</w:t>
            </w:r>
          </w:p>
        </w:tc>
        <w:tc>
          <w:tcPr>
            <w:tcW w:w="535" w:type="pct"/>
            <w:tcBorders>
              <w:tl2br w:val="nil"/>
              <w:tr2bl w:val="nil"/>
            </w:tcBorders>
            <w:vAlign w:val="center"/>
          </w:tcPr>
          <w:p w14:paraId="2BEC84F9">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04F4FA8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18.7</w:t>
            </w:r>
          </w:p>
        </w:tc>
        <w:tc>
          <w:tcPr>
            <w:tcW w:w="470" w:type="pct"/>
            <w:tcBorders>
              <w:tl2br w:val="nil"/>
              <w:tr2bl w:val="nil"/>
            </w:tcBorders>
            <w:vAlign w:val="center"/>
          </w:tcPr>
          <w:p w14:paraId="7BD0133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6FAAB5E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18.5</w:t>
            </w:r>
          </w:p>
        </w:tc>
        <w:tc>
          <w:tcPr>
            <w:tcW w:w="471" w:type="pct"/>
            <w:tcBorders>
              <w:tl2br w:val="nil"/>
              <w:tr2bl w:val="nil"/>
            </w:tcBorders>
            <w:vAlign w:val="center"/>
          </w:tcPr>
          <w:p w14:paraId="3735D8A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06050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358551A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23</w:t>
            </w:r>
          </w:p>
        </w:tc>
        <w:tc>
          <w:tcPr>
            <w:tcW w:w="923" w:type="pct"/>
            <w:tcBorders>
              <w:tl2br w:val="nil"/>
              <w:tr2bl w:val="nil"/>
            </w:tcBorders>
            <w:vAlign w:val="center"/>
          </w:tcPr>
          <w:p w14:paraId="4C60156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镁</w:t>
            </w:r>
          </w:p>
        </w:tc>
        <w:tc>
          <w:tcPr>
            <w:tcW w:w="804" w:type="pct"/>
            <w:tcBorders>
              <w:tl2br w:val="nil"/>
              <w:tr2bl w:val="nil"/>
            </w:tcBorders>
            <w:vAlign w:val="center"/>
          </w:tcPr>
          <w:p w14:paraId="55786BC4">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358E5DC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3.69</w:t>
            </w:r>
          </w:p>
        </w:tc>
        <w:tc>
          <w:tcPr>
            <w:tcW w:w="535" w:type="pct"/>
            <w:tcBorders>
              <w:tl2br w:val="nil"/>
              <w:tr2bl w:val="nil"/>
            </w:tcBorders>
            <w:vAlign w:val="center"/>
          </w:tcPr>
          <w:p w14:paraId="03616EE1">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0579D88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3.66</w:t>
            </w:r>
          </w:p>
        </w:tc>
        <w:tc>
          <w:tcPr>
            <w:tcW w:w="470" w:type="pct"/>
            <w:tcBorders>
              <w:tl2br w:val="nil"/>
              <w:tr2bl w:val="nil"/>
            </w:tcBorders>
            <w:vAlign w:val="center"/>
          </w:tcPr>
          <w:p w14:paraId="5BE1967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36AE93D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3.69</w:t>
            </w:r>
          </w:p>
        </w:tc>
        <w:tc>
          <w:tcPr>
            <w:tcW w:w="471" w:type="pct"/>
            <w:tcBorders>
              <w:tl2br w:val="nil"/>
              <w:tr2bl w:val="nil"/>
            </w:tcBorders>
            <w:vAlign w:val="center"/>
          </w:tcPr>
          <w:p w14:paraId="0C91B98F">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783CA4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69F2CF8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24</w:t>
            </w:r>
          </w:p>
        </w:tc>
        <w:tc>
          <w:tcPr>
            <w:tcW w:w="923" w:type="pct"/>
            <w:tcBorders>
              <w:tl2br w:val="nil"/>
              <w:tr2bl w:val="nil"/>
            </w:tcBorders>
            <w:vAlign w:val="center"/>
          </w:tcPr>
          <w:p w14:paraId="5F3F412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vertAlign w:val="superscript"/>
                <w:lang w:eastAsia="zh-CN"/>
              </w:rPr>
            </w:pPr>
            <w:r>
              <w:rPr>
                <w:rFonts w:hint="eastAsia" w:ascii="Times New Roman" w:hAnsi="Times New Roman" w:eastAsia="宋体" w:cs="宋体"/>
                <w:snapToGrid/>
                <w:color w:val="auto"/>
                <w:lang w:eastAsia="zh-CN"/>
              </w:rPr>
              <w:t>CO</w:t>
            </w:r>
            <w:r>
              <w:rPr>
                <w:rFonts w:hint="eastAsia" w:ascii="Times New Roman" w:hAnsi="Times New Roman" w:eastAsia="宋体" w:cs="宋体"/>
                <w:snapToGrid/>
                <w:color w:val="auto"/>
                <w:vertAlign w:val="subscript"/>
                <w:lang w:eastAsia="zh-CN"/>
              </w:rPr>
              <w:t>3</w:t>
            </w:r>
            <w:r>
              <w:rPr>
                <w:rFonts w:hint="eastAsia" w:ascii="Times New Roman" w:hAnsi="Times New Roman" w:eastAsia="宋体" w:cs="宋体"/>
                <w:snapToGrid/>
                <w:color w:val="auto"/>
                <w:vertAlign w:val="superscript"/>
                <w:lang w:eastAsia="zh-CN"/>
              </w:rPr>
              <w:t>2-</w:t>
            </w:r>
          </w:p>
        </w:tc>
        <w:tc>
          <w:tcPr>
            <w:tcW w:w="804" w:type="pct"/>
            <w:tcBorders>
              <w:tl2br w:val="nil"/>
              <w:tr2bl w:val="nil"/>
            </w:tcBorders>
            <w:vAlign w:val="center"/>
          </w:tcPr>
          <w:p w14:paraId="1EDDF83C">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66AD0324">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&lt;5</w:t>
            </w:r>
          </w:p>
        </w:tc>
        <w:tc>
          <w:tcPr>
            <w:tcW w:w="535" w:type="pct"/>
            <w:tcBorders>
              <w:tl2br w:val="nil"/>
              <w:tr2bl w:val="nil"/>
            </w:tcBorders>
            <w:vAlign w:val="center"/>
          </w:tcPr>
          <w:p w14:paraId="12F9DF7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56FD922C">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&lt;5</w:t>
            </w:r>
          </w:p>
        </w:tc>
        <w:tc>
          <w:tcPr>
            <w:tcW w:w="470" w:type="pct"/>
            <w:tcBorders>
              <w:tl2br w:val="nil"/>
              <w:tr2bl w:val="nil"/>
            </w:tcBorders>
            <w:vAlign w:val="center"/>
          </w:tcPr>
          <w:p w14:paraId="4E4A7BD8">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7D5475C2">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eastAsia="宋体"/>
                <w:snapToGrid/>
                <w:color w:val="auto"/>
                <w:lang w:eastAsia="zh-CN"/>
              </w:rPr>
              <w:t>&lt;5</w:t>
            </w:r>
          </w:p>
        </w:tc>
        <w:tc>
          <w:tcPr>
            <w:tcW w:w="471" w:type="pct"/>
            <w:tcBorders>
              <w:tl2br w:val="nil"/>
              <w:tr2bl w:val="nil"/>
            </w:tcBorders>
            <w:vAlign w:val="center"/>
          </w:tcPr>
          <w:p w14:paraId="0D8CEEB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479F95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182C3A2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25</w:t>
            </w:r>
          </w:p>
        </w:tc>
        <w:tc>
          <w:tcPr>
            <w:tcW w:w="923" w:type="pct"/>
            <w:tcBorders>
              <w:tl2br w:val="nil"/>
              <w:tr2bl w:val="nil"/>
            </w:tcBorders>
            <w:vAlign w:val="center"/>
          </w:tcPr>
          <w:p w14:paraId="7C2175A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vertAlign w:val="superscript"/>
                <w:lang w:eastAsia="zh-CN"/>
              </w:rPr>
            </w:pPr>
            <w:r>
              <w:rPr>
                <w:rFonts w:hint="eastAsia" w:ascii="Times New Roman" w:hAnsi="Times New Roman" w:eastAsia="宋体" w:cs="宋体"/>
                <w:snapToGrid/>
                <w:color w:val="auto"/>
                <w:lang w:eastAsia="zh-CN"/>
              </w:rPr>
              <w:t>HCO</w:t>
            </w:r>
            <w:r>
              <w:rPr>
                <w:rFonts w:hint="eastAsia" w:ascii="Times New Roman" w:hAnsi="Times New Roman" w:eastAsia="宋体" w:cs="宋体"/>
                <w:snapToGrid/>
                <w:color w:val="auto"/>
                <w:vertAlign w:val="subscript"/>
                <w:lang w:eastAsia="zh-CN"/>
              </w:rPr>
              <w:t>3</w:t>
            </w:r>
            <w:r>
              <w:rPr>
                <w:rFonts w:hint="eastAsia" w:ascii="Times New Roman" w:hAnsi="Times New Roman" w:eastAsia="宋体" w:cs="宋体"/>
                <w:snapToGrid/>
                <w:color w:val="auto"/>
                <w:vertAlign w:val="superscript"/>
                <w:lang w:eastAsia="zh-CN"/>
              </w:rPr>
              <w:t>-</w:t>
            </w:r>
          </w:p>
        </w:tc>
        <w:tc>
          <w:tcPr>
            <w:tcW w:w="804" w:type="pct"/>
            <w:tcBorders>
              <w:tl2br w:val="nil"/>
              <w:tr2bl w:val="nil"/>
            </w:tcBorders>
            <w:vAlign w:val="center"/>
          </w:tcPr>
          <w:p w14:paraId="25FD4A4D">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3B10BA1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145</w:t>
            </w:r>
          </w:p>
        </w:tc>
        <w:tc>
          <w:tcPr>
            <w:tcW w:w="535" w:type="pct"/>
            <w:tcBorders>
              <w:tl2br w:val="nil"/>
              <w:tr2bl w:val="nil"/>
            </w:tcBorders>
            <w:vAlign w:val="center"/>
          </w:tcPr>
          <w:p w14:paraId="6BAD328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4134FF4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147</w:t>
            </w:r>
          </w:p>
        </w:tc>
        <w:tc>
          <w:tcPr>
            <w:tcW w:w="470" w:type="pct"/>
            <w:tcBorders>
              <w:tl2br w:val="nil"/>
              <w:tr2bl w:val="nil"/>
            </w:tcBorders>
            <w:vAlign w:val="center"/>
          </w:tcPr>
          <w:p w14:paraId="68DC7BC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7652C40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148</w:t>
            </w:r>
          </w:p>
        </w:tc>
        <w:tc>
          <w:tcPr>
            <w:tcW w:w="471" w:type="pct"/>
            <w:tcBorders>
              <w:tl2br w:val="nil"/>
              <w:tr2bl w:val="nil"/>
            </w:tcBorders>
            <w:vAlign w:val="center"/>
          </w:tcPr>
          <w:p w14:paraId="539F0AC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5597E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2210DE97">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26</w:t>
            </w:r>
          </w:p>
        </w:tc>
        <w:tc>
          <w:tcPr>
            <w:tcW w:w="923" w:type="pct"/>
            <w:tcBorders>
              <w:tl2br w:val="nil"/>
              <w:tr2bl w:val="nil"/>
            </w:tcBorders>
            <w:vAlign w:val="center"/>
          </w:tcPr>
          <w:p w14:paraId="75C9C56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vertAlign w:val="superscript"/>
                <w:lang w:eastAsia="zh-CN"/>
              </w:rPr>
            </w:pPr>
            <w:r>
              <w:rPr>
                <w:rFonts w:hint="eastAsia" w:ascii="Times New Roman" w:hAnsi="Times New Roman" w:eastAsia="宋体" w:cs="宋体"/>
                <w:snapToGrid/>
                <w:color w:val="auto"/>
                <w:lang w:eastAsia="zh-CN"/>
              </w:rPr>
              <w:t>Cl</w:t>
            </w:r>
            <w:r>
              <w:rPr>
                <w:rFonts w:hint="eastAsia" w:ascii="Times New Roman" w:hAnsi="Times New Roman" w:eastAsia="宋体" w:cs="宋体"/>
                <w:snapToGrid/>
                <w:color w:val="auto"/>
                <w:vertAlign w:val="superscript"/>
                <w:lang w:eastAsia="zh-CN"/>
              </w:rPr>
              <w:t>-</w:t>
            </w:r>
          </w:p>
        </w:tc>
        <w:tc>
          <w:tcPr>
            <w:tcW w:w="804" w:type="pct"/>
            <w:tcBorders>
              <w:tl2br w:val="nil"/>
              <w:tr2bl w:val="nil"/>
            </w:tcBorders>
            <w:vAlign w:val="center"/>
          </w:tcPr>
          <w:p w14:paraId="322DC700">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0D4EFCD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146</w:t>
            </w:r>
          </w:p>
        </w:tc>
        <w:tc>
          <w:tcPr>
            <w:tcW w:w="535" w:type="pct"/>
            <w:tcBorders>
              <w:tl2br w:val="nil"/>
              <w:tr2bl w:val="nil"/>
            </w:tcBorders>
            <w:vAlign w:val="center"/>
          </w:tcPr>
          <w:p w14:paraId="6709FEF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59CDEB6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160</w:t>
            </w:r>
          </w:p>
        </w:tc>
        <w:tc>
          <w:tcPr>
            <w:tcW w:w="470" w:type="pct"/>
            <w:tcBorders>
              <w:tl2br w:val="nil"/>
              <w:tr2bl w:val="nil"/>
            </w:tcBorders>
            <w:vAlign w:val="center"/>
          </w:tcPr>
          <w:p w14:paraId="7E3F1D7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5D34EDE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155</w:t>
            </w:r>
          </w:p>
        </w:tc>
        <w:tc>
          <w:tcPr>
            <w:tcW w:w="471" w:type="pct"/>
            <w:tcBorders>
              <w:tl2br w:val="nil"/>
              <w:tr2bl w:val="nil"/>
            </w:tcBorders>
            <w:vAlign w:val="center"/>
          </w:tcPr>
          <w:p w14:paraId="154B5E5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2E42F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1831C8D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27</w:t>
            </w:r>
          </w:p>
        </w:tc>
        <w:tc>
          <w:tcPr>
            <w:tcW w:w="923" w:type="pct"/>
            <w:tcBorders>
              <w:tl2br w:val="nil"/>
              <w:tr2bl w:val="nil"/>
            </w:tcBorders>
            <w:vAlign w:val="center"/>
          </w:tcPr>
          <w:p w14:paraId="1B0CE7B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SO</w:t>
            </w:r>
            <w:r>
              <w:rPr>
                <w:rFonts w:hint="eastAsia" w:ascii="Times New Roman" w:hAnsi="Times New Roman" w:eastAsia="宋体" w:cs="宋体"/>
                <w:snapToGrid/>
                <w:color w:val="auto"/>
                <w:vertAlign w:val="subscript"/>
                <w:lang w:eastAsia="zh-CN"/>
              </w:rPr>
              <w:t>4</w:t>
            </w:r>
            <w:r>
              <w:rPr>
                <w:rFonts w:hint="eastAsia" w:ascii="Times New Roman" w:hAnsi="Times New Roman" w:eastAsia="宋体" w:cs="宋体"/>
                <w:snapToGrid/>
                <w:color w:val="auto"/>
                <w:vertAlign w:val="superscript"/>
                <w:lang w:eastAsia="zh-CN"/>
              </w:rPr>
              <w:t>2-</w:t>
            </w:r>
          </w:p>
        </w:tc>
        <w:tc>
          <w:tcPr>
            <w:tcW w:w="804" w:type="pct"/>
            <w:tcBorders>
              <w:tl2br w:val="nil"/>
              <w:tr2bl w:val="nil"/>
            </w:tcBorders>
            <w:vAlign w:val="center"/>
          </w:tcPr>
          <w:p w14:paraId="06E0EFE6">
            <w:pPr>
              <w:widowControl w:val="0"/>
              <w:shd w:val="clear"/>
              <w:kinsoku/>
              <w:autoSpaceDE/>
              <w:autoSpaceDN/>
              <w:adjustRightInd/>
              <w:snapToGrid/>
              <w:spacing w:line="360" w:lineRule="auto"/>
              <w:jc w:val="center"/>
              <w:textAlignment w:val="auto"/>
              <w:rPr>
                <w:rFonts w:ascii="Times New Roman" w:hAnsi="Times New Roman" w:eastAsia="宋体"/>
                <w:snapToGrid/>
                <w:color w:val="auto"/>
                <w:szCs w:val="18"/>
              </w:rPr>
            </w:pPr>
            <w:r>
              <w:rPr>
                <w:rFonts w:hint="eastAsia" w:ascii="Times New Roman" w:hAnsi="Times New Roman" w:eastAsia="宋体"/>
                <w:snapToGrid/>
                <w:color w:val="auto"/>
                <w:szCs w:val="18"/>
                <w:lang w:eastAsia="zh-CN"/>
              </w:rPr>
              <w:t>/</w:t>
            </w:r>
          </w:p>
        </w:tc>
        <w:tc>
          <w:tcPr>
            <w:tcW w:w="553" w:type="pct"/>
            <w:tcBorders>
              <w:tl2br w:val="nil"/>
              <w:tr2bl w:val="nil"/>
            </w:tcBorders>
            <w:vAlign w:val="center"/>
          </w:tcPr>
          <w:p w14:paraId="438F29D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192</w:t>
            </w:r>
          </w:p>
        </w:tc>
        <w:tc>
          <w:tcPr>
            <w:tcW w:w="535" w:type="pct"/>
            <w:tcBorders>
              <w:tl2br w:val="nil"/>
              <w:tr2bl w:val="nil"/>
            </w:tcBorders>
            <w:vAlign w:val="center"/>
          </w:tcPr>
          <w:p w14:paraId="0039080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535" w:type="pct"/>
            <w:tcBorders>
              <w:tl2br w:val="nil"/>
              <w:tr2bl w:val="nil"/>
            </w:tcBorders>
            <w:vAlign w:val="center"/>
          </w:tcPr>
          <w:p w14:paraId="0B5DE51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195</w:t>
            </w:r>
          </w:p>
        </w:tc>
        <w:tc>
          <w:tcPr>
            <w:tcW w:w="470" w:type="pct"/>
            <w:tcBorders>
              <w:tl2br w:val="nil"/>
              <w:tr2bl w:val="nil"/>
            </w:tcBorders>
            <w:vAlign w:val="center"/>
          </w:tcPr>
          <w:p w14:paraId="4EF7967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471" w:type="pct"/>
            <w:tcBorders>
              <w:tl2br w:val="nil"/>
              <w:tr2bl w:val="nil"/>
            </w:tcBorders>
            <w:vAlign w:val="center"/>
          </w:tcPr>
          <w:p w14:paraId="4F8AAA93">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203</w:t>
            </w:r>
          </w:p>
        </w:tc>
        <w:tc>
          <w:tcPr>
            <w:tcW w:w="471" w:type="pct"/>
            <w:tcBorders>
              <w:tl2br w:val="nil"/>
              <w:tr2bl w:val="nil"/>
            </w:tcBorders>
            <w:vAlign w:val="center"/>
          </w:tcPr>
          <w:p w14:paraId="229883B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w:t>
            </w:r>
          </w:p>
        </w:tc>
      </w:tr>
      <w:tr w14:paraId="2D621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007F428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28</w:t>
            </w:r>
          </w:p>
        </w:tc>
        <w:tc>
          <w:tcPr>
            <w:tcW w:w="923" w:type="pct"/>
            <w:tcBorders>
              <w:tl2br w:val="nil"/>
              <w:tr2bl w:val="nil"/>
            </w:tcBorders>
            <w:vAlign w:val="center"/>
          </w:tcPr>
          <w:p w14:paraId="3C616EE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总大肠菌群（MPH/100mL）</w:t>
            </w:r>
          </w:p>
        </w:tc>
        <w:tc>
          <w:tcPr>
            <w:tcW w:w="804" w:type="pct"/>
            <w:tcBorders>
              <w:tl2br w:val="nil"/>
              <w:tr2bl w:val="nil"/>
            </w:tcBorders>
            <w:vAlign w:val="center"/>
          </w:tcPr>
          <w:p w14:paraId="12BC2883">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snapToGrid/>
                <w:color w:val="auto"/>
                <w:szCs w:val="18"/>
              </w:rPr>
              <w:t>≤3MPN/100mL</w:t>
            </w:r>
          </w:p>
        </w:tc>
        <w:tc>
          <w:tcPr>
            <w:tcW w:w="553" w:type="pct"/>
            <w:tcBorders>
              <w:tl2br w:val="nil"/>
              <w:tr2bl w:val="nil"/>
            </w:tcBorders>
            <w:vAlign w:val="center"/>
          </w:tcPr>
          <w:p w14:paraId="33A5388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cs="宋体"/>
                <w:snapToGrid/>
                <w:color w:val="auto"/>
              </w:rPr>
              <w:t>未检出</w:t>
            </w:r>
          </w:p>
        </w:tc>
        <w:tc>
          <w:tcPr>
            <w:tcW w:w="535" w:type="pct"/>
            <w:tcBorders>
              <w:tl2br w:val="nil"/>
              <w:tr2bl w:val="nil"/>
            </w:tcBorders>
            <w:vAlign w:val="center"/>
          </w:tcPr>
          <w:p w14:paraId="269DD993">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535" w:type="pct"/>
            <w:tcBorders>
              <w:tl2br w:val="nil"/>
              <w:tr2bl w:val="nil"/>
            </w:tcBorders>
            <w:vAlign w:val="center"/>
          </w:tcPr>
          <w:p w14:paraId="35712CF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cs="宋体"/>
                <w:snapToGrid/>
                <w:color w:val="auto"/>
              </w:rPr>
              <w:t>未检出</w:t>
            </w:r>
          </w:p>
        </w:tc>
        <w:tc>
          <w:tcPr>
            <w:tcW w:w="470" w:type="pct"/>
            <w:tcBorders>
              <w:tl2br w:val="nil"/>
              <w:tr2bl w:val="nil"/>
            </w:tcBorders>
            <w:vAlign w:val="center"/>
          </w:tcPr>
          <w:p w14:paraId="4D74CCA7">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471" w:type="pct"/>
            <w:tcBorders>
              <w:tl2br w:val="nil"/>
              <w:tr2bl w:val="nil"/>
            </w:tcBorders>
            <w:vAlign w:val="center"/>
          </w:tcPr>
          <w:p w14:paraId="081B406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cs="宋体"/>
                <w:snapToGrid/>
                <w:color w:val="auto"/>
              </w:rPr>
              <w:t>未检出</w:t>
            </w:r>
          </w:p>
        </w:tc>
        <w:tc>
          <w:tcPr>
            <w:tcW w:w="471" w:type="pct"/>
            <w:tcBorders>
              <w:tl2br w:val="nil"/>
              <w:tr2bl w:val="nil"/>
            </w:tcBorders>
            <w:vAlign w:val="center"/>
          </w:tcPr>
          <w:p w14:paraId="46C95A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w:t>
            </w:r>
          </w:p>
        </w:tc>
      </w:tr>
      <w:tr w14:paraId="7F1A11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34" w:type="pct"/>
            <w:tcBorders>
              <w:tl2br w:val="nil"/>
              <w:tr2bl w:val="nil"/>
            </w:tcBorders>
            <w:vAlign w:val="center"/>
          </w:tcPr>
          <w:p w14:paraId="3449FCE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29</w:t>
            </w:r>
          </w:p>
        </w:tc>
        <w:tc>
          <w:tcPr>
            <w:tcW w:w="923" w:type="pct"/>
            <w:tcBorders>
              <w:tl2br w:val="nil"/>
              <w:tr2bl w:val="nil"/>
            </w:tcBorders>
            <w:vAlign w:val="center"/>
          </w:tcPr>
          <w:p w14:paraId="6425176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菌落总数（CFU/mL）</w:t>
            </w:r>
          </w:p>
        </w:tc>
        <w:tc>
          <w:tcPr>
            <w:tcW w:w="804" w:type="pct"/>
            <w:tcBorders>
              <w:tl2br w:val="nil"/>
              <w:tr2bl w:val="nil"/>
            </w:tcBorders>
            <w:vAlign w:val="center"/>
          </w:tcPr>
          <w:p w14:paraId="2EBBF2FA">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snapToGrid/>
                <w:color w:val="auto"/>
                <w:szCs w:val="18"/>
              </w:rPr>
              <w:t>≤100</w:t>
            </w:r>
            <w:r>
              <w:rPr>
                <w:rFonts w:eastAsia="宋体"/>
                <w:snapToGrid/>
                <w:color w:val="auto"/>
              </w:rPr>
              <w:t>CFU/ml</w:t>
            </w:r>
          </w:p>
        </w:tc>
        <w:tc>
          <w:tcPr>
            <w:tcW w:w="553" w:type="pct"/>
            <w:tcBorders>
              <w:tl2br w:val="nil"/>
              <w:tr2bl w:val="nil"/>
            </w:tcBorders>
            <w:vAlign w:val="center"/>
          </w:tcPr>
          <w:p w14:paraId="731543A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30</w:t>
            </w:r>
          </w:p>
        </w:tc>
        <w:tc>
          <w:tcPr>
            <w:tcW w:w="535" w:type="pct"/>
            <w:tcBorders>
              <w:tl2br w:val="nil"/>
              <w:tr2bl w:val="nil"/>
            </w:tcBorders>
            <w:vAlign w:val="center"/>
          </w:tcPr>
          <w:p w14:paraId="07B62CE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0.3</w:t>
            </w:r>
          </w:p>
        </w:tc>
        <w:tc>
          <w:tcPr>
            <w:tcW w:w="535" w:type="pct"/>
            <w:tcBorders>
              <w:tl2br w:val="nil"/>
              <w:tr2bl w:val="nil"/>
            </w:tcBorders>
            <w:vAlign w:val="center"/>
          </w:tcPr>
          <w:p w14:paraId="77307FF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15</w:t>
            </w:r>
          </w:p>
        </w:tc>
        <w:tc>
          <w:tcPr>
            <w:tcW w:w="470" w:type="pct"/>
            <w:tcBorders>
              <w:tl2br w:val="nil"/>
              <w:tr2bl w:val="nil"/>
            </w:tcBorders>
            <w:vAlign w:val="center"/>
          </w:tcPr>
          <w:p w14:paraId="30459967">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0.15</w:t>
            </w:r>
          </w:p>
        </w:tc>
        <w:tc>
          <w:tcPr>
            <w:tcW w:w="471" w:type="pct"/>
            <w:tcBorders>
              <w:tl2br w:val="nil"/>
              <w:tr2bl w:val="nil"/>
            </w:tcBorders>
            <w:vAlign w:val="center"/>
          </w:tcPr>
          <w:p w14:paraId="57159975">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35</w:t>
            </w:r>
          </w:p>
        </w:tc>
        <w:tc>
          <w:tcPr>
            <w:tcW w:w="471" w:type="pct"/>
            <w:tcBorders>
              <w:tl2br w:val="nil"/>
              <w:tr2bl w:val="nil"/>
            </w:tcBorders>
            <w:vAlign w:val="center"/>
          </w:tcPr>
          <w:p w14:paraId="2D32C27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0.35</w:t>
            </w:r>
          </w:p>
        </w:tc>
      </w:tr>
    </w:tbl>
    <w:p w14:paraId="33DB736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根据上述监测结果可知，项目所在区域三个地下水监测点位所有监测指标的标准指数均小于</w:t>
      </w:r>
      <w:r>
        <w:rPr>
          <w:rFonts w:hint="eastAsia" w:ascii="Times New Roman" w:hAnsi="Times New Roman"/>
          <w:snapToGrid/>
          <w:color w:val="auto"/>
          <w:sz w:val="24"/>
          <w:szCs w:val="24"/>
          <w:lang w:eastAsia="zh-CN"/>
        </w:rPr>
        <w:t>等于</w:t>
      </w:r>
      <w:r>
        <w:rPr>
          <w:rFonts w:ascii="Times New Roman" w:hAnsi="Times New Roman"/>
          <w:snapToGrid/>
          <w:color w:val="auto"/>
          <w:sz w:val="24"/>
          <w:szCs w:val="24"/>
          <w:lang w:eastAsia="zh-CN"/>
        </w:rPr>
        <w:t>1，满足《地下水质量标准》（GB/T14848-2017）中的Ⅲ类标准要求。</w:t>
      </w:r>
    </w:p>
    <w:bookmarkEnd w:id="567"/>
    <w:bookmarkEnd w:id="568"/>
    <w:bookmarkEnd w:id="569"/>
    <w:p w14:paraId="2931CE7A">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70" w:name="_Toc15795"/>
      <w:bookmarkStart w:id="571" w:name="_Toc17146"/>
      <w:bookmarkStart w:id="572" w:name="_Toc6109"/>
      <w:r>
        <w:rPr>
          <w:rFonts w:hint="eastAsia" w:ascii="Times New Roman" w:hAnsi="Times New Roman" w:eastAsia="宋体" w:cs="Times New Roman"/>
          <w:snapToGrid/>
          <w:color w:val="auto"/>
          <w:lang w:eastAsia="zh-CN"/>
        </w:rPr>
        <w:t>4.2.2地表水环境质量现状调查与评价</w:t>
      </w:r>
      <w:bookmarkEnd w:id="570"/>
      <w:bookmarkEnd w:id="571"/>
      <w:bookmarkEnd w:id="572"/>
    </w:p>
    <w:p w14:paraId="76CAF25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本项目生产过程中</w:t>
      </w:r>
      <w:r>
        <w:rPr>
          <w:rFonts w:hint="eastAsia" w:ascii="Times New Roman" w:hAnsi="Times New Roman"/>
          <w:snapToGrid/>
          <w:color w:val="auto"/>
          <w:sz w:val="24"/>
          <w:szCs w:val="24"/>
          <w:lang w:eastAsia="zh-CN"/>
        </w:rPr>
        <w:t>生产废水</w:t>
      </w:r>
      <w:r>
        <w:rPr>
          <w:rFonts w:ascii="Times New Roman" w:hAnsi="Times New Roman"/>
          <w:snapToGrid/>
          <w:color w:val="auto"/>
          <w:sz w:val="24"/>
          <w:szCs w:val="24"/>
          <w:lang w:eastAsia="zh-CN"/>
        </w:rPr>
        <w:t>循环使用，不排入地表水体；生活污水</w:t>
      </w:r>
      <w:r>
        <w:rPr>
          <w:rFonts w:hint="eastAsia" w:ascii="Times New Roman" w:hAnsi="Times New Roman"/>
          <w:snapToGrid/>
          <w:color w:val="auto"/>
          <w:sz w:val="24"/>
          <w:szCs w:val="24"/>
          <w:lang w:eastAsia="zh-CN"/>
        </w:rPr>
        <w:t>排入防渗化粪池，定期拉运至木垒哈萨克自治县污水处理厂处理</w:t>
      </w:r>
      <w:r>
        <w:rPr>
          <w:rFonts w:ascii="Times New Roman" w:hAnsi="Times New Roman"/>
          <w:snapToGrid/>
          <w:color w:val="auto"/>
          <w:sz w:val="24"/>
          <w:szCs w:val="24"/>
          <w:lang w:eastAsia="zh-CN"/>
        </w:rPr>
        <w:t>，厂区出水标准满足《污水综合排放标准》（GB8978-1996）中的表4三级标准，不会对地表水产生影响。因此本项目与地表水没有直接的水力联系，</w:t>
      </w:r>
      <w:r>
        <w:rPr>
          <w:rFonts w:hint="eastAsia" w:ascii="Times New Roman" w:hAnsi="Times New Roman"/>
          <w:snapToGrid/>
          <w:color w:val="auto"/>
          <w:sz w:val="24"/>
          <w:szCs w:val="24"/>
          <w:lang w:eastAsia="zh-CN"/>
        </w:rPr>
        <w:t>评价等级为三级B，</w:t>
      </w:r>
      <w:r>
        <w:rPr>
          <w:rFonts w:ascii="Times New Roman" w:hAnsi="Times New Roman"/>
          <w:snapToGrid/>
          <w:color w:val="auto"/>
          <w:sz w:val="24"/>
          <w:szCs w:val="24"/>
          <w:lang w:eastAsia="zh-CN"/>
        </w:rPr>
        <w:t>故不对地表水质量现状进行评价。</w:t>
      </w:r>
    </w:p>
    <w:p w14:paraId="2275B567">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73" w:name="_Toc2443"/>
      <w:bookmarkStart w:id="574" w:name="_Toc8212"/>
      <w:bookmarkStart w:id="575" w:name="_Toc29457"/>
      <w:r>
        <w:rPr>
          <w:rFonts w:hint="eastAsia" w:ascii="Times New Roman" w:hAnsi="Times New Roman" w:eastAsia="宋体" w:cs="Times New Roman"/>
          <w:snapToGrid/>
          <w:color w:val="auto"/>
          <w:lang w:eastAsia="zh-CN"/>
        </w:rPr>
        <w:t>4.2.4声环境质量现状调查与评价</w:t>
      </w:r>
      <w:bookmarkEnd w:id="573"/>
      <w:bookmarkEnd w:id="574"/>
      <w:bookmarkEnd w:id="575"/>
    </w:p>
    <w:p w14:paraId="18BCE57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（1）监测点位布置</w:t>
      </w:r>
    </w:p>
    <w:p w14:paraId="21BBF72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在项目厂界四周厂界外1m处布设噪声监测点4个噪声监测点。</w:t>
      </w:r>
    </w:p>
    <w:p w14:paraId="43053C61">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ascii="Times New Roman" w:hAnsi="Times New Roman"/>
          <w:snapToGrid/>
          <w:color w:val="auto"/>
          <w:sz w:val="24"/>
          <w:szCs w:val="24"/>
          <w:lang w:eastAsia="zh-CN"/>
        </w:rPr>
        <w:t>（2）监测时间及监测方</w:t>
      </w:r>
      <w:r>
        <w:rPr>
          <w:rFonts w:hint="eastAsia" w:ascii="Times New Roman" w:hAnsi="Times New Roman"/>
          <w:snapToGrid/>
          <w:color w:val="auto"/>
          <w:sz w:val="24"/>
          <w:szCs w:val="24"/>
          <w:lang w:val="en-US" w:eastAsia="zh-CN"/>
        </w:rPr>
        <w:t>法</w:t>
      </w:r>
    </w:p>
    <w:p w14:paraId="3AEA2B5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监测单位：</w:t>
      </w:r>
      <w:r>
        <w:rPr>
          <w:rFonts w:hint="eastAsia" w:ascii="Times New Roman" w:hAnsi="Times New Roman"/>
          <w:snapToGrid/>
          <w:color w:val="auto"/>
          <w:sz w:val="24"/>
          <w:szCs w:val="24"/>
          <w:lang w:eastAsia="zh-CN"/>
        </w:rPr>
        <w:t>新疆国科检测有限公司</w:t>
      </w:r>
    </w:p>
    <w:p w14:paraId="448D2A6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监测时间为</w:t>
      </w:r>
      <w:r>
        <w:rPr>
          <w:rFonts w:hint="eastAsia" w:ascii="Times New Roman" w:hAnsi="Times New Roman"/>
          <w:snapToGrid/>
          <w:color w:val="auto"/>
          <w:sz w:val="24"/>
          <w:szCs w:val="24"/>
          <w:lang w:eastAsia="zh-CN"/>
        </w:rPr>
        <w:t>2024</w:t>
      </w:r>
      <w:r>
        <w:rPr>
          <w:rFonts w:ascii="Times New Roman" w:hAnsi="Times New Roman"/>
          <w:snapToGrid/>
          <w:color w:val="auto"/>
          <w:sz w:val="24"/>
          <w:szCs w:val="24"/>
          <w:lang w:eastAsia="zh-CN"/>
        </w:rPr>
        <w:t>年</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日，分别在昼间和夜间进行监测。监测方法</w:t>
      </w:r>
      <w:r>
        <w:rPr>
          <w:rFonts w:hint="eastAsia" w:ascii="Times New Roman" w:hAnsi="Times New Roman"/>
          <w:snapToGrid/>
          <w:color w:val="auto"/>
          <w:sz w:val="24"/>
          <w:szCs w:val="24"/>
          <w:lang w:eastAsia="zh-CN"/>
        </w:rPr>
        <w:t>按照</w:t>
      </w:r>
      <w:r>
        <w:rPr>
          <w:rFonts w:ascii="Times New Roman" w:hAnsi="Times New Roman"/>
          <w:snapToGrid/>
          <w:color w:val="auto"/>
          <w:sz w:val="24"/>
          <w:szCs w:val="24"/>
          <w:lang w:eastAsia="zh-CN"/>
        </w:rPr>
        <w:t>《声环境质量标准》（GB3096-2008）中的有关规定进行。详见图</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-1监测点位图。</w:t>
      </w:r>
    </w:p>
    <w:p w14:paraId="76A0990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（3）评价标准与评价因子</w:t>
      </w:r>
    </w:p>
    <w:p w14:paraId="0A1C1CD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根据声环境功能区划分，项目所在地为</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类声环境功能区，执行《声环境质量标准》（GB3096-2008）</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类标准。其标准值为：昼间6</w:t>
      </w:r>
      <w:r>
        <w:rPr>
          <w:rFonts w:hint="eastAsia" w:ascii="Times New Roman" w:hAnsi="Times New Roman"/>
          <w:snapToGrid/>
          <w:color w:val="auto"/>
          <w:sz w:val="24"/>
          <w:szCs w:val="24"/>
          <w:lang w:eastAsia="zh-CN"/>
        </w:rPr>
        <w:t>0</w:t>
      </w:r>
      <w:r>
        <w:rPr>
          <w:rFonts w:ascii="Times New Roman" w:hAnsi="Times New Roman"/>
          <w:snapToGrid/>
          <w:color w:val="auto"/>
          <w:sz w:val="24"/>
          <w:szCs w:val="24"/>
          <w:lang w:eastAsia="zh-CN"/>
        </w:rPr>
        <w:t>dB（A），夜间5</w:t>
      </w:r>
      <w:r>
        <w:rPr>
          <w:rFonts w:hint="eastAsia" w:ascii="Times New Roman" w:hAnsi="Times New Roman"/>
          <w:snapToGrid/>
          <w:color w:val="auto"/>
          <w:sz w:val="24"/>
          <w:szCs w:val="24"/>
          <w:lang w:eastAsia="zh-CN"/>
        </w:rPr>
        <w:t>0</w:t>
      </w:r>
      <w:r>
        <w:rPr>
          <w:rFonts w:ascii="Times New Roman" w:hAnsi="Times New Roman"/>
          <w:snapToGrid/>
          <w:color w:val="auto"/>
          <w:sz w:val="24"/>
          <w:szCs w:val="24"/>
          <w:lang w:eastAsia="zh-CN"/>
        </w:rPr>
        <w:t>dB（A）。</w:t>
      </w:r>
    </w:p>
    <w:p w14:paraId="738BB9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（4）监测结果及评价</w:t>
      </w:r>
    </w:p>
    <w:p w14:paraId="5260E8F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项目区噪声监测结果见表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7</w:t>
      </w:r>
      <w:r>
        <w:rPr>
          <w:rFonts w:ascii="Times New Roman" w:hAnsi="Times New Roman"/>
          <w:snapToGrid/>
          <w:color w:val="auto"/>
          <w:sz w:val="24"/>
          <w:szCs w:val="24"/>
          <w:lang w:eastAsia="zh-CN"/>
        </w:rPr>
        <w:t>。</w:t>
      </w:r>
    </w:p>
    <w:p w14:paraId="6AD52D68">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w:t>
      </w:r>
      <w:r>
        <w:rPr>
          <w:rFonts w:hint="eastAsia" w:ascii="Times New Roman" w:hAnsi="Times New Roman"/>
          <w:b/>
          <w:bCs/>
          <w:snapToGrid/>
          <w:color w:val="auto"/>
          <w:sz w:val="24"/>
          <w:lang w:eastAsia="zh-CN"/>
        </w:rPr>
        <w:t>7</w:t>
      </w:r>
      <w:r>
        <w:rPr>
          <w:rFonts w:ascii="Times New Roman" w:hAnsi="Times New Roman"/>
          <w:b/>
          <w:bCs/>
          <w:snapToGrid/>
          <w:color w:val="auto"/>
          <w:sz w:val="24"/>
          <w:lang w:eastAsia="zh-CN"/>
        </w:rPr>
        <w:t>厂界噪声监测结果单位：dB（A）</w:t>
      </w:r>
    </w:p>
    <w:tbl>
      <w:tblPr>
        <w:tblStyle w:val="36"/>
        <w:tblW w:w="84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68"/>
        <w:gridCol w:w="1267"/>
        <w:gridCol w:w="1116"/>
        <w:gridCol w:w="989"/>
        <w:gridCol w:w="986"/>
        <w:gridCol w:w="986"/>
        <w:gridCol w:w="989"/>
        <w:gridCol w:w="999"/>
      </w:tblGrid>
      <w:tr w14:paraId="0006F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068" w:type="dxa"/>
            <w:vMerge w:val="restart"/>
            <w:tcBorders>
              <w:tl2br w:val="nil"/>
              <w:tr2bl w:val="nil"/>
            </w:tcBorders>
            <w:vAlign w:val="center"/>
          </w:tcPr>
          <w:p w14:paraId="0F3BD0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时间</w:t>
            </w:r>
          </w:p>
        </w:tc>
        <w:tc>
          <w:tcPr>
            <w:tcW w:w="1267" w:type="dxa"/>
            <w:vMerge w:val="restart"/>
            <w:tcBorders>
              <w:tl2br w:val="nil"/>
              <w:tr2bl w:val="nil"/>
            </w:tcBorders>
            <w:vAlign w:val="center"/>
          </w:tcPr>
          <w:p w14:paraId="04A8E0C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w:t>
            </w:r>
          </w:p>
        </w:tc>
        <w:tc>
          <w:tcPr>
            <w:tcW w:w="3091" w:type="dxa"/>
            <w:gridSpan w:val="3"/>
            <w:tcBorders>
              <w:tl2br w:val="nil"/>
              <w:tr2bl w:val="nil"/>
            </w:tcBorders>
            <w:vAlign w:val="center"/>
          </w:tcPr>
          <w:p w14:paraId="5DC427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昼间</w:t>
            </w:r>
          </w:p>
        </w:tc>
        <w:tc>
          <w:tcPr>
            <w:tcW w:w="2974" w:type="dxa"/>
            <w:gridSpan w:val="3"/>
            <w:tcBorders>
              <w:tl2br w:val="nil"/>
              <w:tr2bl w:val="nil"/>
            </w:tcBorders>
            <w:vAlign w:val="center"/>
          </w:tcPr>
          <w:p w14:paraId="4931369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夜间</w:t>
            </w:r>
          </w:p>
        </w:tc>
      </w:tr>
      <w:tr w14:paraId="7A493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068" w:type="dxa"/>
            <w:vMerge w:val="continue"/>
            <w:tcBorders>
              <w:tl2br w:val="nil"/>
              <w:tr2bl w:val="nil"/>
            </w:tcBorders>
            <w:vAlign w:val="center"/>
          </w:tcPr>
          <w:p w14:paraId="26E902A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67" w:type="dxa"/>
            <w:vMerge w:val="continue"/>
            <w:tcBorders>
              <w:tl2br w:val="nil"/>
              <w:tr2bl w:val="nil"/>
            </w:tcBorders>
            <w:vAlign w:val="center"/>
          </w:tcPr>
          <w:p w14:paraId="5418A4E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116" w:type="dxa"/>
            <w:tcBorders>
              <w:tl2br w:val="nil"/>
              <w:tr2bl w:val="nil"/>
            </w:tcBorders>
            <w:vAlign w:val="center"/>
          </w:tcPr>
          <w:p w14:paraId="507A20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监测值</w:t>
            </w:r>
          </w:p>
        </w:tc>
        <w:tc>
          <w:tcPr>
            <w:tcW w:w="989" w:type="dxa"/>
            <w:tcBorders>
              <w:tl2br w:val="nil"/>
              <w:tr2bl w:val="nil"/>
            </w:tcBorders>
            <w:vAlign w:val="center"/>
          </w:tcPr>
          <w:p w14:paraId="784878B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标准值</w:t>
            </w:r>
          </w:p>
        </w:tc>
        <w:tc>
          <w:tcPr>
            <w:tcW w:w="986" w:type="dxa"/>
            <w:tcBorders>
              <w:tl2br w:val="nil"/>
              <w:tr2bl w:val="nil"/>
            </w:tcBorders>
            <w:vAlign w:val="center"/>
          </w:tcPr>
          <w:p w14:paraId="0F4BD91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判定</w:t>
            </w:r>
          </w:p>
        </w:tc>
        <w:tc>
          <w:tcPr>
            <w:tcW w:w="986" w:type="dxa"/>
            <w:tcBorders>
              <w:tl2br w:val="nil"/>
              <w:tr2bl w:val="nil"/>
            </w:tcBorders>
            <w:vAlign w:val="center"/>
          </w:tcPr>
          <w:p w14:paraId="6BD38A9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监测值</w:t>
            </w:r>
          </w:p>
        </w:tc>
        <w:tc>
          <w:tcPr>
            <w:tcW w:w="989" w:type="dxa"/>
            <w:tcBorders>
              <w:tl2br w:val="nil"/>
              <w:tr2bl w:val="nil"/>
            </w:tcBorders>
            <w:vAlign w:val="center"/>
          </w:tcPr>
          <w:p w14:paraId="2D7890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标准值</w:t>
            </w:r>
          </w:p>
        </w:tc>
        <w:tc>
          <w:tcPr>
            <w:tcW w:w="999" w:type="dxa"/>
            <w:tcBorders>
              <w:tl2br w:val="nil"/>
              <w:tr2bl w:val="nil"/>
            </w:tcBorders>
            <w:vAlign w:val="center"/>
          </w:tcPr>
          <w:p w14:paraId="05571E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判定</w:t>
            </w:r>
          </w:p>
        </w:tc>
      </w:tr>
      <w:tr w14:paraId="78F5F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1068" w:type="dxa"/>
            <w:vMerge w:val="restart"/>
            <w:tcBorders>
              <w:tl2br w:val="nil"/>
              <w:tr2bl w:val="nil"/>
            </w:tcBorders>
            <w:vAlign w:val="center"/>
          </w:tcPr>
          <w:p w14:paraId="66438AD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8</w:t>
            </w:r>
            <w:r>
              <w:rPr>
                <w:rFonts w:eastAsia="宋体" w:cs="宋体"/>
                <w:snapToGrid/>
                <w:color w:val="auto"/>
              </w:rPr>
              <w:t>月</w:t>
            </w:r>
            <w:r>
              <w:rPr>
                <w:rFonts w:hint="eastAsia" w:eastAsia="宋体"/>
                <w:snapToGrid/>
                <w:color w:val="auto"/>
                <w:lang w:eastAsia="zh-CN"/>
              </w:rPr>
              <w:t>6</w:t>
            </w:r>
            <w:r>
              <w:rPr>
                <w:rFonts w:eastAsia="宋体" w:cs="宋体"/>
                <w:snapToGrid/>
                <w:color w:val="auto"/>
              </w:rPr>
              <w:t>日</w:t>
            </w:r>
          </w:p>
        </w:tc>
        <w:tc>
          <w:tcPr>
            <w:tcW w:w="1267" w:type="dxa"/>
            <w:tcBorders>
              <w:tl2br w:val="nil"/>
              <w:tr2bl w:val="nil"/>
            </w:tcBorders>
            <w:vAlign w:val="center"/>
          </w:tcPr>
          <w:p w14:paraId="4832166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rPr>
              <w:t>厂界</w:t>
            </w:r>
            <w:r>
              <w:rPr>
                <w:rFonts w:hint="eastAsia" w:ascii="Times New Roman" w:hAnsi="Times New Roman" w:eastAsia="宋体" w:cs="宋体"/>
                <w:snapToGrid/>
                <w:color w:val="auto"/>
                <w:lang w:eastAsia="zh-CN"/>
              </w:rPr>
              <w:t>北</w:t>
            </w:r>
          </w:p>
        </w:tc>
        <w:tc>
          <w:tcPr>
            <w:tcW w:w="1116" w:type="dxa"/>
            <w:tcBorders>
              <w:tl2br w:val="nil"/>
              <w:tr2bl w:val="nil"/>
            </w:tcBorders>
            <w:vAlign w:val="center"/>
          </w:tcPr>
          <w:p w14:paraId="44930F8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47.1</w:t>
            </w:r>
          </w:p>
        </w:tc>
        <w:tc>
          <w:tcPr>
            <w:tcW w:w="989" w:type="dxa"/>
            <w:tcBorders>
              <w:tl2br w:val="nil"/>
              <w:tr2bl w:val="nil"/>
            </w:tcBorders>
            <w:vAlign w:val="center"/>
          </w:tcPr>
          <w:p w14:paraId="58C806F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6</w:t>
            </w:r>
            <w:r>
              <w:rPr>
                <w:rFonts w:hint="eastAsia" w:eastAsia="宋体"/>
                <w:snapToGrid/>
                <w:color w:val="auto"/>
                <w:lang w:eastAsia="zh-CN"/>
              </w:rPr>
              <w:t>0</w:t>
            </w:r>
          </w:p>
        </w:tc>
        <w:tc>
          <w:tcPr>
            <w:tcW w:w="986" w:type="dxa"/>
            <w:tcBorders>
              <w:tl2br w:val="nil"/>
              <w:tr2bl w:val="nil"/>
            </w:tcBorders>
            <w:vAlign w:val="center"/>
          </w:tcPr>
          <w:p w14:paraId="0CBFDF7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c>
          <w:tcPr>
            <w:tcW w:w="986" w:type="dxa"/>
            <w:tcBorders>
              <w:tl2br w:val="nil"/>
              <w:tr2bl w:val="nil"/>
            </w:tcBorders>
            <w:vAlign w:val="center"/>
          </w:tcPr>
          <w:p w14:paraId="37EB9DE2">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41.1</w:t>
            </w:r>
          </w:p>
        </w:tc>
        <w:tc>
          <w:tcPr>
            <w:tcW w:w="989" w:type="dxa"/>
            <w:tcBorders>
              <w:tl2br w:val="nil"/>
              <w:tr2bl w:val="nil"/>
            </w:tcBorders>
            <w:vAlign w:val="center"/>
          </w:tcPr>
          <w:p w14:paraId="6514CAE7">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hint="eastAsia" w:eastAsia="宋体"/>
                <w:snapToGrid/>
                <w:color w:val="auto"/>
                <w:lang w:eastAsia="zh-CN"/>
              </w:rPr>
              <w:t>50</w:t>
            </w:r>
          </w:p>
        </w:tc>
        <w:tc>
          <w:tcPr>
            <w:tcW w:w="999" w:type="dxa"/>
            <w:tcBorders>
              <w:tl2br w:val="nil"/>
              <w:tr2bl w:val="nil"/>
            </w:tcBorders>
            <w:vAlign w:val="center"/>
          </w:tcPr>
          <w:p w14:paraId="69B8FE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17BB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068" w:type="dxa"/>
            <w:vMerge w:val="continue"/>
            <w:tcBorders>
              <w:tl2br w:val="nil"/>
              <w:tr2bl w:val="nil"/>
            </w:tcBorders>
            <w:vAlign w:val="center"/>
          </w:tcPr>
          <w:p w14:paraId="0F99F34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67" w:type="dxa"/>
            <w:tcBorders>
              <w:tl2br w:val="nil"/>
              <w:tr2bl w:val="nil"/>
            </w:tcBorders>
            <w:vAlign w:val="center"/>
          </w:tcPr>
          <w:p w14:paraId="2016AE9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rPr>
              <w:t>厂界</w:t>
            </w:r>
            <w:r>
              <w:rPr>
                <w:rFonts w:hint="eastAsia" w:ascii="Times New Roman" w:hAnsi="Times New Roman" w:eastAsia="宋体" w:cs="宋体"/>
                <w:snapToGrid/>
                <w:color w:val="auto"/>
                <w:lang w:eastAsia="zh-CN"/>
              </w:rPr>
              <w:t>东</w:t>
            </w:r>
          </w:p>
        </w:tc>
        <w:tc>
          <w:tcPr>
            <w:tcW w:w="1116" w:type="dxa"/>
            <w:tcBorders>
              <w:tl2br w:val="nil"/>
              <w:tr2bl w:val="nil"/>
            </w:tcBorders>
            <w:vAlign w:val="center"/>
          </w:tcPr>
          <w:p w14:paraId="2135328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48.2</w:t>
            </w:r>
          </w:p>
        </w:tc>
        <w:tc>
          <w:tcPr>
            <w:tcW w:w="989" w:type="dxa"/>
            <w:tcBorders>
              <w:tl2br w:val="nil"/>
              <w:tr2bl w:val="nil"/>
            </w:tcBorders>
            <w:vAlign w:val="center"/>
          </w:tcPr>
          <w:p w14:paraId="10E0EE3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w:t>
            </w:r>
            <w:r>
              <w:rPr>
                <w:rFonts w:hint="eastAsia" w:eastAsia="宋体"/>
                <w:snapToGrid/>
                <w:color w:val="auto"/>
                <w:lang w:eastAsia="zh-CN"/>
              </w:rPr>
              <w:t>0</w:t>
            </w:r>
          </w:p>
        </w:tc>
        <w:tc>
          <w:tcPr>
            <w:tcW w:w="986" w:type="dxa"/>
            <w:tcBorders>
              <w:tl2br w:val="nil"/>
              <w:tr2bl w:val="nil"/>
            </w:tcBorders>
            <w:vAlign w:val="center"/>
          </w:tcPr>
          <w:p w14:paraId="201F87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c>
          <w:tcPr>
            <w:tcW w:w="986" w:type="dxa"/>
            <w:tcBorders>
              <w:tl2br w:val="nil"/>
              <w:tr2bl w:val="nil"/>
            </w:tcBorders>
            <w:vAlign w:val="center"/>
          </w:tcPr>
          <w:p w14:paraId="7490AE78">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42.8</w:t>
            </w:r>
          </w:p>
        </w:tc>
        <w:tc>
          <w:tcPr>
            <w:tcW w:w="989" w:type="dxa"/>
            <w:tcBorders>
              <w:tl2br w:val="nil"/>
              <w:tr2bl w:val="nil"/>
            </w:tcBorders>
            <w:vAlign w:val="center"/>
          </w:tcPr>
          <w:p w14:paraId="6D82207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eastAsia="宋体"/>
                <w:snapToGrid/>
                <w:color w:val="auto"/>
                <w:lang w:eastAsia="zh-CN"/>
              </w:rPr>
              <w:t>50</w:t>
            </w:r>
          </w:p>
        </w:tc>
        <w:tc>
          <w:tcPr>
            <w:tcW w:w="999" w:type="dxa"/>
            <w:tcBorders>
              <w:tl2br w:val="nil"/>
              <w:tr2bl w:val="nil"/>
            </w:tcBorders>
            <w:vAlign w:val="center"/>
          </w:tcPr>
          <w:p w14:paraId="34252EA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19A716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68" w:type="dxa"/>
            <w:vMerge w:val="continue"/>
            <w:tcBorders>
              <w:tl2br w:val="nil"/>
              <w:tr2bl w:val="nil"/>
            </w:tcBorders>
            <w:vAlign w:val="center"/>
          </w:tcPr>
          <w:p w14:paraId="51EA159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67" w:type="dxa"/>
            <w:tcBorders>
              <w:tl2br w:val="nil"/>
              <w:tr2bl w:val="nil"/>
            </w:tcBorders>
            <w:vAlign w:val="center"/>
          </w:tcPr>
          <w:p w14:paraId="1C4C1D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rPr>
              <w:t>厂界</w:t>
            </w:r>
            <w:r>
              <w:rPr>
                <w:rFonts w:hint="eastAsia" w:ascii="Times New Roman" w:hAnsi="Times New Roman" w:eastAsia="宋体" w:cs="宋体"/>
                <w:snapToGrid/>
                <w:color w:val="auto"/>
                <w:lang w:eastAsia="zh-CN"/>
              </w:rPr>
              <w:t>南</w:t>
            </w:r>
          </w:p>
        </w:tc>
        <w:tc>
          <w:tcPr>
            <w:tcW w:w="1116" w:type="dxa"/>
            <w:tcBorders>
              <w:tl2br w:val="nil"/>
              <w:tr2bl w:val="nil"/>
            </w:tcBorders>
            <w:vAlign w:val="center"/>
          </w:tcPr>
          <w:p w14:paraId="2F23CFA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47.5</w:t>
            </w:r>
          </w:p>
        </w:tc>
        <w:tc>
          <w:tcPr>
            <w:tcW w:w="989" w:type="dxa"/>
            <w:tcBorders>
              <w:tl2br w:val="nil"/>
              <w:tr2bl w:val="nil"/>
            </w:tcBorders>
            <w:vAlign w:val="center"/>
          </w:tcPr>
          <w:p w14:paraId="0BE318D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w:t>
            </w:r>
            <w:r>
              <w:rPr>
                <w:rFonts w:hint="eastAsia" w:eastAsia="宋体"/>
                <w:snapToGrid/>
                <w:color w:val="auto"/>
                <w:lang w:eastAsia="zh-CN"/>
              </w:rPr>
              <w:t>0</w:t>
            </w:r>
          </w:p>
        </w:tc>
        <w:tc>
          <w:tcPr>
            <w:tcW w:w="986" w:type="dxa"/>
            <w:tcBorders>
              <w:tl2br w:val="nil"/>
              <w:tr2bl w:val="nil"/>
            </w:tcBorders>
            <w:vAlign w:val="center"/>
          </w:tcPr>
          <w:p w14:paraId="223D70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c>
          <w:tcPr>
            <w:tcW w:w="986" w:type="dxa"/>
            <w:tcBorders>
              <w:tl2br w:val="nil"/>
              <w:tr2bl w:val="nil"/>
            </w:tcBorders>
            <w:vAlign w:val="center"/>
          </w:tcPr>
          <w:p w14:paraId="2A1D9A9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41.3</w:t>
            </w:r>
          </w:p>
        </w:tc>
        <w:tc>
          <w:tcPr>
            <w:tcW w:w="989" w:type="dxa"/>
            <w:tcBorders>
              <w:tl2br w:val="nil"/>
              <w:tr2bl w:val="nil"/>
            </w:tcBorders>
            <w:vAlign w:val="center"/>
          </w:tcPr>
          <w:p w14:paraId="4CBFF06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eastAsia="宋体"/>
                <w:snapToGrid/>
                <w:color w:val="auto"/>
                <w:lang w:eastAsia="zh-CN"/>
              </w:rPr>
              <w:t>50</w:t>
            </w:r>
          </w:p>
        </w:tc>
        <w:tc>
          <w:tcPr>
            <w:tcW w:w="999" w:type="dxa"/>
            <w:tcBorders>
              <w:tl2br w:val="nil"/>
              <w:tr2bl w:val="nil"/>
            </w:tcBorders>
            <w:vAlign w:val="center"/>
          </w:tcPr>
          <w:p w14:paraId="7A75F0E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r w14:paraId="3AEAED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1068" w:type="dxa"/>
            <w:vMerge w:val="continue"/>
            <w:tcBorders>
              <w:tl2br w:val="nil"/>
              <w:tr2bl w:val="nil"/>
            </w:tcBorders>
            <w:vAlign w:val="center"/>
          </w:tcPr>
          <w:p w14:paraId="3A04AAD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67" w:type="dxa"/>
            <w:tcBorders>
              <w:tl2br w:val="nil"/>
              <w:tr2bl w:val="nil"/>
            </w:tcBorders>
            <w:vAlign w:val="center"/>
          </w:tcPr>
          <w:p w14:paraId="601AB8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rPr>
              <w:t>厂界</w:t>
            </w:r>
            <w:r>
              <w:rPr>
                <w:rFonts w:hint="eastAsia" w:ascii="Times New Roman" w:hAnsi="Times New Roman" w:eastAsia="宋体" w:cs="宋体"/>
                <w:snapToGrid/>
                <w:color w:val="auto"/>
                <w:lang w:eastAsia="zh-CN"/>
              </w:rPr>
              <w:t>西</w:t>
            </w:r>
          </w:p>
        </w:tc>
        <w:tc>
          <w:tcPr>
            <w:tcW w:w="1116" w:type="dxa"/>
            <w:tcBorders>
              <w:tl2br w:val="nil"/>
              <w:tr2bl w:val="nil"/>
            </w:tcBorders>
            <w:vAlign w:val="center"/>
          </w:tcPr>
          <w:p w14:paraId="7C288BC9">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49.0</w:t>
            </w:r>
          </w:p>
        </w:tc>
        <w:tc>
          <w:tcPr>
            <w:tcW w:w="989" w:type="dxa"/>
            <w:tcBorders>
              <w:tl2br w:val="nil"/>
              <w:tr2bl w:val="nil"/>
            </w:tcBorders>
            <w:vAlign w:val="center"/>
          </w:tcPr>
          <w:p w14:paraId="3A87A5C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w:t>
            </w:r>
            <w:r>
              <w:rPr>
                <w:rFonts w:hint="eastAsia" w:eastAsia="宋体"/>
                <w:snapToGrid/>
                <w:color w:val="auto"/>
                <w:lang w:eastAsia="zh-CN"/>
              </w:rPr>
              <w:t>0</w:t>
            </w:r>
          </w:p>
        </w:tc>
        <w:tc>
          <w:tcPr>
            <w:tcW w:w="986" w:type="dxa"/>
            <w:tcBorders>
              <w:tl2br w:val="nil"/>
              <w:tr2bl w:val="nil"/>
            </w:tcBorders>
            <w:vAlign w:val="center"/>
          </w:tcPr>
          <w:p w14:paraId="00F015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c>
          <w:tcPr>
            <w:tcW w:w="986" w:type="dxa"/>
            <w:tcBorders>
              <w:tl2br w:val="nil"/>
              <w:tr2bl w:val="nil"/>
            </w:tcBorders>
            <w:vAlign w:val="center"/>
          </w:tcPr>
          <w:p w14:paraId="156EA39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41.1</w:t>
            </w:r>
          </w:p>
        </w:tc>
        <w:tc>
          <w:tcPr>
            <w:tcW w:w="989" w:type="dxa"/>
            <w:tcBorders>
              <w:tl2br w:val="nil"/>
              <w:tr2bl w:val="nil"/>
            </w:tcBorders>
            <w:vAlign w:val="center"/>
          </w:tcPr>
          <w:p w14:paraId="50867F3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hint="eastAsia" w:eastAsia="宋体"/>
                <w:snapToGrid/>
                <w:color w:val="auto"/>
                <w:lang w:eastAsia="zh-CN"/>
              </w:rPr>
              <w:t>50</w:t>
            </w:r>
          </w:p>
        </w:tc>
        <w:tc>
          <w:tcPr>
            <w:tcW w:w="999" w:type="dxa"/>
            <w:tcBorders>
              <w:tl2br w:val="nil"/>
              <w:tr2bl w:val="nil"/>
            </w:tcBorders>
            <w:vAlign w:val="center"/>
          </w:tcPr>
          <w:p w14:paraId="52CA6E0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达标</w:t>
            </w:r>
          </w:p>
        </w:tc>
      </w:tr>
    </w:tbl>
    <w:p w14:paraId="61A3A9B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由监测结果可知，厂界监测点位昼间、夜间噪声监测值均符合《声环境质量标准》（GB3096-2008）中</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类功能区标准限值要求，区域声环境质量良好。</w:t>
      </w:r>
    </w:p>
    <w:p w14:paraId="5EB1DA7E">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76" w:name="_Toc11508"/>
      <w:bookmarkStart w:id="577" w:name="_Toc715"/>
      <w:bookmarkStart w:id="578" w:name="_Toc26403"/>
      <w:r>
        <w:rPr>
          <w:rFonts w:hint="eastAsia" w:ascii="Times New Roman" w:hAnsi="Times New Roman" w:eastAsia="宋体" w:cs="Times New Roman"/>
          <w:snapToGrid/>
          <w:color w:val="auto"/>
          <w:lang w:eastAsia="zh-CN"/>
        </w:rPr>
        <w:t>4.2.5土壤环境现状调查与评价</w:t>
      </w:r>
      <w:bookmarkEnd w:id="576"/>
      <w:bookmarkEnd w:id="577"/>
      <w:bookmarkEnd w:id="578"/>
    </w:p>
    <w:p w14:paraId="681802E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（1）监测布点及监测时间</w:t>
      </w:r>
    </w:p>
    <w:p w14:paraId="7C33CCF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本次评价根据项目区现状，在项目所在地占地范围内共布设三个表层样点，表层样点均位于项目厂区内。土壤监测点位布置情况见表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，土壤监测点位图见图</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w:t>
      </w:r>
    </w:p>
    <w:p w14:paraId="6A4B7F17">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cs="Times New Roman"/>
          <w:b/>
          <w:bCs/>
          <w:snapToGrid/>
          <w:color w:val="auto"/>
          <w:sz w:val="24"/>
          <w:lang w:eastAsia="zh-CN"/>
        </w:rPr>
        <w:t>4.2</w:t>
      </w:r>
      <w:r>
        <w:rPr>
          <w:rFonts w:ascii="Times New Roman" w:hAnsi="Times New Roman" w:cs="Times New Roman"/>
          <w:b/>
          <w:bCs/>
          <w:snapToGrid/>
          <w:color w:val="auto"/>
          <w:sz w:val="24"/>
          <w:lang w:eastAsia="zh-CN"/>
        </w:rPr>
        <w:t>-</w:t>
      </w:r>
      <w:r>
        <w:rPr>
          <w:rFonts w:hint="eastAsia" w:ascii="Times New Roman" w:hAnsi="Times New Roman" w:cs="Times New Roman"/>
          <w:b/>
          <w:bCs/>
          <w:snapToGrid/>
          <w:color w:val="auto"/>
          <w:sz w:val="24"/>
          <w:lang w:eastAsia="zh-CN"/>
        </w:rPr>
        <w:t>8</w:t>
      </w:r>
      <w:r>
        <w:rPr>
          <w:rFonts w:ascii="Times New Roman" w:hAnsi="Times New Roman"/>
          <w:b/>
          <w:bCs/>
          <w:snapToGrid/>
          <w:color w:val="auto"/>
          <w:sz w:val="24"/>
          <w:lang w:eastAsia="zh-CN"/>
        </w:rPr>
        <w:t>土壤监测点位布设情况</w:t>
      </w:r>
    </w:p>
    <w:tbl>
      <w:tblPr>
        <w:tblStyle w:val="36"/>
        <w:tblW w:w="84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4"/>
        <w:gridCol w:w="2410"/>
        <w:gridCol w:w="2177"/>
        <w:gridCol w:w="1512"/>
        <w:gridCol w:w="1461"/>
      </w:tblGrid>
      <w:tr w14:paraId="05BECB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854" w:type="dxa"/>
            <w:tcBorders>
              <w:tl2br w:val="nil"/>
              <w:tr2bl w:val="nil"/>
            </w:tcBorders>
            <w:vAlign w:val="center"/>
          </w:tcPr>
          <w:p w14:paraId="6D5781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点号</w:t>
            </w:r>
          </w:p>
        </w:tc>
        <w:tc>
          <w:tcPr>
            <w:tcW w:w="2410" w:type="dxa"/>
            <w:tcBorders>
              <w:tl2br w:val="nil"/>
              <w:tr2bl w:val="nil"/>
            </w:tcBorders>
            <w:vAlign w:val="center"/>
          </w:tcPr>
          <w:p w14:paraId="510943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位置</w:t>
            </w:r>
          </w:p>
        </w:tc>
        <w:tc>
          <w:tcPr>
            <w:tcW w:w="2177" w:type="dxa"/>
            <w:tcBorders>
              <w:tl2br w:val="nil"/>
              <w:tr2bl w:val="nil"/>
            </w:tcBorders>
            <w:vAlign w:val="center"/>
          </w:tcPr>
          <w:p w14:paraId="6B70DEA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点位类型</w:t>
            </w:r>
          </w:p>
        </w:tc>
        <w:tc>
          <w:tcPr>
            <w:tcW w:w="2973" w:type="dxa"/>
            <w:gridSpan w:val="2"/>
            <w:tcBorders>
              <w:tl2br w:val="nil"/>
              <w:tr2bl w:val="nil"/>
            </w:tcBorders>
            <w:vAlign w:val="center"/>
          </w:tcPr>
          <w:p w14:paraId="641B48A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点位坐标</w:t>
            </w:r>
          </w:p>
        </w:tc>
      </w:tr>
      <w:tr w14:paraId="7C7000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54" w:type="dxa"/>
            <w:tcBorders>
              <w:tl2br w:val="nil"/>
              <w:tr2bl w:val="nil"/>
            </w:tcBorders>
            <w:vAlign w:val="center"/>
          </w:tcPr>
          <w:p w14:paraId="03A39D6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7#</w:t>
            </w:r>
          </w:p>
        </w:tc>
        <w:tc>
          <w:tcPr>
            <w:tcW w:w="2410" w:type="dxa"/>
            <w:tcBorders>
              <w:tl2br w:val="nil"/>
              <w:tr2bl w:val="nil"/>
            </w:tcBorders>
            <w:vAlign w:val="center"/>
          </w:tcPr>
          <w:p w14:paraId="36D9FD4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项目区内</w:t>
            </w:r>
          </w:p>
        </w:tc>
        <w:tc>
          <w:tcPr>
            <w:tcW w:w="2177" w:type="dxa"/>
            <w:tcBorders>
              <w:tl2br w:val="nil"/>
              <w:tr2bl w:val="nil"/>
            </w:tcBorders>
            <w:vAlign w:val="center"/>
          </w:tcPr>
          <w:p w14:paraId="63D6D2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表层样点</w:t>
            </w:r>
          </w:p>
        </w:tc>
        <w:tc>
          <w:tcPr>
            <w:tcW w:w="1512" w:type="dxa"/>
            <w:tcBorders>
              <w:tl2br w:val="nil"/>
              <w:tr2bl w:val="nil"/>
            </w:tcBorders>
            <w:vAlign w:val="center"/>
          </w:tcPr>
          <w:p w14:paraId="434ECCAF">
            <w:pPr>
              <w:pStyle w:val="37"/>
              <w:widowControl w:val="0"/>
              <w:shd w:val="clear"/>
              <w:kinsoku/>
              <w:autoSpaceDE/>
              <w:autoSpaceDN/>
              <w:adjustRightInd/>
              <w:snapToGrid/>
              <w:spacing w:line="360" w:lineRule="auto"/>
              <w:jc w:val="center"/>
              <w:textAlignment w:val="auto"/>
              <w:rPr>
                <w:rFonts w:eastAsia="宋体" w:cs="楷体"/>
                <w:snapToGrid/>
                <w:color w:val="auto"/>
              </w:rPr>
            </w:pPr>
            <w:r>
              <w:rPr>
                <w:rFonts w:eastAsia="宋体"/>
                <w:snapToGrid/>
                <w:color w:val="auto"/>
              </w:rPr>
              <w:t>N44</w:t>
            </w:r>
            <w:r>
              <w:rPr>
                <w:rFonts w:hint="eastAsia" w:eastAsia="宋体"/>
                <w:snapToGrid/>
                <w:color w:val="auto"/>
                <w:lang w:eastAsia="zh-CN"/>
              </w:rPr>
              <w:t>.104666</w:t>
            </w:r>
            <w:r>
              <w:rPr>
                <w:rFonts w:eastAsia="宋体"/>
                <w:snapToGrid/>
                <w:color w:val="auto"/>
              </w:rPr>
              <w:t>°</w:t>
            </w:r>
          </w:p>
        </w:tc>
        <w:tc>
          <w:tcPr>
            <w:tcW w:w="1461" w:type="dxa"/>
            <w:tcBorders>
              <w:tl2br w:val="nil"/>
              <w:tr2bl w:val="nil"/>
            </w:tcBorders>
            <w:vAlign w:val="center"/>
          </w:tcPr>
          <w:p w14:paraId="410F20F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E</w:t>
            </w:r>
            <w:r>
              <w:rPr>
                <w:rFonts w:hint="eastAsia" w:eastAsia="宋体"/>
                <w:snapToGrid/>
                <w:color w:val="auto"/>
                <w:lang w:eastAsia="zh-CN"/>
              </w:rPr>
              <w:t>90.121246</w:t>
            </w:r>
            <w:r>
              <w:rPr>
                <w:rFonts w:eastAsia="宋体"/>
                <w:snapToGrid/>
                <w:color w:val="auto"/>
              </w:rPr>
              <w:t>°</w:t>
            </w:r>
          </w:p>
        </w:tc>
      </w:tr>
      <w:tr w14:paraId="7B517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854" w:type="dxa"/>
            <w:tcBorders>
              <w:tl2br w:val="nil"/>
              <w:tr2bl w:val="nil"/>
            </w:tcBorders>
            <w:vAlign w:val="center"/>
          </w:tcPr>
          <w:p w14:paraId="6FC2343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w:t>
            </w:r>
          </w:p>
        </w:tc>
        <w:tc>
          <w:tcPr>
            <w:tcW w:w="2410" w:type="dxa"/>
            <w:tcBorders>
              <w:tl2br w:val="nil"/>
              <w:tr2bl w:val="nil"/>
            </w:tcBorders>
            <w:vAlign w:val="center"/>
          </w:tcPr>
          <w:p w14:paraId="085981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项目区内</w:t>
            </w:r>
          </w:p>
        </w:tc>
        <w:tc>
          <w:tcPr>
            <w:tcW w:w="2177" w:type="dxa"/>
            <w:tcBorders>
              <w:tl2br w:val="nil"/>
              <w:tr2bl w:val="nil"/>
            </w:tcBorders>
            <w:vAlign w:val="center"/>
          </w:tcPr>
          <w:p w14:paraId="6CCB4C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表层样点</w:t>
            </w:r>
          </w:p>
        </w:tc>
        <w:tc>
          <w:tcPr>
            <w:tcW w:w="1512" w:type="dxa"/>
            <w:tcBorders>
              <w:tl2br w:val="nil"/>
              <w:tr2bl w:val="nil"/>
            </w:tcBorders>
            <w:vAlign w:val="center"/>
          </w:tcPr>
          <w:p w14:paraId="4E332111">
            <w:pPr>
              <w:pStyle w:val="37"/>
              <w:widowControl w:val="0"/>
              <w:shd w:val="clear"/>
              <w:kinsoku/>
              <w:autoSpaceDE/>
              <w:autoSpaceDN/>
              <w:adjustRightInd/>
              <w:snapToGrid/>
              <w:spacing w:line="360" w:lineRule="auto"/>
              <w:jc w:val="center"/>
              <w:textAlignment w:val="auto"/>
              <w:rPr>
                <w:rFonts w:eastAsia="宋体" w:cs="楷体"/>
                <w:snapToGrid/>
                <w:color w:val="auto"/>
              </w:rPr>
            </w:pPr>
            <w:r>
              <w:rPr>
                <w:rFonts w:eastAsia="宋体"/>
                <w:snapToGrid/>
                <w:color w:val="auto"/>
              </w:rPr>
              <w:t>N44</w:t>
            </w:r>
            <w:r>
              <w:rPr>
                <w:rFonts w:hint="eastAsia" w:eastAsia="宋体"/>
                <w:snapToGrid/>
                <w:color w:val="auto"/>
                <w:lang w:eastAsia="zh-CN"/>
              </w:rPr>
              <w:t>.104375</w:t>
            </w:r>
            <w:r>
              <w:rPr>
                <w:rFonts w:eastAsia="宋体"/>
                <w:snapToGrid/>
                <w:color w:val="auto"/>
              </w:rPr>
              <w:t>°</w:t>
            </w:r>
          </w:p>
        </w:tc>
        <w:tc>
          <w:tcPr>
            <w:tcW w:w="1461" w:type="dxa"/>
            <w:tcBorders>
              <w:tl2br w:val="nil"/>
              <w:tr2bl w:val="nil"/>
            </w:tcBorders>
            <w:vAlign w:val="center"/>
          </w:tcPr>
          <w:p w14:paraId="1A8855D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E</w:t>
            </w:r>
            <w:r>
              <w:rPr>
                <w:rFonts w:hint="eastAsia" w:eastAsia="宋体"/>
                <w:snapToGrid/>
                <w:color w:val="auto"/>
                <w:lang w:eastAsia="zh-CN"/>
              </w:rPr>
              <w:t>90.121037</w:t>
            </w:r>
            <w:r>
              <w:rPr>
                <w:rFonts w:eastAsia="宋体"/>
                <w:snapToGrid/>
                <w:color w:val="auto"/>
              </w:rPr>
              <w:t>°</w:t>
            </w:r>
          </w:p>
        </w:tc>
      </w:tr>
      <w:tr w14:paraId="211B37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854" w:type="dxa"/>
            <w:tcBorders>
              <w:tl2br w:val="nil"/>
              <w:tr2bl w:val="nil"/>
            </w:tcBorders>
            <w:vAlign w:val="center"/>
          </w:tcPr>
          <w:p w14:paraId="7F97724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w:t>
            </w:r>
          </w:p>
        </w:tc>
        <w:tc>
          <w:tcPr>
            <w:tcW w:w="2410" w:type="dxa"/>
            <w:tcBorders>
              <w:tl2br w:val="nil"/>
              <w:tr2bl w:val="nil"/>
            </w:tcBorders>
            <w:vAlign w:val="center"/>
          </w:tcPr>
          <w:p w14:paraId="7007271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项目区内</w:t>
            </w:r>
          </w:p>
        </w:tc>
        <w:tc>
          <w:tcPr>
            <w:tcW w:w="2177" w:type="dxa"/>
            <w:tcBorders>
              <w:tl2br w:val="nil"/>
              <w:tr2bl w:val="nil"/>
            </w:tcBorders>
            <w:vAlign w:val="center"/>
          </w:tcPr>
          <w:p w14:paraId="5D728F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表层样点</w:t>
            </w:r>
          </w:p>
        </w:tc>
        <w:tc>
          <w:tcPr>
            <w:tcW w:w="1512" w:type="dxa"/>
            <w:tcBorders>
              <w:tl2br w:val="nil"/>
              <w:tr2bl w:val="nil"/>
            </w:tcBorders>
            <w:vAlign w:val="center"/>
          </w:tcPr>
          <w:p w14:paraId="0F09DA04">
            <w:pPr>
              <w:pStyle w:val="37"/>
              <w:widowControl w:val="0"/>
              <w:shd w:val="clear"/>
              <w:kinsoku/>
              <w:autoSpaceDE/>
              <w:autoSpaceDN/>
              <w:adjustRightInd/>
              <w:snapToGrid/>
              <w:spacing w:line="360" w:lineRule="auto"/>
              <w:jc w:val="center"/>
              <w:textAlignment w:val="auto"/>
              <w:rPr>
                <w:rFonts w:eastAsia="宋体" w:cs="楷体"/>
                <w:snapToGrid/>
                <w:color w:val="auto"/>
              </w:rPr>
            </w:pPr>
            <w:r>
              <w:rPr>
                <w:rFonts w:eastAsia="宋体"/>
                <w:snapToGrid/>
                <w:color w:val="auto"/>
              </w:rPr>
              <w:t>N44</w:t>
            </w:r>
            <w:r>
              <w:rPr>
                <w:rFonts w:hint="eastAsia" w:eastAsia="宋体"/>
                <w:snapToGrid/>
                <w:color w:val="auto"/>
                <w:lang w:eastAsia="zh-CN"/>
              </w:rPr>
              <w:t>.1043570</w:t>
            </w:r>
            <w:r>
              <w:rPr>
                <w:rFonts w:eastAsia="宋体"/>
                <w:snapToGrid/>
                <w:color w:val="auto"/>
              </w:rPr>
              <w:t>°</w:t>
            </w:r>
          </w:p>
        </w:tc>
        <w:tc>
          <w:tcPr>
            <w:tcW w:w="1461" w:type="dxa"/>
            <w:tcBorders>
              <w:tl2br w:val="nil"/>
              <w:tr2bl w:val="nil"/>
            </w:tcBorders>
            <w:vAlign w:val="center"/>
          </w:tcPr>
          <w:p w14:paraId="07FD726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E</w:t>
            </w:r>
            <w:r>
              <w:rPr>
                <w:rFonts w:hint="eastAsia" w:eastAsia="宋体"/>
                <w:snapToGrid/>
                <w:color w:val="auto"/>
                <w:lang w:eastAsia="zh-CN"/>
              </w:rPr>
              <w:t>90.120836</w:t>
            </w:r>
            <w:r>
              <w:rPr>
                <w:rFonts w:eastAsia="宋体"/>
                <w:snapToGrid/>
                <w:color w:val="auto"/>
              </w:rPr>
              <w:t>°</w:t>
            </w:r>
          </w:p>
        </w:tc>
      </w:tr>
    </w:tbl>
    <w:p w14:paraId="2C35D80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监测时间：项目区三个表层样点由</w:t>
      </w:r>
      <w:r>
        <w:rPr>
          <w:rFonts w:hint="eastAsia" w:ascii="Times New Roman" w:hAnsi="Times New Roman"/>
          <w:snapToGrid/>
          <w:color w:val="auto"/>
          <w:sz w:val="24"/>
          <w:szCs w:val="24"/>
          <w:lang w:eastAsia="zh-CN"/>
        </w:rPr>
        <w:t>新疆国科检测有限公司</w:t>
      </w:r>
      <w:r>
        <w:rPr>
          <w:rFonts w:ascii="Times New Roman" w:hAnsi="Times New Roman"/>
          <w:snapToGrid/>
          <w:color w:val="auto"/>
          <w:sz w:val="24"/>
          <w:szCs w:val="24"/>
          <w:lang w:eastAsia="zh-CN"/>
        </w:rPr>
        <w:t>于</w:t>
      </w:r>
      <w:r>
        <w:rPr>
          <w:rFonts w:hint="eastAsia" w:ascii="Times New Roman" w:hAnsi="Times New Roman"/>
          <w:snapToGrid/>
          <w:color w:val="auto"/>
          <w:sz w:val="24"/>
          <w:szCs w:val="24"/>
          <w:lang w:eastAsia="zh-CN"/>
        </w:rPr>
        <w:t>2024</w:t>
      </w:r>
      <w:r>
        <w:rPr>
          <w:rFonts w:ascii="Times New Roman" w:hAnsi="Times New Roman"/>
          <w:snapToGrid/>
          <w:color w:val="auto"/>
          <w:sz w:val="24"/>
          <w:szCs w:val="24"/>
          <w:lang w:eastAsia="zh-CN"/>
        </w:rPr>
        <w:t>年</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月</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日采样监测；</w:t>
      </w:r>
    </w:p>
    <w:p w14:paraId="28AC546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（2）监测因子及采样分析方法</w:t>
      </w:r>
    </w:p>
    <w:p w14:paraId="762E326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本次评价土壤质量现状监测因子见表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9</w:t>
      </w:r>
      <w:r>
        <w:rPr>
          <w:rFonts w:ascii="Times New Roman" w:hAnsi="Times New Roman"/>
          <w:snapToGrid/>
          <w:color w:val="auto"/>
          <w:sz w:val="24"/>
          <w:szCs w:val="24"/>
          <w:lang w:eastAsia="zh-CN"/>
        </w:rPr>
        <w:t>，共计45项。</w:t>
      </w:r>
    </w:p>
    <w:p w14:paraId="654F99F7">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rPr>
      </w:pPr>
      <w:r>
        <w:rPr>
          <w:rFonts w:ascii="Times New Roman" w:hAnsi="Times New Roman"/>
          <w:b/>
          <w:bCs/>
          <w:snapToGrid/>
          <w:color w:val="auto"/>
          <w:sz w:val="24"/>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rPr>
        <w:t>-</w:t>
      </w:r>
      <w:r>
        <w:rPr>
          <w:rFonts w:hint="eastAsia" w:ascii="Times New Roman" w:hAnsi="Times New Roman"/>
          <w:b/>
          <w:bCs/>
          <w:snapToGrid/>
          <w:color w:val="auto"/>
          <w:sz w:val="24"/>
          <w:lang w:eastAsia="zh-CN"/>
        </w:rPr>
        <w:t>9</w:t>
      </w:r>
      <w:r>
        <w:rPr>
          <w:rFonts w:ascii="Times New Roman" w:hAnsi="Times New Roman"/>
          <w:b/>
          <w:bCs/>
          <w:snapToGrid/>
          <w:color w:val="auto"/>
          <w:sz w:val="24"/>
        </w:rPr>
        <w:t>土壤监测因子一览表</w:t>
      </w:r>
    </w:p>
    <w:p w14:paraId="39D273C5">
      <w:pPr>
        <w:widowControl w:val="0"/>
        <w:shd w:val="clear"/>
        <w:kinsoku/>
        <w:autoSpaceDE/>
        <w:autoSpaceDN/>
        <w:adjustRightInd/>
        <w:snapToGrid/>
        <w:spacing w:line="22" w:lineRule="exact"/>
        <w:textAlignment w:val="auto"/>
        <w:rPr>
          <w:rFonts w:ascii="Times New Roman" w:hAnsi="Times New Roman" w:eastAsia="宋体"/>
          <w:snapToGrid/>
          <w:color w:val="auto"/>
        </w:rPr>
      </w:pPr>
    </w:p>
    <w:tbl>
      <w:tblPr>
        <w:tblStyle w:val="36"/>
        <w:tblW w:w="84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66"/>
        <w:gridCol w:w="1135"/>
        <w:gridCol w:w="6437"/>
      </w:tblGrid>
      <w:tr w14:paraId="368A0B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866" w:type="dxa"/>
            <w:tcBorders>
              <w:tl2br w:val="nil"/>
              <w:tr2bl w:val="nil"/>
            </w:tcBorders>
            <w:vAlign w:val="center"/>
          </w:tcPr>
          <w:p w14:paraId="59B01AA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135" w:type="dxa"/>
            <w:tcBorders>
              <w:tl2br w:val="nil"/>
              <w:tr2bl w:val="nil"/>
            </w:tcBorders>
            <w:vAlign w:val="center"/>
          </w:tcPr>
          <w:p w14:paraId="53FAE9C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监测点位</w:t>
            </w:r>
          </w:p>
        </w:tc>
        <w:tc>
          <w:tcPr>
            <w:tcW w:w="6437" w:type="dxa"/>
            <w:tcBorders>
              <w:tl2br w:val="nil"/>
              <w:tr2bl w:val="nil"/>
            </w:tcBorders>
            <w:vAlign w:val="center"/>
          </w:tcPr>
          <w:p w14:paraId="5BE68B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基本因子</w:t>
            </w:r>
          </w:p>
        </w:tc>
      </w:tr>
      <w:tr w14:paraId="7769B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866" w:type="dxa"/>
            <w:tcBorders>
              <w:tl2br w:val="nil"/>
              <w:tr2bl w:val="nil"/>
            </w:tcBorders>
            <w:vAlign w:val="center"/>
          </w:tcPr>
          <w:p w14:paraId="68F36CA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1、2、3</w:t>
            </w:r>
          </w:p>
        </w:tc>
        <w:tc>
          <w:tcPr>
            <w:tcW w:w="1135" w:type="dxa"/>
            <w:tcBorders>
              <w:tl2br w:val="nil"/>
              <w:tr2bl w:val="nil"/>
            </w:tcBorders>
            <w:vAlign w:val="center"/>
          </w:tcPr>
          <w:p w14:paraId="5D9CDA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厂区内</w:t>
            </w:r>
          </w:p>
        </w:tc>
        <w:tc>
          <w:tcPr>
            <w:tcW w:w="6437" w:type="dxa"/>
            <w:tcBorders>
              <w:tl2br w:val="nil"/>
              <w:tr2bl w:val="nil"/>
            </w:tcBorders>
            <w:vAlign w:val="center"/>
          </w:tcPr>
          <w:p w14:paraId="6589702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lang w:eastAsia="zh-CN"/>
              </w:rPr>
              <w:t>pH</w:t>
            </w:r>
            <w:r>
              <w:rPr>
                <w:rFonts w:eastAsia="宋体" w:cs="宋体"/>
                <w:snapToGrid/>
                <w:color w:val="auto"/>
                <w:lang w:eastAsia="zh-CN"/>
              </w:rPr>
              <w:t>、镉、铜、六价铬、铅、镍、砷、汞、锌</w:t>
            </w:r>
            <w:r>
              <w:rPr>
                <w:rFonts w:hint="eastAsia" w:eastAsia="宋体" w:cs="宋体"/>
                <w:snapToGrid/>
                <w:color w:val="auto"/>
                <w:lang w:eastAsia="zh-CN"/>
              </w:rPr>
              <w:t>、</w:t>
            </w:r>
            <w:r>
              <w:rPr>
                <w:rFonts w:eastAsia="宋体" w:cs="宋体"/>
                <w:snapToGrid/>
                <w:color w:val="auto"/>
                <w:lang w:eastAsia="zh-CN"/>
              </w:rPr>
              <w:t>氯甲烷、氯乙烯、四氯化碳、氯仿、</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二氯乙烷、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二氯乙烯、反</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二氯乙烯、顺</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二氯乙烯、二氯甲烷、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四氯乙烷、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四氯乙烷、四氯乙烯、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三氯乙烷、</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三氯乙烷、三氯乙烯、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3-</w:t>
            </w:r>
            <w:r>
              <w:rPr>
                <w:rFonts w:eastAsia="宋体" w:cs="宋体"/>
                <w:snapToGrid/>
                <w:color w:val="auto"/>
                <w:lang w:eastAsia="zh-CN"/>
              </w:rPr>
              <w:t>三氯丙烷、苯、氯苯、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二氯苯、</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4-</w:t>
            </w:r>
            <w:r>
              <w:rPr>
                <w:rFonts w:eastAsia="宋体" w:cs="宋体"/>
                <w:snapToGrid/>
                <w:color w:val="auto"/>
                <w:lang w:eastAsia="zh-CN"/>
              </w:rPr>
              <w:t>二氯苯、乙苯、苯乙烯、甲苯、间二甲苯</w:t>
            </w:r>
            <w:r>
              <w:rPr>
                <w:rFonts w:eastAsia="宋体"/>
                <w:snapToGrid/>
                <w:color w:val="auto"/>
                <w:lang w:eastAsia="zh-CN"/>
              </w:rPr>
              <w:t>+</w:t>
            </w:r>
            <w:r>
              <w:rPr>
                <w:rFonts w:eastAsia="宋体" w:cs="宋体"/>
                <w:snapToGrid/>
                <w:color w:val="auto"/>
                <w:lang w:eastAsia="zh-CN"/>
              </w:rPr>
              <w:t>对二甲苯、邻二甲苯、硝基苯、苯胺、</w:t>
            </w:r>
            <w:r>
              <w:rPr>
                <w:rFonts w:eastAsia="宋体"/>
                <w:snapToGrid/>
                <w:color w:val="auto"/>
                <w:lang w:eastAsia="zh-CN"/>
              </w:rPr>
              <w:t>2-</w:t>
            </w:r>
            <w:r>
              <w:rPr>
                <w:rFonts w:eastAsia="宋体" w:cs="宋体"/>
                <w:snapToGrid/>
                <w:color w:val="auto"/>
                <w:lang w:eastAsia="zh-CN"/>
              </w:rPr>
              <w:t>氯酚、苯丙</w:t>
            </w:r>
            <w:r>
              <w:rPr>
                <w:rFonts w:eastAsia="宋体"/>
                <w:snapToGrid/>
                <w:color w:val="auto"/>
                <w:lang w:eastAsia="zh-CN"/>
              </w:rPr>
              <w:t>[a]</w:t>
            </w:r>
            <w:r>
              <w:rPr>
                <w:rFonts w:eastAsia="宋体" w:cs="宋体"/>
                <w:snapToGrid/>
                <w:color w:val="auto"/>
                <w:lang w:eastAsia="zh-CN"/>
              </w:rPr>
              <w:t>蒽、苯并</w:t>
            </w:r>
            <w:r>
              <w:rPr>
                <w:rFonts w:eastAsia="宋体"/>
                <w:snapToGrid/>
                <w:color w:val="auto"/>
                <w:lang w:eastAsia="zh-CN"/>
              </w:rPr>
              <w:t>[a]</w:t>
            </w:r>
            <w:r>
              <w:rPr>
                <w:rFonts w:eastAsia="宋体" w:cs="宋体"/>
                <w:snapToGrid/>
                <w:color w:val="auto"/>
                <w:lang w:eastAsia="zh-CN"/>
              </w:rPr>
              <w:t>芘、苯并</w:t>
            </w:r>
            <w:r>
              <w:rPr>
                <w:rFonts w:eastAsia="宋体"/>
                <w:snapToGrid/>
                <w:color w:val="auto"/>
                <w:lang w:eastAsia="zh-CN"/>
              </w:rPr>
              <w:t>[b]</w:t>
            </w:r>
            <w:r>
              <w:rPr>
                <w:rFonts w:eastAsia="宋体" w:cs="宋体"/>
                <w:snapToGrid/>
                <w:color w:val="auto"/>
                <w:lang w:eastAsia="zh-CN"/>
              </w:rPr>
              <w:t>荧蒽、苯并</w:t>
            </w:r>
            <w:r>
              <w:rPr>
                <w:rFonts w:eastAsia="宋体"/>
                <w:snapToGrid/>
                <w:color w:val="auto"/>
                <w:lang w:eastAsia="zh-CN"/>
              </w:rPr>
              <w:t>[k]</w:t>
            </w:r>
            <w:r>
              <w:rPr>
                <w:rFonts w:eastAsia="宋体" w:cs="宋体"/>
                <w:snapToGrid/>
                <w:color w:val="auto"/>
                <w:lang w:eastAsia="zh-CN"/>
              </w:rPr>
              <w:t>荧蒽、䓛、二苯并</w:t>
            </w:r>
            <w:r>
              <w:rPr>
                <w:rFonts w:eastAsia="宋体"/>
                <w:snapToGrid/>
                <w:color w:val="auto"/>
                <w:lang w:eastAsia="zh-CN"/>
              </w:rPr>
              <w:t>[a</w:t>
            </w:r>
            <w:r>
              <w:rPr>
                <w:rFonts w:eastAsia="宋体" w:cs="宋体"/>
                <w:snapToGrid/>
                <w:color w:val="auto"/>
                <w:lang w:eastAsia="zh-CN"/>
              </w:rPr>
              <w:t>，</w:t>
            </w:r>
            <w:r>
              <w:rPr>
                <w:rFonts w:eastAsia="宋体"/>
                <w:snapToGrid/>
                <w:color w:val="auto"/>
                <w:lang w:eastAsia="zh-CN"/>
              </w:rPr>
              <w:t>h]</w:t>
            </w:r>
          </w:p>
          <w:p w14:paraId="64A05F0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蒽、茚并</w:t>
            </w:r>
            <w:r>
              <w:rPr>
                <w:rFonts w:eastAsia="宋体"/>
                <w:snapToGrid/>
                <w:color w:val="auto"/>
                <w:lang w:eastAsia="zh-CN"/>
              </w:rPr>
              <w:t>[1</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w:t>
            </w:r>
            <w:r>
              <w:rPr>
                <w:rFonts w:eastAsia="宋体"/>
                <w:snapToGrid/>
                <w:color w:val="auto"/>
                <w:lang w:eastAsia="zh-CN"/>
              </w:rPr>
              <w:t>3-cd]</w:t>
            </w:r>
            <w:r>
              <w:rPr>
                <w:rFonts w:eastAsia="宋体" w:cs="宋体"/>
                <w:snapToGrid/>
                <w:color w:val="auto"/>
                <w:lang w:eastAsia="zh-CN"/>
              </w:rPr>
              <w:t>芘、萘，共计</w:t>
            </w:r>
            <w:r>
              <w:rPr>
                <w:rFonts w:eastAsia="宋体"/>
                <w:snapToGrid/>
                <w:color w:val="auto"/>
                <w:lang w:eastAsia="zh-CN"/>
              </w:rPr>
              <w:t>45</w:t>
            </w:r>
            <w:r>
              <w:rPr>
                <w:rFonts w:eastAsia="宋体" w:cs="宋体"/>
                <w:snapToGrid/>
                <w:color w:val="auto"/>
                <w:lang w:eastAsia="zh-CN"/>
              </w:rPr>
              <w:t>项</w:t>
            </w:r>
          </w:p>
        </w:tc>
      </w:tr>
    </w:tbl>
    <w:p w14:paraId="256876C6">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3）土壤理化性质</w:t>
      </w:r>
    </w:p>
    <w:p w14:paraId="20907434">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土壤理化性质见表4.2-10</w:t>
      </w:r>
    </w:p>
    <w:p w14:paraId="3E6F9EF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center"/>
        <w:textAlignment w:val="auto"/>
        <w:rPr>
          <w:rFonts w:ascii="Times New Roman" w:hAnsi="Times New Roman"/>
          <w:b/>
          <w:bCs/>
          <w:snapToGrid/>
          <w:color w:val="auto"/>
          <w:sz w:val="24"/>
          <w:szCs w:val="24"/>
          <w:lang w:eastAsia="zh-CN"/>
        </w:rPr>
      </w:pPr>
      <w:r>
        <w:rPr>
          <w:rFonts w:ascii="Times New Roman" w:hAnsi="Times New Roman"/>
          <w:b/>
          <w:bCs/>
          <w:snapToGrid/>
          <w:color w:val="auto"/>
          <w:sz w:val="24"/>
          <w:szCs w:val="24"/>
          <w:lang w:eastAsia="zh-CN"/>
        </w:rPr>
        <w:t>表</w:t>
      </w:r>
      <w:r>
        <w:rPr>
          <w:rFonts w:hint="eastAsia" w:ascii="Times New Roman" w:hAnsi="Times New Roman"/>
          <w:b/>
          <w:bCs/>
          <w:snapToGrid/>
          <w:color w:val="auto"/>
          <w:sz w:val="24"/>
          <w:szCs w:val="24"/>
          <w:lang w:eastAsia="zh-CN"/>
        </w:rPr>
        <w:t>4.2</w:t>
      </w:r>
      <w:r>
        <w:rPr>
          <w:rFonts w:ascii="Times New Roman" w:hAnsi="Times New Roman"/>
          <w:b/>
          <w:bCs/>
          <w:snapToGrid/>
          <w:color w:val="auto"/>
          <w:sz w:val="24"/>
          <w:szCs w:val="24"/>
          <w:lang w:eastAsia="zh-CN"/>
        </w:rPr>
        <w:t>-</w:t>
      </w:r>
      <w:r>
        <w:rPr>
          <w:rFonts w:hint="eastAsia" w:ascii="Times New Roman" w:hAnsi="Times New Roman"/>
          <w:b/>
          <w:bCs/>
          <w:snapToGrid/>
          <w:color w:val="auto"/>
          <w:sz w:val="24"/>
          <w:szCs w:val="24"/>
          <w:lang w:val="en-US" w:eastAsia="zh-CN"/>
        </w:rPr>
        <w:t>10</w:t>
      </w:r>
      <w:r>
        <w:rPr>
          <w:rFonts w:ascii="Times New Roman" w:hAnsi="Times New Roman"/>
          <w:b/>
          <w:bCs/>
          <w:snapToGrid/>
          <w:color w:val="auto"/>
          <w:sz w:val="24"/>
          <w:szCs w:val="24"/>
          <w:lang w:eastAsia="zh-CN"/>
        </w:rPr>
        <w:t>土壤</w:t>
      </w:r>
      <w:r>
        <w:rPr>
          <w:rFonts w:hint="eastAsia" w:ascii="Times New Roman" w:hAnsi="Times New Roman"/>
          <w:b/>
          <w:bCs/>
          <w:snapToGrid/>
          <w:color w:val="auto"/>
          <w:sz w:val="24"/>
          <w:szCs w:val="24"/>
          <w:lang w:val="en-US" w:eastAsia="zh-CN"/>
        </w:rPr>
        <w:t>理化性质</w:t>
      </w:r>
      <w:r>
        <w:rPr>
          <w:rFonts w:ascii="Times New Roman" w:hAnsi="Times New Roman"/>
          <w:b/>
          <w:bCs/>
          <w:snapToGrid/>
          <w:color w:val="auto"/>
          <w:sz w:val="24"/>
          <w:szCs w:val="24"/>
          <w:lang w:eastAsia="zh-CN"/>
        </w:rPr>
        <w:t>一览表</w:t>
      </w:r>
    </w:p>
    <w:tbl>
      <w:tblPr>
        <w:tblStyle w:val="36"/>
        <w:tblW w:w="8335" w:type="dxa"/>
        <w:tblInd w:w="4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1892"/>
        <w:gridCol w:w="1762"/>
        <w:gridCol w:w="1610"/>
        <w:gridCol w:w="1988"/>
      </w:tblGrid>
      <w:tr w14:paraId="6AD683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975" w:type="dxa"/>
            <w:gridSpan w:val="2"/>
            <w:tcBorders>
              <w:tl2br w:val="nil"/>
              <w:tr2bl w:val="nil"/>
            </w:tcBorders>
            <w:vAlign w:val="top"/>
          </w:tcPr>
          <w:p w14:paraId="359F9D68">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采样点位</w:t>
            </w:r>
          </w:p>
        </w:tc>
        <w:tc>
          <w:tcPr>
            <w:tcW w:w="5360" w:type="dxa"/>
            <w:gridSpan w:val="3"/>
            <w:tcBorders>
              <w:tl2br w:val="nil"/>
              <w:tr2bl w:val="nil"/>
            </w:tcBorders>
            <w:vAlign w:val="top"/>
          </w:tcPr>
          <w:p w14:paraId="443A290B">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宋体"/>
                <w:color w:val="auto"/>
                <w:spacing w:val="0"/>
                <w:position w:val="0"/>
                <w:sz w:val="21"/>
                <w:lang w:val="en-US" w:eastAsia="zh-CN"/>
              </w:rPr>
            </w:pPr>
            <w:r>
              <w:rPr>
                <w:rFonts w:hint="eastAsia" w:ascii="Times New Roman" w:hAnsi="Times New Roman" w:eastAsia="宋体"/>
                <w:color w:val="auto"/>
                <w:spacing w:val="0"/>
                <w:position w:val="0"/>
                <w:sz w:val="21"/>
                <w:lang w:val="en-US" w:eastAsia="zh-CN"/>
              </w:rPr>
              <w:t>项目区内</w:t>
            </w:r>
          </w:p>
        </w:tc>
      </w:tr>
      <w:tr w14:paraId="6EA25D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75" w:type="dxa"/>
            <w:gridSpan w:val="2"/>
            <w:tcBorders>
              <w:tl2br w:val="nil"/>
              <w:tr2bl w:val="nil"/>
            </w:tcBorders>
            <w:vAlign w:val="top"/>
          </w:tcPr>
          <w:p w14:paraId="068DAF42">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rPr>
            </w:pPr>
            <w:r>
              <w:rPr>
                <w:rFonts w:ascii="Times New Roman" w:hAnsi="Times New Roman" w:eastAsia="宋体" w:cs="宋体"/>
                <w:color w:val="auto"/>
                <w:spacing w:val="0"/>
                <w:position w:val="0"/>
                <w:sz w:val="21"/>
              </w:rPr>
              <w:t>深度（</w:t>
            </w:r>
            <w:r>
              <w:rPr>
                <w:rFonts w:ascii="Times New Roman" w:hAnsi="Times New Roman" w:eastAsia="宋体"/>
                <w:color w:val="auto"/>
                <w:spacing w:val="0"/>
                <w:position w:val="0"/>
                <w:sz w:val="21"/>
              </w:rPr>
              <w:t>cm</w:t>
            </w:r>
            <w:r>
              <w:rPr>
                <w:rFonts w:ascii="Times New Roman" w:hAnsi="Times New Roman" w:eastAsia="宋体" w:cs="宋体"/>
                <w:color w:val="auto"/>
                <w:spacing w:val="0"/>
                <w:position w:val="0"/>
                <w:sz w:val="21"/>
              </w:rPr>
              <w:t>）</w:t>
            </w:r>
          </w:p>
        </w:tc>
        <w:tc>
          <w:tcPr>
            <w:tcW w:w="1762" w:type="dxa"/>
            <w:tcBorders>
              <w:tl2br w:val="nil"/>
              <w:tr2bl w:val="nil"/>
            </w:tcBorders>
            <w:vAlign w:val="top"/>
          </w:tcPr>
          <w:p w14:paraId="39F3A51E">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30cm</w:t>
            </w:r>
          </w:p>
        </w:tc>
        <w:tc>
          <w:tcPr>
            <w:tcW w:w="1610" w:type="dxa"/>
            <w:tcBorders>
              <w:tl2br w:val="nil"/>
              <w:tr2bl w:val="nil"/>
            </w:tcBorders>
            <w:vAlign w:val="top"/>
          </w:tcPr>
          <w:p w14:paraId="1FFE18D4">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130cm</w:t>
            </w:r>
          </w:p>
        </w:tc>
        <w:tc>
          <w:tcPr>
            <w:tcW w:w="1988" w:type="dxa"/>
            <w:tcBorders>
              <w:tl2br w:val="nil"/>
              <w:tr2bl w:val="nil"/>
            </w:tcBorders>
            <w:vAlign w:val="top"/>
          </w:tcPr>
          <w:p w14:paraId="25901F14">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280cm</w:t>
            </w:r>
          </w:p>
        </w:tc>
      </w:tr>
      <w:tr w14:paraId="312F1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3" w:type="dxa"/>
            <w:vMerge w:val="restart"/>
            <w:tcBorders>
              <w:tl2br w:val="nil"/>
              <w:tr2bl w:val="nil"/>
            </w:tcBorders>
            <w:vAlign w:val="top"/>
          </w:tcPr>
          <w:p w14:paraId="2F3A0FA2">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现场记录</w:t>
            </w:r>
          </w:p>
        </w:tc>
        <w:tc>
          <w:tcPr>
            <w:tcW w:w="1892" w:type="dxa"/>
            <w:tcBorders>
              <w:tl2br w:val="nil"/>
              <w:tr2bl w:val="nil"/>
            </w:tcBorders>
            <w:vAlign w:val="top"/>
          </w:tcPr>
          <w:p w14:paraId="346E4C42">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颜色</w:t>
            </w:r>
          </w:p>
        </w:tc>
        <w:tc>
          <w:tcPr>
            <w:tcW w:w="1762" w:type="dxa"/>
            <w:tcBorders>
              <w:tl2br w:val="nil"/>
              <w:tr2bl w:val="nil"/>
            </w:tcBorders>
            <w:vAlign w:val="top"/>
          </w:tcPr>
          <w:p w14:paraId="49B7833F">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黄色</w:t>
            </w:r>
          </w:p>
        </w:tc>
        <w:tc>
          <w:tcPr>
            <w:tcW w:w="1610" w:type="dxa"/>
            <w:tcBorders>
              <w:tl2br w:val="nil"/>
              <w:tr2bl w:val="nil"/>
            </w:tcBorders>
            <w:vAlign w:val="top"/>
          </w:tcPr>
          <w:p w14:paraId="4E10C772">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黄色</w:t>
            </w:r>
          </w:p>
        </w:tc>
        <w:tc>
          <w:tcPr>
            <w:tcW w:w="1988" w:type="dxa"/>
            <w:tcBorders>
              <w:tl2br w:val="nil"/>
              <w:tr2bl w:val="nil"/>
            </w:tcBorders>
            <w:vAlign w:val="top"/>
          </w:tcPr>
          <w:p w14:paraId="29BF852F">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黄色</w:t>
            </w:r>
          </w:p>
        </w:tc>
      </w:tr>
      <w:tr w14:paraId="4D10A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3" w:type="dxa"/>
            <w:vMerge w:val="continue"/>
            <w:tcBorders>
              <w:tl2br w:val="nil"/>
              <w:tr2bl w:val="nil"/>
            </w:tcBorders>
            <w:vAlign w:val="top"/>
          </w:tcPr>
          <w:p w14:paraId="5A52B43C">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p>
        </w:tc>
        <w:tc>
          <w:tcPr>
            <w:tcW w:w="1892" w:type="dxa"/>
            <w:tcBorders>
              <w:tl2br w:val="nil"/>
              <w:tr2bl w:val="nil"/>
            </w:tcBorders>
            <w:vAlign w:val="top"/>
          </w:tcPr>
          <w:p w14:paraId="00826689">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结构</w:t>
            </w:r>
          </w:p>
        </w:tc>
        <w:tc>
          <w:tcPr>
            <w:tcW w:w="1762" w:type="dxa"/>
            <w:tcBorders>
              <w:tl2br w:val="nil"/>
              <w:tr2bl w:val="nil"/>
            </w:tcBorders>
            <w:vAlign w:val="top"/>
          </w:tcPr>
          <w:p w14:paraId="50F148EC">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块状</w:t>
            </w:r>
          </w:p>
        </w:tc>
        <w:tc>
          <w:tcPr>
            <w:tcW w:w="1610" w:type="dxa"/>
            <w:tcBorders>
              <w:tl2br w:val="nil"/>
              <w:tr2bl w:val="nil"/>
            </w:tcBorders>
            <w:vAlign w:val="top"/>
          </w:tcPr>
          <w:p w14:paraId="05DA6925">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块状</w:t>
            </w:r>
          </w:p>
        </w:tc>
        <w:tc>
          <w:tcPr>
            <w:tcW w:w="1988" w:type="dxa"/>
            <w:tcBorders>
              <w:tl2br w:val="nil"/>
              <w:tr2bl w:val="nil"/>
            </w:tcBorders>
            <w:vAlign w:val="top"/>
          </w:tcPr>
          <w:p w14:paraId="588080C1">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块状</w:t>
            </w:r>
          </w:p>
        </w:tc>
      </w:tr>
      <w:tr w14:paraId="6168F1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083" w:type="dxa"/>
            <w:vMerge w:val="continue"/>
            <w:tcBorders>
              <w:tl2br w:val="nil"/>
              <w:tr2bl w:val="nil"/>
            </w:tcBorders>
            <w:vAlign w:val="top"/>
          </w:tcPr>
          <w:p w14:paraId="667357AF">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p>
        </w:tc>
        <w:tc>
          <w:tcPr>
            <w:tcW w:w="1892" w:type="dxa"/>
            <w:tcBorders>
              <w:tl2br w:val="nil"/>
              <w:tr2bl w:val="nil"/>
            </w:tcBorders>
            <w:vAlign w:val="top"/>
          </w:tcPr>
          <w:p w14:paraId="5668571C">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质地</w:t>
            </w:r>
          </w:p>
        </w:tc>
        <w:tc>
          <w:tcPr>
            <w:tcW w:w="1762" w:type="dxa"/>
            <w:tcBorders>
              <w:tl2br w:val="nil"/>
              <w:tr2bl w:val="nil"/>
            </w:tcBorders>
            <w:vAlign w:val="top"/>
          </w:tcPr>
          <w:p w14:paraId="06F424D9">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hint="eastAsia" w:ascii="Times New Roman" w:hAnsi="Times New Roman" w:eastAsia="宋体" w:cs="宋体"/>
                <w:color w:val="auto"/>
                <w:spacing w:val="0"/>
                <w:position w:val="0"/>
                <w:sz w:val="21"/>
                <w:szCs w:val="20"/>
                <w:lang w:eastAsia="zh-CN"/>
              </w:rPr>
            </w:pPr>
            <w:r>
              <w:rPr>
                <w:rFonts w:hint="eastAsia" w:ascii="Times New Roman" w:hAnsi="Times New Roman" w:eastAsia="宋体" w:cs="宋体"/>
                <w:color w:val="auto"/>
                <w:spacing w:val="0"/>
                <w:position w:val="0"/>
                <w:sz w:val="21"/>
                <w:szCs w:val="20"/>
                <w:lang w:val="en-US" w:eastAsia="zh-CN"/>
              </w:rPr>
              <w:t>干砂土</w:t>
            </w:r>
          </w:p>
        </w:tc>
        <w:tc>
          <w:tcPr>
            <w:tcW w:w="1610" w:type="dxa"/>
            <w:tcBorders>
              <w:tl2br w:val="nil"/>
              <w:tr2bl w:val="nil"/>
            </w:tcBorders>
            <w:vAlign w:val="top"/>
          </w:tcPr>
          <w:p w14:paraId="14A94F7E">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hint="eastAsia" w:ascii="Times New Roman" w:hAnsi="Times New Roman" w:eastAsia="宋体" w:cs="宋体"/>
                <w:color w:val="auto"/>
                <w:spacing w:val="0"/>
                <w:position w:val="0"/>
                <w:sz w:val="21"/>
                <w:szCs w:val="20"/>
                <w:lang w:eastAsia="zh-CN"/>
              </w:rPr>
              <w:t>黏土</w:t>
            </w:r>
          </w:p>
        </w:tc>
        <w:tc>
          <w:tcPr>
            <w:tcW w:w="1988" w:type="dxa"/>
            <w:tcBorders>
              <w:tl2br w:val="nil"/>
              <w:tr2bl w:val="nil"/>
            </w:tcBorders>
            <w:vAlign w:val="top"/>
          </w:tcPr>
          <w:p w14:paraId="0B8A552E">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hint="eastAsia" w:ascii="Times New Roman" w:hAnsi="Times New Roman" w:eastAsia="宋体" w:cs="宋体"/>
                <w:color w:val="auto"/>
                <w:spacing w:val="0"/>
                <w:position w:val="0"/>
                <w:sz w:val="21"/>
                <w:szCs w:val="20"/>
                <w:lang w:eastAsia="zh-CN"/>
              </w:rPr>
              <w:t>黏土</w:t>
            </w:r>
          </w:p>
        </w:tc>
      </w:tr>
      <w:tr w14:paraId="74B91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3" w:type="dxa"/>
            <w:vMerge w:val="continue"/>
            <w:tcBorders>
              <w:tl2br w:val="nil"/>
              <w:tr2bl w:val="nil"/>
            </w:tcBorders>
            <w:vAlign w:val="top"/>
          </w:tcPr>
          <w:p w14:paraId="72C65F9F">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p>
        </w:tc>
        <w:tc>
          <w:tcPr>
            <w:tcW w:w="1892" w:type="dxa"/>
            <w:tcBorders>
              <w:tl2br w:val="nil"/>
              <w:tr2bl w:val="nil"/>
            </w:tcBorders>
            <w:vAlign w:val="top"/>
          </w:tcPr>
          <w:p w14:paraId="12B9A06D">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rPr>
            </w:pPr>
            <w:r>
              <w:rPr>
                <w:rFonts w:ascii="Times New Roman" w:hAnsi="Times New Roman" w:eastAsia="宋体" w:cs="宋体"/>
                <w:color w:val="auto"/>
                <w:spacing w:val="0"/>
                <w:position w:val="0"/>
                <w:sz w:val="21"/>
              </w:rPr>
              <w:t>砂砾含量（</w:t>
            </w:r>
            <w:r>
              <w:rPr>
                <w:rFonts w:ascii="Times New Roman" w:hAnsi="Times New Roman" w:eastAsia="宋体"/>
                <w:color w:val="auto"/>
                <w:spacing w:val="0"/>
                <w:position w:val="0"/>
                <w:sz w:val="21"/>
              </w:rPr>
              <w:t>%</w:t>
            </w:r>
            <w:r>
              <w:rPr>
                <w:rFonts w:ascii="Times New Roman" w:hAnsi="Times New Roman" w:eastAsia="宋体" w:cs="宋体"/>
                <w:color w:val="auto"/>
                <w:spacing w:val="0"/>
                <w:position w:val="0"/>
                <w:sz w:val="21"/>
              </w:rPr>
              <w:t>）</w:t>
            </w:r>
          </w:p>
        </w:tc>
        <w:tc>
          <w:tcPr>
            <w:tcW w:w="1762" w:type="dxa"/>
            <w:tcBorders>
              <w:tl2br w:val="nil"/>
              <w:tr2bl w:val="nil"/>
            </w:tcBorders>
            <w:vAlign w:val="top"/>
          </w:tcPr>
          <w:p w14:paraId="7B1B6933">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15</w:t>
            </w:r>
          </w:p>
        </w:tc>
        <w:tc>
          <w:tcPr>
            <w:tcW w:w="1610" w:type="dxa"/>
            <w:tcBorders>
              <w:tl2br w:val="nil"/>
              <w:tr2bl w:val="nil"/>
            </w:tcBorders>
            <w:vAlign w:val="top"/>
          </w:tcPr>
          <w:p w14:paraId="478CFA1A">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15</w:t>
            </w:r>
          </w:p>
        </w:tc>
        <w:tc>
          <w:tcPr>
            <w:tcW w:w="1988" w:type="dxa"/>
            <w:tcBorders>
              <w:tl2br w:val="nil"/>
              <w:tr2bl w:val="nil"/>
            </w:tcBorders>
            <w:vAlign w:val="top"/>
          </w:tcPr>
          <w:p w14:paraId="2104BA00">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15</w:t>
            </w:r>
          </w:p>
        </w:tc>
      </w:tr>
      <w:tr w14:paraId="0ECEFB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3" w:type="dxa"/>
            <w:vMerge w:val="continue"/>
            <w:tcBorders>
              <w:tl2br w:val="nil"/>
              <w:tr2bl w:val="nil"/>
            </w:tcBorders>
            <w:vAlign w:val="top"/>
          </w:tcPr>
          <w:p w14:paraId="04C2322F">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p>
        </w:tc>
        <w:tc>
          <w:tcPr>
            <w:tcW w:w="1892" w:type="dxa"/>
            <w:tcBorders>
              <w:tl2br w:val="nil"/>
              <w:tr2bl w:val="nil"/>
            </w:tcBorders>
            <w:vAlign w:val="top"/>
          </w:tcPr>
          <w:p w14:paraId="3821173E">
            <w:pPr>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s="宋体"/>
                <w:color w:val="auto"/>
                <w:spacing w:val="0"/>
                <w:position w:val="0"/>
                <w:sz w:val="21"/>
                <w:szCs w:val="20"/>
              </w:rPr>
            </w:pPr>
            <w:r>
              <w:rPr>
                <w:rFonts w:ascii="Times New Roman" w:hAnsi="Times New Roman" w:eastAsia="宋体" w:cs="宋体"/>
                <w:color w:val="auto"/>
                <w:spacing w:val="0"/>
                <w:position w:val="0"/>
                <w:sz w:val="21"/>
                <w:szCs w:val="20"/>
              </w:rPr>
              <w:t>其他异物</w:t>
            </w:r>
          </w:p>
        </w:tc>
        <w:tc>
          <w:tcPr>
            <w:tcW w:w="1762" w:type="dxa"/>
            <w:tcBorders>
              <w:tl2br w:val="nil"/>
              <w:tr2bl w:val="nil"/>
            </w:tcBorders>
            <w:vAlign w:val="top"/>
          </w:tcPr>
          <w:p w14:paraId="642E4A7E">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w:t>
            </w:r>
          </w:p>
        </w:tc>
        <w:tc>
          <w:tcPr>
            <w:tcW w:w="1610" w:type="dxa"/>
            <w:tcBorders>
              <w:tl2br w:val="nil"/>
              <w:tr2bl w:val="nil"/>
            </w:tcBorders>
            <w:vAlign w:val="top"/>
          </w:tcPr>
          <w:p w14:paraId="52008DA7">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w:t>
            </w:r>
          </w:p>
        </w:tc>
        <w:tc>
          <w:tcPr>
            <w:tcW w:w="1988" w:type="dxa"/>
            <w:tcBorders>
              <w:tl2br w:val="nil"/>
              <w:tr2bl w:val="nil"/>
            </w:tcBorders>
            <w:vAlign w:val="top"/>
          </w:tcPr>
          <w:p w14:paraId="04A90965">
            <w:pPr>
              <w:pStyle w:val="37"/>
              <w:keepNext w:val="0"/>
              <w:keepLines w:val="0"/>
              <w:pageBreakBefore w:val="0"/>
              <w:widowControl w:val="0"/>
              <w:shd w:val="clear"/>
              <w:kinsoku/>
              <w:wordWrap/>
              <w:overflowPunct/>
              <w:topLinePunct w:val="0"/>
              <w:autoSpaceDE/>
              <w:autoSpaceDN/>
              <w:bidi w:val="0"/>
              <w:adjustRightInd/>
              <w:snapToGrid/>
              <w:spacing w:line="360" w:lineRule="auto"/>
              <w:ind w:left="0" w:right="0" w:firstLine="0"/>
              <w:jc w:val="center"/>
              <w:textAlignment w:val="auto"/>
              <w:rPr>
                <w:rFonts w:ascii="Times New Roman" w:hAnsi="Times New Roman" w:eastAsia="宋体"/>
                <w:color w:val="auto"/>
                <w:spacing w:val="0"/>
                <w:position w:val="0"/>
                <w:sz w:val="21"/>
              </w:rPr>
            </w:pPr>
            <w:r>
              <w:rPr>
                <w:rFonts w:ascii="Times New Roman" w:hAnsi="Times New Roman" w:eastAsia="宋体"/>
                <w:color w:val="auto"/>
                <w:spacing w:val="0"/>
                <w:position w:val="0"/>
                <w:sz w:val="21"/>
              </w:rPr>
              <w:t>/</w:t>
            </w:r>
          </w:p>
        </w:tc>
      </w:tr>
    </w:tbl>
    <w:p w14:paraId="2E9A6E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（3）评价标准及评价方法</w:t>
      </w:r>
    </w:p>
    <w:p w14:paraId="759A2D9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本项目土壤环境执行《土壤环境质量</w:t>
      </w:r>
      <w:r>
        <w:rPr>
          <w:rFonts w:hint="eastAsia"/>
          <w:color w:val="auto"/>
          <w:lang w:val="en-US" w:eastAsia="zh-CN"/>
        </w:rPr>
        <w:t xml:space="preserve"> </w:t>
      </w:r>
      <w:r>
        <w:rPr>
          <w:rFonts w:ascii="Times New Roman" w:hAnsi="Times New Roman"/>
          <w:snapToGrid/>
          <w:color w:val="auto"/>
          <w:sz w:val="24"/>
          <w:szCs w:val="24"/>
          <w:lang w:eastAsia="zh-CN"/>
        </w:rPr>
        <w:t>建设用地土壤污染风险管控标准（试行）》（GB36600-2018）表1中第二类用地土壤污染风险筛选值和管制值要求，评价方法采用标准指数法。</w:t>
      </w:r>
    </w:p>
    <w:p w14:paraId="36D4597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（4）监测数据和评价结果</w:t>
      </w:r>
    </w:p>
    <w:p w14:paraId="0B781E7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项目区表层样点监测及评价结果见表</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-1</w:t>
      </w:r>
      <w:r>
        <w:rPr>
          <w:rFonts w:hint="eastAsia" w:ascii="Times New Roman" w:hAnsi="Times New Roman"/>
          <w:snapToGrid/>
          <w:color w:val="auto"/>
          <w:sz w:val="24"/>
          <w:szCs w:val="24"/>
          <w:lang w:val="en-US" w:eastAsia="zh-CN"/>
        </w:rPr>
        <w:t>1</w:t>
      </w:r>
      <w:r>
        <w:rPr>
          <w:rFonts w:ascii="Times New Roman" w:hAnsi="Times New Roman"/>
          <w:snapToGrid/>
          <w:color w:val="auto"/>
          <w:sz w:val="24"/>
          <w:szCs w:val="24"/>
          <w:lang w:eastAsia="zh-CN"/>
        </w:rPr>
        <w:t>。</w:t>
      </w:r>
    </w:p>
    <w:p w14:paraId="1A368478">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w:t>
      </w:r>
      <w:r>
        <w:rPr>
          <w:rFonts w:hint="eastAsia" w:ascii="Times New Roman" w:hAnsi="Times New Roman"/>
          <w:b/>
          <w:bCs/>
          <w:snapToGrid/>
          <w:color w:val="auto"/>
          <w:sz w:val="24"/>
          <w:lang w:eastAsia="zh-CN"/>
        </w:rPr>
        <w:t>4.2</w:t>
      </w:r>
      <w:r>
        <w:rPr>
          <w:rFonts w:ascii="Times New Roman" w:hAnsi="Times New Roman"/>
          <w:b/>
          <w:bCs/>
          <w:snapToGrid/>
          <w:color w:val="auto"/>
          <w:sz w:val="24"/>
          <w:lang w:eastAsia="zh-CN"/>
        </w:rPr>
        <w:t>-1</w:t>
      </w:r>
      <w:r>
        <w:rPr>
          <w:rFonts w:hint="eastAsia" w:ascii="Times New Roman" w:hAnsi="Times New Roman"/>
          <w:b/>
          <w:bCs/>
          <w:snapToGrid/>
          <w:color w:val="auto"/>
          <w:sz w:val="24"/>
          <w:lang w:val="en-US" w:eastAsia="zh-CN"/>
        </w:rPr>
        <w:t>1</w:t>
      </w:r>
      <w:r>
        <w:rPr>
          <w:rFonts w:ascii="Times New Roman" w:hAnsi="Times New Roman"/>
          <w:b/>
          <w:bCs/>
          <w:snapToGrid/>
          <w:color w:val="auto"/>
          <w:sz w:val="24"/>
          <w:lang w:eastAsia="zh-CN"/>
        </w:rPr>
        <w:t>土壤监测结果一览表单位：mg/kg</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364"/>
        <w:gridCol w:w="2083"/>
        <w:gridCol w:w="2083"/>
        <w:gridCol w:w="1441"/>
      </w:tblGrid>
      <w:tr w14:paraId="0A41C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8" w:hRule="atLeast"/>
          <w:jc w:val="center"/>
        </w:trPr>
        <w:tc>
          <w:tcPr>
            <w:tcW w:w="943" w:type="pct"/>
            <w:vMerge w:val="restart"/>
            <w:tcBorders>
              <w:tl2br w:val="nil"/>
              <w:tr2bl w:val="nil"/>
            </w:tcBorders>
            <w:vAlign w:val="center"/>
          </w:tcPr>
          <w:p w14:paraId="3884A804">
            <w:pPr>
              <w:shd w:val="clear"/>
              <w:kinsoku/>
              <w:adjustRightInd/>
              <w:snapToGrid/>
              <w:spacing w:line="360" w:lineRule="auto"/>
              <w:jc w:val="center"/>
              <w:textAlignment w:val="auto"/>
              <w:rPr>
                <w:rFonts w:ascii="Times New Roman" w:hAnsi="Times New Roman" w:eastAsia="宋体"/>
                <w:bCs/>
                <w:snapToGrid/>
                <w:color w:val="auto"/>
              </w:rPr>
            </w:pPr>
            <w:r>
              <w:rPr>
                <w:rFonts w:ascii="Times New Roman" w:hAnsi="Times New Roman" w:eastAsia="宋体"/>
                <w:bCs/>
                <w:snapToGrid/>
                <w:color w:val="auto"/>
              </w:rPr>
              <w:t>测点</w:t>
            </w:r>
          </w:p>
          <w:p w14:paraId="542E72AD">
            <w:pPr>
              <w:pStyle w:val="24"/>
              <w:shd w:val="clear"/>
              <w:kinsoku/>
              <w:adjustRightInd/>
              <w:snapToGrid/>
              <w:spacing w:line="360" w:lineRule="auto"/>
              <w:ind w:firstLine="0" w:firstLineChars="0"/>
              <w:jc w:val="center"/>
              <w:textAlignment w:val="auto"/>
              <w:rPr>
                <w:rFonts w:ascii="Times New Roman" w:hAnsi="Times New Roman"/>
                <w:snapToGrid/>
                <w:color w:val="auto"/>
                <w:sz w:val="21"/>
              </w:rPr>
            </w:pPr>
          </w:p>
          <w:p w14:paraId="14F22CCB">
            <w:pPr>
              <w:shd w:val="clear"/>
              <w:kinsoku/>
              <w:adjustRightInd/>
              <w:snapToGrid/>
              <w:spacing w:line="360" w:lineRule="auto"/>
              <w:jc w:val="center"/>
              <w:textAlignment w:val="auto"/>
              <w:rPr>
                <w:rFonts w:ascii="Times New Roman" w:hAnsi="Times New Roman" w:eastAsia="宋体"/>
                <w:bCs/>
                <w:snapToGrid/>
                <w:color w:val="auto"/>
              </w:rPr>
            </w:pPr>
            <w:r>
              <w:rPr>
                <w:rFonts w:ascii="Times New Roman" w:hAnsi="Times New Roman" w:eastAsia="宋体"/>
                <w:bCs/>
                <w:snapToGrid/>
                <w:color w:val="auto"/>
              </w:rPr>
              <w:t>项目</w:t>
            </w:r>
          </w:p>
        </w:tc>
        <w:tc>
          <w:tcPr>
            <w:tcW w:w="793" w:type="pct"/>
            <w:tcBorders>
              <w:tl2br w:val="nil"/>
              <w:tr2bl w:val="nil"/>
            </w:tcBorders>
            <w:vAlign w:val="center"/>
          </w:tcPr>
          <w:p w14:paraId="29AD2856">
            <w:pPr>
              <w:shd w:val="clear"/>
              <w:kinsoku/>
              <w:adjustRightInd/>
              <w:snapToGrid/>
              <w:spacing w:line="360" w:lineRule="auto"/>
              <w:jc w:val="center"/>
              <w:textAlignment w:val="auto"/>
              <w:rPr>
                <w:rFonts w:ascii="Times New Roman" w:hAnsi="Times New Roman" w:eastAsia="宋体"/>
                <w:bCs/>
                <w:snapToGrid/>
                <w:color w:val="auto"/>
              </w:rPr>
            </w:pPr>
            <w:r>
              <w:rPr>
                <w:rFonts w:ascii="Times New Roman" w:hAnsi="Times New Roman" w:eastAsia="宋体"/>
                <w:bCs/>
                <w:snapToGrid/>
                <w:color w:val="auto"/>
              </w:rPr>
              <w:t>T1</w:t>
            </w:r>
            <w:r>
              <w:rPr>
                <w:rFonts w:ascii="Times New Roman" w:hAnsi="Times New Roman" w:eastAsia="宋体"/>
                <w:bCs/>
                <w:snapToGrid/>
                <w:color w:val="auto"/>
                <w:vertAlign w:val="superscript"/>
              </w:rPr>
              <w:t>#</w:t>
            </w:r>
          </w:p>
        </w:tc>
        <w:tc>
          <w:tcPr>
            <w:tcW w:w="1211" w:type="pct"/>
            <w:tcBorders>
              <w:tl2br w:val="nil"/>
              <w:tr2bl w:val="nil"/>
            </w:tcBorders>
            <w:vAlign w:val="center"/>
          </w:tcPr>
          <w:p w14:paraId="72F134BE">
            <w:pPr>
              <w:shd w:val="clear"/>
              <w:kinsoku/>
              <w:adjustRightInd/>
              <w:snapToGrid/>
              <w:spacing w:line="360" w:lineRule="auto"/>
              <w:jc w:val="center"/>
              <w:textAlignment w:val="auto"/>
              <w:rPr>
                <w:rFonts w:ascii="Times New Roman" w:hAnsi="Times New Roman" w:eastAsia="宋体"/>
                <w:bCs/>
                <w:snapToGrid/>
                <w:color w:val="auto"/>
              </w:rPr>
            </w:pPr>
            <w:r>
              <w:rPr>
                <w:rFonts w:hint="eastAsia" w:ascii="Times New Roman" w:hAnsi="Times New Roman" w:eastAsia="宋体"/>
                <w:bCs/>
                <w:snapToGrid/>
                <w:color w:val="auto"/>
              </w:rPr>
              <w:t>T</w:t>
            </w:r>
            <w:r>
              <w:rPr>
                <w:rFonts w:ascii="Times New Roman" w:hAnsi="Times New Roman" w:eastAsia="宋体"/>
                <w:bCs/>
                <w:snapToGrid/>
                <w:color w:val="auto"/>
              </w:rPr>
              <w:t>2</w:t>
            </w:r>
            <w:r>
              <w:rPr>
                <w:rFonts w:ascii="Times New Roman" w:hAnsi="Times New Roman" w:eastAsia="宋体"/>
                <w:bCs/>
                <w:snapToGrid/>
                <w:color w:val="auto"/>
                <w:vertAlign w:val="superscript"/>
              </w:rPr>
              <w:t>#</w:t>
            </w:r>
          </w:p>
        </w:tc>
        <w:tc>
          <w:tcPr>
            <w:tcW w:w="1211" w:type="pct"/>
            <w:tcBorders>
              <w:tl2br w:val="nil"/>
              <w:tr2bl w:val="nil"/>
            </w:tcBorders>
            <w:vAlign w:val="center"/>
          </w:tcPr>
          <w:p w14:paraId="2A81647F">
            <w:pPr>
              <w:shd w:val="clear"/>
              <w:kinsoku/>
              <w:adjustRightInd/>
              <w:snapToGrid/>
              <w:spacing w:line="360" w:lineRule="auto"/>
              <w:jc w:val="center"/>
              <w:textAlignment w:val="auto"/>
              <w:rPr>
                <w:rFonts w:ascii="Times New Roman" w:hAnsi="Times New Roman" w:eastAsia="宋体"/>
                <w:bCs/>
                <w:snapToGrid/>
                <w:color w:val="auto"/>
              </w:rPr>
            </w:pPr>
            <w:r>
              <w:rPr>
                <w:rFonts w:hint="eastAsia" w:ascii="Times New Roman" w:hAnsi="Times New Roman" w:eastAsia="宋体"/>
                <w:bCs/>
                <w:snapToGrid/>
                <w:color w:val="auto"/>
              </w:rPr>
              <w:t>T</w:t>
            </w:r>
            <w:r>
              <w:rPr>
                <w:rFonts w:ascii="Times New Roman" w:hAnsi="Times New Roman" w:eastAsia="宋体"/>
                <w:bCs/>
                <w:snapToGrid/>
                <w:color w:val="auto"/>
              </w:rPr>
              <w:t>3</w:t>
            </w:r>
            <w:r>
              <w:rPr>
                <w:rFonts w:ascii="Times New Roman" w:hAnsi="Times New Roman" w:eastAsia="宋体"/>
                <w:bCs/>
                <w:snapToGrid/>
                <w:color w:val="auto"/>
                <w:vertAlign w:val="superscript"/>
              </w:rPr>
              <w:t>#</w:t>
            </w:r>
          </w:p>
        </w:tc>
        <w:tc>
          <w:tcPr>
            <w:tcW w:w="838" w:type="pct"/>
            <w:vMerge w:val="restart"/>
            <w:tcBorders>
              <w:tl2br w:val="nil"/>
              <w:tr2bl w:val="nil"/>
            </w:tcBorders>
            <w:vAlign w:val="center"/>
          </w:tcPr>
          <w:p w14:paraId="40F91F33">
            <w:pPr>
              <w:shd w:val="clear"/>
              <w:kinsoku/>
              <w:adjustRightInd/>
              <w:snapToGrid/>
              <w:spacing w:line="360" w:lineRule="auto"/>
              <w:jc w:val="center"/>
              <w:textAlignment w:val="auto"/>
              <w:rPr>
                <w:rFonts w:ascii="Times New Roman" w:hAnsi="Times New Roman" w:eastAsia="宋体"/>
                <w:bCs/>
                <w:snapToGrid/>
                <w:color w:val="auto"/>
              </w:rPr>
            </w:pPr>
            <w:r>
              <w:rPr>
                <w:rFonts w:ascii="Times New Roman" w:hAnsi="Times New Roman" w:eastAsia="宋体"/>
                <w:bCs/>
                <w:snapToGrid/>
                <w:color w:val="auto"/>
              </w:rPr>
              <w:t>筛选值</w:t>
            </w:r>
          </w:p>
          <w:p w14:paraId="302EB0CF">
            <w:pPr>
              <w:shd w:val="clear"/>
              <w:kinsoku/>
              <w:adjustRightInd/>
              <w:snapToGrid/>
              <w:spacing w:line="360" w:lineRule="auto"/>
              <w:jc w:val="center"/>
              <w:textAlignment w:val="auto"/>
              <w:rPr>
                <w:rFonts w:ascii="Times New Roman" w:hAnsi="Times New Roman" w:eastAsia="宋体"/>
                <w:bCs/>
                <w:snapToGrid/>
                <w:color w:val="auto"/>
              </w:rPr>
            </w:pPr>
            <w:r>
              <w:rPr>
                <w:rFonts w:hint="eastAsia" w:ascii="Times New Roman" w:hAnsi="Times New Roman" w:eastAsia="宋体"/>
                <w:bCs/>
                <w:snapToGrid/>
                <w:color w:val="auto"/>
              </w:rPr>
              <w:t>mg</w:t>
            </w:r>
            <w:r>
              <w:rPr>
                <w:rFonts w:ascii="Times New Roman" w:hAnsi="Times New Roman" w:eastAsia="宋体"/>
                <w:bCs/>
                <w:snapToGrid/>
                <w:color w:val="auto"/>
              </w:rPr>
              <w:t>/kg</w:t>
            </w:r>
          </w:p>
        </w:tc>
      </w:tr>
      <w:tr w14:paraId="2BE9C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43" w:type="pct"/>
            <w:vMerge w:val="continue"/>
            <w:tcBorders>
              <w:tl2br w:val="nil"/>
              <w:tr2bl w:val="nil"/>
            </w:tcBorders>
            <w:vAlign w:val="center"/>
          </w:tcPr>
          <w:p w14:paraId="17A55BD8">
            <w:pPr>
              <w:shd w:val="clear"/>
              <w:kinsoku/>
              <w:adjustRightInd/>
              <w:snapToGrid/>
              <w:spacing w:line="360" w:lineRule="auto"/>
              <w:jc w:val="center"/>
              <w:textAlignment w:val="auto"/>
              <w:rPr>
                <w:rFonts w:ascii="Times New Roman" w:hAnsi="Times New Roman" w:eastAsia="宋体"/>
                <w:bCs/>
                <w:snapToGrid/>
                <w:color w:val="auto"/>
              </w:rPr>
            </w:pPr>
          </w:p>
        </w:tc>
        <w:tc>
          <w:tcPr>
            <w:tcW w:w="793" w:type="pct"/>
            <w:tcBorders>
              <w:tl2br w:val="nil"/>
              <w:tr2bl w:val="nil"/>
            </w:tcBorders>
            <w:vAlign w:val="center"/>
          </w:tcPr>
          <w:p w14:paraId="3DC135A0">
            <w:pPr>
              <w:shd w:val="clear"/>
              <w:kinsoku/>
              <w:adjustRightInd/>
              <w:snapToGrid/>
              <w:spacing w:line="360" w:lineRule="auto"/>
              <w:jc w:val="center"/>
              <w:textAlignment w:val="auto"/>
              <w:rPr>
                <w:rFonts w:ascii="Times New Roman" w:hAnsi="Times New Roman" w:eastAsia="宋体"/>
                <w:bCs/>
                <w:snapToGrid/>
                <w:color w:val="auto"/>
              </w:rPr>
            </w:pPr>
            <w:r>
              <w:rPr>
                <w:rStyle w:val="43"/>
                <w:rFonts w:hint="eastAsia" w:ascii="Times New Roman" w:hAnsi="Times New Roman" w:eastAsia="宋体"/>
                <w:snapToGrid/>
                <w:color w:val="auto"/>
                <w:sz w:val="21"/>
                <w:szCs w:val="21"/>
              </w:rPr>
              <w:t>项目区内北侧</w:t>
            </w:r>
            <w:r>
              <w:rPr>
                <w:rStyle w:val="43"/>
                <w:rFonts w:ascii="Times New Roman" w:hAnsi="Times New Roman" w:eastAsia="宋体"/>
                <w:snapToGrid/>
                <w:color w:val="auto"/>
                <w:sz w:val="21"/>
                <w:szCs w:val="21"/>
              </w:rPr>
              <w:t>0-0.</w:t>
            </w:r>
            <w:r>
              <w:rPr>
                <w:rStyle w:val="43"/>
                <w:rFonts w:hint="eastAsia" w:ascii="Times New Roman" w:hAnsi="Times New Roman" w:eastAsia="宋体"/>
                <w:snapToGrid/>
                <w:color w:val="auto"/>
                <w:sz w:val="21"/>
                <w:szCs w:val="21"/>
              </w:rPr>
              <w:t>2</w:t>
            </w:r>
            <w:r>
              <w:rPr>
                <w:rStyle w:val="43"/>
                <w:rFonts w:ascii="Times New Roman" w:hAnsi="Times New Roman" w:eastAsia="宋体"/>
                <w:snapToGrid/>
                <w:color w:val="auto"/>
                <w:sz w:val="21"/>
                <w:szCs w:val="21"/>
              </w:rPr>
              <w:t>m</w:t>
            </w:r>
          </w:p>
        </w:tc>
        <w:tc>
          <w:tcPr>
            <w:tcW w:w="1211" w:type="pct"/>
            <w:tcBorders>
              <w:tl2br w:val="nil"/>
              <w:tr2bl w:val="nil"/>
            </w:tcBorders>
            <w:vAlign w:val="center"/>
          </w:tcPr>
          <w:p w14:paraId="383311E5">
            <w:pPr>
              <w:shd w:val="clear"/>
              <w:kinsoku/>
              <w:adjustRightInd/>
              <w:snapToGrid/>
              <w:spacing w:line="360" w:lineRule="auto"/>
              <w:jc w:val="center"/>
              <w:textAlignment w:val="auto"/>
              <w:rPr>
                <w:rFonts w:ascii="Times New Roman" w:hAnsi="Times New Roman" w:eastAsia="宋体"/>
                <w:bCs/>
                <w:snapToGrid/>
                <w:color w:val="auto"/>
              </w:rPr>
            </w:pPr>
            <w:r>
              <w:rPr>
                <w:rFonts w:hint="eastAsia" w:ascii="Times New Roman" w:hAnsi="Times New Roman" w:eastAsia="宋体"/>
                <w:bCs/>
                <w:snapToGrid/>
                <w:color w:val="auto"/>
              </w:rPr>
              <w:t>项目区内东侧</w:t>
            </w:r>
          </w:p>
        </w:tc>
        <w:tc>
          <w:tcPr>
            <w:tcW w:w="1211" w:type="pct"/>
            <w:tcBorders>
              <w:tl2br w:val="nil"/>
              <w:tr2bl w:val="nil"/>
            </w:tcBorders>
            <w:vAlign w:val="center"/>
          </w:tcPr>
          <w:p w14:paraId="1A423EB5">
            <w:pPr>
              <w:shd w:val="clear"/>
              <w:kinsoku/>
              <w:adjustRightInd/>
              <w:snapToGrid/>
              <w:spacing w:line="360" w:lineRule="auto"/>
              <w:jc w:val="center"/>
              <w:textAlignment w:val="auto"/>
              <w:rPr>
                <w:rFonts w:ascii="Times New Roman" w:hAnsi="Times New Roman" w:eastAsia="宋体"/>
                <w:bCs/>
                <w:snapToGrid/>
                <w:color w:val="auto"/>
              </w:rPr>
            </w:pPr>
            <w:r>
              <w:rPr>
                <w:rFonts w:hint="eastAsia" w:ascii="Times New Roman" w:hAnsi="Times New Roman" w:eastAsia="宋体"/>
                <w:bCs/>
                <w:snapToGrid/>
                <w:color w:val="auto"/>
              </w:rPr>
              <w:t>项目区内南侧</w:t>
            </w:r>
          </w:p>
        </w:tc>
        <w:tc>
          <w:tcPr>
            <w:tcW w:w="838" w:type="pct"/>
            <w:vMerge w:val="continue"/>
            <w:tcBorders>
              <w:tl2br w:val="nil"/>
              <w:tr2bl w:val="nil"/>
            </w:tcBorders>
            <w:vAlign w:val="center"/>
          </w:tcPr>
          <w:p w14:paraId="7A6C6849">
            <w:pPr>
              <w:shd w:val="clear"/>
              <w:kinsoku/>
              <w:adjustRightInd/>
              <w:snapToGrid/>
              <w:spacing w:line="360" w:lineRule="auto"/>
              <w:jc w:val="center"/>
              <w:textAlignment w:val="auto"/>
              <w:rPr>
                <w:rFonts w:ascii="Times New Roman" w:hAnsi="Times New Roman" w:eastAsia="宋体"/>
                <w:bCs/>
                <w:snapToGrid/>
                <w:color w:val="auto"/>
              </w:rPr>
            </w:pPr>
          </w:p>
        </w:tc>
      </w:tr>
      <w:tr w14:paraId="1C91B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43" w:type="pct"/>
            <w:tcBorders>
              <w:tl2br w:val="nil"/>
              <w:tr2bl w:val="nil"/>
            </w:tcBorders>
            <w:vAlign w:val="center"/>
          </w:tcPr>
          <w:p w14:paraId="42154F4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顺-1，2-二氯乙烯</w:t>
            </w:r>
          </w:p>
        </w:tc>
        <w:tc>
          <w:tcPr>
            <w:tcW w:w="793" w:type="pct"/>
            <w:tcBorders>
              <w:tl2br w:val="nil"/>
              <w:tr2bl w:val="nil"/>
            </w:tcBorders>
            <w:vAlign w:val="center"/>
          </w:tcPr>
          <w:p w14:paraId="468FEA61">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&lt;1.3</w:t>
            </w:r>
          </w:p>
        </w:tc>
        <w:tc>
          <w:tcPr>
            <w:tcW w:w="1211" w:type="pct"/>
            <w:tcBorders>
              <w:tl2br w:val="nil"/>
              <w:tr2bl w:val="nil"/>
            </w:tcBorders>
            <w:vAlign w:val="center"/>
          </w:tcPr>
          <w:p w14:paraId="1A1F67E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41E2BD0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327A656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596</w:t>
            </w:r>
          </w:p>
        </w:tc>
      </w:tr>
      <w:tr w14:paraId="00F8A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1E00D80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氯仿*</w:t>
            </w:r>
          </w:p>
        </w:tc>
        <w:tc>
          <w:tcPr>
            <w:tcW w:w="793" w:type="pct"/>
            <w:tcBorders>
              <w:tl2br w:val="nil"/>
              <w:tr2bl w:val="nil"/>
            </w:tcBorders>
            <w:vAlign w:val="center"/>
          </w:tcPr>
          <w:p w14:paraId="216D26F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&lt;1.1</w:t>
            </w:r>
          </w:p>
        </w:tc>
        <w:tc>
          <w:tcPr>
            <w:tcW w:w="1211" w:type="pct"/>
            <w:tcBorders>
              <w:tl2br w:val="nil"/>
              <w:tr2bl w:val="nil"/>
            </w:tcBorders>
            <w:vAlign w:val="center"/>
          </w:tcPr>
          <w:p w14:paraId="737CAD1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1084F2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06D05279">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0.9</w:t>
            </w:r>
          </w:p>
        </w:tc>
      </w:tr>
      <w:tr w14:paraId="028A0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5E81C60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氯甲烷*</w:t>
            </w:r>
          </w:p>
        </w:tc>
        <w:tc>
          <w:tcPr>
            <w:tcW w:w="793" w:type="pct"/>
            <w:tcBorders>
              <w:tl2br w:val="nil"/>
              <w:tr2bl w:val="nil"/>
            </w:tcBorders>
            <w:vAlign w:val="center"/>
          </w:tcPr>
          <w:p w14:paraId="3397DDB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&lt;1.0</w:t>
            </w:r>
          </w:p>
        </w:tc>
        <w:tc>
          <w:tcPr>
            <w:tcW w:w="1211" w:type="pct"/>
            <w:tcBorders>
              <w:tl2br w:val="nil"/>
              <w:tr2bl w:val="nil"/>
            </w:tcBorders>
            <w:vAlign w:val="center"/>
          </w:tcPr>
          <w:p w14:paraId="642126C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66DA22D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97898C8">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37</w:t>
            </w:r>
          </w:p>
        </w:tc>
      </w:tr>
      <w:tr w14:paraId="69EB6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52EB6E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1，1-二氯乙烷</w:t>
            </w:r>
          </w:p>
        </w:tc>
        <w:tc>
          <w:tcPr>
            <w:tcW w:w="793" w:type="pct"/>
            <w:tcBorders>
              <w:tl2br w:val="nil"/>
              <w:tr2bl w:val="nil"/>
            </w:tcBorders>
            <w:vAlign w:val="center"/>
          </w:tcPr>
          <w:p w14:paraId="6C2B456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5313A6C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3F20DC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6806DA23">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66</w:t>
            </w:r>
          </w:p>
        </w:tc>
      </w:tr>
      <w:tr w14:paraId="472AF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771C36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1，2-二氯乙烷</w:t>
            </w:r>
          </w:p>
        </w:tc>
        <w:tc>
          <w:tcPr>
            <w:tcW w:w="793" w:type="pct"/>
            <w:tcBorders>
              <w:tl2br w:val="nil"/>
              <w:tr2bl w:val="nil"/>
            </w:tcBorders>
            <w:vAlign w:val="center"/>
          </w:tcPr>
          <w:p w14:paraId="32619D2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&lt;1.3</w:t>
            </w:r>
          </w:p>
        </w:tc>
        <w:tc>
          <w:tcPr>
            <w:tcW w:w="1211" w:type="pct"/>
            <w:tcBorders>
              <w:tl2br w:val="nil"/>
              <w:tr2bl w:val="nil"/>
            </w:tcBorders>
            <w:vAlign w:val="center"/>
          </w:tcPr>
          <w:p w14:paraId="65D5F7F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C96BE0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E052A0D">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w:t>
            </w:r>
          </w:p>
        </w:tc>
      </w:tr>
      <w:tr w14:paraId="07AEB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43" w:type="pct"/>
            <w:tcBorders>
              <w:tl2br w:val="nil"/>
              <w:tr2bl w:val="nil"/>
            </w:tcBorders>
            <w:vAlign w:val="center"/>
          </w:tcPr>
          <w:p w14:paraId="55B2EBD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1，1-二氯乙烯</w:t>
            </w:r>
          </w:p>
        </w:tc>
        <w:tc>
          <w:tcPr>
            <w:tcW w:w="793" w:type="pct"/>
            <w:tcBorders>
              <w:tl2br w:val="nil"/>
              <w:tr2bl w:val="nil"/>
            </w:tcBorders>
            <w:vAlign w:val="center"/>
          </w:tcPr>
          <w:p w14:paraId="4C0E406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&lt;1.0</w:t>
            </w:r>
          </w:p>
        </w:tc>
        <w:tc>
          <w:tcPr>
            <w:tcW w:w="1211" w:type="pct"/>
            <w:tcBorders>
              <w:tl2br w:val="nil"/>
              <w:tr2bl w:val="nil"/>
            </w:tcBorders>
            <w:vAlign w:val="center"/>
          </w:tcPr>
          <w:p w14:paraId="59C9196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2DFDBB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30FD7CEF">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0.5</w:t>
            </w:r>
          </w:p>
        </w:tc>
      </w:tr>
      <w:tr w14:paraId="177C0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554EE1A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三氯乙烯</w:t>
            </w:r>
          </w:p>
        </w:tc>
        <w:tc>
          <w:tcPr>
            <w:tcW w:w="793" w:type="pct"/>
            <w:tcBorders>
              <w:tl2br w:val="nil"/>
              <w:tr2bl w:val="nil"/>
            </w:tcBorders>
            <w:vAlign w:val="center"/>
          </w:tcPr>
          <w:p w14:paraId="4E344BC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474C691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9684FA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1C396C7">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2.8</w:t>
            </w:r>
          </w:p>
        </w:tc>
      </w:tr>
      <w:tr w14:paraId="6A98D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C5026B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反-1，2-二氯乙烯</w:t>
            </w:r>
          </w:p>
        </w:tc>
        <w:tc>
          <w:tcPr>
            <w:tcW w:w="793" w:type="pct"/>
            <w:tcBorders>
              <w:tl2br w:val="nil"/>
              <w:tr2bl w:val="nil"/>
            </w:tcBorders>
            <w:vAlign w:val="center"/>
          </w:tcPr>
          <w:p w14:paraId="79EAF13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&lt;1.4</w:t>
            </w:r>
          </w:p>
        </w:tc>
        <w:tc>
          <w:tcPr>
            <w:tcW w:w="1211" w:type="pct"/>
            <w:tcBorders>
              <w:tl2br w:val="nil"/>
              <w:tr2bl w:val="nil"/>
            </w:tcBorders>
            <w:vAlign w:val="center"/>
          </w:tcPr>
          <w:p w14:paraId="4534623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05A8711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2A0706B3">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54</w:t>
            </w:r>
          </w:p>
        </w:tc>
      </w:tr>
      <w:tr w14:paraId="59A63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3EC158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二氯甲烷</w:t>
            </w:r>
          </w:p>
        </w:tc>
        <w:tc>
          <w:tcPr>
            <w:tcW w:w="793" w:type="pct"/>
            <w:tcBorders>
              <w:tl2br w:val="nil"/>
              <w:tr2bl w:val="nil"/>
            </w:tcBorders>
            <w:vAlign w:val="center"/>
          </w:tcPr>
          <w:p w14:paraId="13021A5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&lt;1.5</w:t>
            </w:r>
          </w:p>
        </w:tc>
        <w:tc>
          <w:tcPr>
            <w:tcW w:w="1211" w:type="pct"/>
            <w:tcBorders>
              <w:tl2br w:val="nil"/>
              <w:tr2bl w:val="nil"/>
            </w:tcBorders>
            <w:vAlign w:val="center"/>
          </w:tcPr>
          <w:p w14:paraId="52B8FD4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DD8804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5BEF413">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616</w:t>
            </w:r>
          </w:p>
        </w:tc>
      </w:tr>
      <w:tr w14:paraId="632FA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58C5BD7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1，2-二氯丙烷</w:t>
            </w:r>
          </w:p>
        </w:tc>
        <w:tc>
          <w:tcPr>
            <w:tcW w:w="793" w:type="pct"/>
            <w:tcBorders>
              <w:tl2br w:val="nil"/>
              <w:tr2bl w:val="nil"/>
            </w:tcBorders>
            <w:vAlign w:val="center"/>
          </w:tcPr>
          <w:p w14:paraId="35022AA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&lt;1.1</w:t>
            </w:r>
          </w:p>
        </w:tc>
        <w:tc>
          <w:tcPr>
            <w:tcW w:w="1211" w:type="pct"/>
            <w:tcBorders>
              <w:tl2br w:val="nil"/>
              <w:tr2bl w:val="nil"/>
            </w:tcBorders>
            <w:vAlign w:val="center"/>
          </w:tcPr>
          <w:p w14:paraId="2F2B8A9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470534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4372913">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w:t>
            </w:r>
          </w:p>
        </w:tc>
      </w:tr>
      <w:tr w14:paraId="0DE2A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55E545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hint="eastAsia" w:ascii="Times New Roman" w:hAnsi="Times New Roman" w:eastAsia="宋体"/>
                <w:snapToGrid/>
                <w:color w:val="auto"/>
              </w:rPr>
              <w:t>1，2-四氯乙烷</w:t>
            </w:r>
          </w:p>
        </w:tc>
        <w:tc>
          <w:tcPr>
            <w:tcW w:w="793" w:type="pct"/>
            <w:tcBorders>
              <w:tl2br w:val="nil"/>
              <w:tr2bl w:val="nil"/>
            </w:tcBorders>
            <w:vAlign w:val="center"/>
          </w:tcPr>
          <w:p w14:paraId="7ED7646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28339D7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F2D5E6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6A8BBD1B">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10</w:t>
            </w:r>
          </w:p>
        </w:tc>
      </w:tr>
      <w:tr w14:paraId="76547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4A78661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1，1，2，2四氯乙烷</w:t>
            </w:r>
          </w:p>
        </w:tc>
        <w:tc>
          <w:tcPr>
            <w:tcW w:w="793" w:type="pct"/>
            <w:tcBorders>
              <w:tl2br w:val="nil"/>
              <w:tr2bl w:val="nil"/>
            </w:tcBorders>
            <w:vAlign w:val="center"/>
          </w:tcPr>
          <w:p w14:paraId="07F17A9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55F7C9F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E0BF8E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4C58662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840</w:t>
            </w:r>
          </w:p>
        </w:tc>
      </w:tr>
      <w:tr w14:paraId="13637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229614E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四氯化碳</w:t>
            </w:r>
          </w:p>
        </w:tc>
        <w:tc>
          <w:tcPr>
            <w:tcW w:w="793" w:type="pct"/>
            <w:tcBorders>
              <w:tl2br w:val="nil"/>
              <w:tr2bl w:val="nil"/>
            </w:tcBorders>
            <w:vAlign w:val="center"/>
          </w:tcPr>
          <w:p w14:paraId="72ABBA0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&lt;1.3</w:t>
            </w:r>
          </w:p>
        </w:tc>
        <w:tc>
          <w:tcPr>
            <w:tcW w:w="1211" w:type="pct"/>
            <w:tcBorders>
              <w:tl2br w:val="nil"/>
              <w:tr2bl w:val="nil"/>
            </w:tcBorders>
            <w:vAlign w:val="center"/>
          </w:tcPr>
          <w:p w14:paraId="410B900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3A14A7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0DB27C9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2.8</w:t>
            </w:r>
          </w:p>
        </w:tc>
      </w:tr>
      <w:tr w14:paraId="69CF9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697F919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ascii="Times New Roman" w:hAnsi="Times New Roman" w:eastAsia="宋体"/>
                <w:snapToGrid/>
                <w:color w:val="auto"/>
              </w:rPr>
              <w:t>1</w:t>
            </w:r>
            <w:r>
              <w:rPr>
                <w:rFonts w:hint="eastAsia" w:ascii="Times New Roman" w:hAnsi="Times New Roman" w:eastAsia="宋体"/>
                <w:snapToGrid/>
                <w:color w:val="auto"/>
                <w:lang w:eastAsia="zh-CN"/>
              </w:rPr>
              <w:t>，</w:t>
            </w:r>
            <w:r>
              <w:rPr>
                <w:rFonts w:ascii="Times New Roman" w:hAnsi="Times New Roman" w:eastAsia="宋体"/>
                <w:snapToGrid/>
                <w:color w:val="auto"/>
              </w:rPr>
              <w:t>1</w:t>
            </w:r>
            <w:r>
              <w:rPr>
                <w:rFonts w:hint="eastAsia" w:ascii="Times New Roman" w:hAnsi="Times New Roman" w:eastAsia="宋体"/>
                <w:snapToGrid/>
                <w:color w:val="auto"/>
              </w:rPr>
              <w:t>-三氯乙烷</w:t>
            </w:r>
          </w:p>
        </w:tc>
        <w:tc>
          <w:tcPr>
            <w:tcW w:w="793" w:type="pct"/>
            <w:tcBorders>
              <w:tl2br w:val="nil"/>
              <w:tr2bl w:val="nil"/>
            </w:tcBorders>
            <w:vAlign w:val="center"/>
          </w:tcPr>
          <w:p w14:paraId="5E016D6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&lt;1.3</w:t>
            </w:r>
          </w:p>
        </w:tc>
        <w:tc>
          <w:tcPr>
            <w:tcW w:w="1211" w:type="pct"/>
            <w:tcBorders>
              <w:tl2br w:val="nil"/>
              <w:tr2bl w:val="nil"/>
            </w:tcBorders>
            <w:vAlign w:val="center"/>
          </w:tcPr>
          <w:p w14:paraId="77CDF10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2A5CFF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E276EBA">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9</w:t>
            </w:r>
          </w:p>
        </w:tc>
      </w:tr>
      <w:tr w14:paraId="07194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5C55E5A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hint="eastAsia" w:ascii="Times New Roman" w:hAnsi="Times New Roman" w:eastAsia="宋体"/>
                <w:snapToGrid/>
                <w:color w:val="auto"/>
              </w:rPr>
              <w:t>2-三氯乙烷</w:t>
            </w:r>
          </w:p>
        </w:tc>
        <w:tc>
          <w:tcPr>
            <w:tcW w:w="793" w:type="pct"/>
            <w:tcBorders>
              <w:tl2br w:val="nil"/>
              <w:tr2bl w:val="nil"/>
            </w:tcBorders>
            <w:vAlign w:val="center"/>
          </w:tcPr>
          <w:p w14:paraId="6658E87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7BDB66D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2B05FE4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FF7F907">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6.8</w:t>
            </w:r>
          </w:p>
        </w:tc>
      </w:tr>
      <w:tr w14:paraId="2B24B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70B448B7">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䓛</w:t>
            </w:r>
          </w:p>
        </w:tc>
        <w:tc>
          <w:tcPr>
            <w:tcW w:w="793" w:type="pct"/>
            <w:tcBorders>
              <w:tl2br w:val="nil"/>
              <w:tr2bl w:val="nil"/>
            </w:tcBorders>
            <w:vAlign w:val="center"/>
          </w:tcPr>
          <w:p w14:paraId="4F56797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&lt;0.1</w:t>
            </w:r>
          </w:p>
        </w:tc>
        <w:tc>
          <w:tcPr>
            <w:tcW w:w="1211" w:type="pct"/>
            <w:tcBorders>
              <w:tl2br w:val="nil"/>
              <w:tr2bl w:val="nil"/>
            </w:tcBorders>
            <w:vAlign w:val="center"/>
          </w:tcPr>
          <w:p w14:paraId="437F5E3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084D56F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A0E216B">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1293</w:t>
            </w:r>
          </w:p>
        </w:tc>
      </w:tr>
      <w:tr w14:paraId="4FA7A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AA53FF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w:t>
            </w:r>
            <w:r>
              <w:rPr>
                <w:rFonts w:hint="eastAsia" w:ascii="Times New Roman" w:hAnsi="Times New Roman" w:eastAsia="宋体"/>
                <w:snapToGrid/>
                <w:color w:val="auto"/>
                <w:lang w:eastAsia="zh-CN"/>
              </w:rPr>
              <w:t>，</w:t>
            </w:r>
            <w:r>
              <w:rPr>
                <w:rFonts w:hint="eastAsia" w:ascii="Times New Roman" w:hAnsi="Times New Roman" w:eastAsia="宋体"/>
                <w:snapToGrid/>
                <w:color w:val="auto"/>
              </w:rPr>
              <w:t>2</w:t>
            </w:r>
            <w:r>
              <w:rPr>
                <w:rFonts w:hint="eastAsia" w:ascii="Times New Roman" w:hAnsi="Times New Roman" w:eastAsia="宋体"/>
                <w:snapToGrid/>
                <w:color w:val="auto"/>
                <w:lang w:eastAsia="zh-CN"/>
              </w:rPr>
              <w:t>，</w:t>
            </w:r>
            <w:r>
              <w:rPr>
                <w:rFonts w:ascii="Times New Roman" w:hAnsi="Times New Roman" w:eastAsia="宋体"/>
                <w:snapToGrid/>
                <w:color w:val="auto"/>
              </w:rPr>
              <w:t>3</w:t>
            </w:r>
            <w:r>
              <w:rPr>
                <w:rFonts w:hint="eastAsia" w:ascii="Times New Roman" w:hAnsi="Times New Roman" w:eastAsia="宋体"/>
                <w:snapToGrid/>
                <w:color w:val="auto"/>
              </w:rPr>
              <w:t>-三氯丙烷</w:t>
            </w:r>
          </w:p>
        </w:tc>
        <w:tc>
          <w:tcPr>
            <w:tcW w:w="793" w:type="pct"/>
            <w:tcBorders>
              <w:tl2br w:val="nil"/>
              <w:tr2bl w:val="nil"/>
            </w:tcBorders>
            <w:vAlign w:val="center"/>
          </w:tcPr>
          <w:p w14:paraId="7094454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03322DA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70F15F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8C9C56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2.8</w:t>
            </w:r>
          </w:p>
        </w:tc>
      </w:tr>
      <w:tr w14:paraId="602FE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6EFC17F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氯乙烯</w:t>
            </w:r>
          </w:p>
        </w:tc>
        <w:tc>
          <w:tcPr>
            <w:tcW w:w="793" w:type="pct"/>
            <w:tcBorders>
              <w:tl2br w:val="nil"/>
              <w:tr2bl w:val="nil"/>
            </w:tcBorders>
            <w:vAlign w:val="center"/>
          </w:tcPr>
          <w:p w14:paraId="58309BD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&lt;1.0</w:t>
            </w:r>
          </w:p>
        </w:tc>
        <w:tc>
          <w:tcPr>
            <w:tcW w:w="1211" w:type="pct"/>
            <w:tcBorders>
              <w:tl2br w:val="nil"/>
              <w:tr2bl w:val="nil"/>
            </w:tcBorders>
            <w:vAlign w:val="center"/>
          </w:tcPr>
          <w:p w14:paraId="5BD7BF5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ED4D2A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45A1831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66</w:t>
            </w:r>
          </w:p>
        </w:tc>
      </w:tr>
      <w:tr w14:paraId="22A58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2A12B71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1，4-二氯苯</w:t>
            </w:r>
          </w:p>
        </w:tc>
        <w:tc>
          <w:tcPr>
            <w:tcW w:w="793" w:type="pct"/>
            <w:tcBorders>
              <w:tl2br w:val="nil"/>
              <w:tr2bl w:val="nil"/>
            </w:tcBorders>
            <w:vAlign w:val="center"/>
          </w:tcPr>
          <w:p w14:paraId="2B06250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&lt;1.5</w:t>
            </w:r>
          </w:p>
        </w:tc>
        <w:tc>
          <w:tcPr>
            <w:tcW w:w="1211" w:type="pct"/>
            <w:tcBorders>
              <w:tl2br w:val="nil"/>
              <w:tr2bl w:val="nil"/>
            </w:tcBorders>
            <w:vAlign w:val="center"/>
          </w:tcPr>
          <w:p w14:paraId="25C832B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0C4DC1B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E0E38CB">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20</w:t>
            </w:r>
          </w:p>
        </w:tc>
      </w:tr>
      <w:tr w14:paraId="17231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427984C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氯苯</w:t>
            </w:r>
          </w:p>
        </w:tc>
        <w:tc>
          <w:tcPr>
            <w:tcW w:w="793" w:type="pct"/>
            <w:tcBorders>
              <w:tl2br w:val="nil"/>
              <w:tr2bl w:val="nil"/>
            </w:tcBorders>
            <w:vAlign w:val="center"/>
          </w:tcPr>
          <w:p w14:paraId="4AE6CDE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137534E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27BB85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2F5CD34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270</w:t>
            </w:r>
          </w:p>
        </w:tc>
      </w:tr>
      <w:tr w14:paraId="2802A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79ED10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1，2-二氯苯</w:t>
            </w:r>
          </w:p>
        </w:tc>
        <w:tc>
          <w:tcPr>
            <w:tcW w:w="793" w:type="pct"/>
            <w:tcBorders>
              <w:tl2br w:val="nil"/>
              <w:tr2bl w:val="nil"/>
            </w:tcBorders>
            <w:vAlign w:val="center"/>
          </w:tcPr>
          <w:p w14:paraId="62C51A2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&lt;1.5</w:t>
            </w:r>
          </w:p>
        </w:tc>
        <w:tc>
          <w:tcPr>
            <w:tcW w:w="1211" w:type="pct"/>
            <w:tcBorders>
              <w:tl2br w:val="nil"/>
              <w:tr2bl w:val="nil"/>
            </w:tcBorders>
            <w:vAlign w:val="center"/>
          </w:tcPr>
          <w:p w14:paraId="3E8967F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8665D1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4A0E7746">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560</w:t>
            </w:r>
          </w:p>
        </w:tc>
      </w:tr>
      <w:tr w14:paraId="2FC9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8E28E0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w:t>
            </w:r>
          </w:p>
        </w:tc>
        <w:tc>
          <w:tcPr>
            <w:tcW w:w="793" w:type="pct"/>
            <w:tcBorders>
              <w:tl2br w:val="nil"/>
              <w:tr2bl w:val="nil"/>
            </w:tcBorders>
            <w:vAlign w:val="center"/>
          </w:tcPr>
          <w:p w14:paraId="766ECEF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&lt;1.9</w:t>
            </w:r>
          </w:p>
        </w:tc>
        <w:tc>
          <w:tcPr>
            <w:tcW w:w="1211" w:type="pct"/>
            <w:tcBorders>
              <w:tl2br w:val="nil"/>
              <w:tr2bl w:val="nil"/>
            </w:tcBorders>
            <w:vAlign w:val="center"/>
          </w:tcPr>
          <w:p w14:paraId="1407F88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0D668D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0C804451">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4</w:t>
            </w:r>
          </w:p>
        </w:tc>
      </w:tr>
      <w:tr w14:paraId="3208A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622D4E3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硝基苯*</w:t>
            </w:r>
          </w:p>
        </w:tc>
        <w:tc>
          <w:tcPr>
            <w:tcW w:w="793" w:type="pct"/>
            <w:tcBorders>
              <w:tl2br w:val="nil"/>
              <w:tr2bl w:val="nil"/>
            </w:tcBorders>
            <w:vAlign w:val="center"/>
          </w:tcPr>
          <w:p w14:paraId="7F1EE866">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&lt;0.09</w:t>
            </w:r>
          </w:p>
        </w:tc>
        <w:tc>
          <w:tcPr>
            <w:tcW w:w="1211" w:type="pct"/>
            <w:tcBorders>
              <w:tl2br w:val="nil"/>
              <w:tr2bl w:val="nil"/>
            </w:tcBorders>
            <w:vAlign w:val="center"/>
          </w:tcPr>
          <w:p w14:paraId="5FC68F6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F77860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075DBC2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76</w:t>
            </w:r>
          </w:p>
        </w:tc>
      </w:tr>
      <w:tr w14:paraId="69EE2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10060BC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苯乙烯*</w:t>
            </w:r>
          </w:p>
        </w:tc>
        <w:tc>
          <w:tcPr>
            <w:tcW w:w="793" w:type="pct"/>
            <w:tcBorders>
              <w:tl2br w:val="nil"/>
              <w:tr2bl w:val="nil"/>
            </w:tcBorders>
            <w:vAlign w:val="center"/>
          </w:tcPr>
          <w:p w14:paraId="52FE0D2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&lt;1.1</w:t>
            </w:r>
          </w:p>
        </w:tc>
        <w:tc>
          <w:tcPr>
            <w:tcW w:w="1211" w:type="pct"/>
            <w:tcBorders>
              <w:tl2br w:val="nil"/>
              <w:tr2bl w:val="nil"/>
            </w:tcBorders>
            <w:vAlign w:val="center"/>
          </w:tcPr>
          <w:p w14:paraId="774C99A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0AF130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677AB7E8">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1290</w:t>
            </w:r>
          </w:p>
        </w:tc>
      </w:tr>
      <w:tr w14:paraId="14902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7020D69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甲苯*</w:t>
            </w:r>
          </w:p>
        </w:tc>
        <w:tc>
          <w:tcPr>
            <w:tcW w:w="793" w:type="pct"/>
            <w:tcBorders>
              <w:tl2br w:val="nil"/>
              <w:tr2bl w:val="nil"/>
            </w:tcBorders>
            <w:vAlign w:val="center"/>
          </w:tcPr>
          <w:p w14:paraId="36D5692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&lt;1.3</w:t>
            </w:r>
          </w:p>
        </w:tc>
        <w:tc>
          <w:tcPr>
            <w:tcW w:w="1211" w:type="pct"/>
            <w:tcBorders>
              <w:tl2br w:val="nil"/>
              <w:tr2bl w:val="nil"/>
            </w:tcBorders>
            <w:vAlign w:val="center"/>
          </w:tcPr>
          <w:p w14:paraId="3430A2D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48E2D9A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41C3EE0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1200</w:t>
            </w:r>
          </w:p>
        </w:tc>
      </w:tr>
      <w:tr w14:paraId="07AEA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7914F0F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间，对二甲苯*</w:t>
            </w:r>
          </w:p>
        </w:tc>
        <w:tc>
          <w:tcPr>
            <w:tcW w:w="793" w:type="pct"/>
            <w:tcBorders>
              <w:tl2br w:val="nil"/>
              <w:tr2bl w:val="nil"/>
            </w:tcBorders>
            <w:vAlign w:val="center"/>
          </w:tcPr>
          <w:p w14:paraId="336E5B6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2BB44BB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EC97D27">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2D31A8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570</w:t>
            </w:r>
          </w:p>
        </w:tc>
      </w:tr>
      <w:tr w14:paraId="5B38F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535CC01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邻二甲苯*</w:t>
            </w:r>
          </w:p>
        </w:tc>
        <w:tc>
          <w:tcPr>
            <w:tcW w:w="793" w:type="pct"/>
            <w:tcBorders>
              <w:tl2br w:val="nil"/>
              <w:tr2bl w:val="nil"/>
            </w:tcBorders>
            <w:vAlign w:val="center"/>
          </w:tcPr>
          <w:p w14:paraId="2842716D">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18061D1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3D97DC6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05EFCA85">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640</w:t>
            </w:r>
          </w:p>
        </w:tc>
      </w:tr>
      <w:tr w14:paraId="5B3E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31D0DE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四氯乙烯</w:t>
            </w:r>
          </w:p>
        </w:tc>
        <w:tc>
          <w:tcPr>
            <w:tcW w:w="793" w:type="pct"/>
            <w:tcBorders>
              <w:tl2br w:val="nil"/>
              <w:tr2bl w:val="nil"/>
            </w:tcBorders>
            <w:vAlign w:val="center"/>
          </w:tcPr>
          <w:p w14:paraId="7CAAE9C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&lt;1.4</w:t>
            </w:r>
          </w:p>
        </w:tc>
        <w:tc>
          <w:tcPr>
            <w:tcW w:w="1211" w:type="pct"/>
            <w:tcBorders>
              <w:tl2br w:val="nil"/>
              <w:tr2bl w:val="nil"/>
            </w:tcBorders>
            <w:vAlign w:val="center"/>
          </w:tcPr>
          <w:p w14:paraId="43D82E9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578158C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838EF3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53</w:t>
            </w:r>
          </w:p>
        </w:tc>
      </w:tr>
      <w:tr w14:paraId="34BFF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1685606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2-氯苯酚</w:t>
            </w:r>
          </w:p>
        </w:tc>
        <w:tc>
          <w:tcPr>
            <w:tcW w:w="793" w:type="pct"/>
            <w:tcBorders>
              <w:tl2br w:val="nil"/>
              <w:tr2bl w:val="nil"/>
            </w:tcBorders>
            <w:vAlign w:val="center"/>
          </w:tcPr>
          <w:p w14:paraId="15D0704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&lt;0.06</w:t>
            </w:r>
          </w:p>
        </w:tc>
        <w:tc>
          <w:tcPr>
            <w:tcW w:w="1211" w:type="pct"/>
            <w:tcBorders>
              <w:tl2br w:val="nil"/>
              <w:tr2bl w:val="nil"/>
            </w:tcBorders>
            <w:vAlign w:val="center"/>
          </w:tcPr>
          <w:p w14:paraId="7870A00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3B8CC0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33789A30">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2256</w:t>
            </w:r>
          </w:p>
        </w:tc>
      </w:tr>
      <w:tr w14:paraId="08932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4330CC4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苯并</w:t>
            </w:r>
            <w:r>
              <w:rPr>
                <w:rFonts w:hint="eastAsia" w:ascii="Times New Roman" w:hAnsi="Times New Roman" w:eastAsia="宋体"/>
                <w:snapToGrid/>
                <w:color w:val="auto"/>
                <w:lang w:eastAsia="zh-CN"/>
              </w:rPr>
              <w:t>[a]</w:t>
            </w:r>
            <w:r>
              <w:rPr>
                <w:rFonts w:hint="eastAsia" w:ascii="Times New Roman" w:hAnsi="Times New Roman" w:eastAsia="宋体"/>
                <w:snapToGrid/>
                <w:color w:val="auto"/>
              </w:rPr>
              <w:t>蒽</w:t>
            </w:r>
          </w:p>
        </w:tc>
        <w:tc>
          <w:tcPr>
            <w:tcW w:w="793" w:type="pct"/>
            <w:tcBorders>
              <w:tl2br w:val="nil"/>
              <w:tr2bl w:val="nil"/>
            </w:tcBorders>
            <w:vAlign w:val="center"/>
          </w:tcPr>
          <w:p w14:paraId="421A925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&lt;0.1</w:t>
            </w:r>
          </w:p>
        </w:tc>
        <w:tc>
          <w:tcPr>
            <w:tcW w:w="1211" w:type="pct"/>
            <w:tcBorders>
              <w:tl2br w:val="nil"/>
              <w:tr2bl w:val="nil"/>
            </w:tcBorders>
            <w:vAlign w:val="center"/>
          </w:tcPr>
          <w:p w14:paraId="106C204B">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1F1FA22F">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B9D9CC0">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15</w:t>
            </w:r>
          </w:p>
        </w:tc>
      </w:tr>
      <w:tr w14:paraId="06DF0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FCB967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苯并[a]芘</w:t>
            </w:r>
          </w:p>
        </w:tc>
        <w:tc>
          <w:tcPr>
            <w:tcW w:w="793" w:type="pct"/>
            <w:tcBorders>
              <w:tl2br w:val="nil"/>
              <w:tr2bl w:val="nil"/>
            </w:tcBorders>
            <w:vAlign w:val="center"/>
          </w:tcPr>
          <w:p w14:paraId="1057E9B6">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&lt;0.1</w:t>
            </w:r>
          </w:p>
        </w:tc>
        <w:tc>
          <w:tcPr>
            <w:tcW w:w="1211" w:type="pct"/>
            <w:tcBorders>
              <w:tl2br w:val="nil"/>
              <w:tr2bl w:val="nil"/>
            </w:tcBorders>
            <w:vAlign w:val="center"/>
          </w:tcPr>
          <w:p w14:paraId="17ADB17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D7E5E4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73F486A9">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1.5</w:t>
            </w:r>
          </w:p>
        </w:tc>
      </w:tr>
      <w:tr w14:paraId="7E6F4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538D1B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苯并</w:t>
            </w:r>
            <w:r>
              <w:rPr>
                <w:rFonts w:hint="eastAsia" w:ascii="Times New Roman" w:hAnsi="Times New Roman" w:eastAsia="宋体"/>
                <w:snapToGrid/>
                <w:color w:val="auto"/>
                <w:lang w:eastAsia="zh-CN"/>
              </w:rPr>
              <w:t>[b]</w:t>
            </w:r>
            <w:r>
              <w:rPr>
                <w:rFonts w:hint="eastAsia" w:ascii="Times New Roman" w:hAnsi="Times New Roman" w:eastAsia="宋体"/>
                <w:snapToGrid/>
                <w:color w:val="auto"/>
              </w:rPr>
              <w:t>荧蒽</w:t>
            </w:r>
          </w:p>
        </w:tc>
        <w:tc>
          <w:tcPr>
            <w:tcW w:w="793" w:type="pct"/>
            <w:tcBorders>
              <w:tl2br w:val="nil"/>
              <w:tr2bl w:val="nil"/>
            </w:tcBorders>
            <w:vAlign w:val="center"/>
          </w:tcPr>
          <w:p w14:paraId="5FD28DE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&lt;0.2</w:t>
            </w:r>
          </w:p>
        </w:tc>
        <w:tc>
          <w:tcPr>
            <w:tcW w:w="1211" w:type="pct"/>
            <w:tcBorders>
              <w:tl2br w:val="nil"/>
              <w:tr2bl w:val="nil"/>
            </w:tcBorders>
            <w:vAlign w:val="center"/>
          </w:tcPr>
          <w:p w14:paraId="2B9AE61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07A781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255D1159">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15</w:t>
            </w:r>
          </w:p>
        </w:tc>
      </w:tr>
      <w:tr w14:paraId="63D54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F5689A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二苯并[a，h]蒽</w:t>
            </w:r>
          </w:p>
        </w:tc>
        <w:tc>
          <w:tcPr>
            <w:tcW w:w="793" w:type="pct"/>
            <w:tcBorders>
              <w:tl2br w:val="nil"/>
              <w:tr2bl w:val="nil"/>
            </w:tcBorders>
            <w:vAlign w:val="center"/>
          </w:tcPr>
          <w:p w14:paraId="05EC8FE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&lt;0.1</w:t>
            </w:r>
          </w:p>
        </w:tc>
        <w:tc>
          <w:tcPr>
            <w:tcW w:w="1211" w:type="pct"/>
            <w:tcBorders>
              <w:tl2br w:val="nil"/>
              <w:tr2bl w:val="nil"/>
            </w:tcBorders>
            <w:vAlign w:val="center"/>
          </w:tcPr>
          <w:p w14:paraId="5F58A95E">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676653F0">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BAF0164">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1.5</w:t>
            </w:r>
          </w:p>
        </w:tc>
      </w:tr>
      <w:tr w14:paraId="26FC1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7ED29B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乙苯</w:t>
            </w:r>
          </w:p>
        </w:tc>
        <w:tc>
          <w:tcPr>
            <w:tcW w:w="793" w:type="pct"/>
            <w:tcBorders>
              <w:tl2br w:val="nil"/>
              <w:tr2bl w:val="nil"/>
            </w:tcBorders>
            <w:vAlign w:val="center"/>
          </w:tcPr>
          <w:p w14:paraId="3065B51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&lt;1.2</w:t>
            </w:r>
          </w:p>
        </w:tc>
        <w:tc>
          <w:tcPr>
            <w:tcW w:w="1211" w:type="pct"/>
            <w:tcBorders>
              <w:tl2br w:val="nil"/>
              <w:tr2bl w:val="nil"/>
            </w:tcBorders>
            <w:vAlign w:val="center"/>
          </w:tcPr>
          <w:p w14:paraId="48E0C689">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22D62C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5233C43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28</w:t>
            </w:r>
          </w:p>
        </w:tc>
      </w:tr>
      <w:tr w14:paraId="5C03A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12B9D4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萘</w:t>
            </w:r>
          </w:p>
        </w:tc>
        <w:tc>
          <w:tcPr>
            <w:tcW w:w="793" w:type="pct"/>
            <w:tcBorders>
              <w:tl2br w:val="nil"/>
              <w:tr2bl w:val="nil"/>
            </w:tcBorders>
            <w:vAlign w:val="center"/>
          </w:tcPr>
          <w:p w14:paraId="713E434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&lt;0.09</w:t>
            </w:r>
          </w:p>
        </w:tc>
        <w:tc>
          <w:tcPr>
            <w:tcW w:w="1211" w:type="pct"/>
            <w:tcBorders>
              <w:tl2br w:val="nil"/>
              <w:tr2bl w:val="nil"/>
            </w:tcBorders>
            <w:vAlign w:val="center"/>
          </w:tcPr>
          <w:p w14:paraId="7CA8C0E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70FC64C2">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1DB24B68">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70</w:t>
            </w:r>
          </w:p>
        </w:tc>
      </w:tr>
      <w:tr w14:paraId="4D0D2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126BF12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苯胺</w:t>
            </w:r>
          </w:p>
        </w:tc>
        <w:tc>
          <w:tcPr>
            <w:tcW w:w="793" w:type="pct"/>
            <w:tcBorders>
              <w:tl2br w:val="nil"/>
              <w:tr2bl w:val="nil"/>
            </w:tcBorders>
            <w:vAlign w:val="center"/>
          </w:tcPr>
          <w:p w14:paraId="520F8D1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lang w:eastAsia="zh-CN"/>
              </w:rPr>
              <w:t>&lt;0.05</w:t>
            </w:r>
          </w:p>
        </w:tc>
        <w:tc>
          <w:tcPr>
            <w:tcW w:w="1211" w:type="pct"/>
            <w:tcBorders>
              <w:tl2br w:val="nil"/>
              <w:tr2bl w:val="nil"/>
            </w:tcBorders>
            <w:vAlign w:val="center"/>
          </w:tcPr>
          <w:p w14:paraId="39A43AA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1211" w:type="pct"/>
            <w:tcBorders>
              <w:tl2br w:val="nil"/>
              <w:tr2bl w:val="nil"/>
            </w:tcBorders>
            <w:vAlign w:val="center"/>
          </w:tcPr>
          <w:p w14:paraId="6C6A8183">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w:t>
            </w:r>
          </w:p>
        </w:tc>
        <w:tc>
          <w:tcPr>
            <w:tcW w:w="838" w:type="pct"/>
            <w:tcBorders>
              <w:tl2br w:val="nil"/>
              <w:tr2bl w:val="nil"/>
            </w:tcBorders>
            <w:vAlign w:val="center"/>
          </w:tcPr>
          <w:p w14:paraId="4CF779EC">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260</w:t>
            </w:r>
          </w:p>
        </w:tc>
      </w:tr>
      <w:tr w14:paraId="5A0CD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D5CD61D">
            <w:pPr>
              <w:pStyle w:val="44"/>
              <w:shd w:val="clear"/>
              <w:tabs>
                <w:tab w:val="left" w:pos="0"/>
                <w:tab w:val="left" w:pos="567"/>
                <w:tab w:val="left" w:pos="9740"/>
              </w:tabs>
              <w:kinsoku/>
              <w:adjustRightInd/>
              <w:snapToGrid/>
              <w:spacing w:line="360" w:lineRule="auto"/>
              <w:jc w:val="center"/>
              <w:textAlignment w:val="auto"/>
              <w:rPr>
                <w:rFonts w:hAnsi="Times New Roman" w:eastAsia="宋体"/>
                <w:snapToGrid/>
                <w:color w:val="auto"/>
                <w:szCs w:val="21"/>
              </w:rPr>
            </w:pPr>
            <w:r>
              <w:rPr>
                <w:rFonts w:hint="eastAsia" w:hAnsi="Times New Roman" w:eastAsia="宋体" w:cs="宋体"/>
                <w:snapToGrid/>
                <w:color w:val="auto"/>
                <w:szCs w:val="21"/>
              </w:rPr>
              <w:t>砷</w:t>
            </w:r>
          </w:p>
        </w:tc>
        <w:tc>
          <w:tcPr>
            <w:tcW w:w="793" w:type="pct"/>
            <w:tcBorders>
              <w:tl2br w:val="nil"/>
              <w:tr2bl w:val="nil"/>
            </w:tcBorders>
            <w:vAlign w:val="center"/>
          </w:tcPr>
          <w:p w14:paraId="3D8EC42B">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5.46</w:t>
            </w:r>
          </w:p>
        </w:tc>
        <w:tc>
          <w:tcPr>
            <w:tcW w:w="1211" w:type="pct"/>
            <w:tcBorders>
              <w:tl2br w:val="nil"/>
              <w:tr2bl w:val="nil"/>
            </w:tcBorders>
          </w:tcPr>
          <w:p w14:paraId="290870DA">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6.62</w:t>
            </w:r>
          </w:p>
        </w:tc>
        <w:tc>
          <w:tcPr>
            <w:tcW w:w="1211" w:type="pct"/>
            <w:tcBorders>
              <w:tl2br w:val="nil"/>
              <w:tr2bl w:val="nil"/>
            </w:tcBorders>
          </w:tcPr>
          <w:p w14:paraId="43DE1CC2">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4.83</w:t>
            </w:r>
          </w:p>
        </w:tc>
        <w:tc>
          <w:tcPr>
            <w:tcW w:w="838" w:type="pct"/>
            <w:tcBorders>
              <w:tl2br w:val="nil"/>
              <w:tr2bl w:val="nil"/>
            </w:tcBorders>
            <w:vAlign w:val="center"/>
          </w:tcPr>
          <w:p w14:paraId="3B0215D8">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30</w:t>
            </w:r>
          </w:p>
        </w:tc>
      </w:tr>
      <w:tr w14:paraId="4B17E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38C8CB1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汞</w:t>
            </w:r>
          </w:p>
        </w:tc>
        <w:tc>
          <w:tcPr>
            <w:tcW w:w="793" w:type="pct"/>
            <w:tcBorders>
              <w:tl2br w:val="nil"/>
              <w:tr2bl w:val="nil"/>
            </w:tcBorders>
            <w:vAlign w:val="center"/>
          </w:tcPr>
          <w:p w14:paraId="0A23A67F">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0.056</w:t>
            </w:r>
          </w:p>
        </w:tc>
        <w:tc>
          <w:tcPr>
            <w:tcW w:w="1211" w:type="pct"/>
            <w:tcBorders>
              <w:tl2br w:val="nil"/>
              <w:tr2bl w:val="nil"/>
            </w:tcBorders>
          </w:tcPr>
          <w:p w14:paraId="14B6FCA7">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w:t>
            </w:r>
          </w:p>
        </w:tc>
        <w:tc>
          <w:tcPr>
            <w:tcW w:w="1211" w:type="pct"/>
            <w:tcBorders>
              <w:tl2br w:val="nil"/>
              <w:tr2bl w:val="nil"/>
            </w:tcBorders>
          </w:tcPr>
          <w:p w14:paraId="4B075414">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w:t>
            </w:r>
          </w:p>
        </w:tc>
        <w:tc>
          <w:tcPr>
            <w:tcW w:w="838" w:type="pct"/>
            <w:tcBorders>
              <w:tl2br w:val="nil"/>
              <w:tr2bl w:val="nil"/>
            </w:tcBorders>
            <w:vAlign w:val="center"/>
          </w:tcPr>
          <w:p w14:paraId="7331730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60</w:t>
            </w:r>
          </w:p>
        </w:tc>
      </w:tr>
      <w:tr w14:paraId="0F6E5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6E0FC81C">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铅</w:t>
            </w:r>
          </w:p>
        </w:tc>
        <w:tc>
          <w:tcPr>
            <w:tcW w:w="793" w:type="pct"/>
            <w:tcBorders>
              <w:tl2br w:val="nil"/>
              <w:tr2bl w:val="nil"/>
            </w:tcBorders>
            <w:vAlign w:val="center"/>
          </w:tcPr>
          <w:p w14:paraId="6E7CD068">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174</w:t>
            </w:r>
          </w:p>
        </w:tc>
        <w:tc>
          <w:tcPr>
            <w:tcW w:w="1211" w:type="pct"/>
            <w:tcBorders>
              <w:tl2br w:val="nil"/>
              <w:tr2bl w:val="nil"/>
            </w:tcBorders>
          </w:tcPr>
          <w:p w14:paraId="455417E6">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369</w:t>
            </w:r>
          </w:p>
        </w:tc>
        <w:tc>
          <w:tcPr>
            <w:tcW w:w="1211" w:type="pct"/>
            <w:tcBorders>
              <w:tl2br w:val="nil"/>
              <w:tr2bl w:val="nil"/>
            </w:tcBorders>
          </w:tcPr>
          <w:p w14:paraId="46259E9B">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44</w:t>
            </w:r>
          </w:p>
        </w:tc>
        <w:tc>
          <w:tcPr>
            <w:tcW w:w="838" w:type="pct"/>
            <w:tcBorders>
              <w:tl2br w:val="nil"/>
              <w:tr2bl w:val="nil"/>
            </w:tcBorders>
            <w:vAlign w:val="center"/>
          </w:tcPr>
          <w:p w14:paraId="2C428829">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800</w:t>
            </w:r>
          </w:p>
        </w:tc>
      </w:tr>
      <w:tr w14:paraId="7E410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17FDDC44">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镉</w:t>
            </w:r>
          </w:p>
        </w:tc>
        <w:tc>
          <w:tcPr>
            <w:tcW w:w="793" w:type="pct"/>
            <w:tcBorders>
              <w:tl2br w:val="nil"/>
              <w:tr2bl w:val="nil"/>
            </w:tcBorders>
            <w:vAlign w:val="center"/>
          </w:tcPr>
          <w:p w14:paraId="00F7E444">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0.10</w:t>
            </w:r>
          </w:p>
        </w:tc>
        <w:tc>
          <w:tcPr>
            <w:tcW w:w="1211" w:type="pct"/>
            <w:tcBorders>
              <w:tl2br w:val="nil"/>
              <w:tr2bl w:val="nil"/>
            </w:tcBorders>
          </w:tcPr>
          <w:p w14:paraId="40FCA3B9">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0.73</w:t>
            </w:r>
          </w:p>
        </w:tc>
        <w:tc>
          <w:tcPr>
            <w:tcW w:w="1211" w:type="pct"/>
            <w:tcBorders>
              <w:tl2br w:val="nil"/>
              <w:tr2bl w:val="nil"/>
            </w:tcBorders>
          </w:tcPr>
          <w:p w14:paraId="3721D1B1">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0.11</w:t>
            </w:r>
          </w:p>
        </w:tc>
        <w:tc>
          <w:tcPr>
            <w:tcW w:w="838" w:type="pct"/>
            <w:tcBorders>
              <w:tl2br w:val="nil"/>
              <w:tr2bl w:val="nil"/>
            </w:tcBorders>
            <w:vAlign w:val="center"/>
          </w:tcPr>
          <w:p w14:paraId="27763E4E">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38</w:t>
            </w:r>
          </w:p>
        </w:tc>
      </w:tr>
      <w:tr w14:paraId="66F3B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2010CBCA">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六价铬</w:t>
            </w:r>
          </w:p>
        </w:tc>
        <w:tc>
          <w:tcPr>
            <w:tcW w:w="793" w:type="pct"/>
            <w:tcBorders>
              <w:tl2br w:val="nil"/>
              <w:tr2bl w:val="nil"/>
            </w:tcBorders>
            <w:vAlign w:val="center"/>
          </w:tcPr>
          <w:p w14:paraId="3F66D53B">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&lt;0.5</w:t>
            </w:r>
          </w:p>
        </w:tc>
        <w:tc>
          <w:tcPr>
            <w:tcW w:w="1211" w:type="pct"/>
            <w:tcBorders>
              <w:tl2br w:val="nil"/>
              <w:tr2bl w:val="nil"/>
            </w:tcBorders>
          </w:tcPr>
          <w:p w14:paraId="670F11E5">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&lt;0.5</w:t>
            </w:r>
          </w:p>
        </w:tc>
        <w:tc>
          <w:tcPr>
            <w:tcW w:w="1211" w:type="pct"/>
            <w:tcBorders>
              <w:tl2br w:val="nil"/>
              <w:tr2bl w:val="nil"/>
            </w:tcBorders>
          </w:tcPr>
          <w:p w14:paraId="482E79BF">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&lt;0.5</w:t>
            </w:r>
          </w:p>
        </w:tc>
        <w:tc>
          <w:tcPr>
            <w:tcW w:w="838" w:type="pct"/>
            <w:tcBorders>
              <w:tl2br w:val="nil"/>
              <w:tr2bl w:val="nil"/>
            </w:tcBorders>
            <w:vAlign w:val="center"/>
          </w:tcPr>
          <w:p w14:paraId="3A018262">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65</w:t>
            </w:r>
          </w:p>
        </w:tc>
      </w:tr>
      <w:tr w14:paraId="538AD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2E982F01">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铜*</w:t>
            </w:r>
          </w:p>
        </w:tc>
        <w:tc>
          <w:tcPr>
            <w:tcW w:w="793" w:type="pct"/>
            <w:tcBorders>
              <w:tl2br w:val="nil"/>
              <w:tr2bl w:val="nil"/>
            </w:tcBorders>
            <w:vAlign w:val="center"/>
          </w:tcPr>
          <w:p w14:paraId="1F4FF948">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22</w:t>
            </w:r>
          </w:p>
        </w:tc>
        <w:tc>
          <w:tcPr>
            <w:tcW w:w="1211" w:type="pct"/>
            <w:tcBorders>
              <w:tl2br w:val="nil"/>
              <w:tr2bl w:val="nil"/>
            </w:tcBorders>
          </w:tcPr>
          <w:p w14:paraId="5A1AF04F">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w:t>
            </w:r>
          </w:p>
        </w:tc>
        <w:tc>
          <w:tcPr>
            <w:tcW w:w="1211" w:type="pct"/>
            <w:tcBorders>
              <w:tl2br w:val="nil"/>
              <w:tr2bl w:val="nil"/>
            </w:tcBorders>
          </w:tcPr>
          <w:p w14:paraId="5681E688">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w:t>
            </w:r>
          </w:p>
        </w:tc>
        <w:tc>
          <w:tcPr>
            <w:tcW w:w="838" w:type="pct"/>
            <w:tcBorders>
              <w:tl2br w:val="nil"/>
              <w:tr2bl w:val="nil"/>
            </w:tcBorders>
            <w:vAlign w:val="center"/>
          </w:tcPr>
          <w:p w14:paraId="5075D575">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18000</w:t>
            </w:r>
          </w:p>
        </w:tc>
      </w:tr>
      <w:tr w14:paraId="4E2F3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FB97E85">
            <w:pPr>
              <w:shd w:val="clear"/>
              <w:kinsoku/>
              <w:adjustRightInd/>
              <w:snapToGrid/>
              <w:spacing w:line="360" w:lineRule="auto"/>
              <w:jc w:val="center"/>
              <w:textAlignment w:val="auto"/>
              <w:rPr>
                <w:rFonts w:ascii="Times New Roman" w:hAnsi="Times New Roman" w:eastAsia="宋体"/>
                <w:snapToGrid/>
                <w:color w:val="auto"/>
              </w:rPr>
            </w:pPr>
            <w:r>
              <w:rPr>
                <w:rFonts w:hint="eastAsia" w:ascii="Times New Roman" w:hAnsi="Times New Roman" w:eastAsia="宋体"/>
                <w:snapToGrid/>
                <w:color w:val="auto"/>
              </w:rPr>
              <w:t>镍*</w:t>
            </w:r>
          </w:p>
        </w:tc>
        <w:tc>
          <w:tcPr>
            <w:tcW w:w="793" w:type="pct"/>
            <w:tcBorders>
              <w:tl2br w:val="nil"/>
              <w:tr2bl w:val="nil"/>
            </w:tcBorders>
            <w:vAlign w:val="center"/>
          </w:tcPr>
          <w:p w14:paraId="5A3772E1">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44</w:t>
            </w:r>
          </w:p>
        </w:tc>
        <w:tc>
          <w:tcPr>
            <w:tcW w:w="1211" w:type="pct"/>
            <w:tcBorders>
              <w:tl2br w:val="nil"/>
              <w:tr2bl w:val="nil"/>
            </w:tcBorders>
          </w:tcPr>
          <w:p w14:paraId="1C3F1548">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127</w:t>
            </w:r>
          </w:p>
        </w:tc>
        <w:tc>
          <w:tcPr>
            <w:tcW w:w="1211" w:type="pct"/>
            <w:tcBorders>
              <w:tl2br w:val="nil"/>
              <w:tr2bl w:val="nil"/>
            </w:tcBorders>
          </w:tcPr>
          <w:p w14:paraId="3B202214">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46</w:t>
            </w:r>
          </w:p>
        </w:tc>
        <w:tc>
          <w:tcPr>
            <w:tcW w:w="838" w:type="pct"/>
            <w:tcBorders>
              <w:tl2br w:val="nil"/>
              <w:tr2bl w:val="nil"/>
            </w:tcBorders>
            <w:vAlign w:val="center"/>
          </w:tcPr>
          <w:p w14:paraId="5AC83893">
            <w:pPr>
              <w:shd w:val="clear"/>
              <w:kinsoku/>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snapToGrid/>
                <w:color w:val="auto"/>
              </w:rPr>
              <w:t>900</w:t>
            </w:r>
          </w:p>
        </w:tc>
      </w:tr>
      <w:tr w14:paraId="5C1A0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04F8CE18">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氟化物</w:t>
            </w:r>
          </w:p>
        </w:tc>
        <w:tc>
          <w:tcPr>
            <w:tcW w:w="793" w:type="pct"/>
            <w:tcBorders>
              <w:tl2br w:val="nil"/>
              <w:tr2bl w:val="nil"/>
            </w:tcBorders>
            <w:vAlign w:val="center"/>
          </w:tcPr>
          <w:p w14:paraId="580731EE">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632</w:t>
            </w:r>
          </w:p>
        </w:tc>
        <w:tc>
          <w:tcPr>
            <w:tcW w:w="1211" w:type="pct"/>
            <w:tcBorders>
              <w:tl2br w:val="nil"/>
              <w:tr2bl w:val="nil"/>
            </w:tcBorders>
          </w:tcPr>
          <w:p w14:paraId="27134EAE">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659</w:t>
            </w:r>
          </w:p>
        </w:tc>
        <w:tc>
          <w:tcPr>
            <w:tcW w:w="1211" w:type="pct"/>
            <w:tcBorders>
              <w:tl2br w:val="nil"/>
              <w:tr2bl w:val="nil"/>
            </w:tcBorders>
          </w:tcPr>
          <w:p w14:paraId="2ABE2D2C">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678</w:t>
            </w:r>
          </w:p>
        </w:tc>
        <w:tc>
          <w:tcPr>
            <w:tcW w:w="838" w:type="pct"/>
            <w:tcBorders>
              <w:tl2br w:val="nil"/>
              <w:tr2bl w:val="nil"/>
            </w:tcBorders>
            <w:vAlign w:val="center"/>
          </w:tcPr>
          <w:p w14:paraId="5CD7C128">
            <w:pPr>
              <w:shd w:val="clear"/>
              <w:kinsoku/>
              <w:adjustRightInd/>
              <w:snapToGrid/>
              <w:spacing w:line="360" w:lineRule="auto"/>
              <w:jc w:val="center"/>
              <w:textAlignment w:val="auto"/>
              <w:rPr>
                <w:rFonts w:ascii="Times New Roman" w:hAnsi="Times New Roman" w:eastAsia="宋体"/>
                <w:snapToGrid/>
                <w:color w:val="auto"/>
              </w:rPr>
            </w:pPr>
          </w:p>
        </w:tc>
      </w:tr>
      <w:tr w14:paraId="7426D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3" w:type="pct"/>
            <w:tcBorders>
              <w:tl2br w:val="nil"/>
              <w:tr2bl w:val="nil"/>
            </w:tcBorders>
            <w:vAlign w:val="center"/>
          </w:tcPr>
          <w:p w14:paraId="6CF237A5">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锡</w:t>
            </w:r>
          </w:p>
        </w:tc>
        <w:tc>
          <w:tcPr>
            <w:tcW w:w="793" w:type="pct"/>
            <w:tcBorders>
              <w:tl2br w:val="nil"/>
              <w:tr2bl w:val="nil"/>
            </w:tcBorders>
            <w:vAlign w:val="center"/>
          </w:tcPr>
          <w:p w14:paraId="234D9F91">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&lt;3.50</w:t>
            </w:r>
          </w:p>
        </w:tc>
        <w:tc>
          <w:tcPr>
            <w:tcW w:w="1211" w:type="pct"/>
            <w:tcBorders>
              <w:tl2br w:val="nil"/>
              <w:tr2bl w:val="nil"/>
            </w:tcBorders>
          </w:tcPr>
          <w:p w14:paraId="73EF436E">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&lt;3.50</w:t>
            </w:r>
          </w:p>
        </w:tc>
        <w:tc>
          <w:tcPr>
            <w:tcW w:w="1211" w:type="pct"/>
            <w:tcBorders>
              <w:tl2br w:val="nil"/>
              <w:tr2bl w:val="nil"/>
            </w:tcBorders>
          </w:tcPr>
          <w:p w14:paraId="3CFAD749">
            <w:pPr>
              <w:shd w:val="clear"/>
              <w:kinsoku/>
              <w:adjustRightInd/>
              <w:snapToGrid/>
              <w:spacing w:line="360" w:lineRule="auto"/>
              <w:jc w:val="center"/>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&lt;3.50</w:t>
            </w:r>
          </w:p>
        </w:tc>
        <w:tc>
          <w:tcPr>
            <w:tcW w:w="838" w:type="pct"/>
            <w:tcBorders>
              <w:tl2br w:val="nil"/>
              <w:tr2bl w:val="nil"/>
            </w:tcBorders>
            <w:vAlign w:val="center"/>
          </w:tcPr>
          <w:p w14:paraId="7E21DCF7">
            <w:pPr>
              <w:shd w:val="clear"/>
              <w:kinsoku/>
              <w:adjustRightInd/>
              <w:snapToGrid/>
              <w:spacing w:line="360" w:lineRule="auto"/>
              <w:jc w:val="center"/>
              <w:textAlignment w:val="auto"/>
              <w:rPr>
                <w:rFonts w:ascii="Times New Roman" w:hAnsi="Times New Roman" w:eastAsia="宋体"/>
                <w:snapToGrid/>
                <w:color w:val="auto"/>
              </w:rPr>
            </w:pPr>
          </w:p>
        </w:tc>
      </w:tr>
    </w:tbl>
    <w:p w14:paraId="119C3A8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各监测点所取土壤样本中各</w:t>
      </w:r>
      <w:r>
        <w:rPr>
          <w:rFonts w:hint="eastAsia" w:ascii="Times New Roman" w:hAnsi="Times New Roman"/>
          <w:snapToGrid/>
          <w:color w:val="auto"/>
          <w:sz w:val="24"/>
          <w:szCs w:val="24"/>
          <w:lang w:val="en-US" w:eastAsia="zh-CN"/>
        </w:rPr>
        <w:t>监测因子</w:t>
      </w:r>
      <w:r>
        <w:rPr>
          <w:rFonts w:ascii="Times New Roman" w:hAnsi="Times New Roman"/>
          <w:snapToGrid/>
          <w:color w:val="auto"/>
          <w:sz w:val="24"/>
          <w:szCs w:val="24"/>
          <w:lang w:eastAsia="zh-CN"/>
        </w:rPr>
        <w:t>均低于《土壤环境质量</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建设用地土壤污染风险管控标准（试行）》（GB36600－2018）中的建设用地土壤污染风险第二类用地筛选值，项目所在区域土壤环境质量状况良好。</w:t>
      </w:r>
    </w:p>
    <w:p w14:paraId="317D3F81">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79" w:name="_Toc559"/>
      <w:bookmarkStart w:id="580" w:name="_Toc20876"/>
      <w:bookmarkStart w:id="581" w:name="_Toc18270"/>
      <w:r>
        <w:rPr>
          <w:rFonts w:hint="eastAsia" w:ascii="Times New Roman" w:hAnsi="Times New Roman" w:eastAsia="宋体" w:cs="Times New Roman"/>
          <w:snapToGrid/>
          <w:color w:val="auto"/>
          <w:lang w:eastAsia="zh-CN"/>
        </w:rPr>
        <w:t>4.2.6生态现状调查与评价</w:t>
      </w:r>
      <w:bookmarkEnd w:id="579"/>
      <w:bookmarkEnd w:id="580"/>
      <w:bookmarkEnd w:id="581"/>
    </w:p>
    <w:p w14:paraId="2CFA0D22">
      <w:pPr>
        <w:pStyle w:val="45"/>
        <w:shd w:val="clear"/>
        <w:ind w:firstLine="480"/>
        <w:rPr>
          <w:rFonts w:hint="default" w:eastAsia="宋体"/>
          <w:color w:val="auto"/>
          <w:lang w:val="en-US" w:eastAsia="zh-CN"/>
        </w:rPr>
      </w:pPr>
      <w:r>
        <w:rPr>
          <w:color w:val="auto"/>
        </w:rPr>
        <w:t>根据《新疆生态功能区划》，本项目所在区域属于</w:t>
      </w:r>
      <w:r>
        <w:rPr>
          <w:rFonts w:hint="eastAsia"/>
          <w:color w:val="auto"/>
        </w:rPr>
        <w:t>“</w:t>
      </w:r>
      <w:r>
        <w:rPr>
          <w:rFonts w:hint="eastAsia"/>
          <w:color w:val="auto"/>
          <w:lang w:val="en-US" w:eastAsia="zh-CN"/>
        </w:rPr>
        <w:t>II</w:t>
      </w:r>
      <w:r>
        <w:rPr>
          <w:color w:val="auto"/>
        </w:rPr>
        <w:t>准噶尔盆地温性荒漠与绿洲农业生态区</w:t>
      </w:r>
      <w:r>
        <w:rPr>
          <w:rFonts w:hint="eastAsia"/>
          <w:color w:val="auto"/>
          <w:lang w:eastAsia="zh-CN"/>
        </w:rPr>
        <w:t>：</w:t>
      </w:r>
      <w:r>
        <w:rPr>
          <w:rFonts w:hint="eastAsia"/>
          <w:color w:val="auto"/>
          <w:lang w:val="en-US" w:eastAsia="zh-CN"/>
        </w:rPr>
        <w:t>II</w:t>
      </w:r>
      <w:r>
        <w:rPr>
          <w:rFonts w:hint="eastAsia"/>
          <w:color w:val="auto"/>
          <w:vertAlign w:val="subscript"/>
          <w:lang w:val="en-US" w:eastAsia="zh-CN"/>
        </w:rPr>
        <w:t>3</w:t>
      </w:r>
      <w:r>
        <w:rPr>
          <w:color w:val="auto"/>
        </w:rPr>
        <w:t>准噶尔盆地南部荒漠绿洲农业生态亚区23古尔班通古特沙漠化敏感及植被保护生态功能区</w:t>
      </w:r>
      <w:r>
        <w:rPr>
          <w:rFonts w:hint="eastAsia"/>
          <w:color w:val="auto"/>
        </w:rPr>
        <w:t>”。</w:t>
      </w:r>
      <w:r>
        <w:rPr>
          <w:color w:val="auto"/>
        </w:rPr>
        <w:t>该生态功能区的主要生态服务功能、生态敏感因子、主要生态环境问题和主要保护目标见表4.2-1</w:t>
      </w:r>
      <w:r>
        <w:rPr>
          <w:rFonts w:hint="eastAsia"/>
          <w:color w:val="auto"/>
          <w:lang w:val="en-US" w:eastAsia="zh-CN"/>
        </w:rPr>
        <w:t>2</w:t>
      </w:r>
      <w:r>
        <w:rPr>
          <w:rFonts w:hint="eastAsia"/>
          <w:color w:val="auto"/>
        </w:rPr>
        <w:t>。</w:t>
      </w:r>
      <w:r>
        <w:rPr>
          <w:rFonts w:hint="eastAsia"/>
          <w:color w:val="auto"/>
          <w:lang w:val="en-US" w:eastAsia="zh-CN"/>
        </w:rPr>
        <w:t>生态功能区划图见附图4.2-2。</w:t>
      </w:r>
    </w:p>
    <w:p w14:paraId="0FD69FF4">
      <w:pPr>
        <w:pStyle w:val="46"/>
        <w:shd w:val="clear"/>
        <w:spacing w:before="120" w:beforeLines="50"/>
        <w:ind w:firstLine="480"/>
        <w:outlineLvl w:val="9"/>
        <w:rPr>
          <w:rFonts w:ascii="Times New Roman" w:hAnsi="Times New Roman" w:eastAsia="宋体"/>
          <w:color w:val="auto"/>
          <w:sz w:val="24"/>
        </w:rPr>
      </w:pPr>
      <w:r>
        <w:rPr>
          <w:rFonts w:ascii="Times New Roman" w:hAnsi="Times New Roman" w:eastAsia="宋体"/>
          <w:color w:val="auto"/>
          <w:sz w:val="24"/>
        </w:rPr>
        <w:t>表4.2-1</w:t>
      </w:r>
      <w:r>
        <w:rPr>
          <w:rFonts w:hint="eastAsia" w:ascii="Times New Roman" w:hAnsi="Times New Roman" w:eastAsia="宋体"/>
          <w:color w:val="auto"/>
          <w:sz w:val="24"/>
          <w:lang w:val="en-US" w:eastAsia="zh-CN"/>
        </w:rPr>
        <w:t>2</w:t>
      </w:r>
      <w:r>
        <w:rPr>
          <w:rFonts w:ascii="Times New Roman" w:hAnsi="Times New Roman" w:eastAsia="宋体"/>
          <w:color w:val="auto"/>
          <w:sz w:val="24"/>
        </w:rPr>
        <w:t>评价区生态功能区划</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7"/>
        <w:gridCol w:w="1357"/>
        <w:gridCol w:w="6082"/>
      </w:tblGrid>
      <w:tr w14:paraId="21D89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75" w:type="pct"/>
            <w:vMerge w:val="restart"/>
            <w:tcBorders>
              <w:tl2br w:val="nil"/>
              <w:tr2bl w:val="nil"/>
            </w:tcBorders>
            <w:vAlign w:val="center"/>
          </w:tcPr>
          <w:p w14:paraId="37C31BDF">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生态功能分区单元</w:t>
            </w:r>
          </w:p>
        </w:tc>
        <w:tc>
          <w:tcPr>
            <w:tcW w:w="806" w:type="pct"/>
            <w:tcBorders>
              <w:tl2br w:val="nil"/>
              <w:tr2bl w:val="nil"/>
            </w:tcBorders>
            <w:vAlign w:val="center"/>
          </w:tcPr>
          <w:p w14:paraId="531117BF">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生态区</w:t>
            </w:r>
          </w:p>
        </w:tc>
        <w:tc>
          <w:tcPr>
            <w:tcW w:w="3617" w:type="pct"/>
            <w:tcBorders>
              <w:tl2br w:val="nil"/>
              <w:tr2bl w:val="nil"/>
            </w:tcBorders>
            <w:vAlign w:val="center"/>
          </w:tcPr>
          <w:p w14:paraId="51C8DD24">
            <w:pPr>
              <w:shd w:val="clear"/>
              <w:spacing w:line="360" w:lineRule="exact"/>
              <w:jc w:val="center"/>
              <w:rPr>
                <w:rFonts w:ascii="Times New Roman" w:hAnsi="Times New Roman" w:eastAsia="宋体" w:cs="宋体"/>
                <w:color w:val="auto"/>
                <w:lang w:eastAsia="zh-CN"/>
              </w:rPr>
            </w:pPr>
            <w:r>
              <w:rPr>
                <w:rFonts w:ascii="Times New Roman" w:hAnsi="Times New Roman" w:eastAsia="宋体" w:cs="宋体"/>
                <w:color w:val="auto"/>
                <w:lang w:eastAsia="zh-CN"/>
              </w:rPr>
              <w:t>Ⅱ准噶尔盆地温性荒漠与绿洲农业生态区</w:t>
            </w:r>
          </w:p>
        </w:tc>
      </w:tr>
      <w:tr w14:paraId="31182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575" w:type="pct"/>
            <w:vMerge w:val="continue"/>
            <w:tcBorders>
              <w:tl2br w:val="nil"/>
              <w:tr2bl w:val="nil"/>
            </w:tcBorders>
            <w:vAlign w:val="center"/>
          </w:tcPr>
          <w:p w14:paraId="0D333968">
            <w:pPr>
              <w:shd w:val="clear"/>
              <w:spacing w:line="360" w:lineRule="exact"/>
              <w:jc w:val="center"/>
              <w:rPr>
                <w:rFonts w:ascii="Times New Roman" w:hAnsi="Times New Roman" w:eastAsia="宋体"/>
                <w:color w:val="auto"/>
                <w:lang w:eastAsia="zh-CN"/>
              </w:rPr>
            </w:pPr>
          </w:p>
        </w:tc>
        <w:tc>
          <w:tcPr>
            <w:tcW w:w="806" w:type="pct"/>
            <w:tcBorders>
              <w:tl2br w:val="nil"/>
              <w:tr2bl w:val="nil"/>
            </w:tcBorders>
            <w:vAlign w:val="center"/>
          </w:tcPr>
          <w:p w14:paraId="012DF8DE">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生态亚区</w:t>
            </w:r>
          </w:p>
        </w:tc>
        <w:tc>
          <w:tcPr>
            <w:tcW w:w="3617" w:type="pct"/>
            <w:tcBorders>
              <w:tl2br w:val="nil"/>
              <w:tr2bl w:val="nil"/>
            </w:tcBorders>
            <w:vAlign w:val="center"/>
          </w:tcPr>
          <w:p w14:paraId="5BB104F5">
            <w:pPr>
              <w:shd w:val="clear"/>
              <w:spacing w:line="360" w:lineRule="exact"/>
              <w:jc w:val="center"/>
              <w:rPr>
                <w:rFonts w:ascii="Times New Roman" w:hAnsi="Times New Roman" w:eastAsia="宋体" w:cs="宋体"/>
                <w:color w:val="auto"/>
                <w:lang w:eastAsia="zh-CN"/>
              </w:rPr>
            </w:pPr>
            <w:r>
              <w:rPr>
                <w:rFonts w:ascii="Times New Roman" w:hAnsi="Times New Roman" w:eastAsia="宋体" w:cs="宋体"/>
                <w:color w:val="auto"/>
                <w:lang w:eastAsia="zh-CN"/>
              </w:rPr>
              <w:t>Ⅱ</w:t>
            </w:r>
            <w:r>
              <w:rPr>
                <w:rFonts w:hint="eastAsia" w:ascii="Times New Roman" w:hAnsi="Times New Roman" w:eastAsia="宋体" w:cs="宋体"/>
                <w:color w:val="auto"/>
                <w:vertAlign w:val="subscript"/>
                <w:lang w:val="en-US" w:eastAsia="zh-CN"/>
              </w:rPr>
              <w:t>5</w:t>
            </w:r>
            <w:r>
              <w:rPr>
                <w:rFonts w:ascii="Times New Roman" w:hAnsi="Times New Roman" w:eastAsia="宋体" w:cs="宋体"/>
                <w:color w:val="auto"/>
                <w:lang w:eastAsia="zh-CN"/>
              </w:rPr>
              <w:t>准噶尔盆地南部荒漠绿洲农业生态亚区</w:t>
            </w:r>
          </w:p>
        </w:tc>
      </w:tr>
      <w:tr w14:paraId="32F66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575" w:type="pct"/>
            <w:vMerge w:val="continue"/>
            <w:tcBorders>
              <w:tl2br w:val="nil"/>
              <w:tr2bl w:val="nil"/>
            </w:tcBorders>
            <w:vAlign w:val="center"/>
          </w:tcPr>
          <w:p w14:paraId="05A63FC2">
            <w:pPr>
              <w:shd w:val="clear"/>
              <w:spacing w:line="360" w:lineRule="exact"/>
              <w:jc w:val="center"/>
              <w:rPr>
                <w:rFonts w:ascii="Times New Roman" w:hAnsi="Times New Roman" w:eastAsia="宋体"/>
                <w:color w:val="auto"/>
                <w:lang w:eastAsia="zh-CN"/>
              </w:rPr>
            </w:pPr>
          </w:p>
        </w:tc>
        <w:tc>
          <w:tcPr>
            <w:tcW w:w="806" w:type="pct"/>
            <w:tcBorders>
              <w:tl2br w:val="nil"/>
              <w:tr2bl w:val="nil"/>
            </w:tcBorders>
            <w:vAlign w:val="center"/>
          </w:tcPr>
          <w:p w14:paraId="55E8AA3A">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生态功能区</w:t>
            </w:r>
          </w:p>
        </w:tc>
        <w:tc>
          <w:tcPr>
            <w:tcW w:w="3617" w:type="pct"/>
            <w:tcBorders>
              <w:tl2br w:val="nil"/>
              <w:tr2bl w:val="nil"/>
            </w:tcBorders>
            <w:vAlign w:val="center"/>
          </w:tcPr>
          <w:p w14:paraId="59D7481D">
            <w:pPr>
              <w:shd w:val="clear"/>
              <w:spacing w:line="360" w:lineRule="exact"/>
              <w:jc w:val="center"/>
              <w:rPr>
                <w:rFonts w:ascii="Times New Roman" w:hAnsi="Times New Roman" w:eastAsia="宋体" w:cs="宋体"/>
                <w:color w:val="auto"/>
                <w:lang w:eastAsia="zh-CN"/>
              </w:rPr>
            </w:pPr>
            <w:r>
              <w:rPr>
                <w:rFonts w:ascii="Times New Roman" w:hAnsi="Times New Roman" w:eastAsia="宋体" w:cs="宋体"/>
                <w:color w:val="auto"/>
                <w:lang w:eastAsia="zh-CN"/>
              </w:rPr>
              <w:t>古尔班通古特沙漠化敏感及植被保护生态功能区</w:t>
            </w:r>
          </w:p>
        </w:tc>
      </w:tr>
      <w:tr w14:paraId="5A7600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382" w:type="pct"/>
            <w:gridSpan w:val="2"/>
            <w:tcBorders>
              <w:tl2br w:val="nil"/>
              <w:tr2bl w:val="nil"/>
            </w:tcBorders>
            <w:vAlign w:val="center"/>
          </w:tcPr>
          <w:p w14:paraId="30E47BD0">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主要生态服务功能</w:t>
            </w:r>
          </w:p>
        </w:tc>
        <w:tc>
          <w:tcPr>
            <w:tcW w:w="3617" w:type="pct"/>
            <w:tcBorders>
              <w:tl2br w:val="nil"/>
              <w:tr2bl w:val="nil"/>
            </w:tcBorders>
            <w:vAlign w:val="center"/>
          </w:tcPr>
          <w:p w14:paraId="486EB72C">
            <w:pPr>
              <w:shd w:val="clear"/>
              <w:spacing w:line="360" w:lineRule="exact"/>
              <w:jc w:val="center"/>
              <w:rPr>
                <w:rFonts w:ascii="Times New Roman" w:hAnsi="Times New Roman" w:eastAsia="宋体" w:cs="宋体"/>
                <w:color w:val="auto"/>
                <w:lang w:eastAsia="zh-CN"/>
              </w:rPr>
            </w:pPr>
            <w:r>
              <w:rPr>
                <w:rFonts w:hint="eastAsia" w:ascii="Times New Roman" w:hAnsi="Times New Roman" w:eastAsia="宋体" w:cs="宋体"/>
                <w:color w:val="auto"/>
                <w:lang w:eastAsia="zh-CN"/>
              </w:rPr>
              <w:t>农</w:t>
            </w:r>
            <w:r>
              <w:rPr>
                <w:rFonts w:ascii="Times New Roman" w:hAnsi="Times New Roman" w:eastAsia="宋体" w:cs="宋体"/>
                <w:color w:val="auto"/>
                <w:lang w:eastAsia="zh-CN"/>
              </w:rPr>
              <w:t>畜产品生产、人居环境、荒漠化控制</w:t>
            </w:r>
          </w:p>
        </w:tc>
      </w:tr>
      <w:tr w14:paraId="2AEA28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382" w:type="pct"/>
            <w:gridSpan w:val="2"/>
            <w:tcBorders>
              <w:tl2br w:val="nil"/>
              <w:tr2bl w:val="nil"/>
            </w:tcBorders>
            <w:vAlign w:val="center"/>
          </w:tcPr>
          <w:p w14:paraId="7BF68AB2">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主要生态环境问题</w:t>
            </w:r>
          </w:p>
        </w:tc>
        <w:tc>
          <w:tcPr>
            <w:tcW w:w="3617" w:type="pct"/>
            <w:tcBorders>
              <w:tl2br w:val="nil"/>
              <w:tr2bl w:val="nil"/>
            </w:tcBorders>
            <w:vAlign w:val="center"/>
          </w:tcPr>
          <w:p w14:paraId="3C33D11D">
            <w:pPr>
              <w:shd w:val="clear"/>
              <w:spacing w:line="360" w:lineRule="exact"/>
              <w:ind w:right="166"/>
              <w:jc w:val="center"/>
              <w:rPr>
                <w:rFonts w:ascii="Times New Roman" w:hAnsi="Times New Roman" w:eastAsia="宋体" w:cs="宋体"/>
                <w:color w:val="auto"/>
                <w:lang w:eastAsia="zh-CN"/>
              </w:rPr>
            </w:pPr>
            <w:r>
              <w:rPr>
                <w:rFonts w:ascii="Times New Roman" w:hAnsi="Times New Roman" w:eastAsia="宋体" w:cs="宋体"/>
                <w:color w:val="auto"/>
                <w:lang w:eastAsia="zh-CN"/>
              </w:rPr>
              <w:t>地下水超采、荒漠植被退化、土地荒漠化与盐渍化、大气和水质及土壤污染、良田减少、绿洲外围受到沙漠化威胁</w:t>
            </w:r>
          </w:p>
        </w:tc>
      </w:tr>
      <w:tr w14:paraId="03C111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382" w:type="pct"/>
            <w:gridSpan w:val="2"/>
            <w:tcBorders>
              <w:tl2br w:val="nil"/>
              <w:tr2bl w:val="nil"/>
            </w:tcBorders>
            <w:vAlign w:val="center"/>
          </w:tcPr>
          <w:p w14:paraId="742127C4">
            <w:pPr>
              <w:shd w:val="clear"/>
              <w:spacing w:line="360" w:lineRule="exact"/>
              <w:ind w:right="201"/>
              <w:jc w:val="center"/>
              <w:rPr>
                <w:rFonts w:ascii="Times New Roman" w:hAnsi="Times New Roman" w:eastAsia="宋体" w:cs="宋体"/>
                <w:color w:val="auto"/>
                <w:lang w:eastAsia="zh-CN"/>
              </w:rPr>
            </w:pPr>
            <w:r>
              <w:rPr>
                <w:rFonts w:ascii="Times New Roman" w:hAnsi="Times New Roman" w:eastAsia="宋体" w:cs="宋体"/>
                <w:color w:val="auto"/>
                <w:lang w:eastAsia="zh-CN"/>
              </w:rPr>
              <w:t>生态敏感因子敏感程度</w:t>
            </w:r>
          </w:p>
        </w:tc>
        <w:tc>
          <w:tcPr>
            <w:tcW w:w="3617" w:type="pct"/>
            <w:tcBorders>
              <w:tl2br w:val="nil"/>
              <w:tr2bl w:val="nil"/>
            </w:tcBorders>
            <w:vAlign w:val="center"/>
          </w:tcPr>
          <w:p w14:paraId="36FF85E9">
            <w:pPr>
              <w:shd w:val="clear"/>
              <w:spacing w:line="360" w:lineRule="exact"/>
              <w:jc w:val="center"/>
              <w:rPr>
                <w:rFonts w:ascii="Times New Roman" w:hAnsi="Times New Roman" w:eastAsia="宋体" w:cs="宋体"/>
                <w:color w:val="auto"/>
                <w:lang w:eastAsia="zh-CN"/>
              </w:rPr>
            </w:pPr>
            <w:r>
              <w:rPr>
                <w:rFonts w:ascii="Times New Roman" w:hAnsi="Times New Roman" w:eastAsia="宋体" w:cs="宋体"/>
                <w:color w:val="auto"/>
                <w:lang w:eastAsia="zh-CN"/>
              </w:rPr>
              <w:t>生物多样性和生境中度敏感，土地沙漠化、土壤侵蚀不敏感，土壤盐渍化不敏感</w:t>
            </w:r>
            <w:r>
              <w:rPr>
                <w:rFonts w:ascii="Times New Roman" w:hAnsi="Times New Roman" w:eastAsia="宋体"/>
                <w:color w:val="auto"/>
                <w:lang w:eastAsia="zh-CN"/>
              </w:rPr>
              <w:t>\</w:t>
            </w:r>
            <w:r>
              <w:rPr>
                <w:rFonts w:ascii="Times New Roman" w:hAnsi="Times New Roman" w:eastAsia="宋体" w:cs="宋体"/>
                <w:color w:val="auto"/>
                <w:lang w:eastAsia="zh-CN"/>
              </w:rPr>
              <w:t>轻度敏感</w:t>
            </w:r>
            <w:r>
              <w:rPr>
                <w:rFonts w:hint="eastAsia" w:ascii="Times New Roman" w:hAnsi="Times New Roman" w:eastAsia="宋体" w:cs="宋体"/>
                <w:color w:val="auto"/>
                <w:lang w:eastAsia="zh-CN"/>
              </w:rPr>
              <w:t>。</w:t>
            </w:r>
          </w:p>
        </w:tc>
      </w:tr>
      <w:tr w14:paraId="0E3DF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382" w:type="pct"/>
            <w:gridSpan w:val="2"/>
            <w:tcBorders>
              <w:tl2br w:val="nil"/>
              <w:tr2bl w:val="nil"/>
            </w:tcBorders>
            <w:vAlign w:val="center"/>
          </w:tcPr>
          <w:p w14:paraId="20C10EF7">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保护目标</w:t>
            </w:r>
          </w:p>
        </w:tc>
        <w:tc>
          <w:tcPr>
            <w:tcW w:w="3617" w:type="pct"/>
            <w:tcBorders>
              <w:tl2br w:val="nil"/>
              <w:tr2bl w:val="nil"/>
            </w:tcBorders>
            <w:vAlign w:val="center"/>
          </w:tcPr>
          <w:p w14:paraId="2967CD5C">
            <w:pPr>
              <w:shd w:val="clear"/>
              <w:spacing w:line="360" w:lineRule="exact"/>
              <w:ind w:right="197"/>
              <w:jc w:val="center"/>
              <w:rPr>
                <w:rFonts w:ascii="Times New Roman" w:hAnsi="Times New Roman" w:eastAsia="宋体" w:cs="宋体"/>
                <w:color w:val="auto"/>
                <w:lang w:eastAsia="zh-CN"/>
              </w:rPr>
            </w:pPr>
            <w:r>
              <w:rPr>
                <w:rFonts w:ascii="Times New Roman" w:hAnsi="Times New Roman" w:eastAsia="宋体" w:cs="宋体"/>
                <w:color w:val="auto"/>
                <w:lang w:eastAsia="zh-CN"/>
              </w:rPr>
              <w:t>保护绿洲农田、保护城市大气和水环境质量、保护荒漠植被、保护农田土壤环境质量</w:t>
            </w:r>
          </w:p>
        </w:tc>
      </w:tr>
      <w:tr w14:paraId="7804D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5" w:hRule="atLeast"/>
          <w:jc w:val="center"/>
        </w:trPr>
        <w:tc>
          <w:tcPr>
            <w:tcW w:w="1382" w:type="pct"/>
            <w:gridSpan w:val="2"/>
            <w:tcBorders>
              <w:tl2br w:val="nil"/>
              <w:tr2bl w:val="nil"/>
            </w:tcBorders>
            <w:vAlign w:val="center"/>
          </w:tcPr>
          <w:p w14:paraId="7AECA044">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保护措施</w:t>
            </w:r>
          </w:p>
        </w:tc>
        <w:tc>
          <w:tcPr>
            <w:tcW w:w="3617" w:type="pct"/>
            <w:tcBorders>
              <w:tl2br w:val="nil"/>
              <w:tr2bl w:val="nil"/>
            </w:tcBorders>
            <w:vAlign w:val="center"/>
          </w:tcPr>
          <w:p w14:paraId="62CD460A">
            <w:pPr>
              <w:shd w:val="clear"/>
              <w:spacing w:line="360" w:lineRule="exact"/>
              <w:jc w:val="center"/>
              <w:rPr>
                <w:rFonts w:ascii="Times New Roman" w:hAnsi="Times New Roman" w:eastAsia="宋体" w:cs="宋体"/>
                <w:color w:val="auto"/>
                <w:lang w:eastAsia="zh-CN"/>
              </w:rPr>
            </w:pPr>
            <w:r>
              <w:rPr>
                <w:rFonts w:ascii="Times New Roman" w:hAnsi="Times New Roman" w:eastAsia="宋体" w:cs="宋体"/>
                <w:color w:val="auto"/>
                <w:lang w:eastAsia="zh-CN"/>
              </w:rPr>
              <w:t>节水灌溉、严格控制地下水开采、污染物达标排放、提高城镇建设规划水平、控制城镇建设用地、荒漠草场禁牧休牧、完善防护林体系、加强农田投入品的使用管理</w:t>
            </w:r>
          </w:p>
        </w:tc>
      </w:tr>
      <w:tr w14:paraId="7C0517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1382" w:type="pct"/>
            <w:gridSpan w:val="2"/>
            <w:tcBorders>
              <w:tl2br w:val="nil"/>
              <w:tr2bl w:val="nil"/>
            </w:tcBorders>
            <w:vAlign w:val="center"/>
          </w:tcPr>
          <w:p w14:paraId="6D00209F">
            <w:pPr>
              <w:shd w:val="clear"/>
              <w:spacing w:line="360" w:lineRule="exact"/>
              <w:jc w:val="center"/>
              <w:rPr>
                <w:rFonts w:ascii="Times New Roman" w:hAnsi="Times New Roman" w:eastAsia="宋体" w:cs="宋体"/>
                <w:color w:val="auto"/>
              </w:rPr>
            </w:pPr>
            <w:r>
              <w:rPr>
                <w:rFonts w:ascii="Times New Roman" w:hAnsi="Times New Roman" w:eastAsia="宋体" w:cs="宋体"/>
                <w:color w:val="auto"/>
              </w:rPr>
              <w:t>发展方向</w:t>
            </w:r>
          </w:p>
        </w:tc>
        <w:tc>
          <w:tcPr>
            <w:tcW w:w="3617" w:type="pct"/>
            <w:tcBorders>
              <w:tl2br w:val="nil"/>
              <w:tr2bl w:val="nil"/>
            </w:tcBorders>
            <w:vAlign w:val="center"/>
          </w:tcPr>
          <w:p w14:paraId="38F076AA">
            <w:pPr>
              <w:shd w:val="clear"/>
              <w:spacing w:line="360" w:lineRule="exact"/>
              <w:ind w:right="166"/>
              <w:jc w:val="center"/>
              <w:rPr>
                <w:rFonts w:ascii="Times New Roman" w:hAnsi="Times New Roman" w:eastAsia="宋体" w:cs="宋体"/>
                <w:color w:val="auto"/>
                <w:lang w:eastAsia="zh-CN"/>
              </w:rPr>
            </w:pPr>
            <w:r>
              <w:rPr>
                <w:rFonts w:ascii="Times New Roman" w:hAnsi="Times New Roman" w:eastAsia="宋体" w:cs="宋体"/>
                <w:color w:val="auto"/>
                <w:lang w:eastAsia="zh-CN"/>
              </w:rPr>
              <w:t>发展优质高效农牧业，美化城市环境，建设健康、稳定的城乡生态系统与人居环境</w:t>
            </w:r>
            <w:r>
              <w:rPr>
                <w:rFonts w:hint="eastAsia" w:ascii="Times New Roman" w:hAnsi="Times New Roman" w:eastAsia="宋体" w:cs="宋体"/>
                <w:color w:val="auto"/>
                <w:lang w:eastAsia="zh-CN"/>
              </w:rPr>
              <w:t>。</w:t>
            </w:r>
          </w:p>
        </w:tc>
      </w:tr>
    </w:tbl>
    <w:p w14:paraId="6A6FB8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（1）植被现状调查与评价</w:t>
      </w:r>
    </w:p>
    <w:p w14:paraId="5B0F28C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本项目区内生态系统主要表现为人工生态系统，通过调查，该地区人类活动较多，基本无原始的自然植被。</w:t>
      </w:r>
    </w:p>
    <w:p w14:paraId="6F9BB59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（2）野生动物现状调查与评价</w:t>
      </w:r>
    </w:p>
    <w:p w14:paraId="4391C87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根据现场调查访问，项目区及其可能影响范围内，受人类的生产活动影响，野生动物稀少，仅有少量的啮齿类、爬行类和禽类动物出现，常见的有野兔、麻雀等。</w:t>
      </w:r>
    </w:p>
    <w:p w14:paraId="4AC3F4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评价区无国家和自治区重点保护野生动植物。</w:t>
      </w:r>
    </w:p>
    <w:p w14:paraId="5A8089A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（3）水土流失现状</w:t>
      </w:r>
    </w:p>
    <w:p w14:paraId="102E081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区域水土流失主要以风力侵蚀为主，主要为动土过程中的侵蚀，动土过程地表植被大面积破坏，表层原始土层松动，尤其是在春夏之交，干旱气候条件下，当地表土壤十分干燥时，大风可造成地面严重吹蚀。在严格控制施工条件及做好防护措施，风力侵蚀对区域水土流失影响较轻。</w:t>
      </w:r>
    </w:p>
    <w:p w14:paraId="403E29B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29" w:type="default"/>
          <w:footerReference r:id="rId30" w:type="default"/>
          <w:pgSz w:w="11906" w:h="16838"/>
          <w:pgMar w:top="1136" w:right="1756" w:bottom="1157" w:left="1771" w:header="868" w:footer="994" w:gutter="0"/>
          <w:pgBorders>
            <w:top w:val="none" w:sz="0" w:space="0"/>
            <w:left w:val="none" w:sz="0" w:space="0"/>
            <w:bottom w:val="none" w:sz="0" w:space="0"/>
            <w:right w:val="none" w:sz="0" w:space="0"/>
          </w:pgBorders>
          <w:cols w:space="720" w:num="1"/>
        </w:sectPr>
      </w:pPr>
    </w:p>
    <w:p w14:paraId="24D2D20F">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582" w:name="bookmark31"/>
      <w:bookmarkEnd w:id="582"/>
      <w:bookmarkStart w:id="583" w:name="_Toc8487"/>
      <w:bookmarkStart w:id="584" w:name="_Toc17800"/>
      <w:bookmarkStart w:id="585" w:name="_Toc26606"/>
      <w:r>
        <w:rPr>
          <w:rFonts w:hint="eastAsia" w:ascii="Times New Roman" w:hAnsi="Times New Roman" w:eastAsia="宋体" w:cs="Times New Roman"/>
          <w:snapToGrid/>
          <w:color w:val="auto"/>
          <w:lang w:eastAsia="zh-CN"/>
        </w:rPr>
        <w:t>5、环境影响预测与评价</w:t>
      </w:r>
      <w:bookmarkEnd w:id="583"/>
      <w:bookmarkEnd w:id="584"/>
      <w:bookmarkEnd w:id="585"/>
    </w:p>
    <w:p w14:paraId="46D151FB">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586" w:name="bookmark32"/>
      <w:bookmarkEnd w:id="586"/>
      <w:bookmarkStart w:id="587" w:name="_Toc28192"/>
      <w:bookmarkStart w:id="588" w:name="_Toc26490"/>
      <w:bookmarkStart w:id="589" w:name="_Toc5196"/>
      <w:r>
        <w:rPr>
          <w:rFonts w:hint="eastAsia" w:ascii="Times New Roman" w:hAnsi="Times New Roman" w:eastAsia="宋体"/>
          <w:snapToGrid/>
          <w:color w:val="auto"/>
          <w:lang w:eastAsia="zh-CN"/>
        </w:rPr>
        <w:t>5.1施工期环境影响分析</w:t>
      </w:r>
      <w:bookmarkEnd w:id="587"/>
      <w:bookmarkEnd w:id="588"/>
      <w:bookmarkEnd w:id="589"/>
    </w:p>
    <w:p w14:paraId="6742DD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施工期主要包括主体工程、设备拆除、设备安装等，其过程主要污染物为施工期厂界范围内的施工扬尘、施工设备燃油废气、施工噪声、施工废水、施工生活废水、施工建筑弃土、建筑废渣及施工占地产生的生态环境。</w:t>
      </w:r>
    </w:p>
    <w:p w14:paraId="0B35973C">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90" w:name="_Toc29488"/>
      <w:bookmarkStart w:id="591" w:name="_Toc14044"/>
      <w:bookmarkStart w:id="592" w:name="_Toc10643"/>
      <w:r>
        <w:rPr>
          <w:rFonts w:hint="eastAsia" w:ascii="Times New Roman" w:hAnsi="Times New Roman" w:eastAsia="宋体" w:cs="Times New Roman"/>
          <w:snapToGrid/>
          <w:color w:val="auto"/>
          <w:lang w:eastAsia="zh-CN"/>
        </w:rPr>
        <w:t>5.1.1环境空气环境影响分析</w:t>
      </w:r>
      <w:bookmarkEnd w:id="590"/>
      <w:bookmarkEnd w:id="591"/>
      <w:bookmarkEnd w:id="592"/>
    </w:p>
    <w:p w14:paraId="21F79D3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区附近环境空气的主要污染物是扬尘，来源于各种无组织排放源，包括场地清理、结构施工和物料装卸、运输、堆存等过程，其结果是造成局部大气污染及降尘量的增加。施工过程中产生的扬尘是对环境空气产生影响的首要因素。由于粉尘污染源多为间歇性分散源，排尘点低，扬尘排放在施工区及其周边距离范围内形成局部污染，对外界环境影响较小。施工区的扬尘未经充分扩散稀释就进入地面呼吸地带，会给现场施工人员的工作和身体健康带来一定不利影响。</w:t>
      </w:r>
    </w:p>
    <w:p w14:paraId="3356CDE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（1）施工扬尘的来源</w:t>
      </w:r>
    </w:p>
    <w:p w14:paraId="2424D9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①土方的挖掘、堆放和清运过程中产生的扬尘；</w:t>
      </w:r>
    </w:p>
    <w:p w14:paraId="34AA76C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②建筑材料等装卸、堆放产生的扬尘；</w:t>
      </w:r>
    </w:p>
    <w:p w14:paraId="0A9C1F3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③运输车辆往来产生的扬尘；</w:t>
      </w:r>
    </w:p>
    <w:p w14:paraId="22674A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④施工垃圾的堆放和清运过程中产生的扬尘。</w:t>
      </w:r>
    </w:p>
    <w:p w14:paraId="6FA83DF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（2）扬尘对空气环境的影响分析</w:t>
      </w:r>
    </w:p>
    <w:p w14:paraId="245EF1C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各种施工机械产生的废气及施工过程中产生的扬尘，因产生量小且时间较短，对大气环境影响较小。</w:t>
      </w:r>
    </w:p>
    <w:p w14:paraId="696DEAE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根据有关单位在市政施工现场实测资料统计，在一般气象条件下，平均风速2.5m/s的情况下，有如下结果：</w:t>
      </w:r>
    </w:p>
    <w:p w14:paraId="38D9A60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①建筑工地内TSP浓度是上风向对照点的2.0～2.5倍；</w:t>
      </w:r>
    </w:p>
    <w:p w14:paraId="10C3ACB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②类比有关资料，建筑施工扬尘的影响范围为其下风向150m内，被影响的区域TSP浓度平均值约为0.4mg/m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，相当于空气质量标准规定值的1.3倍。</w:t>
      </w:r>
    </w:p>
    <w:p w14:paraId="3DC5D59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③有围栏时施工扬尘相对无围栏时有明显改善，当风速2.5m/s，可使影响距离缩短40%。</w:t>
      </w:r>
    </w:p>
    <w:p w14:paraId="699F5439">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93" w:name="bookmark77"/>
      <w:bookmarkEnd w:id="593"/>
      <w:bookmarkStart w:id="594" w:name="_Toc1483"/>
      <w:bookmarkStart w:id="595" w:name="_Toc3341"/>
      <w:bookmarkStart w:id="596" w:name="_Toc31150"/>
      <w:r>
        <w:rPr>
          <w:rFonts w:hint="eastAsia" w:ascii="Times New Roman" w:hAnsi="Times New Roman" w:eastAsia="宋体" w:cs="Times New Roman"/>
          <w:snapToGrid/>
          <w:color w:val="auto"/>
          <w:lang w:eastAsia="zh-CN"/>
        </w:rPr>
        <w:t>5.1.2施工污水环境影响</w:t>
      </w:r>
      <w:bookmarkEnd w:id="594"/>
      <w:bookmarkEnd w:id="595"/>
      <w:bookmarkEnd w:id="596"/>
    </w:p>
    <w:p w14:paraId="206EF72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期对水环境的影响是建设施工人员生产和生活中所产生的废水。如果不规范管理，任其无组织的排放，将对环境产生污染影响，由于项目施工期短，对环境的影响是暂时的，随着施工任务的结束对环境的影响即会消除。</w:t>
      </w:r>
    </w:p>
    <w:p w14:paraId="5C0C9B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施工期间的生产用水主要为施工现场路面洒水、车辆清洗废水等，施工现场路面洒水因自然蒸发、车辆清洗用水经沉淀池沉淀后用于施工给现场路面洒水，基本没有生产施工废污水排放。施工现场不提供食宿，工人从当地招募，施工人员日常生活产生的少量生活污水和如厕废水，可依托</w:t>
      </w:r>
      <w:r>
        <w:rPr>
          <w:rFonts w:hint="eastAsia" w:ascii="Times New Roman" w:hAnsi="Times New Roman"/>
          <w:snapToGrid/>
          <w:color w:val="auto"/>
          <w:sz w:val="24"/>
          <w:szCs w:val="24"/>
          <w:lang w:eastAsia="zh-CN"/>
        </w:rPr>
        <w:t>新建</w:t>
      </w:r>
      <w:r>
        <w:rPr>
          <w:rFonts w:ascii="Times New Roman" w:hAnsi="Times New Roman"/>
          <w:snapToGrid/>
          <w:color w:val="auto"/>
          <w:sz w:val="24"/>
          <w:szCs w:val="24"/>
          <w:lang w:eastAsia="zh-CN"/>
        </w:rPr>
        <w:t>成的生活设施。</w:t>
      </w:r>
    </w:p>
    <w:p w14:paraId="6AAF2779">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597" w:name="_Toc27228"/>
      <w:bookmarkStart w:id="598" w:name="_Toc2951"/>
      <w:bookmarkStart w:id="599" w:name="_Toc20289"/>
      <w:r>
        <w:rPr>
          <w:rFonts w:hint="eastAsia" w:ascii="Times New Roman" w:hAnsi="Times New Roman" w:eastAsia="宋体" w:cs="Times New Roman"/>
          <w:snapToGrid/>
          <w:color w:val="auto"/>
          <w:lang w:eastAsia="zh-CN"/>
        </w:rPr>
        <w:t>5.1.3声环境影响分析</w:t>
      </w:r>
      <w:bookmarkEnd w:id="597"/>
      <w:bookmarkEnd w:id="598"/>
      <w:bookmarkEnd w:id="599"/>
    </w:p>
    <w:p w14:paraId="5C8A3D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期噪声主要来自堆场防渗施工、棚架施工、材料运输等过程。施工机械在运行中产生的噪声对区域声环境产生一定影响。施工设备属于强噪声源，但这种影响是间歇性的、局部的和短期的，随着施工的结束而消失。各种施工活动声功率级见表5.1-1。</w:t>
      </w:r>
    </w:p>
    <w:p w14:paraId="3E7489F3">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表5.1-1施工期主要噪声源类比调查统计表</w:t>
      </w:r>
    </w:p>
    <w:tbl>
      <w:tblPr>
        <w:tblStyle w:val="36"/>
        <w:tblW w:w="82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2152"/>
        <w:gridCol w:w="2124"/>
        <w:gridCol w:w="2052"/>
      </w:tblGrid>
      <w:tr w14:paraId="41C9C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1" w:type="dxa"/>
            <w:tcBorders>
              <w:tl2br w:val="nil"/>
              <w:tr2bl w:val="nil"/>
            </w:tcBorders>
            <w:vAlign w:val="center"/>
          </w:tcPr>
          <w:p w14:paraId="17DD05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施工机械</w:t>
            </w:r>
          </w:p>
        </w:tc>
        <w:tc>
          <w:tcPr>
            <w:tcW w:w="2152" w:type="dxa"/>
            <w:tcBorders>
              <w:tl2br w:val="nil"/>
              <w:tr2bl w:val="nil"/>
            </w:tcBorders>
            <w:vAlign w:val="center"/>
          </w:tcPr>
          <w:p w14:paraId="1523DC0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b/>
                <w:bCs/>
                <w:snapToGrid/>
                <w:color w:val="auto"/>
                <w:lang w:eastAsia="zh-CN"/>
              </w:rPr>
              <w:t>声功率级（</w:t>
            </w:r>
            <w:r>
              <w:rPr>
                <w:rFonts w:eastAsia="宋体"/>
                <w:b/>
                <w:bCs/>
                <w:snapToGrid/>
                <w:color w:val="auto"/>
                <w:lang w:eastAsia="zh-CN"/>
              </w:rPr>
              <w:t>dB</w:t>
            </w:r>
            <w:r>
              <w:rPr>
                <w:rFonts w:eastAsia="宋体" w:cs="宋体"/>
                <w:b/>
                <w:bCs/>
                <w:snapToGrid/>
                <w:color w:val="auto"/>
                <w:lang w:eastAsia="zh-CN"/>
              </w:rPr>
              <w:t>（</w:t>
            </w:r>
            <w:r>
              <w:rPr>
                <w:rFonts w:eastAsia="宋体"/>
                <w:b/>
                <w:bCs/>
                <w:snapToGrid/>
                <w:color w:val="auto"/>
                <w:lang w:eastAsia="zh-CN"/>
              </w:rPr>
              <w:t>A</w:t>
            </w:r>
            <w:r>
              <w:rPr>
                <w:rFonts w:eastAsia="宋体" w:cs="宋体"/>
                <w:b/>
                <w:bCs/>
                <w:snapToGrid/>
                <w:color w:val="auto"/>
                <w:lang w:eastAsia="zh-CN"/>
              </w:rPr>
              <w:t>））</w:t>
            </w:r>
          </w:p>
        </w:tc>
        <w:tc>
          <w:tcPr>
            <w:tcW w:w="2124" w:type="dxa"/>
            <w:tcBorders>
              <w:tl2br w:val="nil"/>
              <w:tr2bl w:val="nil"/>
            </w:tcBorders>
            <w:vAlign w:val="center"/>
          </w:tcPr>
          <w:p w14:paraId="1BBD2C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施工机械</w:t>
            </w:r>
          </w:p>
        </w:tc>
        <w:tc>
          <w:tcPr>
            <w:tcW w:w="2052" w:type="dxa"/>
            <w:tcBorders>
              <w:tl2br w:val="nil"/>
              <w:tr2bl w:val="nil"/>
            </w:tcBorders>
            <w:vAlign w:val="center"/>
          </w:tcPr>
          <w:p w14:paraId="43702F0C">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b/>
                <w:bCs/>
                <w:snapToGrid/>
                <w:color w:val="auto"/>
                <w:lang w:eastAsia="zh-CN"/>
              </w:rPr>
              <w:t>声功率级（</w:t>
            </w:r>
            <w:r>
              <w:rPr>
                <w:rFonts w:eastAsia="宋体"/>
                <w:b/>
                <w:bCs/>
                <w:snapToGrid/>
                <w:color w:val="auto"/>
                <w:lang w:eastAsia="zh-CN"/>
              </w:rPr>
              <w:t>dB</w:t>
            </w:r>
            <w:r>
              <w:rPr>
                <w:rFonts w:eastAsia="宋体" w:cs="宋体"/>
                <w:b/>
                <w:bCs/>
                <w:snapToGrid/>
                <w:color w:val="auto"/>
                <w:lang w:eastAsia="zh-CN"/>
              </w:rPr>
              <w:t>（</w:t>
            </w:r>
            <w:r>
              <w:rPr>
                <w:rFonts w:eastAsia="宋体"/>
                <w:b/>
                <w:bCs/>
                <w:snapToGrid/>
                <w:color w:val="auto"/>
                <w:lang w:eastAsia="zh-CN"/>
              </w:rPr>
              <w:t>A</w:t>
            </w:r>
            <w:r>
              <w:rPr>
                <w:rFonts w:eastAsia="宋体" w:cs="宋体"/>
                <w:b/>
                <w:bCs/>
                <w:snapToGrid/>
                <w:color w:val="auto"/>
                <w:lang w:eastAsia="zh-CN"/>
              </w:rPr>
              <w:t>））</w:t>
            </w:r>
          </w:p>
        </w:tc>
      </w:tr>
      <w:tr w14:paraId="68981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961" w:type="dxa"/>
            <w:tcBorders>
              <w:tl2br w:val="nil"/>
              <w:tr2bl w:val="nil"/>
            </w:tcBorders>
            <w:vAlign w:val="center"/>
          </w:tcPr>
          <w:p w14:paraId="741A5C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装载机</w:t>
            </w:r>
          </w:p>
        </w:tc>
        <w:tc>
          <w:tcPr>
            <w:tcW w:w="2152" w:type="dxa"/>
            <w:tcBorders>
              <w:tl2br w:val="nil"/>
              <w:tr2bl w:val="nil"/>
            </w:tcBorders>
            <w:vAlign w:val="center"/>
          </w:tcPr>
          <w:p w14:paraId="3259C47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105</w:t>
            </w:r>
          </w:p>
        </w:tc>
        <w:tc>
          <w:tcPr>
            <w:tcW w:w="2124" w:type="dxa"/>
            <w:tcBorders>
              <w:tl2br w:val="nil"/>
              <w:tr2bl w:val="nil"/>
            </w:tcBorders>
            <w:vAlign w:val="center"/>
          </w:tcPr>
          <w:p w14:paraId="38D268C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起重机</w:t>
            </w:r>
          </w:p>
        </w:tc>
        <w:tc>
          <w:tcPr>
            <w:tcW w:w="2052" w:type="dxa"/>
            <w:tcBorders>
              <w:tl2br w:val="nil"/>
              <w:tr2bl w:val="nil"/>
            </w:tcBorders>
            <w:vAlign w:val="center"/>
          </w:tcPr>
          <w:p w14:paraId="7B0ACE4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95</w:t>
            </w:r>
          </w:p>
        </w:tc>
      </w:tr>
      <w:tr w14:paraId="0501D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961" w:type="dxa"/>
            <w:tcBorders>
              <w:tl2br w:val="nil"/>
              <w:tr2bl w:val="nil"/>
            </w:tcBorders>
            <w:vAlign w:val="center"/>
          </w:tcPr>
          <w:p w14:paraId="2D08701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运输车辆</w:t>
            </w:r>
          </w:p>
        </w:tc>
        <w:tc>
          <w:tcPr>
            <w:tcW w:w="2152" w:type="dxa"/>
            <w:tcBorders>
              <w:tl2br w:val="nil"/>
              <w:tr2bl w:val="nil"/>
            </w:tcBorders>
            <w:vAlign w:val="center"/>
          </w:tcPr>
          <w:p w14:paraId="37C1D41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85</w:t>
            </w:r>
          </w:p>
        </w:tc>
        <w:tc>
          <w:tcPr>
            <w:tcW w:w="2124" w:type="dxa"/>
            <w:tcBorders>
              <w:tl2br w:val="nil"/>
              <w:tr2bl w:val="nil"/>
            </w:tcBorders>
            <w:vAlign w:val="center"/>
          </w:tcPr>
          <w:p w14:paraId="21F1474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升降机</w:t>
            </w:r>
          </w:p>
        </w:tc>
        <w:tc>
          <w:tcPr>
            <w:tcW w:w="2052" w:type="dxa"/>
            <w:tcBorders>
              <w:tl2br w:val="nil"/>
              <w:tr2bl w:val="nil"/>
            </w:tcBorders>
            <w:vAlign w:val="center"/>
          </w:tcPr>
          <w:p w14:paraId="4047292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95</w:t>
            </w:r>
          </w:p>
        </w:tc>
      </w:tr>
      <w:tr w14:paraId="3C0BA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1961" w:type="dxa"/>
            <w:tcBorders>
              <w:tl2br w:val="nil"/>
              <w:tr2bl w:val="nil"/>
            </w:tcBorders>
            <w:vAlign w:val="center"/>
          </w:tcPr>
          <w:p w14:paraId="31B20F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切割机</w:t>
            </w:r>
          </w:p>
        </w:tc>
        <w:tc>
          <w:tcPr>
            <w:tcW w:w="2152" w:type="dxa"/>
            <w:tcBorders>
              <w:tl2br w:val="nil"/>
              <w:tr2bl w:val="nil"/>
            </w:tcBorders>
            <w:vAlign w:val="center"/>
          </w:tcPr>
          <w:p w14:paraId="170D1CC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90</w:t>
            </w:r>
          </w:p>
        </w:tc>
        <w:tc>
          <w:tcPr>
            <w:tcW w:w="2124" w:type="dxa"/>
            <w:tcBorders>
              <w:tl2br w:val="nil"/>
              <w:tr2bl w:val="nil"/>
            </w:tcBorders>
            <w:vAlign w:val="center"/>
          </w:tcPr>
          <w:p w14:paraId="6D14C61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052" w:type="dxa"/>
            <w:tcBorders>
              <w:tl2br w:val="nil"/>
              <w:tr2bl w:val="nil"/>
            </w:tcBorders>
            <w:vAlign w:val="center"/>
          </w:tcPr>
          <w:p w14:paraId="51015AF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2EC2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961" w:type="dxa"/>
            <w:tcBorders>
              <w:tl2br w:val="nil"/>
              <w:tr2bl w:val="nil"/>
            </w:tcBorders>
            <w:vAlign w:val="center"/>
          </w:tcPr>
          <w:p w14:paraId="27582E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空压机</w:t>
            </w:r>
          </w:p>
        </w:tc>
        <w:tc>
          <w:tcPr>
            <w:tcW w:w="2152" w:type="dxa"/>
            <w:tcBorders>
              <w:tl2br w:val="nil"/>
              <w:tr2bl w:val="nil"/>
            </w:tcBorders>
            <w:vAlign w:val="center"/>
          </w:tcPr>
          <w:p w14:paraId="7D0145E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102</w:t>
            </w:r>
          </w:p>
        </w:tc>
        <w:tc>
          <w:tcPr>
            <w:tcW w:w="2124" w:type="dxa"/>
            <w:tcBorders>
              <w:tl2br w:val="nil"/>
              <w:tr2bl w:val="nil"/>
            </w:tcBorders>
            <w:vAlign w:val="center"/>
          </w:tcPr>
          <w:p w14:paraId="34E48F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052" w:type="dxa"/>
            <w:tcBorders>
              <w:tl2br w:val="nil"/>
              <w:tr2bl w:val="nil"/>
            </w:tcBorders>
            <w:vAlign w:val="center"/>
          </w:tcPr>
          <w:p w14:paraId="3F6EA63C">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bl>
    <w:p w14:paraId="0989431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因项目施工机械较多，本次预测选取噪声高、运行时段较长的设备进行噪声衰减预测距各种施工设备不同距离噪声预测结果见表5.1-2。</w:t>
      </w:r>
    </w:p>
    <w:p w14:paraId="71DF6407">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表5.1-2距各种施工机械不同距离的噪声值单位：dB（A）</w:t>
      </w:r>
    </w:p>
    <w:tbl>
      <w:tblPr>
        <w:tblStyle w:val="36"/>
        <w:tblW w:w="8331"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08"/>
        <w:gridCol w:w="586"/>
        <w:gridCol w:w="586"/>
        <w:gridCol w:w="586"/>
        <w:gridCol w:w="586"/>
        <w:gridCol w:w="740"/>
        <w:gridCol w:w="741"/>
        <w:gridCol w:w="741"/>
        <w:gridCol w:w="747"/>
        <w:gridCol w:w="910"/>
      </w:tblGrid>
      <w:tr w14:paraId="531F09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2108" w:type="dxa"/>
            <w:tcBorders>
              <w:tl2br w:val="nil"/>
              <w:tr2bl w:val="nil"/>
            </w:tcBorders>
          </w:tcPr>
          <w:p w14:paraId="220D53DC">
            <w:pPr>
              <w:pStyle w:val="37"/>
              <w:widowControl w:val="0"/>
              <w:shd w:val="clear"/>
              <w:autoSpaceDE/>
              <w:autoSpaceDN/>
              <w:adjustRightInd/>
              <w:snapToGrid/>
              <w:spacing w:line="360" w:lineRule="auto"/>
              <w:jc w:val="center"/>
              <w:textAlignment w:val="auto"/>
              <w:rPr>
                <w:rFonts w:eastAsia="宋体" w:cs="宋体"/>
                <w:color w:val="auto"/>
              </w:rPr>
            </w:pPr>
            <w:r>
              <w:rPr>
                <w:rFonts w:eastAsia="宋体" w:cs="宋体"/>
                <w:color w:val="auto"/>
              </w:rPr>
              <w:t>距离（</w:t>
            </w:r>
            <w:r>
              <w:rPr>
                <w:rFonts w:eastAsia="宋体"/>
                <w:color w:val="auto"/>
              </w:rPr>
              <w:t>m</w:t>
            </w:r>
            <w:r>
              <w:rPr>
                <w:rFonts w:eastAsia="宋体" w:cs="宋体"/>
                <w:color w:val="auto"/>
              </w:rPr>
              <w:t>）</w:t>
            </w:r>
          </w:p>
        </w:tc>
        <w:tc>
          <w:tcPr>
            <w:tcW w:w="586" w:type="dxa"/>
            <w:tcBorders>
              <w:tl2br w:val="nil"/>
              <w:tr2bl w:val="nil"/>
            </w:tcBorders>
          </w:tcPr>
          <w:p w14:paraId="7456E76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10</w:t>
            </w:r>
          </w:p>
        </w:tc>
        <w:tc>
          <w:tcPr>
            <w:tcW w:w="586" w:type="dxa"/>
            <w:tcBorders>
              <w:tl2br w:val="nil"/>
              <w:tr2bl w:val="nil"/>
            </w:tcBorders>
          </w:tcPr>
          <w:p w14:paraId="44F7408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20</w:t>
            </w:r>
          </w:p>
        </w:tc>
        <w:tc>
          <w:tcPr>
            <w:tcW w:w="586" w:type="dxa"/>
            <w:tcBorders>
              <w:tl2br w:val="nil"/>
              <w:tr2bl w:val="nil"/>
            </w:tcBorders>
          </w:tcPr>
          <w:p w14:paraId="5C72DE7E">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40</w:t>
            </w:r>
          </w:p>
        </w:tc>
        <w:tc>
          <w:tcPr>
            <w:tcW w:w="586" w:type="dxa"/>
            <w:tcBorders>
              <w:tl2br w:val="nil"/>
              <w:tr2bl w:val="nil"/>
            </w:tcBorders>
          </w:tcPr>
          <w:p w14:paraId="3DCE801C">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80</w:t>
            </w:r>
          </w:p>
        </w:tc>
        <w:tc>
          <w:tcPr>
            <w:tcW w:w="740" w:type="dxa"/>
            <w:tcBorders>
              <w:tl2br w:val="nil"/>
              <w:tr2bl w:val="nil"/>
            </w:tcBorders>
          </w:tcPr>
          <w:p w14:paraId="36158113">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100</w:t>
            </w:r>
          </w:p>
        </w:tc>
        <w:tc>
          <w:tcPr>
            <w:tcW w:w="741" w:type="dxa"/>
            <w:tcBorders>
              <w:tl2br w:val="nil"/>
              <w:tr2bl w:val="nil"/>
            </w:tcBorders>
          </w:tcPr>
          <w:p w14:paraId="720573A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200</w:t>
            </w:r>
          </w:p>
        </w:tc>
        <w:tc>
          <w:tcPr>
            <w:tcW w:w="741" w:type="dxa"/>
            <w:tcBorders>
              <w:tl2br w:val="nil"/>
              <w:tr2bl w:val="nil"/>
            </w:tcBorders>
          </w:tcPr>
          <w:p w14:paraId="56324E3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400</w:t>
            </w:r>
          </w:p>
        </w:tc>
        <w:tc>
          <w:tcPr>
            <w:tcW w:w="747" w:type="dxa"/>
            <w:tcBorders>
              <w:tl2br w:val="nil"/>
              <w:tr2bl w:val="nil"/>
            </w:tcBorders>
          </w:tcPr>
          <w:p w14:paraId="62EE922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800</w:t>
            </w:r>
          </w:p>
        </w:tc>
        <w:tc>
          <w:tcPr>
            <w:tcW w:w="910" w:type="dxa"/>
            <w:tcBorders>
              <w:tl2br w:val="nil"/>
              <w:tr2bl w:val="nil"/>
            </w:tcBorders>
          </w:tcPr>
          <w:p w14:paraId="7568DE2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1000</w:t>
            </w:r>
          </w:p>
        </w:tc>
      </w:tr>
      <w:tr w14:paraId="170563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2108" w:type="dxa"/>
            <w:tcBorders>
              <w:tl2br w:val="nil"/>
              <w:tr2bl w:val="nil"/>
            </w:tcBorders>
          </w:tcPr>
          <w:p w14:paraId="68B5DE43">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推土机</w:t>
            </w:r>
          </w:p>
        </w:tc>
        <w:tc>
          <w:tcPr>
            <w:tcW w:w="586" w:type="dxa"/>
            <w:tcBorders>
              <w:tl2br w:val="nil"/>
              <w:tr2bl w:val="nil"/>
            </w:tcBorders>
          </w:tcPr>
          <w:p w14:paraId="241CAF1F">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82.5</w:t>
            </w:r>
          </w:p>
        </w:tc>
        <w:tc>
          <w:tcPr>
            <w:tcW w:w="586" w:type="dxa"/>
            <w:tcBorders>
              <w:tl2br w:val="nil"/>
              <w:tr2bl w:val="nil"/>
            </w:tcBorders>
          </w:tcPr>
          <w:p w14:paraId="7B76F89F">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76.5</w:t>
            </w:r>
          </w:p>
        </w:tc>
        <w:tc>
          <w:tcPr>
            <w:tcW w:w="586" w:type="dxa"/>
            <w:tcBorders>
              <w:tl2br w:val="nil"/>
              <w:tr2bl w:val="nil"/>
            </w:tcBorders>
          </w:tcPr>
          <w:p w14:paraId="1E2CED17">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70.5</w:t>
            </w:r>
          </w:p>
        </w:tc>
        <w:tc>
          <w:tcPr>
            <w:tcW w:w="586" w:type="dxa"/>
            <w:tcBorders>
              <w:tl2br w:val="nil"/>
              <w:tr2bl w:val="nil"/>
            </w:tcBorders>
          </w:tcPr>
          <w:p w14:paraId="3C90529D">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64.5</w:t>
            </w:r>
          </w:p>
        </w:tc>
        <w:tc>
          <w:tcPr>
            <w:tcW w:w="740" w:type="dxa"/>
            <w:tcBorders>
              <w:tl2br w:val="nil"/>
              <w:tr2bl w:val="nil"/>
            </w:tcBorders>
          </w:tcPr>
          <w:p w14:paraId="07BE20E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62.5</w:t>
            </w:r>
          </w:p>
        </w:tc>
        <w:tc>
          <w:tcPr>
            <w:tcW w:w="741" w:type="dxa"/>
            <w:tcBorders>
              <w:tl2br w:val="nil"/>
              <w:tr2bl w:val="nil"/>
            </w:tcBorders>
          </w:tcPr>
          <w:p w14:paraId="2401564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56.5</w:t>
            </w:r>
          </w:p>
        </w:tc>
        <w:tc>
          <w:tcPr>
            <w:tcW w:w="741" w:type="dxa"/>
            <w:tcBorders>
              <w:tl2br w:val="nil"/>
              <w:tr2bl w:val="nil"/>
            </w:tcBorders>
          </w:tcPr>
          <w:p w14:paraId="6256934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50.6</w:t>
            </w:r>
          </w:p>
        </w:tc>
        <w:tc>
          <w:tcPr>
            <w:tcW w:w="747" w:type="dxa"/>
            <w:tcBorders>
              <w:tl2br w:val="nil"/>
              <w:tr2bl w:val="nil"/>
            </w:tcBorders>
          </w:tcPr>
          <w:p w14:paraId="2E5D6702">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44.5</w:t>
            </w:r>
          </w:p>
        </w:tc>
        <w:tc>
          <w:tcPr>
            <w:tcW w:w="910" w:type="dxa"/>
            <w:tcBorders>
              <w:tl2br w:val="nil"/>
              <w:tr2bl w:val="nil"/>
            </w:tcBorders>
          </w:tcPr>
          <w:p w14:paraId="50458B7F">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42.5</w:t>
            </w:r>
          </w:p>
        </w:tc>
      </w:tr>
      <w:tr w14:paraId="4C3BB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2108" w:type="dxa"/>
            <w:tcBorders>
              <w:tl2br w:val="nil"/>
              <w:tr2bl w:val="nil"/>
            </w:tcBorders>
          </w:tcPr>
          <w:p w14:paraId="44D36394">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挖掘机</w:t>
            </w:r>
          </w:p>
        </w:tc>
        <w:tc>
          <w:tcPr>
            <w:tcW w:w="586" w:type="dxa"/>
            <w:tcBorders>
              <w:tl2br w:val="nil"/>
              <w:tr2bl w:val="nil"/>
            </w:tcBorders>
          </w:tcPr>
          <w:p w14:paraId="7C9FFB0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82</w:t>
            </w:r>
          </w:p>
        </w:tc>
        <w:tc>
          <w:tcPr>
            <w:tcW w:w="586" w:type="dxa"/>
            <w:tcBorders>
              <w:tl2br w:val="nil"/>
              <w:tr2bl w:val="nil"/>
            </w:tcBorders>
          </w:tcPr>
          <w:p w14:paraId="206D583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76</w:t>
            </w:r>
          </w:p>
        </w:tc>
        <w:tc>
          <w:tcPr>
            <w:tcW w:w="586" w:type="dxa"/>
            <w:tcBorders>
              <w:tl2br w:val="nil"/>
              <w:tr2bl w:val="nil"/>
            </w:tcBorders>
          </w:tcPr>
          <w:p w14:paraId="1DDD08F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70</w:t>
            </w:r>
          </w:p>
        </w:tc>
        <w:tc>
          <w:tcPr>
            <w:tcW w:w="586" w:type="dxa"/>
            <w:tcBorders>
              <w:tl2br w:val="nil"/>
              <w:tr2bl w:val="nil"/>
            </w:tcBorders>
          </w:tcPr>
          <w:p w14:paraId="43AE02A3">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64</w:t>
            </w:r>
          </w:p>
        </w:tc>
        <w:tc>
          <w:tcPr>
            <w:tcW w:w="740" w:type="dxa"/>
            <w:tcBorders>
              <w:tl2br w:val="nil"/>
              <w:tr2bl w:val="nil"/>
            </w:tcBorders>
          </w:tcPr>
          <w:p w14:paraId="05A7FA5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62</w:t>
            </w:r>
          </w:p>
        </w:tc>
        <w:tc>
          <w:tcPr>
            <w:tcW w:w="741" w:type="dxa"/>
            <w:tcBorders>
              <w:tl2br w:val="nil"/>
              <w:tr2bl w:val="nil"/>
            </w:tcBorders>
          </w:tcPr>
          <w:p w14:paraId="183A9366">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56</w:t>
            </w:r>
          </w:p>
        </w:tc>
        <w:tc>
          <w:tcPr>
            <w:tcW w:w="741" w:type="dxa"/>
            <w:tcBorders>
              <w:tl2br w:val="nil"/>
              <w:tr2bl w:val="nil"/>
            </w:tcBorders>
          </w:tcPr>
          <w:p w14:paraId="1A357CB5">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50</w:t>
            </w:r>
          </w:p>
        </w:tc>
        <w:tc>
          <w:tcPr>
            <w:tcW w:w="747" w:type="dxa"/>
            <w:tcBorders>
              <w:tl2br w:val="nil"/>
              <w:tr2bl w:val="nil"/>
            </w:tcBorders>
          </w:tcPr>
          <w:p w14:paraId="10FDFEA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44</w:t>
            </w:r>
          </w:p>
        </w:tc>
        <w:tc>
          <w:tcPr>
            <w:tcW w:w="910" w:type="dxa"/>
            <w:tcBorders>
              <w:tl2br w:val="nil"/>
              <w:tr2bl w:val="nil"/>
            </w:tcBorders>
          </w:tcPr>
          <w:p w14:paraId="7B1E15E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42</w:t>
            </w:r>
          </w:p>
        </w:tc>
      </w:tr>
      <w:tr w14:paraId="1BBD2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2108" w:type="dxa"/>
            <w:tcBorders>
              <w:tl2br w:val="nil"/>
              <w:tr2bl w:val="nil"/>
            </w:tcBorders>
          </w:tcPr>
          <w:p w14:paraId="2910F4B7">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装载机</w:t>
            </w:r>
          </w:p>
        </w:tc>
        <w:tc>
          <w:tcPr>
            <w:tcW w:w="586" w:type="dxa"/>
            <w:tcBorders>
              <w:tl2br w:val="nil"/>
              <w:tr2bl w:val="nil"/>
            </w:tcBorders>
          </w:tcPr>
          <w:p w14:paraId="0A88CA7B">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88</w:t>
            </w:r>
          </w:p>
        </w:tc>
        <w:tc>
          <w:tcPr>
            <w:tcW w:w="586" w:type="dxa"/>
            <w:tcBorders>
              <w:tl2br w:val="nil"/>
              <w:tr2bl w:val="nil"/>
            </w:tcBorders>
          </w:tcPr>
          <w:p w14:paraId="3CCC746D">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82</w:t>
            </w:r>
          </w:p>
        </w:tc>
        <w:tc>
          <w:tcPr>
            <w:tcW w:w="586" w:type="dxa"/>
            <w:tcBorders>
              <w:tl2br w:val="nil"/>
              <w:tr2bl w:val="nil"/>
            </w:tcBorders>
          </w:tcPr>
          <w:p w14:paraId="0A9B45B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76</w:t>
            </w:r>
          </w:p>
        </w:tc>
        <w:tc>
          <w:tcPr>
            <w:tcW w:w="586" w:type="dxa"/>
            <w:tcBorders>
              <w:tl2br w:val="nil"/>
              <w:tr2bl w:val="nil"/>
            </w:tcBorders>
          </w:tcPr>
          <w:p w14:paraId="01CEB908">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70</w:t>
            </w:r>
          </w:p>
        </w:tc>
        <w:tc>
          <w:tcPr>
            <w:tcW w:w="740" w:type="dxa"/>
            <w:tcBorders>
              <w:tl2br w:val="nil"/>
              <w:tr2bl w:val="nil"/>
            </w:tcBorders>
          </w:tcPr>
          <w:p w14:paraId="729D0DD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68</w:t>
            </w:r>
          </w:p>
        </w:tc>
        <w:tc>
          <w:tcPr>
            <w:tcW w:w="741" w:type="dxa"/>
            <w:tcBorders>
              <w:tl2br w:val="nil"/>
              <w:tr2bl w:val="nil"/>
            </w:tcBorders>
          </w:tcPr>
          <w:p w14:paraId="0E2807B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62</w:t>
            </w:r>
          </w:p>
        </w:tc>
        <w:tc>
          <w:tcPr>
            <w:tcW w:w="741" w:type="dxa"/>
            <w:tcBorders>
              <w:tl2br w:val="nil"/>
              <w:tr2bl w:val="nil"/>
            </w:tcBorders>
          </w:tcPr>
          <w:p w14:paraId="30BB9F9D">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56</w:t>
            </w:r>
          </w:p>
        </w:tc>
        <w:tc>
          <w:tcPr>
            <w:tcW w:w="747" w:type="dxa"/>
            <w:tcBorders>
              <w:tl2br w:val="nil"/>
              <w:tr2bl w:val="nil"/>
            </w:tcBorders>
          </w:tcPr>
          <w:p w14:paraId="28E7181D">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50</w:t>
            </w:r>
          </w:p>
        </w:tc>
        <w:tc>
          <w:tcPr>
            <w:tcW w:w="910" w:type="dxa"/>
            <w:tcBorders>
              <w:tl2br w:val="nil"/>
              <w:tr2bl w:val="nil"/>
            </w:tcBorders>
          </w:tcPr>
          <w:p w14:paraId="4494CE5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48</w:t>
            </w:r>
          </w:p>
        </w:tc>
      </w:tr>
      <w:tr w14:paraId="11B32B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108" w:type="dxa"/>
            <w:tcBorders>
              <w:tl2br w:val="nil"/>
              <w:tr2bl w:val="nil"/>
            </w:tcBorders>
          </w:tcPr>
          <w:p w14:paraId="428ABF24">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电焊机</w:t>
            </w:r>
          </w:p>
        </w:tc>
        <w:tc>
          <w:tcPr>
            <w:tcW w:w="586" w:type="dxa"/>
            <w:tcBorders>
              <w:tl2br w:val="nil"/>
              <w:tr2bl w:val="nil"/>
            </w:tcBorders>
          </w:tcPr>
          <w:p w14:paraId="5FD3A3A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92.5</w:t>
            </w:r>
          </w:p>
        </w:tc>
        <w:tc>
          <w:tcPr>
            <w:tcW w:w="586" w:type="dxa"/>
            <w:tcBorders>
              <w:tl2br w:val="nil"/>
              <w:tr2bl w:val="nil"/>
            </w:tcBorders>
          </w:tcPr>
          <w:p w14:paraId="5539A31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86.5</w:t>
            </w:r>
          </w:p>
        </w:tc>
        <w:tc>
          <w:tcPr>
            <w:tcW w:w="586" w:type="dxa"/>
            <w:tcBorders>
              <w:tl2br w:val="nil"/>
              <w:tr2bl w:val="nil"/>
            </w:tcBorders>
          </w:tcPr>
          <w:p w14:paraId="1F31B0E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80.5</w:t>
            </w:r>
          </w:p>
        </w:tc>
        <w:tc>
          <w:tcPr>
            <w:tcW w:w="586" w:type="dxa"/>
            <w:tcBorders>
              <w:tl2br w:val="nil"/>
              <w:tr2bl w:val="nil"/>
            </w:tcBorders>
          </w:tcPr>
          <w:p w14:paraId="505B31D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74.5</w:t>
            </w:r>
          </w:p>
        </w:tc>
        <w:tc>
          <w:tcPr>
            <w:tcW w:w="740" w:type="dxa"/>
            <w:tcBorders>
              <w:tl2br w:val="nil"/>
              <w:tr2bl w:val="nil"/>
            </w:tcBorders>
          </w:tcPr>
          <w:p w14:paraId="5594660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72.5</w:t>
            </w:r>
          </w:p>
        </w:tc>
        <w:tc>
          <w:tcPr>
            <w:tcW w:w="741" w:type="dxa"/>
            <w:tcBorders>
              <w:tl2br w:val="nil"/>
              <w:tr2bl w:val="nil"/>
            </w:tcBorders>
          </w:tcPr>
          <w:p w14:paraId="391B726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66.5</w:t>
            </w:r>
          </w:p>
        </w:tc>
        <w:tc>
          <w:tcPr>
            <w:tcW w:w="741" w:type="dxa"/>
            <w:tcBorders>
              <w:tl2br w:val="nil"/>
              <w:tr2bl w:val="nil"/>
            </w:tcBorders>
          </w:tcPr>
          <w:p w14:paraId="6D010BBF">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60.5</w:t>
            </w:r>
          </w:p>
        </w:tc>
        <w:tc>
          <w:tcPr>
            <w:tcW w:w="747" w:type="dxa"/>
            <w:tcBorders>
              <w:tl2br w:val="nil"/>
              <w:tr2bl w:val="nil"/>
            </w:tcBorders>
          </w:tcPr>
          <w:p w14:paraId="5C2C83E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54.5</w:t>
            </w:r>
          </w:p>
        </w:tc>
        <w:tc>
          <w:tcPr>
            <w:tcW w:w="910" w:type="dxa"/>
            <w:tcBorders>
              <w:tl2br w:val="nil"/>
              <w:tr2bl w:val="nil"/>
            </w:tcBorders>
          </w:tcPr>
          <w:p w14:paraId="32CD86A5">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52.5</w:t>
            </w:r>
          </w:p>
        </w:tc>
      </w:tr>
      <w:tr w14:paraId="5ADE5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108" w:type="dxa"/>
            <w:tcBorders>
              <w:tl2br w:val="nil"/>
              <w:tr2bl w:val="nil"/>
            </w:tcBorders>
          </w:tcPr>
          <w:p w14:paraId="218E2E42">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电锯</w:t>
            </w:r>
          </w:p>
        </w:tc>
        <w:tc>
          <w:tcPr>
            <w:tcW w:w="586" w:type="dxa"/>
            <w:tcBorders>
              <w:tl2br w:val="nil"/>
              <w:tr2bl w:val="nil"/>
            </w:tcBorders>
          </w:tcPr>
          <w:p w14:paraId="669159D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92.5</w:t>
            </w:r>
          </w:p>
        </w:tc>
        <w:tc>
          <w:tcPr>
            <w:tcW w:w="586" w:type="dxa"/>
            <w:tcBorders>
              <w:tl2br w:val="nil"/>
              <w:tr2bl w:val="nil"/>
            </w:tcBorders>
          </w:tcPr>
          <w:p w14:paraId="712F777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86.5</w:t>
            </w:r>
          </w:p>
        </w:tc>
        <w:tc>
          <w:tcPr>
            <w:tcW w:w="586" w:type="dxa"/>
            <w:tcBorders>
              <w:tl2br w:val="nil"/>
              <w:tr2bl w:val="nil"/>
            </w:tcBorders>
          </w:tcPr>
          <w:p w14:paraId="450740E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80.5</w:t>
            </w:r>
          </w:p>
        </w:tc>
        <w:tc>
          <w:tcPr>
            <w:tcW w:w="586" w:type="dxa"/>
            <w:tcBorders>
              <w:tl2br w:val="nil"/>
              <w:tr2bl w:val="nil"/>
            </w:tcBorders>
          </w:tcPr>
          <w:p w14:paraId="4252107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74.5</w:t>
            </w:r>
          </w:p>
        </w:tc>
        <w:tc>
          <w:tcPr>
            <w:tcW w:w="740" w:type="dxa"/>
            <w:tcBorders>
              <w:tl2br w:val="nil"/>
              <w:tr2bl w:val="nil"/>
            </w:tcBorders>
          </w:tcPr>
          <w:p w14:paraId="614EC606">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72.5</w:t>
            </w:r>
          </w:p>
        </w:tc>
        <w:tc>
          <w:tcPr>
            <w:tcW w:w="741" w:type="dxa"/>
            <w:tcBorders>
              <w:tl2br w:val="nil"/>
              <w:tr2bl w:val="nil"/>
            </w:tcBorders>
          </w:tcPr>
          <w:p w14:paraId="260FCCBE">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66.5</w:t>
            </w:r>
          </w:p>
        </w:tc>
        <w:tc>
          <w:tcPr>
            <w:tcW w:w="741" w:type="dxa"/>
            <w:tcBorders>
              <w:tl2br w:val="nil"/>
              <w:tr2bl w:val="nil"/>
            </w:tcBorders>
          </w:tcPr>
          <w:p w14:paraId="472E5277">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60.5</w:t>
            </w:r>
          </w:p>
        </w:tc>
        <w:tc>
          <w:tcPr>
            <w:tcW w:w="747" w:type="dxa"/>
            <w:tcBorders>
              <w:tl2br w:val="nil"/>
              <w:tr2bl w:val="nil"/>
            </w:tcBorders>
          </w:tcPr>
          <w:p w14:paraId="571E76F8">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54.5</w:t>
            </w:r>
          </w:p>
        </w:tc>
        <w:tc>
          <w:tcPr>
            <w:tcW w:w="910" w:type="dxa"/>
            <w:tcBorders>
              <w:tl2br w:val="nil"/>
              <w:tr2bl w:val="nil"/>
            </w:tcBorders>
          </w:tcPr>
          <w:p w14:paraId="46C6FCD5">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52.5</w:t>
            </w:r>
          </w:p>
        </w:tc>
      </w:tr>
      <w:tr w14:paraId="4BC51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108" w:type="dxa"/>
            <w:tcBorders>
              <w:tl2br w:val="nil"/>
              <w:tr2bl w:val="nil"/>
            </w:tcBorders>
          </w:tcPr>
          <w:p w14:paraId="1DD8E347">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电钻、电锤、电刨</w:t>
            </w:r>
          </w:p>
        </w:tc>
        <w:tc>
          <w:tcPr>
            <w:tcW w:w="586" w:type="dxa"/>
            <w:tcBorders>
              <w:tl2br w:val="nil"/>
              <w:tr2bl w:val="nil"/>
            </w:tcBorders>
          </w:tcPr>
          <w:p w14:paraId="2493D61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96</w:t>
            </w:r>
          </w:p>
        </w:tc>
        <w:tc>
          <w:tcPr>
            <w:tcW w:w="586" w:type="dxa"/>
            <w:tcBorders>
              <w:tl2br w:val="nil"/>
              <w:tr2bl w:val="nil"/>
            </w:tcBorders>
          </w:tcPr>
          <w:p w14:paraId="5687F14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90</w:t>
            </w:r>
          </w:p>
        </w:tc>
        <w:tc>
          <w:tcPr>
            <w:tcW w:w="586" w:type="dxa"/>
            <w:tcBorders>
              <w:tl2br w:val="nil"/>
              <w:tr2bl w:val="nil"/>
            </w:tcBorders>
          </w:tcPr>
          <w:p w14:paraId="384076AE">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84</w:t>
            </w:r>
          </w:p>
        </w:tc>
        <w:tc>
          <w:tcPr>
            <w:tcW w:w="586" w:type="dxa"/>
            <w:tcBorders>
              <w:tl2br w:val="nil"/>
              <w:tr2bl w:val="nil"/>
            </w:tcBorders>
          </w:tcPr>
          <w:p w14:paraId="1C15C00A">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78</w:t>
            </w:r>
          </w:p>
        </w:tc>
        <w:tc>
          <w:tcPr>
            <w:tcW w:w="740" w:type="dxa"/>
            <w:tcBorders>
              <w:tl2br w:val="nil"/>
              <w:tr2bl w:val="nil"/>
            </w:tcBorders>
          </w:tcPr>
          <w:p w14:paraId="0974F66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76</w:t>
            </w:r>
          </w:p>
        </w:tc>
        <w:tc>
          <w:tcPr>
            <w:tcW w:w="741" w:type="dxa"/>
            <w:tcBorders>
              <w:tl2br w:val="nil"/>
              <w:tr2bl w:val="nil"/>
            </w:tcBorders>
          </w:tcPr>
          <w:p w14:paraId="671DC527">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70</w:t>
            </w:r>
          </w:p>
        </w:tc>
        <w:tc>
          <w:tcPr>
            <w:tcW w:w="741" w:type="dxa"/>
            <w:tcBorders>
              <w:tl2br w:val="nil"/>
              <w:tr2bl w:val="nil"/>
            </w:tcBorders>
          </w:tcPr>
          <w:p w14:paraId="7C214D0B">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64</w:t>
            </w:r>
          </w:p>
        </w:tc>
        <w:tc>
          <w:tcPr>
            <w:tcW w:w="747" w:type="dxa"/>
            <w:tcBorders>
              <w:tl2br w:val="nil"/>
              <w:tr2bl w:val="nil"/>
            </w:tcBorders>
          </w:tcPr>
          <w:p w14:paraId="2495A412">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58</w:t>
            </w:r>
          </w:p>
        </w:tc>
        <w:tc>
          <w:tcPr>
            <w:tcW w:w="910" w:type="dxa"/>
            <w:tcBorders>
              <w:tl2br w:val="nil"/>
              <w:tr2bl w:val="nil"/>
            </w:tcBorders>
          </w:tcPr>
          <w:p w14:paraId="1BC410CC">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56</w:t>
            </w:r>
          </w:p>
        </w:tc>
      </w:tr>
      <w:tr w14:paraId="1F1C6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108" w:type="dxa"/>
            <w:tcBorders>
              <w:tl2br w:val="nil"/>
              <w:tr2bl w:val="nil"/>
            </w:tcBorders>
          </w:tcPr>
          <w:p w14:paraId="62E28CC6">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重型运输车</w:t>
            </w:r>
          </w:p>
        </w:tc>
        <w:tc>
          <w:tcPr>
            <w:tcW w:w="586" w:type="dxa"/>
            <w:tcBorders>
              <w:tl2br w:val="nil"/>
              <w:tr2bl w:val="nil"/>
            </w:tcBorders>
          </w:tcPr>
          <w:p w14:paraId="283F7B52">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82</w:t>
            </w:r>
          </w:p>
        </w:tc>
        <w:tc>
          <w:tcPr>
            <w:tcW w:w="586" w:type="dxa"/>
            <w:tcBorders>
              <w:tl2br w:val="nil"/>
              <w:tr2bl w:val="nil"/>
            </w:tcBorders>
          </w:tcPr>
          <w:p w14:paraId="266AC82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76</w:t>
            </w:r>
          </w:p>
        </w:tc>
        <w:tc>
          <w:tcPr>
            <w:tcW w:w="586" w:type="dxa"/>
            <w:tcBorders>
              <w:tl2br w:val="nil"/>
              <w:tr2bl w:val="nil"/>
            </w:tcBorders>
          </w:tcPr>
          <w:p w14:paraId="698CCE43">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70</w:t>
            </w:r>
          </w:p>
        </w:tc>
        <w:tc>
          <w:tcPr>
            <w:tcW w:w="586" w:type="dxa"/>
            <w:tcBorders>
              <w:tl2br w:val="nil"/>
              <w:tr2bl w:val="nil"/>
            </w:tcBorders>
          </w:tcPr>
          <w:p w14:paraId="59D1E197">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64</w:t>
            </w:r>
          </w:p>
        </w:tc>
        <w:tc>
          <w:tcPr>
            <w:tcW w:w="740" w:type="dxa"/>
            <w:tcBorders>
              <w:tl2br w:val="nil"/>
              <w:tr2bl w:val="nil"/>
            </w:tcBorders>
          </w:tcPr>
          <w:p w14:paraId="63C8445B">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62</w:t>
            </w:r>
          </w:p>
        </w:tc>
        <w:tc>
          <w:tcPr>
            <w:tcW w:w="741" w:type="dxa"/>
            <w:tcBorders>
              <w:tl2br w:val="nil"/>
              <w:tr2bl w:val="nil"/>
            </w:tcBorders>
          </w:tcPr>
          <w:p w14:paraId="14F3437C">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56</w:t>
            </w:r>
          </w:p>
        </w:tc>
        <w:tc>
          <w:tcPr>
            <w:tcW w:w="741" w:type="dxa"/>
            <w:tcBorders>
              <w:tl2br w:val="nil"/>
              <w:tr2bl w:val="nil"/>
            </w:tcBorders>
          </w:tcPr>
          <w:p w14:paraId="53709927">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50</w:t>
            </w:r>
          </w:p>
        </w:tc>
        <w:tc>
          <w:tcPr>
            <w:tcW w:w="747" w:type="dxa"/>
            <w:tcBorders>
              <w:tl2br w:val="nil"/>
              <w:tr2bl w:val="nil"/>
            </w:tcBorders>
          </w:tcPr>
          <w:p w14:paraId="21B05459">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44</w:t>
            </w:r>
          </w:p>
        </w:tc>
        <w:tc>
          <w:tcPr>
            <w:tcW w:w="910" w:type="dxa"/>
            <w:tcBorders>
              <w:tl2br w:val="nil"/>
              <w:tr2bl w:val="nil"/>
            </w:tcBorders>
          </w:tcPr>
          <w:p w14:paraId="04A09262">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42</w:t>
            </w:r>
          </w:p>
        </w:tc>
      </w:tr>
      <w:tr w14:paraId="6731A3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08" w:type="dxa"/>
            <w:tcBorders>
              <w:tl2br w:val="nil"/>
              <w:tr2bl w:val="nil"/>
            </w:tcBorders>
          </w:tcPr>
          <w:p w14:paraId="1FCDF2BC">
            <w:pPr>
              <w:widowControl w:val="0"/>
              <w:shd w:val="clear"/>
              <w:autoSpaceDE/>
              <w:autoSpaceDN/>
              <w:adjustRightInd/>
              <w:snapToGrid/>
              <w:spacing w:line="360" w:lineRule="auto"/>
              <w:jc w:val="center"/>
              <w:textAlignment w:val="auto"/>
              <w:rPr>
                <w:rFonts w:ascii="Times New Roman" w:hAnsi="Times New Roman" w:eastAsia="宋体" w:cs="宋体"/>
                <w:color w:val="auto"/>
                <w:szCs w:val="20"/>
              </w:rPr>
            </w:pPr>
            <w:r>
              <w:rPr>
                <w:rFonts w:ascii="Times New Roman" w:hAnsi="Times New Roman" w:eastAsia="宋体" w:cs="宋体"/>
                <w:color w:val="auto"/>
                <w:szCs w:val="20"/>
              </w:rPr>
              <w:t>轻型载重卡车</w:t>
            </w:r>
          </w:p>
        </w:tc>
        <w:tc>
          <w:tcPr>
            <w:tcW w:w="586" w:type="dxa"/>
            <w:tcBorders>
              <w:tl2br w:val="nil"/>
              <w:tr2bl w:val="nil"/>
            </w:tcBorders>
          </w:tcPr>
          <w:p w14:paraId="3AE5D503">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80</w:t>
            </w:r>
          </w:p>
        </w:tc>
        <w:tc>
          <w:tcPr>
            <w:tcW w:w="586" w:type="dxa"/>
            <w:tcBorders>
              <w:tl2br w:val="nil"/>
              <w:tr2bl w:val="nil"/>
            </w:tcBorders>
          </w:tcPr>
          <w:p w14:paraId="1E29AF34">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74</w:t>
            </w:r>
          </w:p>
        </w:tc>
        <w:tc>
          <w:tcPr>
            <w:tcW w:w="586" w:type="dxa"/>
            <w:tcBorders>
              <w:tl2br w:val="nil"/>
              <w:tr2bl w:val="nil"/>
            </w:tcBorders>
          </w:tcPr>
          <w:p w14:paraId="403332EF">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68</w:t>
            </w:r>
          </w:p>
        </w:tc>
        <w:tc>
          <w:tcPr>
            <w:tcW w:w="586" w:type="dxa"/>
            <w:tcBorders>
              <w:tl2br w:val="nil"/>
              <w:tr2bl w:val="nil"/>
            </w:tcBorders>
          </w:tcPr>
          <w:p w14:paraId="0735DAE3">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62</w:t>
            </w:r>
          </w:p>
        </w:tc>
        <w:tc>
          <w:tcPr>
            <w:tcW w:w="740" w:type="dxa"/>
            <w:tcBorders>
              <w:tl2br w:val="nil"/>
              <w:tr2bl w:val="nil"/>
            </w:tcBorders>
          </w:tcPr>
          <w:p w14:paraId="381AE4B2">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60</w:t>
            </w:r>
          </w:p>
        </w:tc>
        <w:tc>
          <w:tcPr>
            <w:tcW w:w="741" w:type="dxa"/>
            <w:tcBorders>
              <w:tl2br w:val="nil"/>
              <w:tr2bl w:val="nil"/>
            </w:tcBorders>
          </w:tcPr>
          <w:p w14:paraId="7AC45D46">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54</w:t>
            </w:r>
          </w:p>
        </w:tc>
        <w:tc>
          <w:tcPr>
            <w:tcW w:w="741" w:type="dxa"/>
            <w:tcBorders>
              <w:tl2br w:val="nil"/>
              <w:tr2bl w:val="nil"/>
            </w:tcBorders>
          </w:tcPr>
          <w:p w14:paraId="5A3B33C0">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48</w:t>
            </w:r>
          </w:p>
        </w:tc>
        <w:tc>
          <w:tcPr>
            <w:tcW w:w="747" w:type="dxa"/>
            <w:tcBorders>
              <w:tl2br w:val="nil"/>
              <w:tr2bl w:val="nil"/>
            </w:tcBorders>
          </w:tcPr>
          <w:p w14:paraId="2C3D2731">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42</w:t>
            </w:r>
          </w:p>
        </w:tc>
        <w:tc>
          <w:tcPr>
            <w:tcW w:w="910" w:type="dxa"/>
            <w:tcBorders>
              <w:tl2br w:val="nil"/>
              <w:tr2bl w:val="nil"/>
            </w:tcBorders>
          </w:tcPr>
          <w:p w14:paraId="41153F7E">
            <w:pPr>
              <w:pStyle w:val="37"/>
              <w:widowControl w:val="0"/>
              <w:shd w:val="clear"/>
              <w:autoSpaceDE/>
              <w:autoSpaceDN/>
              <w:adjustRightInd/>
              <w:snapToGrid/>
              <w:spacing w:line="360" w:lineRule="auto"/>
              <w:jc w:val="center"/>
              <w:textAlignment w:val="auto"/>
              <w:rPr>
                <w:rFonts w:eastAsia="宋体"/>
                <w:color w:val="auto"/>
              </w:rPr>
            </w:pPr>
            <w:r>
              <w:rPr>
                <w:rFonts w:eastAsia="宋体"/>
                <w:color w:val="auto"/>
              </w:rPr>
              <w:t>40</w:t>
            </w:r>
          </w:p>
        </w:tc>
      </w:tr>
    </w:tbl>
    <w:p w14:paraId="765C762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施工阶段基本为露天作业，计算结果表明，声音会随距离传播，但其传播规律是随距离增加而衰减，白天施工机械超标在60m范围内，对周围声环境有一定影响，但影响范围不大。</w:t>
      </w:r>
    </w:p>
    <w:p w14:paraId="542E4BE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根据现场调查，施工期为1个月，只要严格遵守当地生态环境部门制定的施工工地噪声作业规定及要求，并在午休时间和夜间休息时间停止施工，积极采取相应措施降低施工噪声，不会对自身人员造成噪声危害。</w:t>
      </w:r>
    </w:p>
    <w:p w14:paraId="0F23AA21">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600" w:name="_Toc8592"/>
      <w:bookmarkStart w:id="601" w:name="_Toc6379"/>
      <w:bookmarkStart w:id="602" w:name="_Toc9767"/>
      <w:r>
        <w:rPr>
          <w:rFonts w:hint="eastAsia" w:ascii="Times New Roman" w:hAnsi="Times New Roman" w:eastAsia="宋体" w:cs="Times New Roman"/>
          <w:snapToGrid/>
          <w:color w:val="auto"/>
          <w:lang w:eastAsia="zh-CN"/>
        </w:rPr>
        <w:t>5.1.4施工固废影响分析</w:t>
      </w:r>
      <w:bookmarkEnd w:id="600"/>
      <w:bookmarkEnd w:id="601"/>
      <w:bookmarkEnd w:id="602"/>
    </w:p>
    <w:p w14:paraId="66425E1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施工现场产生的垃圾可分为施工弃土、建筑垃圾等，其中以建筑垃圾为主，包括施工过程中钢筋头、金属碎片、抛弃在现场的破损工具、零件。由施工单位将废金属、废钢筋等统一后回收利用，将</w:t>
      </w:r>
      <w:r>
        <w:rPr>
          <w:rFonts w:hint="eastAsia" w:ascii="Times New Roman" w:hAnsi="Times New Roman"/>
          <w:snapToGrid/>
          <w:color w:val="auto"/>
          <w:sz w:val="24"/>
          <w:szCs w:val="24"/>
          <w:lang w:eastAsia="zh-CN"/>
        </w:rPr>
        <w:t>其余</w:t>
      </w:r>
      <w:r>
        <w:rPr>
          <w:rFonts w:ascii="Times New Roman" w:hAnsi="Times New Roman"/>
          <w:snapToGrid/>
          <w:color w:val="auto"/>
          <w:sz w:val="24"/>
          <w:szCs w:val="24"/>
          <w:lang w:eastAsia="zh-CN"/>
        </w:rPr>
        <w:t>的垃圾收集后堆放于指定地点，由施工方统一清运。施工期间产生的弃土由施工单位运至指定地点进行处理。</w:t>
      </w:r>
    </w:p>
    <w:p w14:paraId="1B20C21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施工期间，施工期生活垃圾产生量为0.135t。由于生活垃圾长期堆放容易变质腐烂，发生恶臭，污染空气，并成为蚊蝇滋生和病菌传播的源头，因此施工区域内应设置垃圾收集容器，派人专门收集，委托环卫部门定期清运。</w:t>
      </w:r>
    </w:p>
    <w:p w14:paraId="52C1EFF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若建设单位在工程施工过程中，严格按照本报告书中所提要求，对施工人员生活垃圾及工程建筑垃圾进行处理，本次建设工程施工期所产生的固体废物不会对环境产生明显不利影响。</w:t>
      </w:r>
    </w:p>
    <w:p w14:paraId="75200F93">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603" w:name="_Toc18175"/>
      <w:bookmarkStart w:id="604" w:name="_Toc29285"/>
      <w:bookmarkStart w:id="605" w:name="_Toc30421"/>
      <w:r>
        <w:rPr>
          <w:rFonts w:hint="eastAsia" w:ascii="Times New Roman" w:hAnsi="Times New Roman" w:eastAsia="宋体" w:cs="Times New Roman"/>
          <w:snapToGrid/>
          <w:color w:val="auto"/>
          <w:lang w:eastAsia="zh-CN"/>
        </w:rPr>
        <w:t>5.1.5施工对生态环境的影响</w:t>
      </w:r>
      <w:bookmarkEnd w:id="603"/>
      <w:bookmarkEnd w:id="604"/>
      <w:bookmarkEnd w:id="605"/>
    </w:p>
    <w:p w14:paraId="6A027E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施工在厂区内进行，物料堆放、修筑围墙等将临时占用场外少量用地，临时占地虽然时间短影响不大。施工期应对原料堆放、机械设备及运输车辆的行走路线做好规划工作，充分利用规划场地，尽量减少临时占地数量。</w:t>
      </w:r>
    </w:p>
    <w:p w14:paraId="7CC477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项目建设完成后，项目主要区域将进行硬化处理，可有效减少项目区的水土流失，项目的建设将对区域生态环境起到部分改善作用。</w:t>
      </w:r>
    </w:p>
    <w:p w14:paraId="2647097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31" w:type="default"/>
          <w:footerReference r:id="rId32" w:type="default"/>
          <w:pgSz w:w="11906" w:h="16838"/>
          <w:pgMar w:top="1136" w:right="1756" w:bottom="1157" w:left="1771" w:header="868" w:footer="994" w:gutter="0"/>
          <w:pgBorders>
            <w:top w:val="none" w:sz="0" w:space="0"/>
            <w:left w:val="none" w:sz="0" w:space="0"/>
            <w:bottom w:val="none" w:sz="0" w:space="0"/>
            <w:right w:val="none" w:sz="0" w:space="0"/>
          </w:pgBorders>
          <w:cols w:space="720" w:num="1"/>
        </w:sectPr>
      </w:pPr>
    </w:p>
    <w:p w14:paraId="3BB5C7B6">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606" w:name="bookmark33"/>
      <w:bookmarkEnd w:id="606"/>
      <w:bookmarkStart w:id="607" w:name="_Toc2228"/>
      <w:bookmarkStart w:id="608" w:name="_Toc15121"/>
      <w:bookmarkStart w:id="609" w:name="_Toc334"/>
      <w:r>
        <w:rPr>
          <w:rFonts w:hint="eastAsia" w:ascii="Times New Roman" w:hAnsi="Times New Roman" w:eastAsia="宋体"/>
          <w:snapToGrid/>
          <w:color w:val="auto"/>
          <w:lang w:eastAsia="zh-CN"/>
        </w:rPr>
        <w:t>5.2营运期环境影响分析</w:t>
      </w:r>
      <w:bookmarkEnd w:id="607"/>
      <w:bookmarkEnd w:id="608"/>
      <w:bookmarkEnd w:id="609"/>
    </w:p>
    <w:p w14:paraId="47BB69AF">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610" w:name="_Toc17465"/>
      <w:bookmarkStart w:id="611" w:name="_Toc4989"/>
      <w:bookmarkStart w:id="612" w:name="_Toc9855"/>
      <w:r>
        <w:rPr>
          <w:rFonts w:hint="eastAsia" w:ascii="Times New Roman" w:hAnsi="Times New Roman" w:eastAsia="宋体" w:cs="Times New Roman"/>
          <w:snapToGrid/>
          <w:color w:val="auto"/>
          <w:lang w:eastAsia="zh-CN"/>
        </w:rPr>
        <w:t>5.2.1大气环境影响预测与评价</w:t>
      </w:r>
      <w:bookmarkEnd w:id="610"/>
      <w:bookmarkEnd w:id="611"/>
      <w:bookmarkEnd w:id="612"/>
    </w:p>
    <w:p w14:paraId="4AD6662B">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"file:///C:\\Users\\jobezho\\AppData\\Local\\Temp\\Rar$DIa13476.12779\\5.2.1.2" </w:instrText>
      </w:r>
      <w:r>
        <w:rPr>
          <w:color w:val="auto"/>
        </w:rPr>
        <w:fldChar w:fldCharType="separate"/>
      </w:r>
      <w:r>
        <w:rPr>
          <w:rFonts w:hint="eastAsia" w:ascii="Times New Roman" w:hAnsi="Times New Roman" w:eastAsia="宋体"/>
          <w:snapToGrid/>
          <w:color w:val="auto"/>
          <w:sz w:val="24"/>
          <w:lang w:eastAsia="zh-CN"/>
        </w:rPr>
        <w:t>5.2.1.</w:t>
      </w:r>
      <w:r>
        <w:rPr>
          <w:rFonts w:hint="eastAsia" w:ascii="Times New Roman" w:hAnsi="Times New Roman" w:eastAsia="宋体"/>
          <w:snapToGrid/>
          <w:color w:val="auto"/>
          <w:sz w:val="24"/>
          <w:lang w:val="en-US" w:eastAsia="zh-CN"/>
        </w:rPr>
        <w:t>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废气影响预测与分析</w:t>
      </w:r>
    </w:p>
    <w:p w14:paraId="1E1A675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（1）估算模型选取</w:t>
      </w:r>
    </w:p>
    <w:p w14:paraId="75FA9D9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了解本项目废气对周边环境的影响，根据《环境影响评价技术导则大气环境》（HJ2.2-2018）中评价等级的判定要求，选择项目污染源正常排放的主要污染物及排放参数，本项目通过导则中推荐的估算模型AERSCREEN计算出对项目污染源的最大环境影响。</w:t>
      </w:r>
    </w:p>
    <w:p w14:paraId="2A7D6E4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①预测因子的选择</w:t>
      </w:r>
    </w:p>
    <w:p w14:paraId="28FD209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有组织废气预测因子：非甲烷总烃。无组织废气预测因子非甲烷总烃。</w:t>
      </w:r>
    </w:p>
    <w:p w14:paraId="11D7350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②评价标准</w:t>
      </w:r>
    </w:p>
    <w:p w14:paraId="081A9C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具体见表5.2-2。</w:t>
      </w:r>
    </w:p>
    <w:p w14:paraId="7FFB21BF">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表5.2-2大气预测评价标准单位mg/m</w:t>
      </w:r>
      <w:r>
        <w:rPr>
          <w:rFonts w:ascii="Times New Roman" w:hAnsi="Times New Roman"/>
          <w:b/>
          <w:bCs/>
          <w:snapToGrid/>
          <w:color w:val="auto"/>
          <w:sz w:val="24"/>
          <w:vertAlign w:val="superscript"/>
          <w:lang w:eastAsia="zh-CN"/>
        </w:rPr>
        <w:t>3</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769"/>
        <w:gridCol w:w="1668"/>
        <w:gridCol w:w="3656"/>
      </w:tblGrid>
      <w:tr w14:paraId="77B2B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pct"/>
            <w:tcBorders>
              <w:tl2br w:val="nil"/>
              <w:tr2bl w:val="nil"/>
            </w:tcBorders>
            <w:noWrap w:val="0"/>
            <w:vAlign w:val="center"/>
          </w:tcPr>
          <w:p w14:paraId="6E5AFF50">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bCs/>
                <w:color w:val="auto"/>
                <w:sz w:val="21"/>
              </w:rPr>
            </w:pPr>
            <w:r>
              <w:rPr>
                <w:rFonts w:hint="default" w:ascii="Times New Roman" w:hAnsi="Times New Roman" w:eastAsia="宋体"/>
                <w:b/>
                <w:bCs/>
                <w:color w:val="auto"/>
                <w:sz w:val="21"/>
              </w:rPr>
              <w:t>评价因子</w:t>
            </w:r>
          </w:p>
        </w:tc>
        <w:tc>
          <w:tcPr>
            <w:tcW w:w="1031" w:type="pct"/>
            <w:tcBorders>
              <w:tl2br w:val="nil"/>
              <w:tr2bl w:val="nil"/>
            </w:tcBorders>
            <w:noWrap w:val="0"/>
            <w:vAlign w:val="center"/>
          </w:tcPr>
          <w:p w14:paraId="208BB9B6">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bCs/>
                <w:color w:val="auto"/>
                <w:sz w:val="21"/>
              </w:rPr>
            </w:pPr>
            <w:r>
              <w:rPr>
                <w:rFonts w:hint="default" w:ascii="Times New Roman" w:hAnsi="Times New Roman" w:eastAsia="宋体"/>
                <w:b/>
                <w:bCs/>
                <w:color w:val="auto"/>
                <w:sz w:val="21"/>
              </w:rPr>
              <w:t>评价标准</w:t>
            </w:r>
          </w:p>
        </w:tc>
        <w:tc>
          <w:tcPr>
            <w:tcW w:w="972" w:type="pct"/>
            <w:tcBorders>
              <w:tl2br w:val="nil"/>
              <w:tr2bl w:val="nil"/>
            </w:tcBorders>
            <w:noWrap w:val="0"/>
            <w:vAlign w:val="center"/>
          </w:tcPr>
          <w:p w14:paraId="30C0E212">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bCs/>
                <w:color w:val="auto"/>
                <w:sz w:val="21"/>
              </w:rPr>
            </w:pPr>
            <w:r>
              <w:rPr>
                <w:rFonts w:hint="default" w:ascii="Times New Roman" w:hAnsi="Times New Roman" w:eastAsia="宋体"/>
                <w:b/>
                <w:bCs/>
                <w:color w:val="auto"/>
                <w:sz w:val="21"/>
              </w:rPr>
              <w:t>标准值</w:t>
            </w:r>
          </w:p>
        </w:tc>
        <w:tc>
          <w:tcPr>
            <w:tcW w:w="2129" w:type="pct"/>
            <w:tcBorders>
              <w:tl2br w:val="nil"/>
              <w:tr2bl w:val="nil"/>
            </w:tcBorders>
            <w:noWrap w:val="0"/>
            <w:vAlign w:val="center"/>
          </w:tcPr>
          <w:p w14:paraId="1EED3BC2">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bCs/>
                <w:color w:val="auto"/>
                <w:sz w:val="21"/>
              </w:rPr>
            </w:pPr>
            <w:r>
              <w:rPr>
                <w:rFonts w:hint="default" w:ascii="Times New Roman" w:hAnsi="Times New Roman" w:eastAsia="宋体"/>
                <w:b/>
                <w:bCs/>
                <w:color w:val="auto"/>
                <w:sz w:val="21"/>
              </w:rPr>
              <w:t>标准来源</w:t>
            </w:r>
          </w:p>
        </w:tc>
      </w:tr>
      <w:tr w14:paraId="1E46A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pct"/>
            <w:tcBorders>
              <w:tl2br w:val="nil"/>
              <w:tr2bl w:val="nil"/>
            </w:tcBorders>
            <w:noWrap w:val="0"/>
            <w:vAlign w:val="center"/>
          </w:tcPr>
          <w:p w14:paraId="71038906">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TSP</w:t>
            </w:r>
          </w:p>
        </w:tc>
        <w:tc>
          <w:tcPr>
            <w:tcW w:w="1031" w:type="pct"/>
            <w:tcBorders>
              <w:tl2br w:val="nil"/>
              <w:tr2bl w:val="nil"/>
            </w:tcBorders>
            <w:noWrap w:val="0"/>
            <w:vAlign w:val="center"/>
          </w:tcPr>
          <w:p w14:paraId="33E59094">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1小时平均*</w:t>
            </w:r>
          </w:p>
        </w:tc>
        <w:tc>
          <w:tcPr>
            <w:tcW w:w="972" w:type="pct"/>
            <w:tcBorders>
              <w:tl2br w:val="nil"/>
              <w:tr2bl w:val="nil"/>
            </w:tcBorders>
            <w:noWrap w:val="0"/>
            <w:vAlign w:val="center"/>
          </w:tcPr>
          <w:p w14:paraId="78FB4B07">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eastAsia" w:ascii="Times New Roman" w:hAnsi="Times New Roman" w:eastAsia="宋体"/>
                <w:b w:val="0"/>
                <w:color w:val="auto"/>
                <w:sz w:val="21"/>
                <w:lang w:val="en-US" w:eastAsia="zh-CN"/>
              </w:rPr>
              <w:t>900</w:t>
            </w:r>
            <w:r>
              <w:rPr>
                <w:rFonts w:hint="default" w:ascii="Times New Roman" w:hAnsi="Times New Roman" w:eastAsia="宋体"/>
                <w:b w:val="0"/>
                <w:color w:val="auto"/>
                <w:sz w:val="21"/>
              </w:rPr>
              <w:t>µg/m</w:t>
            </w:r>
            <w:r>
              <w:rPr>
                <w:rFonts w:hint="default" w:ascii="Times New Roman" w:hAnsi="Times New Roman" w:eastAsia="宋体"/>
                <w:b w:val="0"/>
                <w:color w:val="auto"/>
                <w:sz w:val="21"/>
                <w:vertAlign w:val="superscript"/>
              </w:rPr>
              <w:t>3</w:t>
            </w:r>
          </w:p>
        </w:tc>
        <w:tc>
          <w:tcPr>
            <w:tcW w:w="2129" w:type="pct"/>
            <w:tcBorders>
              <w:tl2br w:val="nil"/>
              <w:tr2bl w:val="nil"/>
            </w:tcBorders>
            <w:noWrap w:val="0"/>
            <w:vAlign w:val="center"/>
          </w:tcPr>
          <w:p w14:paraId="54FEB9DA">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《环境空气质量标准》（GB 3095-2012）</w:t>
            </w:r>
          </w:p>
        </w:tc>
      </w:tr>
      <w:tr w14:paraId="62F90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pct"/>
            <w:tcBorders>
              <w:tl2br w:val="nil"/>
              <w:tr2bl w:val="nil"/>
            </w:tcBorders>
            <w:noWrap w:val="0"/>
            <w:vAlign w:val="center"/>
          </w:tcPr>
          <w:p w14:paraId="716139A1">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NMHC</w:t>
            </w:r>
          </w:p>
        </w:tc>
        <w:tc>
          <w:tcPr>
            <w:tcW w:w="1031" w:type="pct"/>
            <w:tcBorders>
              <w:tl2br w:val="nil"/>
              <w:tr2bl w:val="nil"/>
            </w:tcBorders>
            <w:noWrap w:val="0"/>
            <w:vAlign w:val="center"/>
          </w:tcPr>
          <w:p w14:paraId="694F6881">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1小时平均*</w:t>
            </w:r>
          </w:p>
        </w:tc>
        <w:tc>
          <w:tcPr>
            <w:tcW w:w="972" w:type="pct"/>
            <w:tcBorders>
              <w:tl2br w:val="nil"/>
              <w:tr2bl w:val="nil"/>
            </w:tcBorders>
            <w:noWrap w:val="0"/>
            <w:vAlign w:val="center"/>
          </w:tcPr>
          <w:p w14:paraId="603DDF30">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eastAsia" w:ascii="Times New Roman" w:hAnsi="Times New Roman" w:eastAsia="宋体"/>
                <w:b w:val="0"/>
                <w:color w:val="auto"/>
                <w:sz w:val="21"/>
                <w:lang w:val="en-US" w:eastAsia="zh-CN"/>
              </w:rPr>
              <w:t>2000</w:t>
            </w:r>
            <w:r>
              <w:rPr>
                <w:rFonts w:hint="default" w:ascii="Times New Roman" w:hAnsi="Times New Roman" w:eastAsia="宋体"/>
                <w:b w:val="0"/>
                <w:color w:val="auto"/>
                <w:sz w:val="21"/>
              </w:rPr>
              <w:t>µg/m</w:t>
            </w:r>
            <w:r>
              <w:rPr>
                <w:rFonts w:hint="default" w:ascii="Times New Roman" w:hAnsi="Times New Roman" w:eastAsia="宋体"/>
                <w:b w:val="0"/>
                <w:color w:val="auto"/>
                <w:sz w:val="21"/>
                <w:vertAlign w:val="superscript"/>
              </w:rPr>
              <w:t>3</w:t>
            </w:r>
          </w:p>
        </w:tc>
        <w:tc>
          <w:tcPr>
            <w:tcW w:w="2129" w:type="pct"/>
            <w:tcBorders>
              <w:tl2br w:val="nil"/>
              <w:tr2bl w:val="nil"/>
            </w:tcBorders>
            <w:noWrap w:val="0"/>
            <w:vAlign w:val="center"/>
          </w:tcPr>
          <w:p w14:paraId="684C4F40">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《大气污染物综合排放标准详解》非甲烷总烃标准取值</w:t>
            </w:r>
          </w:p>
        </w:tc>
      </w:tr>
      <w:tr w14:paraId="75EA9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350F7F57">
            <w:pPr>
              <w:pStyle w:val="56"/>
              <w:keepNext w:val="0"/>
              <w:keepLines w:val="0"/>
              <w:pageBreakBefore w:val="0"/>
              <w:widowControl/>
              <w:shd w:val="clea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b w:val="0"/>
                <w:color w:val="auto"/>
                <w:sz w:val="21"/>
              </w:rPr>
            </w:pPr>
            <w:r>
              <w:rPr>
                <w:rFonts w:hint="default" w:ascii="Times New Roman" w:hAnsi="Times New Roman" w:eastAsia="宋体"/>
                <w:b w:val="0"/>
                <w:color w:val="auto"/>
                <w:sz w:val="21"/>
              </w:rPr>
              <w:t>*注：根据导则要求，对仅有8h平均、日平均或年平均质量浓度限值的，可分别按2倍、3倍、6倍折算为1h平均质量浓度限值。</w:t>
            </w:r>
          </w:p>
        </w:tc>
      </w:tr>
    </w:tbl>
    <w:p w14:paraId="4A99576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（2）预测计算模型</w:t>
      </w:r>
    </w:p>
    <w:p w14:paraId="77BAC54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本次评价选用《环境影响评价技术导则大气环境》（HJ2.2-2018）推荐的AERSCREEN模型对项目区大气污染物落地浓度分布进行计算。</w:t>
      </w:r>
    </w:p>
    <w:p w14:paraId="53305F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本项目估算模型参数表见表5.2-3。</w:t>
      </w:r>
    </w:p>
    <w:p w14:paraId="01BBA9EE">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表5.2-3各污染源参数选取</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04"/>
        <w:gridCol w:w="2033"/>
        <w:gridCol w:w="4656"/>
      </w:tblGrid>
      <w:tr w14:paraId="123034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2226" w:type="pct"/>
            <w:gridSpan w:val="2"/>
            <w:tcBorders>
              <w:tl2br w:val="nil"/>
              <w:tr2bl w:val="nil"/>
            </w:tcBorders>
            <w:vAlign w:val="center"/>
          </w:tcPr>
          <w:p w14:paraId="1772BD0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参数</w:t>
            </w:r>
          </w:p>
        </w:tc>
        <w:tc>
          <w:tcPr>
            <w:tcW w:w="2773" w:type="pct"/>
            <w:tcBorders>
              <w:tl2br w:val="nil"/>
              <w:tr2bl w:val="nil"/>
            </w:tcBorders>
            <w:vAlign w:val="center"/>
          </w:tcPr>
          <w:p w14:paraId="27CA2D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取值</w:t>
            </w:r>
          </w:p>
        </w:tc>
      </w:tr>
      <w:tr w14:paraId="32960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015" w:type="pct"/>
            <w:vMerge w:val="restart"/>
            <w:tcBorders>
              <w:tl2br w:val="nil"/>
              <w:tr2bl w:val="nil"/>
            </w:tcBorders>
            <w:vAlign w:val="center"/>
          </w:tcPr>
          <w:p w14:paraId="5E6C4291">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城市</w:t>
            </w:r>
            <w:r>
              <w:rPr>
                <w:rFonts w:eastAsia="宋体"/>
                <w:snapToGrid/>
                <w:color w:val="auto"/>
              </w:rPr>
              <w:t>/</w:t>
            </w:r>
            <w:r>
              <w:rPr>
                <w:rFonts w:eastAsia="宋体" w:cs="宋体"/>
                <w:snapToGrid/>
                <w:color w:val="auto"/>
              </w:rPr>
              <w:t>农村选项</w:t>
            </w:r>
          </w:p>
        </w:tc>
        <w:tc>
          <w:tcPr>
            <w:tcW w:w="1211" w:type="pct"/>
            <w:tcBorders>
              <w:tl2br w:val="nil"/>
              <w:tr2bl w:val="nil"/>
            </w:tcBorders>
            <w:vAlign w:val="center"/>
          </w:tcPr>
          <w:p w14:paraId="7A428AEA">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城市</w:t>
            </w:r>
            <w:r>
              <w:rPr>
                <w:rFonts w:eastAsia="宋体"/>
                <w:snapToGrid/>
                <w:color w:val="auto"/>
              </w:rPr>
              <w:t>/</w:t>
            </w:r>
            <w:r>
              <w:rPr>
                <w:rFonts w:eastAsia="宋体" w:cs="宋体"/>
                <w:snapToGrid/>
                <w:color w:val="auto"/>
              </w:rPr>
              <w:t>农村</w:t>
            </w:r>
          </w:p>
        </w:tc>
        <w:tc>
          <w:tcPr>
            <w:tcW w:w="2773" w:type="pct"/>
            <w:tcBorders>
              <w:tl2br w:val="nil"/>
              <w:tr2bl w:val="nil"/>
            </w:tcBorders>
            <w:vAlign w:val="center"/>
          </w:tcPr>
          <w:p w14:paraId="65D835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农村</w:t>
            </w:r>
          </w:p>
        </w:tc>
      </w:tr>
      <w:tr w14:paraId="640FD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1015" w:type="pct"/>
            <w:vMerge w:val="continue"/>
            <w:tcBorders>
              <w:tl2br w:val="nil"/>
              <w:tr2bl w:val="nil"/>
            </w:tcBorders>
            <w:vAlign w:val="center"/>
          </w:tcPr>
          <w:p w14:paraId="4153DA3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1" w:type="pct"/>
            <w:tcBorders>
              <w:tl2br w:val="nil"/>
              <w:tr2bl w:val="nil"/>
            </w:tcBorders>
            <w:vAlign w:val="center"/>
          </w:tcPr>
          <w:p w14:paraId="48E6368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人口数（城市时选项）</w:t>
            </w:r>
          </w:p>
        </w:tc>
        <w:tc>
          <w:tcPr>
            <w:tcW w:w="2773" w:type="pct"/>
            <w:tcBorders>
              <w:tl2br w:val="nil"/>
              <w:tr2bl w:val="nil"/>
            </w:tcBorders>
            <w:vAlign w:val="center"/>
          </w:tcPr>
          <w:p w14:paraId="42C6EA1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28D14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226" w:type="pct"/>
            <w:gridSpan w:val="2"/>
            <w:tcBorders>
              <w:tl2br w:val="nil"/>
              <w:tr2bl w:val="nil"/>
            </w:tcBorders>
            <w:vAlign w:val="center"/>
          </w:tcPr>
          <w:p w14:paraId="4F3CB3B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最高环境温度</w:t>
            </w:r>
            <w:r>
              <w:rPr>
                <w:rFonts w:eastAsia="宋体"/>
                <w:snapToGrid/>
                <w:color w:val="auto"/>
              </w:rPr>
              <w:t>/</w:t>
            </w:r>
            <w:r>
              <w:rPr>
                <w:rFonts w:eastAsia="宋体" w:cs="宋体"/>
                <w:snapToGrid/>
                <w:color w:val="auto"/>
              </w:rPr>
              <w:t>℃</w:t>
            </w:r>
          </w:p>
        </w:tc>
        <w:tc>
          <w:tcPr>
            <w:tcW w:w="2773" w:type="pct"/>
            <w:tcBorders>
              <w:tl2br w:val="nil"/>
              <w:tr2bl w:val="nil"/>
            </w:tcBorders>
            <w:vAlign w:val="center"/>
          </w:tcPr>
          <w:p w14:paraId="66C82F73">
            <w:pPr>
              <w:pStyle w:val="37"/>
              <w:widowControl w:val="0"/>
              <w:shd w:val="clear"/>
              <w:kinsoku/>
              <w:autoSpaceDE/>
              <w:autoSpaceDN/>
              <w:adjustRightInd/>
              <w:snapToGrid/>
              <w:spacing w:line="360" w:lineRule="auto"/>
              <w:jc w:val="center"/>
              <w:textAlignment w:val="auto"/>
              <w:rPr>
                <w:rFonts w:eastAsia="宋体"/>
                <w:snapToGrid/>
                <w:color w:val="auto"/>
              </w:rPr>
            </w:pPr>
            <w:r>
              <w:rPr>
                <w:rFonts w:hint="eastAsia"/>
                <w:color w:val="auto"/>
              </w:rPr>
              <w:t>36.5</w:t>
            </w:r>
          </w:p>
        </w:tc>
      </w:tr>
      <w:tr w14:paraId="60916C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226" w:type="pct"/>
            <w:gridSpan w:val="2"/>
            <w:tcBorders>
              <w:tl2br w:val="nil"/>
              <w:tr2bl w:val="nil"/>
            </w:tcBorders>
            <w:vAlign w:val="center"/>
          </w:tcPr>
          <w:p w14:paraId="00B02648">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最低环境温度</w:t>
            </w:r>
            <w:r>
              <w:rPr>
                <w:rFonts w:eastAsia="宋体"/>
                <w:snapToGrid/>
                <w:color w:val="auto"/>
              </w:rPr>
              <w:t>/</w:t>
            </w:r>
            <w:r>
              <w:rPr>
                <w:rFonts w:eastAsia="宋体" w:cs="宋体"/>
                <w:snapToGrid/>
                <w:color w:val="auto"/>
              </w:rPr>
              <w:t>℃</w:t>
            </w:r>
          </w:p>
        </w:tc>
        <w:tc>
          <w:tcPr>
            <w:tcW w:w="2773" w:type="pct"/>
            <w:tcBorders>
              <w:tl2br w:val="nil"/>
              <w:tr2bl w:val="nil"/>
            </w:tcBorders>
            <w:vAlign w:val="center"/>
          </w:tcPr>
          <w:p w14:paraId="00B95228">
            <w:pPr>
              <w:pStyle w:val="37"/>
              <w:widowControl w:val="0"/>
              <w:shd w:val="clear"/>
              <w:kinsoku/>
              <w:autoSpaceDE/>
              <w:autoSpaceDN/>
              <w:adjustRightInd/>
              <w:snapToGrid/>
              <w:spacing w:line="360" w:lineRule="auto"/>
              <w:jc w:val="center"/>
              <w:textAlignment w:val="auto"/>
              <w:rPr>
                <w:rFonts w:eastAsia="宋体"/>
                <w:snapToGrid/>
                <w:color w:val="auto"/>
              </w:rPr>
            </w:pPr>
            <w:r>
              <w:rPr>
                <w:color w:val="auto"/>
              </w:rPr>
              <w:t>-</w:t>
            </w:r>
            <w:r>
              <w:rPr>
                <w:rFonts w:hint="eastAsia"/>
                <w:color w:val="auto"/>
              </w:rPr>
              <w:t>31</w:t>
            </w:r>
          </w:p>
        </w:tc>
      </w:tr>
      <w:tr w14:paraId="16B9E2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226" w:type="pct"/>
            <w:gridSpan w:val="2"/>
            <w:tcBorders>
              <w:tl2br w:val="nil"/>
              <w:tr2bl w:val="nil"/>
            </w:tcBorders>
            <w:vAlign w:val="center"/>
          </w:tcPr>
          <w:p w14:paraId="45F3910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土地利用类型</w:t>
            </w:r>
          </w:p>
        </w:tc>
        <w:tc>
          <w:tcPr>
            <w:tcW w:w="2773" w:type="pct"/>
            <w:tcBorders>
              <w:tl2br w:val="nil"/>
              <w:tr2bl w:val="nil"/>
            </w:tcBorders>
            <w:vAlign w:val="center"/>
          </w:tcPr>
          <w:p w14:paraId="2C10AC9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农村</w:t>
            </w:r>
          </w:p>
        </w:tc>
      </w:tr>
      <w:tr w14:paraId="568D67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2226" w:type="pct"/>
            <w:gridSpan w:val="2"/>
            <w:tcBorders>
              <w:tl2br w:val="nil"/>
              <w:tr2bl w:val="nil"/>
            </w:tcBorders>
            <w:vAlign w:val="center"/>
          </w:tcPr>
          <w:p w14:paraId="7442FE7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区域湿度条件</w:t>
            </w:r>
          </w:p>
        </w:tc>
        <w:tc>
          <w:tcPr>
            <w:tcW w:w="2773" w:type="pct"/>
            <w:tcBorders>
              <w:tl2br w:val="nil"/>
              <w:tr2bl w:val="nil"/>
            </w:tcBorders>
            <w:vAlign w:val="center"/>
          </w:tcPr>
          <w:p w14:paraId="4929757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干燥气候</w:t>
            </w:r>
          </w:p>
        </w:tc>
      </w:tr>
      <w:tr w14:paraId="13C8D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5" w:type="pct"/>
            <w:vMerge w:val="restart"/>
            <w:tcBorders>
              <w:tl2br w:val="nil"/>
              <w:tr2bl w:val="nil"/>
            </w:tcBorders>
            <w:vAlign w:val="center"/>
          </w:tcPr>
          <w:p w14:paraId="09CD1A7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是否考虑地形</w:t>
            </w:r>
          </w:p>
        </w:tc>
        <w:tc>
          <w:tcPr>
            <w:tcW w:w="1211" w:type="pct"/>
            <w:tcBorders>
              <w:tl2br w:val="nil"/>
              <w:tr2bl w:val="nil"/>
            </w:tcBorders>
            <w:vAlign w:val="center"/>
          </w:tcPr>
          <w:p w14:paraId="1C7D7A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考虑地形</w:t>
            </w:r>
          </w:p>
        </w:tc>
        <w:tc>
          <w:tcPr>
            <w:tcW w:w="2773" w:type="pct"/>
            <w:tcBorders>
              <w:tl2br w:val="nil"/>
              <w:tr2bl w:val="nil"/>
            </w:tcBorders>
            <w:vAlign w:val="center"/>
          </w:tcPr>
          <w:p w14:paraId="14CCE7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w:t>
            </w:r>
          </w:p>
        </w:tc>
      </w:tr>
      <w:tr w14:paraId="3DE29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5" w:type="pct"/>
            <w:vMerge w:val="continue"/>
            <w:tcBorders>
              <w:tl2br w:val="nil"/>
              <w:tr2bl w:val="nil"/>
            </w:tcBorders>
            <w:vAlign w:val="center"/>
          </w:tcPr>
          <w:p w14:paraId="1BA062A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1" w:type="pct"/>
            <w:tcBorders>
              <w:tl2br w:val="nil"/>
              <w:tr2bl w:val="nil"/>
            </w:tcBorders>
            <w:vAlign w:val="center"/>
          </w:tcPr>
          <w:p w14:paraId="72F55C3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地形数据分辨率</w:t>
            </w:r>
            <w:r>
              <w:rPr>
                <w:rFonts w:eastAsia="宋体"/>
                <w:snapToGrid/>
                <w:color w:val="auto"/>
              </w:rPr>
              <w:t>/m</w:t>
            </w:r>
          </w:p>
        </w:tc>
        <w:tc>
          <w:tcPr>
            <w:tcW w:w="2773" w:type="pct"/>
            <w:tcBorders>
              <w:tl2br w:val="nil"/>
              <w:tr2bl w:val="nil"/>
            </w:tcBorders>
            <w:vAlign w:val="center"/>
          </w:tcPr>
          <w:p w14:paraId="49E0532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90</w:t>
            </w:r>
          </w:p>
        </w:tc>
      </w:tr>
      <w:tr w14:paraId="67620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5" w:type="pct"/>
            <w:vMerge w:val="restart"/>
            <w:tcBorders>
              <w:tl2br w:val="nil"/>
              <w:tr2bl w:val="nil"/>
            </w:tcBorders>
            <w:vAlign w:val="center"/>
          </w:tcPr>
          <w:p w14:paraId="396B5D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是否考虑岸线烟熏</w:t>
            </w:r>
          </w:p>
        </w:tc>
        <w:tc>
          <w:tcPr>
            <w:tcW w:w="1211" w:type="pct"/>
            <w:tcBorders>
              <w:tl2br w:val="nil"/>
              <w:tr2bl w:val="nil"/>
            </w:tcBorders>
            <w:vAlign w:val="center"/>
          </w:tcPr>
          <w:p w14:paraId="6700938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考虑岸线烟熏</w:t>
            </w:r>
          </w:p>
        </w:tc>
        <w:tc>
          <w:tcPr>
            <w:tcW w:w="2773" w:type="pct"/>
            <w:tcBorders>
              <w:tl2br w:val="nil"/>
              <w:tr2bl w:val="nil"/>
            </w:tcBorders>
            <w:vAlign w:val="center"/>
          </w:tcPr>
          <w:p w14:paraId="1C28E19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r w14:paraId="057D4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015" w:type="pct"/>
            <w:vMerge w:val="continue"/>
            <w:tcBorders>
              <w:tl2br w:val="nil"/>
              <w:tr2bl w:val="nil"/>
            </w:tcBorders>
            <w:vAlign w:val="center"/>
          </w:tcPr>
          <w:p w14:paraId="37F0F8F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1" w:type="pct"/>
            <w:tcBorders>
              <w:tl2br w:val="nil"/>
              <w:tr2bl w:val="nil"/>
            </w:tcBorders>
            <w:vAlign w:val="center"/>
          </w:tcPr>
          <w:p w14:paraId="328B5A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岸线距离</w:t>
            </w:r>
          </w:p>
        </w:tc>
        <w:tc>
          <w:tcPr>
            <w:tcW w:w="2773" w:type="pct"/>
            <w:tcBorders>
              <w:tl2br w:val="nil"/>
              <w:tr2bl w:val="nil"/>
            </w:tcBorders>
            <w:vAlign w:val="center"/>
          </w:tcPr>
          <w:p w14:paraId="270EFFE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r w14:paraId="19C1E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015" w:type="pct"/>
            <w:vMerge w:val="continue"/>
            <w:tcBorders>
              <w:tl2br w:val="nil"/>
              <w:tr2bl w:val="nil"/>
            </w:tcBorders>
            <w:vAlign w:val="center"/>
          </w:tcPr>
          <w:p w14:paraId="31D752E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211" w:type="pct"/>
            <w:tcBorders>
              <w:tl2br w:val="nil"/>
              <w:tr2bl w:val="nil"/>
            </w:tcBorders>
            <w:vAlign w:val="center"/>
          </w:tcPr>
          <w:p w14:paraId="2C94B5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岸线方向</w:t>
            </w:r>
          </w:p>
        </w:tc>
        <w:tc>
          <w:tcPr>
            <w:tcW w:w="2773" w:type="pct"/>
            <w:tcBorders>
              <w:tl2br w:val="nil"/>
              <w:tr2bl w:val="nil"/>
            </w:tcBorders>
            <w:vAlign w:val="center"/>
          </w:tcPr>
          <w:p w14:paraId="6007793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否</w:t>
            </w:r>
          </w:p>
        </w:tc>
      </w:tr>
    </w:tbl>
    <w:p w14:paraId="3E346DD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（3）污染源参数的选择</w:t>
      </w:r>
    </w:p>
    <w:p w14:paraId="7C67AC8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本项目正常运营时，共计</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个有组织污染点源：生产车间废气处理系统，</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个无组织污染面源：生产车间，大气预测所选用废气排放参数均</w:t>
      </w:r>
      <w:r>
        <w:rPr>
          <w:rFonts w:hint="eastAsia" w:ascii="Times New Roman" w:hAnsi="Times New Roman"/>
          <w:snapToGrid/>
          <w:color w:val="auto"/>
          <w:sz w:val="24"/>
          <w:szCs w:val="24"/>
          <w:lang w:eastAsia="zh-CN"/>
        </w:rPr>
        <w:t>来自</w:t>
      </w:r>
      <w:r>
        <w:rPr>
          <w:rFonts w:ascii="Times New Roman" w:hAnsi="Times New Roman"/>
          <w:snapToGrid/>
          <w:color w:val="auto"/>
          <w:sz w:val="24"/>
          <w:szCs w:val="24"/>
          <w:lang w:eastAsia="zh-CN"/>
        </w:rPr>
        <w:t>工程分析，全厂正常工况下废气排放源主要参数见表5.2-4、5.2-5。</w:t>
      </w:r>
    </w:p>
    <w:p w14:paraId="30535AF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p>
    <w:p w14:paraId="699B4C2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33" w:type="default"/>
          <w:footerReference r:id="rId34" w:type="default"/>
          <w:pgSz w:w="11906" w:h="16838"/>
          <w:pgMar w:top="1136" w:right="1770" w:bottom="1157" w:left="1771" w:header="868" w:footer="994" w:gutter="0"/>
          <w:pgBorders>
            <w:top w:val="none" w:sz="0" w:space="0"/>
            <w:left w:val="none" w:sz="0" w:space="0"/>
            <w:bottom w:val="none" w:sz="0" w:space="0"/>
            <w:right w:val="none" w:sz="0" w:space="0"/>
          </w:pgBorders>
          <w:cols w:space="720" w:num="1"/>
        </w:sectPr>
      </w:pPr>
    </w:p>
    <w:p w14:paraId="020EBB71">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表5.2-4有组织废气污染源排放参数</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21"/>
        <w:gridCol w:w="1441"/>
        <w:gridCol w:w="1481"/>
        <w:gridCol w:w="1411"/>
        <w:gridCol w:w="1722"/>
        <w:gridCol w:w="1146"/>
        <w:gridCol w:w="961"/>
        <w:gridCol w:w="1183"/>
        <w:gridCol w:w="1304"/>
        <w:gridCol w:w="1071"/>
      </w:tblGrid>
      <w:tr w14:paraId="65D9D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826" w:type="pct"/>
            <w:vMerge w:val="restart"/>
            <w:tcBorders>
              <w:tl2br w:val="nil"/>
              <w:tr2bl w:val="nil"/>
            </w:tcBorders>
            <w:vAlign w:val="center"/>
          </w:tcPr>
          <w:p w14:paraId="0A3992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513" w:type="pct"/>
            <w:vMerge w:val="restart"/>
            <w:tcBorders>
              <w:tl2br w:val="nil"/>
              <w:tr2bl w:val="nil"/>
            </w:tcBorders>
            <w:vAlign w:val="center"/>
          </w:tcPr>
          <w:p w14:paraId="5DC477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527" w:type="pct"/>
            <w:vMerge w:val="restart"/>
            <w:tcBorders>
              <w:tl2br w:val="nil"/>
              <w:tr2bl w:val="nil"/>
            </w:tcBorders>
            <w:vAlign w:val="center"/>
          </w:tcPr>
          <w:p w14:paraId="552503E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b/>
                <w:bCs/>
                <w:snapToGrid/>
                <w:color w:val="auto"/>
              </w:rPr>
              <w:t>废气量</w:t>
            </w:r>
            <w:r>
              <w:rPr>
                <w:rFonts w:eastAsia="宋体"/>
                <w:b/>
                <w:bCs/>
                <w:snapToGrid/>
                <w:color w:val="auto"/>
              </w:rPr>
              <w:t>m</w:t>
            </w:r>
            <w:r>
              <w:rPr>
                <w:rFonts w:eastAsia="宋体" w:cs="宋体"/>
                <w:b/>
                <w:bCs/>
                <w:snapToGrid/>
                <w:color w:val="auto"/>
              </w:rPr>
              <w:t>³</w:t>
            </w:r>
            <w:r>
              <w:rPr>
                <w:rFonts w:eastAsia="宋体"/>
                <w:b/>
                <w:bCs/>
                <w:snapToGrid/>
                <w:color w:val="auto"/>
              </w:rPr>
              <w:t>/h</w:t>
            </w:r>
          </w:p>
        </w:tc>
        <w:tc>
          <w:tcPr>
            <w:tcW w:w="502" w:type="pct"/>
            <w:vMerge w:val="restart"/>
            <w:tcBorders>
              <w:tl2br w:val="nil"/>
              <w:tr2bl w:val="nil"/>
            </w:tcBorders>
            <w:vAlign w:val="center"/>
          </w:tcPr>
          <w:p w14:paraId="08134B2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b/>
                <w:bCs/>
                <w:snapToGrid/>
                <w:color w:val="auto"/>
              </w:rPr>
              <w:t>排放速率</w:t>
            </w:r>
            <w:r>
              <w:rPr>
                <w:rFonts w:eastAsia="宋体"/>
                <w:b/>
                <w:bCs/>
                <w:snapToGrid/>
                <w:color w:val="auto"/>
              </w:rPr>
              <w:t>kg/h</w:t>
            </w:r>
          </w:p>
        </w:tc>
        <w:tc>
          <w:tcPr>
            <w:tcW w:w="1363" w:type="pct"/>
            <w:gridSpan w:val="3"/>
            <w:tcBorders>
              <w:tl2br w:val="nil"/>
              <w:tr2bl w:val="nil"/>
            </w:tcBorders>
            <w:vAlign w:val="center"/>
          </w:tcPr>
          <w:p w14:paraId="6737AEC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排气筒参数（</w:t>
            </w:r>
            <w:r>
              <w:rPr>
                <w:rFonts w:eastAsia="宋体"/>
                <w:b/>
                <w:bCs/>
                <w:snapToGrid/>
                <w:color w:val="auto"/>
              </w:rPr>
              <w:t>m</w:t>
            </w:r>
            <w:r>
              <w:rPr>
                <w:rFonts w:eastAsia="宋体" w:cs="宋体"/>
                <w:b/>
                <w:bCs/>
                <w:snapToGrid/>
                <w:color w:val="auto"/>
              </w:rPr>
              <w:t>）</w:t>
            </w:r>
          </w:p>
        </w:tc>
        <w:tc>
          <w:tcPr>
            <w:tcW w:w="421" w:type="pct"/>
            <w:vMerge w:val="restart"/>
            <w:tcBorders>
              <w:tl2br w:val="nil"/>
              <w:tr2bl w:val="nil"/>
            </w:tcBorders>
            <w:vAlign w:val="center"/>
          </w:tcPr>
          <w:p w14:paraId="5E39C3D1">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年排放小时数（</w:t>
            </w:r>
            <w:r>
              <w:rPr>
                <w:rFonts w:eastAsia="宋体"/>
                <w:b/>
                <w:bCs/>
                <w:snapToGrid/>
                <w:color w:val="auto"/>
              </w:rPr>
              <w:t>h</w:t>
            </w:r>
            <w:r>
              <w:rPr>
                <w:rFonts w:eastAsia="宋体" w:cs="宋体"/>
                <w:b/>
                <w:bCs/>
                <w:snapToGrid/>
                <w:color w:val="auto"/>
              </w:rPr>
              <w:t>）</w:t>
            </w:r>
          </w:p>
        </w:tc>
        <w:tc>
          <w:tcPr>
            <w:tcW w:w="464" w:type="pct"/>
            <w:vMerge w:val="restart"/>
            <w:tcBorders>
              <w:tl2br w:val="nil"/>
              <w:tr2bl w:val="nil"/>
            </w:tcBorders>
            <w:vAlign w:val="center"/>
          </w:tcPr>
          <w:p w14:paraId="6919FE7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排放工况</w:t>
            </w:r>
          </w:p>
        </w:tc>
        <w:tc>
          <w:tcPr>
            <w:tcW w:w="381" w:type="pct"/>
            <w:vMerge w:val="restart"/>
            <w:tcBorders>
              <w:tl2br w:val="nil"/>
              <w:tr2bl w:val="nil"/>
            </w:tcBorders>
            <w:vAlign w:val="center"/>
          </w:tcPr>
          <w:p w14:paraId="2545124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污染源性质</w:t>
            </w:r>
          </w:p>
        </w:tc>
      </w:tr>
      <w:tr w14:paraId="28D7E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826" w:type="pct"/>
            <w:vMerge w:val="continue"/>
            <w:tcBorders>
              <w:tl2br w:val="nil"/>
              <w:tr2bl w:val="nil"/>
            </w:tcBorders>
            <w:vAlign w:val="center"/>
          </w:tcPr>
          <w:p w14:paraId="71668DD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3" w:type="pct"/>
            <w:vMerge w:val="continue"/>
            <w:tcBorders>
              <w:tl2br w:val="nil"/>
              <w:tr2bl w:val="nil"/>
            </w:tcBorders>
            <w:vAlign w:val="center"/>
          </w:tcPr>
          <w:p w14:paraId="065D78A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27" w:type="pct"/>
            <w:vMerge w:val="continue"/>
            <w:tcBorders>
              <w:tl2br w:val="nil"/>
              <w:tr2bl w:val="nil"/>
            </w:tcBorders>
            <w:vAlign w:val="center"/>
          </w:tcPr>
          <w:p w14:paraId="4AEB8EF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02" w:type="pct"/>
            <w:vMerge w:val="continue"/>
            <w:tcBorders>
              <w:tl2br w:val="nil"/>
              <w:tr2bl w:val="nil"/>
            </w:tcBorders>
            <w:vAlign w:val="center"/>
          </w:tcPr>
          <w:p w14:paraId="49D7845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13" w:type="pct"/>
            <w:vMerge w:val="restart"/>
            <w:tcBorders>
              <w:tl2br w:val="nil"/>
              <w:tr2bl w:val="nil"/>
            </w:tcBorders>
            <w:vAlign w:val="center"/>
          </w:tcPr>
          <w:p w14:paraId="6BFC36A5">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eastAsia="zh-CN"/>
              </w:rPr>
            </w:pPr>
            <w:r>
              <w:rPr>
                <w:rFonts w:ascii="Times New Roman" w:hAnsi="Times New Roman" w:eastAsia="宋体" w:cs="宋体"/>
                <w:b/>
                <w:bCs/>
                <w:snapToGrid/>
                <w:color w:val="auto"/>
              </w:rPr>
              <w:t>排气温度</w:t>
            </w:r>
            <w:r>
              <w:rPr>
                <w:rFonts w:hint="eastAsia" w:ascii="Times New Roman" w:hAnsi="Times New Roman" w:eastAsia="宋体" w:cs="宋体"/>
                <w:b/>
                <w:bCs/>
                <w:snapToGrid/>
                <w:color w:val="auto"/>
                <w:lang w:eastAsia="zh-CN"/>
              </w:rPr>
              <w:t>（</w:t>
            </w:r>
            <w:r>
              <w:rPr>
                <w:rFonts w:ascii="Times New Roman" w:hAnsi="Times New Roman" w:eastAsia="宋体" w:cs="宋体"/>
                <w:b/>
                <w:bCs/>
                <w:snapToGrid/>
                <w:color w:val="auto"/>
              </w:rPr>
              <w:t>℃</w:t>
            </w:r>
            <w:r>
              <w:rPr>
                <w:rFonts w:hint="eastAsia" w:ascii="Times New Roman" w:hAnsi="Times New Roman" w:eastAsia="宋体" w:cs="宋体"/>
                <w:b/>
                <w:bCs/>
                <w:snapToGrid/>
                <w:color w:val="auto"/>
                <w:lang w:eastAsia="zh-CN"/>
              </w:rPr>
              <w:t>）</w:t>
            </w:r>
          </w:p>
        </w:tc>
        <w:tc>
          <w:tcPr>
            <w:tcW w:w="408" w:type="pct"/>
            <w:vMerge w:val="restart"/>
            <w:tcBorders>
              <w:tl2br w:val="nil"/>
              <w:tr2bl w:val="nil"/>
            </w:tcBorders>
            <w:vAlign w:val="center"/>
          </w:tcPr>
          <w:p w14:paraId="45C957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高度</w:t>
            </w:r>
          </w:p>
        </w:tc>
        <w:tc>
          <w:tcPr>
            <w:tcW w:w="342" w:type="pct"/>
            <w:vMerge w:val="restart"/>
            <w:tcBorders>
              <w:tl2br w:val="nil"/>
              <w:tr2bl w:val="nil"/>
            </w:tcBorders>
            <w:vAlign w:val="center"/>
          </w:tcPr>
          <w:p w14:paraId="5833360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内径</w:t>
            </w:r>
          </w:p>
        </w:tc>
        <w:tc>
          <w:tcPr>
            <w:tcW w:w="421" w:type="pct"/>
            <w:vMerge w:val="continue"/>
            <w:tcBorders>
              <w:tl2br w:val="nil"/>
              <w:tr2bl w:val="nil"/>
            </w:tcBorders>
            <w:vAlign w:val="center"/>
          </w:tcPr>
          <w:p w14:paraId="3FAC2DB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64" w:type="pct"/>
            <w:vMerge w:val="continue"/>
            <w:tcBorders>
              <w:tl2br w:val="nil"/>
              <w:tr2bl w:val="nil"/>
            </w:tcBorders>
            <w:vAlign w:val="center"/>
          </w:tcPr>
          <w:p w14:paraId="4B61AAE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1" w:type="pct"/>
            <w:vMerge w:val="continue"/>
            <w:tcBorders>
              <w:tl2br w:val="nil"/>
              <w:tr2bl w:val="nil"/>
            </w:tcBorders>
            <w:vAlign w:val="center"/>
          </w:tcPr>
          <w:p w14:paraId="7CE6445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23091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826" w:type="pct"/>
            <w:vMerge w:val="continue"/>
            <w:tcBorders>
              <w:tl2br w:val="nil"/>
              <w:tr2bl w:val="nil"/>
            </w:tcBorders>
            <w:vAlign w:val="center"/>
          </w:tcPr>
          <w:p w14:paraId="7DC272D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3" w:type="pct"/>
            <w:vMerge w:val="continue"/>
            <w:tcBorders>
              <w:tl2br w:val="nil"/>
              <w:tr2bl w:val="nil"/>
            </w:tcBorders>
            <w:vAlign w:val="center"/>
          </w:tcPr>
          <w:p w14:paraId="27BCF8D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27" w:type="pct"/>
            <w:vMerge w:val="continue"/>
            <w:tcBorders>
              <w:tl2br w:val="nil"/>
              <w:tr2bl w:val="nil"/>
            </w:tcBorders>
            <w:vAlign w:val="center"/>
          </w:tcPr>
          <w:p w14:paraId="17A38D2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02" w:type="pct"/>
            <w:vMerge w:val="continue"/>
            <w:tcBorders>
              <w:tl2br w:val="nil"/>
              <w:tr2bl w:val="nil"/>
            </w:tcBorders>
            <w:vAlign w:val="center"/>
          </w:tcPr>
          <w:p w14:paraId="786ACF5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13" w:type="pct"/>
            <w:vMerge w:val="continue"/>
            <w:tcBorders>
              <w:tl2br w:val="nil"/>
              <w:tr2bl w:val="nil"/>
            </w:tcBorders>
            <w:vAlign w:val="center"/>
          </w:tcPr>
          <w:p w14:paraId="34A1CD1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08" w:type="pct"/>
            <w:vMerge w:val="continue"/>
            <w:tcBorders>
              <w:tl2br w:val="nil"/>
              <w:tr2bl w:val="nil"/>
            </w:tcBorders>
            <w:vAlign w:val="center"/>
          </w:tcPr>
          <w:p w14:paraId="3E46E9D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42" w:type="pct"/>
            <w:vMerge w:val="continue"/>
            <w:tcBorders>
              <w:tl2br w:val="nil"/>
              <w:tr2bl w:val="nil"/>
            </w:tcBorders>
            <w:vAlign w:val="center"/>
          </w:tcPr>
          <w:p w14:paraId="4186A7B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21" w:type="pct"/>
            <w:vMerge w:val="continue"/>
            <w:tcBorders>
              <w:tl2br w:val="nil"/>
              <w:tr2bl w:val="nil"/>
            </w:tcBorders>
            <w:vAlign w:val="center"/>
          </w:tcPr>
          <w:p w14:paraId="65DBF40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64" w:type="pct"/>
            <w:vMerge w:val="continue"/>
            <w:tcBorders>
              <w:tl2br w:val="nil"/>
              <w:tr2bl w:val="nil"/>
            </w:tcBorders>
            <w:vAlign w:val="center"/>
          </w:tcPr>
          <w:p w14:paraId="422EDD9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1" w:type="pct"/>
            <w:vMerge w:val="continue"/>
            <w:tcBorders>
              <w:tl2br w:val="nil"/>
              <w:tr2bl w:val="nil"/>
            </w:tcBorders>
            <w:vAlign w:val="center"/>
          </w:tcPr>
          <w:p w14:paraId="1AF779D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DD99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826" w:type="pct"/>
            <w:tcBorders>
              <w:tl2br w:val="nil"/>
              <w:tr2bl w:val="nil"/>
            </w:tcBorders>
            <w:vAlign w:val="center"/>
          </w:tcPr>
          <w:p w14:paraId="2E71C570">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snapToGrid/>
                <w:color w:val="auto"/>
                <w:lang w:eastAsia="zh-CN"/>
              </w:rPr>
              <w:t>DA001</w:t>
            </w:r>
          </w:p>
        </w:tc>
        <w:tc>
          <w:tcPr>
            <w:tcW w:w="513" w:type="pct"/>
            <w:tcBorders>
              <w:tl2br w:val="nil"/>
              <w:tr2bl w:val="nil"/>
            </w:tcBorders>
            <w:vAlign w:val="center"/>
          </w:tcPr>
          <w:p w14:paraId="5DB0362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527" w:type="pct"/>
            <w:tcBorders>
              <w:tl2br w:val="nil"/>
              <w:tr2bl w:val="nil"/>
            </w:tcBorders>
            <w:vAlign w:val="center"/>
          </w:tcPr>
          <w:p w14:paraId="4C1A2F3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51215.23</w:t>
            </w:r>
          </w:p>
        </w:tc>
        <w:tc>
          <w:tcPr>
            <w:tcW w:w="502" w:type="pct"/>
            <w:tcBorders>
              <w:tl2br w:val="nil"/>
              <w:tr2bl w:val="nil"/>
            </w:tcBorders>
            <w:vAlign w:val="center"/>
          </w:tcPr>
          <w:p w14:paraId="2391270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0.16</w:t>
            </w:r>
          </w:p>
        </w:tc>
        <w:tc>
          <w:tcPr>
            <w:tcW w:w="613" w:type="pct"/>
            <w:tcBorders>
              <w:tl2br w:val="nil"/>
              <w:tr2bl w:val="nil"/>
            </w:tcBorders>
            <w:vAlign w:val="center"/>
          </w:tcPr>
          <w:p w14:paraId="1293AC56">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25</w:t>
            </w:r>
          </w:p>
        </w:tc>
        <w:tc>
          <w:tcPr>
            <w:tcW w:w="408" w:type="pct"/>
            <w:tcBorders>
              <w:tl2br w:val="nil"/>
              <w:tr2bl w:val="nil"/>
            </w:tcBorders>
            <w:vAlign w:val="center"/>
          </w:tcPr>
          <w:p w14:paraId="464722D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15</w:t>
            </w:r>
          </w:p>
        </w:tc>
        <w:tc>
          <w:tcPr>
            <w:tcW w:w="342" w:type="pct"/>
            <w:tcBorders>
              <w:tl2br w:val="nil"/>
              <w:tr2bl w:val="nil"/>
            </w:tcBorders>
            <w:vAlign w:val="center"/>
          </w:tcPr>
          <w:p w14:paraId="320FF2B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0.5</w:t>
            </w:r>
          </w:p>
        </w:tc>
        <w:tc>
          <w:tcPr>
            <w:tcW w:w="421" w:type="pct"/>
            <w:tcBorders>
              <w:tl2br w:val="nil"/>
              <w:tr2bl w:val="nil"/>
            </w:tcBorders>
            <w:vAlign w:val="center"/>
          </w:tcPr>
          <w:p w14:paraId="28DF05D6">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5760</w:t>
            </w:r>
          </w:p>
        </w:tc>
        <w:tc>
          <w:tcPr>
            <w:tcW w:w="464" w:type="pct"/>
            <w:tcBorders>
              <w:tl2br w:val="nil"/>
              <w:tr2bl w:val="nil"/>
            </w:tcBorders>
            <w:vAlign w:val="center"/>
          </w:tcPr>
          <w:p w14:paraId="0EEFB4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正常工况</w:t>
            </w:r>
          </w:p>
        </w:tc>
        <w:tc>
          <w:tcPr>
            <w:tcW w:w="381" w:type="pct"/>
            <w:tcBorders>
              <w:tl2br w:val="nil"/>
              <w:tr2bl w:val="nil"/>
            </w:tcBorders>
            <w:vAlign w:val="center"/>
          </w:tcPr>
          <w:p w14:paraId="1CF77F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点源</w:t>
            </w:r>
          </w:p>
        </w:tc>
      </w:tr>
    </w:tbl>
    <w:p w14:paraId="7FFEBD6B">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表5.2-5面源污染源排放参数</w:t>
      </w:r>
    </w:p>
    <w:tbl>
      <w:tblPr>
        <w:tblStyle w:val="36"/>
        <w:tblW w:w="1401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2078"/>
        <w:gridCol w:w="1783"/>
        <w:gridCol w:w="1968"/>
        <w:gridCol w:w="2278"/>
        <w:gridCol w:w="1663"/>
        <w:gridCol w:w="1581"/>
        <w:gridCol w:w="1219"/>
      </w:tblGrid>
      <w:tr w14:paraId="7289C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445" w:type="dxa"/>
            <w:tcBorders>
              <w:tl2br w:val="nil"/>
              <w:tr2bl w:val="nil"/>
            </w:tcBorders>
            <w:vAlign w:val="center"/>
          </w:tcPr>
          <w:p w14:paraId="6AB5B8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2078" w:type="dxa"/>
            <w:tcBorders>
              <w:tl2br w:val="nil"/>
              <w:tr2bl w:val="nil"/>
            </w:tcBorders>
            <w:vAlign w:val="center"/>
          </w:tcPr>
          <w:p w14:paraId="5885C8C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1783" w:type="dxa"/>
            <w:tcBorders>
              <w:tl2br w:val="nil"/>
              <w:tr2bl w:val="nil"/>
            </w:tcBorders>
            <w:vAlign w:val="center"/>
          </w:tcPr>
          <w:p w14:paraId="1F73529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b/>
                <w:bCs/>
                <w:snapToGrid/>
                <w:color w:val="auto"/>
                <w:lang w:eastAsia="zh-CN"/>
              </w:rPr>
              <w:t>无组织排放量（</w:t>
            </w:r>
            <w:r>
              <w:rPr>
                <w:rFonts w:eastAsia="宋体"/>
                <w:b/>
                <w:bCs/>
                <w:snapToGrid/>
                <w:color w:val="auto"/>
                <w:lang w:eastAsia="zh-CN"/>
              </w:rPr>
              <w:t>t/a</w:t>
            </w:r>
            <w:r>
              <w:rPr>
                <w:rFonts w:eastAsia="宋体" w:cs="宋体"/>
                <w:b/>
                <w:bCs/>
                <w:snapToGrid/>
                <w:color w:val="auto"/>
                <w:lang w:eastAsia="zh-CN"/>
              </w:rPr>
              <w:t>）</w:t>
            </w:r>
          </w:p>
        </w:tc>
        <w:tc>
          <w:tcPr>
            <w:tcW w:w="1968" w:type="dxa"/>
            <w:tcBorders>
              <w:tl2br w:val="nil"/>
              <w:tr2bl w:val="nil"/>
            </w:tcBorders>
            <w:vAlign w:val="center"/>
          </w:tcPr>
          <w:p w14:paraId="2634CA8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污染源强（</w:t>
            </w:r>
            <w:r>
              <w:rPr>
                <w:rFonts w:eastAsia="宋体"/>
                <w:b/>
                <w:bCs/>
                <w:snapToGrid/>
                <w:color w:val="auto"/>
              </w:rPr>
              <w:t>kg/h</w:t>
            </w:r>
            <w:r>
              <w:rPr>
                <w:rFonts w:eastAsia="宋体" w:cs="宋体"/>
                <w:b/>
                <w:bCs/>
                <w:snapToGrid/>
                <w:color w:val="auto"/>
              </w:rPr>
              <w:t>）</w:t>
            </w:r>
          </w:p>
        </w:tc>
        <w:tc>
          <w:tcPr>
            <w:tcW w:w="2278" w:type="dxa"/>
            <w:tcBorders>
              <w:tl2br w:val="nil"/>
              <w:tr2bl w:val="nil"/>
            </w:tcBorders>
            <w:vAlign w:val="center"/>
          </w:tcPr>
          <w:p w14:paraId="524A0B5C">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排放源尺寸（</w:t>
            </w:r>
            <w:r>
              <w:rPr>
                <w:rFonts w:eastAsia="宋体"/>
                <w:b/>
                <w:bCs/>
                <w:snapToGrid/>
                <w:color w:val="auto"/>
              </w:rPr>
              <w:t>m</w:t>
            </w:r>
            <w:r>
              <w:rPr>
                <w:rFonts w:eastAsia="宋体" w:cs="宋体"/>
                <w:b/>
                <w:bCs/>
                <w:snapToGrid/>
                <w:color w:val="auto"/>
              </w:rPr>
              <w:t>）</w:t>
            </w:r>
          </w:p>
        </w:tc>
        <w:tc>
          <w:tcPr>
            <w:tcW w:w="1663" w:type="dxa"/>
            <w:tcBorders>
              <w:tl2br w:val="nil"/>
              <w:tr2bl w:val="nil"/>
            </w:tcBorders>
            <w:vAlign w:val="center"/>
          </w:tcPr>
          <w:p w14:paraId="7DA2A7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面源有效高度</w:t>
            </w:r>
          </w:p>
          <w:p w14:paraId="63FB2D3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b/>
                <w:bCs/>
                <w:snapToGrid/>
                <w:color w:val="auto"/>
                <w:lang w:eastAsia="zh-CN"/>
              </w:rPr>
              <w:t>(</w:t>
            </w:r>
            <w:r>
              <w:rPr>
                <w:rFonts w:eastAsia="宋体"/>
                <w:b/>
                <w:bCs/>
                <w:snapToGrid/>
                <w:color w:val="auto"/>
              </w:rPr>
              <w:t>m</w:t>
            </w:r>
            <w:r>
              <w:rPr>
                <w:rFonts w:hint="eastAsia" w:eastAsia="宋体"/>
                <w:b/>
                <w:bCs/>
                <w:snapToGrid/>
                <w:color w:val="auto"/>
                <w:lang w:eastAsia="zh-CN"/>
              </w:rPr>
              <w:t>)</w:t>
            </w:r>
          </w:p>
        </w:tc>
        <w:tc>
          <w:tcPr>
            <w:tcW w:w="1581" w:type="dxa"/>
            <w:tcBorders>
              <w:tl2br w:val="nil"/>
              <w:tr2bl w:val="nil"/>
            </w:tcBorders>
            <w:vAlign w:val="center"/>
          </w:tcPr>
          <w:p w14:paraId="36028B3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年排放小时数</w:t>
            </w:r>
          </w:p>
        </w:tc>
        <w:tc>
          <w:tcPr>
            <w:tcW w:w="1219" w:type="dxa"/>
            <w:tcBorders>
              <w:tl2br w:val="nil"/>
              <w:tr2bl w:val="nil"/>
            </w:tcBorders>
            <w:vAlign w:val="center"/>
          </w:tcPr>
          <w:p w14:paraId="1AA2CC7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排放工况</w:t>
            </w:r>
          </w:p>
        </w:tc>
      </w:tr>
      <w:tr w14:paraId="23D36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445" w:type="dxa"/>
            <w:tcBorders>
              <w:tl2br w:val="nil"/>
              <w:tr2bl w:val="nil"/>
            </w:tcBorders>
            <w:vAlign w:val="center"/>
          </w:tcPr>
          <w:p w14:paraId="2A61C71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生产车间</w:t>
            </w:r>
          </w:p>
        </w:tc>
        <w:tc>
          <w:tcPr>
            <w:tcW w:w="2078" w:type="dxa"/>
            <w:tcBorders>
              <w:tl2br w:val="nil"/>
              <w:tr2bl w:val="nil"/>
            </w:tcBorders>
            <w:vAlign w:val="center"/>
          </w:tcPr>
          <w:p w14:paraId="041F0A0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783" w:type="dxa"/>
            <w:tcBorders>
              <w:tl2br w:val="nil"/>
              <w:tr2bl w:val="nil"/>
            </w:tcBorders>
            <w:vAlign w:val="center"/>
          </w:tcPr>
          <w:p w14:paraId="35D09E7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0.7</w:t>
            </w:r>
          </w:p>
        </w:tc>
        <w:tc>
          <w:tcPr>
            <w:tcW w:w="1968" w:type="dxa"/>
            <w:tcBorders>
              <w:tl2br w:val="nil"/>
              <w:tr2bl w:val="nil"/>
            </w:tcBorders>
            <w:vAlign w:val="center"/>
          </w:tcPr>
          <w:p w14:paraId="1F5CE320">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0.12</w:t>
            </w:r>
          </w:p>
        </w:tc>
        <w:tc>
          <w:tcPr>
            <w:tcW w:w="2278" w:type="dxa"/>
            <w:tcBorders>
              <w:tl2br w:val="nil"/>
              <w:tr2bl w:val="nil"/>
            </w:tcBorders>
            <w:vAlign w:val="center"/>
          </w:tcPr>
          <w:p w14:paraId="49820191">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B</w:t>
            </w:r>
            <w:r>
              <w:rPr>
                <w:rFonts w:eastAsia="宋体" w:cs="宋体"/>
                <w:snapToGrid/>
                <w:color w:val="auto"/>
              </w:rPr>
              <w:t>×</w:t>
            </w:r>
            <w:r>
              <w:rPr>
                <w:rFonts w:eastAsia="宋体"/>
                <w:snapToGrid/>
                <w:color w:val="auto"/>
              </w:rPr>
              <w:t>L=</w:t>
            </w:r>
            <w:r>
              <w:rPr>
                <w:rFonts w:hint="eastAsia" w:eastAsia="宋体"/>
                <w:snapToGrid/>
                <w:color w:val="auto"/>
                <w:lang w:eastAsia="zh-CN"/>
              </w:rPr>
              <w:t>20</w:t>
            </w:r>
            <w:r>
              <w:rPr>
                <w:rFonts w:eastAsia="宋体" w:cs="宋体"/>
                <w:snapToGrid/>
                <w:color w:val="auto"/>
              </w:rPr>
              <w:t>×</w:t>
            </w:r>
            <w:r>
              <w:rPr>
                <w:rFonts w:hint="eastAsia" w:eastAsia="宋体"/>
                <w:snapToGrid/>
                <w:color w:val="auto"/>
                <w:lang w:eastAsia="zh-CN"/>
              </w:rPr>
              <w:t>40</w:t>
            </w:r>
          </w:p>
        </w:tc>
        <w:tc>
          <w:tcPr>
            <w:tcW w:w="1663" w:type="dxa"/>
            <w:tcBorders>
              <w:tl2br w:val="nil"/>
              <w:tr2bl w:val="nil"/>
            </w:tcBorders>
            <w:vAlign w:val="center"/>
          </w:tcPr>
          <w:p w14:paraId="1B82E155">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15</w:t>
            </w:r>
          </w:p>
        </w:tc>
        <w:tc>
          <w:tcPr>
            <w:tcW w:w="1581" w:type="dxa"/>
            <w:tcBorders>
              <w:tl2br w:val="nil"/>
              <w:tr2bl w:val="nil"/>
            </w:tcBorders>
            <w:vAlign w:val="center"/>
          </w:tcPr>
          <w:p w14:paraId="070B429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5760</w:t>
            </w:r>
          </w:p>
        </w:tc>
        <w:tc>
          <w:tcPr>
            <w:tcW w:w="1219" w:type="dxa"/>
            <w:tcBorders>
              <w:tl2br w:val="nil"/>
              <w:tr2bl w:val="nil"/>
            </w:tcBorders>
            <w:vAlign w:val="center"/>
          </w:tcPr>
          <w:p w14:paraId="560549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正常排放</w:t>
            </w:r>
          </w:p>
        </w:tc>
      </w:tr>
      <w:tr w14:paraId="45E060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445" w:type="dxa"/>
            <w:tcBorders>
              <w:tl2br w:val="nil"/>
              <w:tr2bl w:val="nil"/>
            </w:tcBorders>
            <w:vAlign w:val="center"/>
          </w:tcPr>
          <w:p w14:paraId="3C4C5FB3">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原料堆场</w:t>
            </w:r>
          </w:p>
        </w:tc>
        <w:tc>
          <w:tcPr>
            <w:tcW w:w="2078" w:type="dxa"/>
            <w:tcBorders>
              <w:tl2br w:val="nil"/>
              <w:tr2bl w:val="nil"/>
            </w:tcBorders>
            <w:vAlign w:val="center"/>
          </w:tcPr>
          <w:p w14:paraId="70AC27C3">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颗粒物</w:t>
            </w:r>
          </w:p>
        </w:tc>
        <w:tc>
          <w:tcPr>
            <w:tcW w:w="1783" w:type="dxa"/>
            <w:tcBorders>
              <w:tl2br w:val="nil"/>
              <w:tr2bl w:val="nil"/>
            </w:tcBorders>
            <w:vAlign w:val="center"/>
          </w:tcPr>
          <w:p w14:paraId="0A223772">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0.48</w:t>
            </w:r>
          </w:p>
        </w:tc>
        <w:tc>
          <w:tcPr>
            <w:tcW w:w="1968" w:type="dxa"/>
            <w:tcBorders>
              <w:tl2br w:val="nil"/>
              <w:tr2bl w:val="nil"/>
            </w:tcBorders>
            <w:vAlign w:val="center"/>
          </w:tcPr>
          <w:p w14:paraId="1758DFDD">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0.083</w:t>
            </w:r>
          </w:p>
        </w:tc>
        <w:tc>
          <w:tcPr>
            <w:tcW w:w="2278" w:type="dxa"/>
            <w:tcBorders>
              <w:tl2br w:val="nil"/>
              <w:tr2bl w:val="nil"/>
            </w:tcBorders>
            <w:vAlign w:val="center"/>
          </w:tcPr>
          <w:p w14:paraId="44A4F8B8">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B</w:t>
            </w:r>
            <w:r>
              <w:rPr>
                <w:rFonts w:eastAsia="宋体" w:cs="宋体"/>
                <w:snapToGrid/>
                <w:color w:val="auto"/>
              </w:rPr>
              <w:t>×</w:t>
            </w:r>
            <w:r>
              <w:rPr>
                <w:rFonts w:eastAsia="宋体"/>
                <w:snapToGrid/>
                <w:color w:val="auto"/>
              </w:rPr>
              <w:t>L=</w:t>
            </w:r>
            <w:r>
              <w:rPr>
                <w:rFonts w:hint="eastAsia" w:eastAsia="宋体"/>
                <w:snapToGrid/>
                <w:color w:val="auto"/>
                <w:lang w:val="en-US" w:eastAsia="zh-CN"/>
              </w:rPr>
              <w:t>2</w:t>
            </w:r>
            <w:r>
              <w:rPr>
                <w:rFonts w:hint="eastAsia" w:eastAsia="宋体"/>
                <w:snapToGrid/>
                <w:color w:val="auto"/>
                <w:lang w:eastAsia="zh-CN"/>
              </w:rPr>
              <w:t>0</w:t>
            </w:r>
            <w:r>
              <w:rPr>
                <w:rFonts w:eastAsia="宋体" w:cs="宋体"/>
                <w:snapToGrid/>
                <w:color w:val="auto"/>
              </w:rPr>
              <w:t>×</w:t>
            </w:r>
            <w:r>
              <w:rPr>
                <w:rFonts w:hint="eastAsia" w:eastAsia="宋体" w:cs="宋体"/>
                <w:snapToGrid/>
                <w:color w:val="auto"/>
                <w:lang w:val="en-US" w:eastAsia="zh-CN"/>
              </w:rPr>
              <w:t>3</w:t>
            </w:r>
            <w:r>
              <w:rPr>
                <w:rFonts w:hint="eastAsia" w:eastAsia="宋体"/>
                <w:snapToGrid/>
                <w:color w:val="auto"/>
                <w:lang w:eastAsia="zh-CN"/>
              </w:rPr>
              <w:t>0</w:t>
            </w:r>
          </w:p>
        </w:tc>
        <w:tc>
          <w:tcPr>
            <w:tcW w:w="1663" w:type="dxa"/>
            <w:tcBorders>
              <w:tl2br w:val="nil"/>
              <w:tr2bl w:val="nil"/>
            </w:tcBorders>
            <w:vAlign w:val="center"/>
          </w:tcPr>
          <w:p w14:paraId="1D714B74">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15</w:t>
            </w:r>
          </w:p>
        </w:tc>
        <w:tc>
          <w:tcPr>
            <w:tcW w:w="1581" w:type="dxa"/>
            <w:tcBorders>
              <w:tl2br w:val="nil"/>
              <w:tr2bl w:val="nil"/>
            </w:tcBorders>
            <w:vAlign w:val="center"/>
          </w:tcPr>
          <w:p w14:paraId="1CDCADFF">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5760</w:t>
            </w:r>
          </w:p>
        </w:tc>
        <w:tc>
          <w:tcPr>
            <w:tcW w:w="1219" w:type="dxa"/>
            <w:tcBorders>
              <w:tl2br w:val="nil"/>
              <w:tr2bl w:val="nil"/>
            </w:tcBorders>
            <w:vAlign w:val="center"/>
          </w:tcPr>
          <w:p w14:paraId="0F46972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正常排放</w:t>
            </w:r>
          </w:p>
        </w:tc>
      </w:tr>
    </w:tbl>
    <w:p w14:paraId="394045CD">
      <w:pPr>
        <w:widowControl w:val="0"/>
        <w:shd w:val="clear"/>
        <w:kinsoku/>
        <w:autoSpaceDE/>
        <w:autoSpaceDN/>
        <w:adjustRightInd/>
        <w:snapToGrid/>
        <w:textAlignment w:val="auto"/>
        <w:rPr>
          <w:rFonts w:ascii="Times New Roman" w:hAnsi="Times New Roman" w:eastAsia="宋体"/>
          <w:snapToGrid/>
          <w:color w:val="auto"/>
        </w:rPr>
      </w:pPr>
    </w:p>
    <w:p w14:paraId="5453EBB0">
      <w:pPr>
        <w:widowControl w:val="0"/>
        <w:shd w:val="clear"/>
        <w:kinsoku/>
        <w:autoSpaceDE/>
        <w:autoSpaceDN/>
        <w:adjustRightInd/>
        <w:snapToGrid/>
        <w:textAlignment w:val="auto"/>
        <w:rPr>
          <w:rFonts w:ascii="Times New Roman" w:hAnsi="Times New Roman" w:eastAsia="宋体"/>
          <w:snapToGrid/>
          <w:color w:val="auto"/>
        </w:rPr>
        <w:sectPr>
          <w:headerReference r:id="rId35" w:type="default"/>
          <w:footerReference r:id="rId36" w:type="default"/>
          <w:pgSz w:w="16838" w:h="11906"/>
          <w:pgMar w:top="1136" w:right="1410" w:bottom="1161" w:left="1411" w:header="868" w:footer="999" w:gutter="0"/>
          <w:pgBorders>
            <w:top w:val="none" w:sz="0" w:space="0"/>
            <w:left w:val="none" w:sz="0" w:space="0"/>
            <w:bottom w:val="none" w:sz="0" w:space="0"/>
            <w:right w:val="none" w:sz="0" w:space="0"/>
          </w:pgBorders>
          <w:cols w:space="720" w:num="1"/>
        </w:sectPr>
      </w:pPr>
    </w:p>
    <w:p w14:paraId="0FE9BCC7">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"file:///C:\\Users\\jobezho\\AppData\\Local\\Temp\\Rar$DIa13476.12779\\5.2.1.3" </w:instrText>
      </w:r>
      <w:r>
        <w:rPr>
          <w:color w:val="auto"/>
        </w:rPr>
        <w:fldChar w:fldCharType="separate"/>
      </w:r>
      <w:r>
        <w:rPr>
          <w:rFonts w:hint="eastAsia" w:ascii="Times New Roman" w:hAnsi="Times New Roman" w:eastAsia="宋体"/>
          <w:snapToGrid/>
          <w:color w:val="auto"/>
          <w:sz w:val="24"/>
          <w:lang w:eastAsia="zh-CN"/>
        </w:rPr>
        <w:t>5.2.1.</w:t>
      </w:r>
      <w:r>
        <w:rPr>
          <w:rFonts w:hint="eastAsia" w:ascii="Times New Roman" w:hAnsi="Times New Roman" w:eastAsia="宋体"/>
          <w:snapToGrid/>
          <w:color w:val="auto"/>
          <w:sz w:val="24"/>
          <w:lang w:val="en-US" w:eastAsia="zh-CN"/>
        </w:rPr>
        <w:t>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预测结果</w:t>
      </w:r>
    </w:p>
    <w:p w14:paraId="14FBE03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本项目工程全部建成投产后，正常工况下有组织排放废气污染物落地浓度估算见表5.2-</w:t>
      </w:r>
      <w:r>
        <w:rPr>
          <w:rFonts w:hint="eastAsia" w:ascii="Times New Roman" w:hAnsi="Times New Roman"/>
          <w:snapToGrid/>
          <w:color w:val="auto"/>
          <w:sz w:val="24"/>
          <w:szCs w:val="24"/>
          <w:lang w:eastAsia="zh-CN"/>
        </w:rPr>
        <w:t>6</w:t>
      </w:r>
      <w:r>
        <w:rPr>
          <w:rFonts w:ascii="Times New Roman" w:hAnsi="Times New Roman"/>
          <w:snapToGrid/>
          <w:color w:val="auto"/>
          <w:sz w:val="24"/>
          <w:szCs w:val="24"/>
          <w:lang w:eastAsia="zh-CN"/>
        </w:rPr>
        <w:t>，正常工况下无组织排放废气污染物落地浓度估算见表5.2-</w:t>
      </w:r>
      <w:r>
        <w:rPr>
          <w:rFonts w:hint="eastAsia" w:ascii="Times New Roman" w:hAnsi="Times New Roman"/>
          <w:snapToGrid/>
          <w:color w:val="auto"/>
          <w:sz w:val="24"/>
          <w:szCs w:val="24"/>
          <w:lang w:eastAsia="zh-CN"/>
        </w:rPr>
        <w:t>7</w:t>
      </w:r>
      <w:r>
        <w:rPr>
          <w:rFonts w:ascii="Times New Roman" w:hAnsi="Times New Roman"/>
          <w:snapToGrid/>
          <w:color w:val="auto"/>
          <w:sz w:val="24"/>
          <w:szCs w:val="24"/>
          <w:lang w:eastAsia="zh-CN"/>
        </w:rPr>
        <w:t>。</w:t>
      </w:r>
    </w:p>
    <w:p w14:paraId="1DD55350">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w:t>
      </w:r>
      <w:r>
        <w:rPr>
          <w:rFonts w:hint="eastAsia" w:ascii="Times New Roman" w:hAnsi="Times New Roman"/>
          <w:b/>
          <w:bCs/>
          <w:snapToGrid/>
          <w:color w:val="auto"/>
          <w:sz w:val="24"/>
          <w:lang w:eastAsia="zh-CN"/>
        </w:rPr>
        <w:t>6</w:t>
      </w:r>
      <w:r>
        <w:rPr>
          <w:rFonts w:ascii="Times New Roman" w:hAnsi="Times New Roman"/>
          <w:b/>
          <w:bCs/>
          <w:snapToGrid/>
          <w:color w:val="auto"/>
          <w:sz w:val="24"/>
          <w:lang w:eastAsia="zh-CN"/>
        </w:rPr>
        <w:t>正常工况下有组织废气大气污染物落地浓度估算</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05"/>
        <w:gridCol w:w="3470"/>
        <w:gridCol w:w="2425"/>
      </w:tblGrid>
      <w:tr w14:paraId="640BB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761" w:type="pct"/>
            <w:vMerge w:val="restart"/>
            <w:tcBorders>
              <w:tl2br w:val="nil"/>
              <w:tr2bl w:val="nil"/>
            </w:tcBorders>
            <w:vAlign w:val="center"/>
          </w:tcPr>
          <w:p w14:paraId="1BE9EBF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b/>
                <w:bCs/>
                <w:snapToGrid/>
                <w:color w:val="auto"/>
                <w:sz w:val="21"/>
              </w:rPr>
              <w:t>下风向距离</w:t>
            </w:r>
            <w:r>
              <w:rPr>
                <w:rFonts w:ascii="Times New Roman" w:hAnsi="Times New Roman" w:eastAsia="宋体"/>
                <w:b/>
                <w:bCs/>
                <w:snapToGrid/>
                <w:color w:val="auto"/>
                <w:sz w:val="21"/>
              </w:rPr>
              <w:t>/m</w:t>
            </w:r>
          </w:p>
        </w:tc>
        <w:tc>
          <w:tcPr>
            <w:tcW w:w="3238" w:type="pct"/>
            <w:gridSpan w:val="2"/>
            <w:vMerge w:val="restart"/>
            <w:tcBorders>
              <w:tl2br w:val="nil"/>
              <w:tr2bl w:val="nil"/>
            </w:tcBorders>
            <w:vAlign w:val="center"/>
          </w:tcPr>
          <w:p w14:paraId="780E9F8C">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b/>
                <w:bCs/>
                <w:snapToGrid/>
                <w:color w:val="auto"/>
                <w:sz w:val="21"/>
              </w:rPr>
              <w:t>DA001</w:t>
            </w:r>
            <w:r>
              <w:rPr>
                <w:rFonts w:ascii="Times New Roman" w:hAnsi="Times New Roman" w:eastAsia="宋体" w:cs="宋体"/>
                <w:b/>
                <w:bCs/>
                <w:snapToGrid/>
                <w:color w:val="auto"/>
                <w:sz w:val="21"/>
              </w:rPr>
              <w:t>非甲烷总烃</w:t>
            </w:r>
          </w:p>
        </w:tc>
      </w:tr>
      <w:tr w14:paraId="0BD04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761" w:type="pct"/>
            <w:vMerge w:val="continue"/>
            <w:tcBorders>
              <w:tl2br w:val="nil"/>
              <w:tr2bl w:val="nil"/>
            </w:tcBorders>
            <w:vAlign w:val="center"/>
          </w:tcPr>
          <w:p w14:paraId="30004F2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p>
        </w:tc>
        <w:tc>
          <w:tcPr>
            <w:tcW w:w="3238" w:type="pct"/>
            <w:gridSpan w:val="2"/>
            <w:vMerge w:val="continue"/>
            <w:tcBorders>
              <w:tl2br w:val="nil"/>
              <w:tr2bl w:val="nil"/>
            </w:tcBorders>
            <w:vAlign w:val="center"/>
          </w:tcPr>
          <w:p w14:paraId="16E9362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p>
        </w:tc>
      </w:tr>
      <w:tr w14:paraId="614E9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761" w:type="pct"/>
            <w:vMerge w:val="continue"/>
            <w:tcBorders>
              <w:tl2br w:val="nil"/>
              <w:tr2bl w:val="nil"/>
            </w:tcBorders>
            <w:vAlign w:val="center"/>
          </w:tcPr>
          <w:p w14:paraId="4F3CCF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p>
        </w:tc>
        <w:tc>
          <w:tcPr>
            <w:tcW w:w="1906" w:type="pct"/>
            <w:tcBorders>
              <w:tl2br w:val="nil"/>
              <w:tr2bl w:val="nil"/>
            </w:tcBorders>
            <w:vAlign w:val="center"/>
          </w:tcPr>
          <w:p w14:paraId="6AFBF5E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cs="宋体"/>
                <w:b/>
                <w:bCs/>
                <w:snapToGrid/>
                <w:color w:val="auto"/>
                <w:sz w:val="21"/>
              </w:rPr>
              <w:t>预测质量浓度</w:t>
            </w:r>
          </w:p>
        </w:tc>
        <w:tc>
          <w:tcPr>
            <w:tcW w:w="1332" w:type="pct"/>
            <w:tcBorders>
              <w:tl2br w:val="nil"/>
              <w:tr2bl w:val="nil"/>
            </w:tcBorders>
            <w:vAlign w:val="center"/>
          </w:tcPr>
          <w:p w14:paraId="5F15C5B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cs="宋体"/>
                <w:b/>
                <w:bCs/>
                <w:snapToGrid/>
                <w:color w:val="auto"/>
                <w:sz w:val="21"/>
              </w:rPr>
              <w:t>占标率</w:t>
            </w:r>
          </w:p>
        </w:tc>
      </w:tr>
      <w:tr w14:paraId="7E475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761" w:type="pct"/>
            <w:vMerge w:val="continue"/>
            <w:tcBorders>
              <w:tl2br w:val="nil"/>
              <w:tr2bl w:val="nil"/>
            </w:tcBorders>
            <w:vAlign w:val="center"/>
          </w:tcPr>
          <w:p w14:paraId="1F1624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p>
        </w:tc>
        <w:tc>
          <w:tcPr>
            <w:tcW w:w="1906" w:type="pct"/>
            <w:tcBorders>
              <w:tl2br w:val="nil"/>
              <w:tr2bl w:val="nil"/>
            </w:tcBorders>
            <w:vAlign w:val="center"/>
          </w:tcPr>
          <w:p w14:paraId="2F88BB6A">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hint="eastAsia" w:eastAsia="宋体" w:cs="宋体"/>
                <w:b/>
                <w:bCs/>
                <w:snapToGrid/>
                <w:color w:val="auto"/>
                <w:sz w:val="21"/>
                <w:lang w:eastAsia="zh-CN"/>
              </w:rPr>
              <w:t>(</w:t>
            </w:r>
            <w:r>
              <w:rPr>
                <w:rFonts w:ascii="Times New Roman" w:hAnsi="Times New Roman" w:eastAsia="宋体"/>
                <w:b/>
                <w:bCs/>
                <w:snapToGrid/>
                <w:color w:val="auto"/>
                <w:sz w:val="21"/>
              </w:rPr>
              <w:t>μg/m</w:t>
            </w:r>
            <w:r>
              <w:rPr>
                <w:rFonts w:ascii="Times New Roman" w:hAnsi="Times New Roman" w:eastAsia="宋体"/>
                <w:b/>
                <w:bCs/>
                <w:snapToGrid/>
                <w:color w:val="auto"/>
                <w:sz w:val="21"/>
                <w:szCs w:val="13"/>
                <w:vertAlign w:val="superscript"/>
              </w:rPr>
              <w:t>3</w:t>
            </w:r>
            <w:r>
              <w:rPr>
                <w:rFonts w:hint="eastAsia" w:eastAsia="宋体"/>
                <w:b/>
                <w:bCs/>
                <w:snapToGrid/>
                <w:color w:val="auto"/>
                <w:sz w:val="21"/>
                <w:szCs w:val="13"/>
                <w:vertAlign w:val="superscript"/>
                <w:lang w:eastAsia="zh-CN"/>
              </w:rPr>
              <w:t>)</w:t>
            </w:r>
          </w:p>
        </w:tc>
        <w:tc>
          <w:tcPr>
            <w:tcW w:w="1332" w:type="pct"/>
            <w:tcBorders>
              <w:tl2br w:val="nil"/>
              <w:tr2bl w:val="nil"/>
            </w:tcBorders>
            <w:vAlign w:val="center"/>
          </w:tcPr>
          <w:p w14:paraId="2B8A937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cs="宋体"/>
                <w:b/>
                <w:bCs/>
                <w:snapToGrid/>
                <w:color w:val="auto"/>
                <w:sz w:val="21"/>
              </w:rPr>
              <w:t>（</w:t>
            </w:r>
            <w:r>
              <w:rPr>
                <w:rFonts w:ascii="Times New Roman" w:hAnsi="Times New Roman" w:eastAsia="宋体"/>
                <w:b/>
                <w:bCs/>
                <w:snapToGrid/>
                <w:color w:val="auto"/>
                <w:sz w:val="21"/>
              </w:rPr>
              <w:t>%</w:t>
            </w:r>
            <w:r>
              <w:rPr>
                <w:rFonts w:ascii="Times New Roman" w:hAnsi="Times New Roman" w:eastAsia="宋体" w:cs="宋体"/>
                <w:b/>
                <w:bCs/>
                <w:snapToGrid/>
                <w:color w:val="auto"/>
                <w:sz w:val="21"/>
              </w:rPr>
              <w:t>）</w:t>
            </w:r>
          </w:p>
        </w:tc>
      </w:tr>
      <w:tr w14:paraId="372F67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761" w:type="pct"/>
            <w:tcBorders>
              <w:tl2br w:val="nil"/>
              <w:tr2bl w:val="nil"/>
            </w:tcBorders>
            <w:vAlign w:val="center"/>
          </w:tcPr>
          <w:p w14:paraId="10DED7A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w:t>
            </w:r>
          </w:p>
        </w:tc>
        <w:tc>
          <w:tcPr>
            <w:tcW w:w="3470" w:type="dxa"/>
            <w:tcBorders>
              <w:tl2br w:val="nil"/>
              <w:tr2bl w:val="nil"/>
            </w:tcBorders>
            <w:vAlign w:val="center"/>
          </w:tcPr>
          <w:p w14:paraId="50032BC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2.21</w:t>
            </w:r>
          </w:p>
        </w:tc>
        <w:tc>
          <w:tcPr>
            <w:tcW w:w="2425" w:type="dxa"/>
            <w:tcBorders>
              <w:tl2br w:val="nil"/>
              <w:tr2bl w:val="nil"/>
            </w:tcBorders>
            <w:vAlign w:val="center"/>
          </w:tcPr>
          <w:p w14:paraId="24B4626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0.1105</w:t>
            </w:r>
          </w:p>
        </w:tc>
      </w:tr>
      <w:tr w14:paraId="3E698B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761" w:type="pct"/>
            <w:tcBorders>
              <w:tl2br w:val="nil"/>
              <w:tr2bl w:val="nil"/>
            </w:tcBorders>
            <w:vAlign w:val="center"/>
          </w:tcPr>
          <w:p w14:paraId="3090431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w:t>
            </w:r>
          </w:p>
        </w:tc>
        <w:tc>
          <w:tcPr>
            <w:tcW w:w="3470" w:type="dxa"/>
            <w:tcBorders>
              <w:tl2br w:val="nil"/>
              <w:tr2bl w:val="nil"/>
            </w:tcBorders>
            <w:vAlign w:val="center"/>
          </w:tcPr>
          <w:p w14:paraId="2969E6F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0.4608</w:t>
            </w:r>
          </w:p>
        </w:tc>
        <w:tc>
          <w:tcPr>
            <w:tcW w:w="2425" w:type="dxa"/>
            <w:tcBorders>
              <w:tl2br w:val="nil"/>
              <w:tr2bl w:val="nil"/>
            </w:tcBorders>
            <w:vAlign w:val="center"/>
          </w:tcPr>
          <w:p w14:paraId="5ECECBB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0.02304</w:t>
            </w:r>
          </w:p>
        </w:tc>
      </w:tr>
      <w:tr w14:paraId="4134F4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761" w:type="pct"/>
            <w:tcBorders>
              <w:tl2br w:val="nil"/>
              <w:tr2bl w:val="nil"/>
            </w:tcBorders>
            <w:vAlign w:val="center"/>
          </w:tcPr>
          <w:p w14:paraId="72247E3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w:t>
            </w:r>
          </w:p>
        </w:tc>
        <w:tc>
          <w:tcPr>
            <w:tcW w:w="3470" w:type="dxa"/>
            <w:tcBorders>
              <w:tl2br w:val="nil"/>
              <w:tr2bl w:val="nil"/>
            </w:tcBorders>
            <w:vAlign w:val="center"/>
          </w:tcPr>
          <w:p w14:paraId="7D0B599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0.2393</w:t>
            </w:r>
          </w:p>
        </w:tc>
        <w:tc>
          <w:tcPr>
            <w:tcW w:w="2425" w:type="dxa"/>
            <w:tcBorders>
              <w:tl2br w:val="nil"/>
              <w:tr2bl w:val="nil"/>
            </w:tcBorders>
            <w:vAlign w:val="center"/>
          </w:tcPr>
          <w:p w14:paraId="37793D6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0.011965</w:t>
            </w:r>
          </w:p>
        </w:tc>
      </w:tr>
      <w:tr w14:paraId="5D266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761" w:type="pct"/>
            <w:tcBorders>
              <w:tl2br w:val="nil"/>
              <w:tr2bl w:val="nil"/>
            </w:tcBorders>
            <w:vAlign w:val="center"/>
          </w:tcPr>
          <w:p w14:paraId="2784796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w:t>
            </w:r>
          </w:p>
        </w:tc>
        <w:tc>
          <w:tcPr>
            <w:tcW w:w="3470" w:type="dxa"/>
            <w:tcBorders>
              <w:tl2br w:val="nil"/>
              <w:tr2bl w:val="nil"/>
            </w:tcBorders>
            <w:vAlign w:val="center"/>
          </w:tcPr>
          <w:p w14:paraId="20336CD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0.377</w:t>
            </w:r>
          </w:p>
        </w:tc>
        <w:tc>
          <w:tcPr>
            <w:tcW w:w="2425" w:type="dxa"/>
            <w:tcBorders>
              <w:tl2br w:val="nil"/>
              <w:tr2bl w:val="nil"/>
            </w:tcBorders>
            <w:vAlign w:val="center"/>
          </w:tcPr>
          <w:p w14:paraId="6FE2716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0.01885</w:t>
            </w:r>
          </w:p>
        </w:tc>
      </w:tr>
      <w:tr w14:paraId="0035FC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761" w:type="pct"/>
            <w:tcBorders>
              <w:tl2br w:val="nil"/>
              <w:tr2bl w:val="nil"/>
            </w:tcBorders>
            <w:vAlign w:val="center"/>
          </w:tcPr>
          <w:p w14:paraId="25EB15B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300</w:t>
            </w:r>
          </w:p>
        </w:tc>
        <w:tc>
          <w:tcPr>
            <w:tcW w:w="3470" w:type="dxa"/>
            <w:tcBorders>
              <w:tl2br w:val="nil"/>
              <w:tr2bl w:val="nil"/>
            </w:tcBorders>
            <w:shd w:val="clear" w:color="auto" w:fill="auto"/>
            <w:vAlign w:val="center"/>
          </w:tcPr>
          <w:p w14:paraId="46ADAC7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0.3361</w:t>
            </w:r>
          </w:p>
        </w:tc>
        <w:tc>
          <w:tcPr>
            <w:tcW w:w="2425" w:type="dxa"/>
            <w:tcBorders>
              <w:tl2br w:val="nil"/>
              <w:tr2bl w:val="nil"/>
            </w:tcBorders>
            <w:shd w:val="clear" w:color="auto" w:fill="auto"/>
            <w:vAlign w:val="center"/>
          </w:tcPr>
          <w:p w14:paraId="0FBDD23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0.016805</w:t>
            </w:r>
          </w:p>
        </w:tc>
      </w:tr>
      <w:tr w14:paraId="08ACFC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761" w:type="pct"/>
            <w:tcBorders>
              <w:tl2br w:val="nil"/>
              <w:tr2bl w:val="nil"/>
            </w:tcBorders>
            <w:vAlign w:val="center"/>
          </w:tcPr>
          <w:p w14:paraId="322815A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400</w:t>
            </w:r>
          </w:p>
        </w:tc>
        <w:tc>
          <w:tcPr>
            <w:tcW w:w="3470" w:type="dxa"/>
            <w:tcBorders>
              <w:tl2br w:val="nil"/>
              <w:tr2bl w:val="nil"/>
            </w:tcBorders>
            <w:vAlign w:val="center"/>
          </w:tcPr>
          <w:p w14:paraId="46D4927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0.3075</w:t>
            </w:r>
          </w:p>
        </w:tc>
        <w:tc>
          <w:tcPr>
            <w:tcW w:w="2425" w:type="dxa"/>
            <w:tcBorders>
              <w:tl2br w:val="nil"/>
              <w:tr2bl w:val="nil"/>
            </w:tcBorders>
            <w:vAlign w:val="center"/>
          </w:tcPr>
          <w:p w14:paraId="6404012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0.015375</w:t>
            </w:r>
          </w:p>
        </w:tc>
      </w:tr>
      <w:tr w14:paraId="1D40A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761" w:type="pct"/>
            <w:tcBorders>
              <w:tl2br w:val="nil"/>
              <w:tr2bl w:val="nil"/>
            </w:tcBorders>
            <w:vAlign w:val="center"/>
          </w:tcPr>
          <w:p w14:paraId="6F6B10D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500</w:t>
            </w:r>
          </w:p>
        </w:tc>
        <w:tc>
          <w:tcPr>
            <w:tcW w:w="3470" w:type="dxa"/>
            <w:tcBorders>
              <w:tl2br w:val="nil"/>
              <w:tr2bl w:val="nil"/>
            </w:tcBorders>
            <w:vAlign w:val="center"/>
          </w:tcPr>
          <w:p w14:paraId="79714C0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0.2713</w:t>
            </w:r>
          </w:p>
        </w:tc>
        <w:tc>
          <w:tcPr>
            <w:tcW w:w="2425" w:type="dxa"/>
            <w:tcBorders>
              <w:tl2br w:val="nil"/>
              <w:tr2bl w:val="nil"/>
            </w:tcBorders>
            <w:vAlign w:val="center"/>
          </w:tcPr>
          <w:p w14:paraId="0A7DF58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0.013565</w:t>
            </w:r>
          </w:p>
        </w:tc>
      </w:tr>
      <w:tr w14:paraId="547C20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572833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600</w:t>
            </w:r>
          </w:p>
        </w:tc>
        <w:tc>
          <w:tcPr>
            <w:tcW w:w="3470" w:type="dxa"/>
            <w:tcBorders>
              <w:tl2br w:val="nil"/>
              <w:tr2bl w:val="nil"/>
            </w:tcBorders>
            <w:vAlign w:val="center"/>
          </w:tcPr>
          <w:p w14:paraId="2521C43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0.2354</w:t>
            </w:r>
          </w:p>
        </w:tc>
        <w:tc>
          <w:tcPr>
            <w:tcW w:w="2425" w:type="dxa"/>
            <w:tcBorders>
              <w:tl2br w:val="nil"/>
              <w:tr2bl w:val="nil"/>
            </w:tcBorders>
            <w:vAlign w:val="center"/>
          </w:tcPr>
          <w:p w14:paraId="1B70E13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0.01177</w:t>
            </w:r>
          </w:p>
        </w:tc>
      </w:tr>
      <w:tr w14:paraId="633B76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390A845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700</w:t>
            </w:r>
          </w:p>
        </w:tc>
        <w:tc>
          <w:tcPr>
            <w:tcW w:w="3470" w:type="dxa"/>
            <w:tcBorders>
              <w:tl2br w:val="nil"/>
              <w:tr2bl w:val="nil"/>
            </w:tcBorders>
            <w:vAlign w:val="center"/>
          </w:tcPr>
          <w:p w14:paraId="6383F62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0.2172</w:t>
            </w:r>
          </w:p>
        </w:tc>
        <w:tc>
          <w:tcPr>
            <w:tcW w:w="2425" w:type="dxa"/>
            <w:tcBorders>
              <w:tl2br w:val="nil"/>
              <w:tr2bl w:val="nil"/>
            </w:tcBorders>
            <w:vAlign w:val="center"/>
          </w:tcPr>
          <w:p w14:paraId="58878D1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0.01086</w:t>
            </w:r>
          </w:p>
        </w:tc>
      </w:tr>
      <w:tr w14:paraId="683851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1761" w:type="pct"/>
            <w:tcBorders>
              <w:tl2br w:val="nil"/>
              <w:tr2bl w:val="nil"/>
            </w:tcBorders>
            <w:vAlign w:val="center"/>
          </w:tcPr>
          <w:p w14:paraId="7B3FF3F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800</w:t>
            </w:r>
          </w:p>
        </w:tc>
        <w:tc>
          <w:tcPr>
            <w:tcW w:w="3470" w:type="dxa"/>
            <w:tcBorders>
              <w:tl2br w:val="nil"/>
              <w:tr2bl w:val="nil"/>
            </w:tcBorders>
            <w:vAlign w:val="center"/>
          </w:tcPr>
          <w:p w14:paraId="5F7EFE0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0.1968</w:t>
            </w:r>
          </w:p>
        </w:tc>
        <w:tc>
          <w:tcPr>
            <w:tcW w:w="2425" w:type="dxa"/>
            <w:tcBorders>
              <w:tl2br w:val="nil"/>
              <w:tr2bl w:val="nil"/>
            </w:tcBorders>
            <w:vAlign w:val="center"/>
          </w:tcPr>
          <w:p w14:paraId="25E5494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0.00984</w:t>
            </w:r>
          </w:p>
        </w:tc>
      </w:tr>
      <w:tr w14:paraId="4D8AA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39E641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900</w:t>
            </w:r>
          </w:p>
        </w:tc>
        <w:tc>
          <w:tcPr>
            <w:tcW w:w="3470" w:type="dxa"/>
            <w:tcBorders>
              <w:tl2br w:val="nil"/>
              <w:tr2bl w:val="nil"/>
            </w:tcBorders>
            <w:vAlign w:val="center"/>
          </w:tcPr>
          <w:p w14:paraId="7E73CC6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0.1769</w:t>
            </w:r>
          </w:p>
        </w:tc>
        <w:tc>
          <w:tcPr>
            <w:tcW w:w="2425" w:type="dxa"/>
            <w:tcBorders>
              <w:tl2br w:val="nil"/>
              <w:tr2bl w:val="nil"/>
            </w:tcBorders>
            <w:vAlign w:val="center"/>
          </w:tcPr>
          <w:p w14:paraId="3B7689A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0.008845</w:t>
            </w:r>
          </w:p>
        </w:tc>
      </w:tr>
      <w:tr w14:paraId="4193C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C45A8E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1000</w:t>
            </w:r>
          </w:p>
        </w:tc>
        <w:tc>
          <w:tcPr>
            <w:tcW w:w="3470" w:type="dxa"/>
            <w:tcBorders>
              <w:tl2br w:val="nil"/>
              <w:tr2bl w:val="nil"/>
            </w:tcBorders>
            <w:vAlign w:val="center"/>
          </w:tcPr>
          <w:p w14:paraId="776EA6F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0.1589</w:t>
            </w:r>
          </w:p>
        </w:tc>
        <w:tc>
          <w:tcPr>
            <w:tcW w:w="2425" w:type="dxa"/>
            <w:tcBorders>
              <w:tl2br w:val="nil"/>
              <w:tr2bl w:val="nil"/>
            </w:tcBorders>
            <w:vAlign w:val="center"/>
          </w:tcPr>
          <w:p w14:paraId="6B08899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0.007945</w:t>
            </w:r>
          </w:p>
        </w:tc>
      </w:tr>
      <w:tr w14:paraId="21078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E8E691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1100</w:t>
            </w:r>
          </w:p>
        </w:tc>
        <w:tc>
          <w:tcPr>
            <w:tcW w:w="3470" w:type="dxa"/>
            <w:tcBorders>
              <w:tl2br w:val="nil"/>
              <w:tr2bl w:val="nil"/>
            </w:tcBorders>
            <w:vAlign w:val="center"/>
          </w:tcPr>
          <w:p w14:paraId="1863079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0.1431</w:t>
            </w:r>
          </w:p>
        </w:tc>
        <w:tc>
          <w:tcPr>
            <w:tcW w:w="2425" w:type="dxa"/>
            <w:tcBorders>
              <w:tl2br w:val="nil"/>
              <w:tr2bl w:val="nil"/>
            </w:tcBorders>
            <w:vAlign w:val="center"/>
          </w:tcPr>
          <w:p w14:paraId="2A26794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0.007155</w:t>
            </w:r>
          </w:p>
        </w:tc>
      </w:tr>
      <w:tr w14:paraId="20112C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1761" w:type="pct"/>
            <w:tcBorders>
              <w:tl2br w:val="nil"/>
              <w:tr2bl w:val="nil"/>
            </w:tcBorders>
            <w:vAlign w:val="center"/>
          </w:tcPr>
          <w:p w14:paraId="3807488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1200</w:t>
            </w:r>
          </w:p>
        </w:tc>
        <w:tc>
          <w:tcPr>
            <w:tcW w:w="3470" w:type="dxa"/>
            <w:tcBorders>
              <w:tl2br w:val="nil"/>
              <w:tr2bl w:val="nil"/>
            </w:tcBorders>
            <w:vAlign w:val="center"/>
          </w:tcPr>
          <w:p w14:paraId="0A764C1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0.1292</w:t>
            </w:r>
          </w:p>
        </w:tc>
        <w:tc>
          <w:tcPr>
            <w:tcW w:w="2425" w:type="dxa"/>
            <w:tcBorders>
              <w:tl2br w:val="nil"/>
              <w:tr2bl w:val="nil"/>
            </w:tcBorders>
            <w:vAlign w:val="center"/>
          </w:tcPr>
          <w:p w14:paraId="7752018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0.00646</w:t>
            </w:r>
          </w:p>
        </w:tc>
      </w:tr>
      <w:tr w14:paraId="15B4F9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4DD6952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1300</w:t>
            </w:r>
          </w:p>
        </w:tc>
        <w:tc>
          <w:tcPr>
            <w:tcW w:w="3470" w:type="dxa"/>
            <w:tcBorders>
              <w:tl2br w:val="nil"/>
              <w:tr2bl w:val="nil"/>
            </w:tcBorders>
            <w:vAlign w:val="center"/>
          </w:tcPr>
          <w:p w14:paraId="3C25B91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0.1172</w:t>
            </w:r>
          </w:p>
        </w:tc>
        <w:tc>
          <w:tcPr>
            <w:tcW w:w="2425" w:type="dxa"/>
            <w:tcBorders>
              <w:tl2br w:val="nil"/>
              <w:tr2bl w:val="nil"/>
            </w:tcBorders>
            <w:vAlign w:val="center"/>
          </w:tcPr>
          <w:p w14:paraId="0E3B583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0.00586</w:t>
            </w:r>
          </w:p>
        </w:tc>
      </w:tr>
      <w:tr w14:paraId="2CD45D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ADB095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1400</w:t>
            </w:r>
          </w:p>
        </w:tc>
        <w:tc>
          <w:tcPr>
            <w:tcW w:w="3470" w:type="dxa"/>
            <w:tcBorders>
              <w:tl2br w:val="nil"/>
              <w:tr2bl w:val="nil"/>
            </w:tcBorders>
            <w:vAlign w:val="center"/>
          </w:tcPr>
          <w:p w14:paraId="2001F78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0.1069</w:t>
            </w:r>
          </w:p>
        </w:tc>
        <w:tc>
          <w:tcPr>
            <w:tcW w:w="2425" w:type="dxa"/>
            <w:tcBorders>
              <w:tl2br w:val="nil"/>
              <w:tr2bl w:val="nil"/>
            </w:tcBorders>
            <w:vAlign w:val="center"/>
          </w:tcPr>
          <w:p w14:paraId="0681638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0.005345</w:t>
            </w:r>
          </w:p>
        </w:tc>
      </w:tr>
      <w:tr w14:paraId="743176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6A1E816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1500</w:t>
            </w:r>
          </w:p>
        </w:tc>
        <w:tc>
          <w:tcPr>
            <w:tcW w:w="3470" w:type="dxa"/>
            <w:tcBorders>
              <w:tl2br w:val="nil"/>
              <w:tr2bl w:val="nil"/>
            </w:tcBorders>
            <w:vAlign w:val="center"/>
          </w:tcPr>
          <w:p w14:paraId="2F57D5D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0.09778</w:t>
            </w:r>
          </w:p>
        </w:tc>
        <w:tc>
          <w:tcPr>
            <w:tcW w:w="2425" w:type="dxa"/>
            <w:tcBorders>
              <w:tl2br w:val="nil"/>
              <w:tr2bl w:val="nil"/>
            </w:tcBorders>
            <w:vAlign w:val="center"/>
          </w:tcPr>
          <w:p w14:paraId="57B274A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0.004889</w:t>
            </w:r>
          </w:p>
        </w:tc>
      </w:tr>
      <w:tr w14:paraId="7BE67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289C95F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1600</w:t>
            </w:r>
          </w:p>
        </w:tc>
        <w:tc>
          <w:tcPr>
            <w:tcW w:w="3470" w:type="dxa"/>
            <w:tcBorders>
              <w:tl2br w:val="nil"/>
              <w:tr2bl w:val="nil"/>
            </w:tcBorders>
            <w:vAlign w:val="center"/>
          </w:tcPr>
          <w:p w14:paraId="1A323A3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0.08986</w:t>
            </w:r>
          </w:p>
        </w:tc>
        <w:tc>
          <w:tcPr>
            <w:tcW w:w="2425" w:type="dxa"/>
            <w:tcBorders>
              <w:tl2br w:val="nil"/>
              <w:tr2bl w:val="nil"/>
            </w:tcBorders>
            <w:vAlign w:val="center"/>
          </w:tcPr>
          <w:p w14:paraId="13F011C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0.004493</w:t>
            </w:r>
          </w:p>
        </w:tc>
      </w:tr>
      <w:tr w14:paraId="27EAF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3A8A5D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1700</w:t>
            </w:r>
          </w:p>
        </w:tc>
        <w:tc>
          <w:tcPr>
            <w:tcW w:w="3470" w:type="dxa"/>
            <w:tcBorders>
              <w:tl2br w:val="nil"/>
              <w:tr2bl w:val="nil"/>
            </w:tcBorders>
            <w:vAlign w:val="center"/>
          </w:tcPr>
          <w:p w14:paraId="07EF8B9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0.0829</w:t>
            </w:r>
          </w:p>
        </w:tc>
        <w:tc>
          <w:tcPr>
            <w:tcW w:w="2425" w:type="dxa"/>
            <w:tcBorders>
              <w:tl2br w:val="nil"/>
              <w:tr2bl w:val="nil"/>
            </w:tcBorders>
            <w:vAlign w:val="center"/>
          </w:tcPr>
          <w:p w14:paraId="0BCBE3B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0.004145</w:t>
            </w:r>
          </w:p>
        </w:tc>
      </w:tr>
      <w:tr w14:paraId="7824E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7D56CC2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1800</w:t>
            </w:r>
          </w:p>
        </w:tc>
        <w:tc>
          <w:tcPr>
            <w:tcW w:w="3470" w:type="dxa"/>
            <w:tcBorders>
              <w:tl2br w:val="nil"/>
              <w:tr2bl w:val="nil"/>
            </w:tcBorders>
            <w:vAlign w:val="center"/>
          </w:tcPr>
          <w:p w14:paraId="05E3955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0.08314</w:t>
            </w:r>
          </w:p>
        </w:tc>
        <w:tc>
          <w:tcPr>
            <w:tcW w:w="2425" w:type="dxa"/>
            <w:tcBorders>
              <w:tl2br w:val="nil"/>
              <w:tr2bl w:val="nil"/>
            </w:tcBorders>
            <w:vAlign w:val="center"/>
          </w:tcPr>
          <w:p w14:paraId="06E41C7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0.004157</w:t>
            </w:r>
          </w:p>
        </w:tc>
      </w:tr>
      <w:tr w14:paraId="3FAE0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3B6A96E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1900</w:t>
            </w:r>
          </w:p>
        </w:tc>
        <w:tc>
          <w:tcPr>
            <w:tcW w:w="3470" w:type="dxa"/>
            <w:tcBorders>
              <w:tl2br w:val="nil"/>
              <w:tr2bl w:val="nil"/>
            </w:tcBorders>
            <w:vAlign w:val="center"/>
          </w:tcPr>
          <w:p w14:paraId="032B6E2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0.0868</w:t>
            </w:r>
          </w:p>
        </w:tc>
        <w:tc>
          <w:tcPr>
            <w:tcW w:w="2425" w:type="dxa"/>
            <w:tcBorders>
              <w:tl2br w:val="nil"/>
              <w:tr2bl w:val="nil"/>
            </w:tcBorders>
            <w:vAlign w:val="center"/>
          </w:tcPr>
          <w:p w14:paraId="342D0F3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0.00434</w:t>
            </w:r>
          </w:p>
        </w:tc>
      </w:tr>
      <w:tr w14:paraId="34633E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135FA06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2000</w:t>
            </w:r>
          </w:p>
        </w:tc>
        <w:tc>
          <w:tcPr>
            <w:tcW w:w="3470" w:type="dxa"/>
            <w:tcBorders>
              <w:tl2br w:val="nil"/>
              <w:tr2bl w:val="nil"/>
            </w:tcBorders>
            <w:vAlign w:val="center"/>
          </w:tcPr>
          <w:p w14:paraId="5698BE7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0.08989</w:t>
            </w:r>
          </w:p>
        </w:tc>
        <w:tc>
          <w:tcPr>
            <w:tcW w:w="2425" w:type="dxa"/>
            <w:tcBorders>
              <w:tl2br w:val="nil"/>
              <w:tr2bl w:val="nil"/>
            </w:tcBorders>
            <w:vAlign w:val="center"/>
          </w:tcPr>
          <w:p w14:paraId="3CD0E16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0.0044945</w:t>
            </w:r>
          </w:p>
        </w:tc>
      </w:tr>
      <w:tr w14:paraId="57E34F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5E6FDBC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2100</w:t>
            </w:r>
          </w:p>
        </w:tc>
        <w:tc>
          <w:tcPr>
            <w:tcW w:w="3470" w:type="dxa"/>
            <w:tcBorders>
              <w:tl2br w:val="nil"/>
              <w:tr2bl w:val="nil"/>
            </w:tcBorders>
            <w:vAlign w:val="center"/>
          </w:tcPr>
          <w:p w14:paraId="044F81A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0.09246</w:t>
            </w:r>
          </w:p>
        </w:tc>
        <w:tc>
          <w:tcPr>
            <w:tcW w:w="2425" w:type="dxa"/>
            <w:tcBorders>
              <w:tl2br w:val="nil"/>
              <w:tr2bl w:val="nil"/>
            </w:tcBorders>
            <w:vAlign w:val="center"/>
          </w:tcPr>
          <w:p w14:paraId="792D3F5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0.004623</w:t>
            </w:r>
          </w:p>
        </w:tc>
      </w:tr>
      <w:tr w14:paraId="3A246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4674C23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2200</w:t>
            </w:r>
          </w:p>
        </w:tc>
        <w:tc>
          <w:tcPr>
            <w:tcW w:w="3470" w:type="dxa"/>
            <w:tcBorders>
              <w:tl2br w:val="nil"/>
              <w:tr2bl w:val="nil"/>
            </w:tcBorders>
            <w:vAlign w:val="center"/>
          </w:tcPr>
          <w:p w14:paraId="084BA96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0.09455</w:t>
            </w:r>
          </w:p>
        </w:tc>
        <w:tc>
          <w:tcPr>
            <w:tcW w:w="2425" w:type="dxa"/>
            <w:tcBorders>
              <w:tl2br w:val="nil"/>
              <w:tr2bl w:val="nil"/>
            </w:tcBorders>
            <w:vAlign w:val="center"/>
          </w:tcPr>
          <w:p w14:paraId="59AF6E3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0.0047275</w:t>
            </w:r>
          </w:p>
        </w:tc>
      </w:tr>
      <w:tr w14:paraId="6E515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208FD49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2300</w:t>
            </w:r>
          </w:p>
        </w:tc>
        <w:tc>
          <w:tcPr>
            <w:tcW w:w="3470" w:type="dxa"/>
            <w:tcBorders>
              <w:tl2br w:val="nil"/>
              <w:tr2bl w:val="nil"/>
            </w:tcBorders>
            <w:vAlign w:val="center"/>
          </w:tcPr>
          <w:p w14:paraId="48DADA6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0.09623</w:t>
            </w:r>
          </w:p>
        </w:tc>
        <w:tc>
          <w:tcPr>
            <w:tcW w:w="2425" w:type="dxa"/>
            <w:tcBorders>
              <w:tl2br w:val="nil"/>
              <w:tr2bl w:val="nil"/>
            </w:tcBorders>
            <w:vAlign w:val="center"/>
          </w:tcPr>
          <w:p w14:paraId="0EF87FF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0.0048115</w:t>
            </w:r>
          </w:p>
        </w:tc>
      </w:tr>
      <w:tr w14:paraId="5C315E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416CB86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2400</w:t>
            </w:r>
          </w:p>
        </w:tc>
        <w:tc>
          <w:tcPr>
            <w:tcW w:w="3470" w:type="dxa"/>
            <w:tcBorders>
              <w:tl2br w:val="nil"/>
              <w:tr2bl w:val="nil"/>
            </w:tcBorders>
            <w:vAlign w:val="center"/>
          </w:tcPr>
          <w:p w14:paraId="02EB6BE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0.09755</w:t>
            </w:r>
          </w:p>
        </w:tc>
        <w:tc>
          <w:tcPr>
            <w:tcW w:w="2425" w:type="dxa"/>
            <w:tcBorders>
              <w:tl2br w:val="nil"/>
              <w:tr2bl w:val="nil"/>
            </w:tcBorders>
            <w:vAlign w:val="center"/>
          </w:tcPr>
          <w:p w14:paraId="1C96B1D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0.0048775</w:t>
            </w:r>
          </w:p>
        </w:tc>
      </w:tr>
      <w:tr w14:paraId="305E6F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761" w:type="pct"/>
            <w:tcBorders>
              <w:tl2br w:val="nil"/>
              <w:tr2bl w:val="nil"/>
            </w:tcBorders>
            <w:vAlign w:val="center"/>
          </w:tcPr>
          <w:p w14:paraId="6D0E92D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2500</w:t>
            </w:r>
          </w:p>
        </w:tc>
        <w:tc>
          <w:tcPr>
            <w:tcW w:w="3470" w:type="dxa"/>
            <w:tcBorders>
              <w:tl2br w:val="nil"/>
              <w:tr2bl w:val="nil"/>
            </w:tcBorders>
            <w:vAlign w:val="center"/>
          </w:tcPr>
          <w:p w14:paraId="6324676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0.09854</w:t>
            </w:r>
          </w:p>
        </w:tc>
        <w:tc>
          <w:tcPr>
            <w:tcW w:w="2425" w:type="dxa"/>
            <w:tcBorders>
              <w:tl2br w:val="nil"/>
              <w:tr2bl w:val="nil"/>
            </w:tcBorders>
            <w:vAlign w:val="center"/>
          </w:tcPr>
          <w:p w14:paraId="069F828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0.004927</w:t>
            </w:r>
          </w:p>
        </w:tc>
      </w:tr>
      <w:tr w14:paraId="30078F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1761" w:type="pct"/>
            <w:tcBorders>
              <w:tl2br w:val="nil"/>
              <w:tr2bl w:val="nil"/>
            </w:tcBorders>
            <w:vAlign w:val="center"/>
          </w:tcPr>
          <w:p w14:paraId="724E699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snapToGrid/>
                <w:color w:val="auto"/>
                <w:sz w:val="21"/>
                <w:lang w:eastAsia="zh-CN"/>
              </w:rPr>
              <w:t>下风向最大质量浓度及占标</w:t>
            </w:r>
            <w:r>
              <w:rPr>
                <w:rFonts w:ascii="Times New Roman" w:hAnsi="Times New Roman" w:eastAsia="宋体" w:cs="宋体"/>
                <w:snapToGrid/>
                <w:color w:val="auto"/>
                <w:sz w:val="21"/>
              </w:rPr>
              <w:t>率</w:t>
            </w:r>
            <w:r>
              <w:rPr>
                <w:rFonts w:ascii="Times New Roman" w:hAnsi="Times New Roman" w:eastAsia="宋体"/>
                <w:snapToGrid/>
                <w:color w:val="auto"/>
                <w:sz w:val="21"/>
              </w:rPr>
              <w:t>/%</w:t>
            </w:r>
          </w:p>
        </w:tc>
        <w:tc>
          <w:tcPr>
            <w:tcW w:w="3470" w:type="dxa"/>
            <w:tcBorders>
              <w:tl2br w:val="nil"/>
              <w:tr2bl w:val="nil"/>
            </w:tcBorders>
            <w:vAlign w:val="center"/>
          </w:tcPr>
          <w:p w14:paraId="4534C43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2.21</w:t>
            </w:r>
          </w:p>
        </w:tc>
        <w:tc>
          <w:tcPr>
            <w:tcW w:w="2425" w:type="dxa"/>
            <w:tcBorders>
              <w:tl2br w:val="nil"/>
              <w:tr2bl w:val="nil"/>
            </w:tcBorders>
            <w:vAlign w:val="center"/>
          </w:tcPr>
          <w:p w14:paraId="1458DC4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0.1105</w:t>
            </w:r>
          </w:p>
        </w:tc>
      </w:tr>
    </w:tbl>
    <w:p w14:paraId="2D1D9BF5">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w:t>
      </w:r>
      <w:r>
        <w:rPr>
          <w:rFonts w:hint="eastAsia" w:ascii="Times New Roman" w:hAnsi="Times New Roman"/>
          <w:b/>
          <w:bCs/>
          <w:snapToGrid/>
          <w:color w:val="auto"/>
          <w:sz w:val="24"/>
          <w:lang w:eastAsia="zh-CN"/>
        </w:rPr>
        <w:t>7</w:t>
      </w:r>
      <w:r>
        <w:rPr>
          <w:rFonts w:ascii="Times New Roman" w:hAnsi="Times New Roman"/>
          <w:b/>
          <w:bCs/>
          <w:snapToGrid/>
          <w:color w:val="auto"/>
          <w:sz w:val="24"/>
          <w:lang w:eastAsia="zh-CN"/>
        </w:rPr>
        <w:t>正常工况下非甲烷总烃无组织废气大气污染物落地浓度估算</w:t>
      </w:r>
    </w:p>
    <w:tbl>
      <w:tblPr>
        <w:tblStyle w:val="36"/>
        <w:tblW w:w="503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57"/>
        <w:gridCol w:w="4602"/>
        <w:gridCol w:w="2595"/>
        <w:gridCol w:w="8"/>
      </w:tblGrid>
      <w:tr w14:paraId="27AC4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1068" w:type="pct"/>
            <w:vMerge w:val="restart"/>
            <w:tcBorders>
              <w:tl2br w:val="nil"/>
              <w:tr2bl w:val="nil"/>
            </w:tcBorders>
            <w:vAlign w:val="center"/>
          </w:tcPr>
          <w:p w14:paraId="63F4CDA2">
            <w:pPr>
              <w:pStyle w:val="37"/>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b/>
                <w:bCs/>
                <w:snapToGrid/>
                <w:color w:val="auto"/>
                <w:sz w:val="21"/>
              </w:rPr>
              <w:t>下风向距离</w:t>
            </w:r>
            <w:r>
              <w:rPr>
                <w:rFonts w:ascii="Times New Roman" w:hAnsi="Times New Roman" w:eastAsia="宋体"/>
                <w:b/>
                <w:bCs/>
                <w:snapToGrid/>
                <w:color w:val="auto"/>
                <w:sz w:val="21"/>
              </w:rPr>
              <w:t>/m</w:t>
            </w:r>
          </w:p>
        </w:tc>
        <w:tc>
          <w:tcPr>
            <w:tcW w:w="3931" w:type="pct"/>
            <w:gridSpan w:val="3"/>
            <w:tcBorders>
              <w:tl2br w:val="nil"/>
              <w:tr2bl w:val="nil"/>
            </w:tcBorders>
            <w:vAlign w:val="center"/>
          </w:tcPr>
          <w:p w14:paraId="4181B29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hint="eastAsia" w:ascii="Times New Roman" w:hAnsi="Times New Roman" w:eastAsia="宋体" w:cs="宋体"/>
                <w:b/>
                <w:bCs/>
                <w:snapToGrid/>
                <w:color w:val="auto"/>
                <w:sz w:val="21"/>
                <w:lang w:eastAsia="zh-CN"/>
              </w:rPr>
              <w:t>生产车间</w:t>
            </w:r>
            <w:r>
              <w:rPr>
                <w:rFonts w:ascii="Times New Roman" w:hAnsi="Times New Roman" w:eastAsia="宋体" w:cs="宋体"/>
                <w:b/>
                <w:bCs/>
                <w:snapToGrid/>
                <w:color w:val="auto"/>
                <w:sz w:val="21"/>
                <w:lang w:eastAsia="zh-CN"/>
              </w:rPr>
              <w:t>无组织（非甲烷总烃）</w:t>
            </w:r>
          </w:p>
        </w:tc>
      </w:tr>
      <w:tr w14:paraId="7B21FE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1068" w:type="pct"/>
            <w:vMerge w:val="continue"/>
            <w:tcBorders>
              <w:tl2br w:val="nil"/>
              <w:tr2bl w:val="nil"/>
            </w:tcBorders>
            <w:vAlign w:val="center"/>
          </w:tcPr>
          <w:p w14:paraId="166E398D">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lang w:eastAsia="zh-CN"/>
              </w:rPr>
            </w:pPr>
          </w:p>
        </w:tc>
        <w:tc>
          <w:tcPr>
            <w:tcW w:w="2511" w:type="pct"/>
            <w:tcBorders>
              <w:tl2br w:val="nil"/>
              <w:tr2bl w:val="nil"/>
            </w:tcBorders>
            <w:vAlign w:val="center"/>
          </w:tcPr>
          <w:p w14:paraId="1DA28761">
            <w:pPr>
              <w:pStyle w:val="37"/>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b/>
                <w:bCs/>
                <w:snapToGrid/>
                <w:color w:val="auto"/>
                <w:sz w:val="21"/>
                <w:lang w:eastAsia="zh-CN"/>
              </w:rPr>
              <w:t>预测质量浓度</w:t>
            </w:r>
            <w:r>
              <w:rPr>
                <w:rFonts w:hint="eastAsia" w:ascii="Times New Roman" w:hAnsi="Times New Roman" w:eastAsia="宋体" w:cs="宋体"/>
                <w:b/>
                <w:bCs/>
                <w:snapToGrid/>
                <w:color w:val="auto"/>
                <w:sz w:val="21"/>
                <w:lang w:eastAsia="zh-CN"/>
              </w:rPr>
              <w:t>（</w:t>
            </w:r>
            <w:r>
              <w:rPr>
                <w:rFonts w:ascii="Times New Roman" w:hAnsi="Times New Roman" w:eastAsia="宋体"/>
                <w:b/>
                <w:bCs/>
                <w:snapToGrid/>
                <w:color w:val="auto"/>
                <w:sz w:val="21"/>
              </w:rPr>
              <w:t>μ</w:t>
            </w:r>
            <w:r>
              <w:rPr>
                <w:rFonts w:ascii="Times New Roman" w:hAnsi="Times New Roman" w:eastAsia="宋体"/>
                <w:b/>
                <w:bCs/>
                <w:snapToGrid/>
                <w:color w:val="auto"/>
                <w:sz w:val="21"/>
                <w:lang w:eastAsia="zh-CN"/>
              </w:rPr>
              <w:t>g/m</w:t>
            </w:r>
            <w:r>
              <w:rPr>
                <w:rFonts w:ascii="Times New Roman" w:hAnsi="Times New Roman" w:eastAsia="宋体"/>
                <w:b/>
                <w:bCs/>
                <w:snapToGrid/>
                <w:color w:val="auto"/>
                <w:sz w:val="21"/>
                <w:szCs w:val="13"/>
                <w:vertAlign w:val="superscript"/>
                <w:lang w:eastAsia="zh-CN"/>
              </w:rPr>
              <w:t>3</w:t>
            </w:r>
            <w:r>
              <w:rPr>
                <w:rFonts w:ascii="Times New Roman" w:hAnsi="Times New Roman" w:eastAsia="宋体" w:cs="宋体"/>
                <w:b/>
                <w:bCs/>
                <w:snapToGrid/>
                <w:color w:val="auto"/>
                <w:sz w:val="21"/>
                <w:lang w:eastAsia="zh-CN"/>
              </w:rPr>
              <w:t>）</w:t>
            </w:r>
          </w:p>
        </w:tc>
        <w:tc>
          <w:tcPr>
            <w:tcW w:w="1419" w:type="pct"/>
            <w:gridSpan w:val="2"/>
            <w:tcBorders>
              <w:tl2br w:val="nil"/>
              <w:tr2bl w:val="nil"/>
            </w:tcBorders>
            <w:vAlign w:val="center"/>
          </w:tcPr>
          <w:p w14:paraId="7F304DB4">
            <w:pPr>
              <w:pStyle w:val="37"/>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cs="宋体"/>
                <w:b/>
                <w:bCs/>
                <w:snapToGrid/>
                <w:color w:val="auto"/>
                <w:sz w:val="21"/>
              </w:rPr>
              <w:t>占标率（</w:t>
            </w:r>
            <w:r>
              <w:rPr>
                <w:rFonts w:ascii="Times New Roman" w:hAnsi="Times New Roman" w:eastAsia="宋体"/>
                <w:b/>
                <w:bCs/>
                <w:snapToGrid/>
                <w:color w:val="auto"/>
                <w:sz w:val="21"/>
              </w:rPr>
              <w:t>%</w:t>
            </w:r>
            <w:r>
              <w:rPr>
                <w:rFonts w:ascii="Times New Roman" w:hAnsi="Times New Roman" w:eastAsia="宋体" w:cs="宋体"/>
                <w:b/>
                <w:bCs/>
                <w:snapToGrid/>
                <w:color w:val="auto"/>
                <w:sz w:val="21"/>
              </w:rPr>
              <w:t>）</w:t>
            </w:r>
          </w:p>
        </w:tc>
      </w:tr>
      <w:tr w14:paraId="5BEEB0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957" w:type="dxa"/>
            <w:tcBorders>
              <w:tl2br w:val="nil"/>
              <w:tr2bl w:val="nil"/>
            </w:tcBorders>
            <w:vAlign w:val="center"/>
          </w:tcPr>
          <w:p w14:paraId="62390DF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w:t>
            </w:r>
          </w:p>
        </w:tc>
        <w:tc>
          <w:tcPr>
            <w:tcW w:w="4265" w:type="dxa"/>
            <w:tcBorders>
              <w:tl2br w:val="nil"/>
              <w:tr2bl w:val="nil"/>
            </w:tcBorders>
            <w:vAlign w:val="center"/>
          </w:tcPr>
          <w:p w14:paraId="41D96A3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53.99</w:t>
            </w:r>
          </w:p>
        </w:tc>
        <w:tc>
          <w:tcPr>
            <w:tcW w:w="2402" w:type="dxa"/>
            <w:gridSpan w:val="2"/>
            <w:tcBorders>
              <w:tl2br w:val="nil"/>
              <w:tr2bl w:val="nil"/>
            </w:tcBorders>
            <w:vAlign w:val="center"/>
          </w:tcPr>
          <w:p w14:paraId="4CCC7D4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2.6995</w:t>
            </w:r>
          </w:p>
        </w:tc>
      </w:tr>
      <w:tr w14:paraId="5649E0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957" w:type="dxa"/>
            <w:tcBorders>
              <w:tl2br w:val="nil"/>
              <w:tr2bl w:val="nil"/>
            </w:tcBorders>
            <w:vAlign w:val="center"/>
          </w:tcPr>
          <w:p w14:paraId="6EEBC46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80</w:t>
            </w:r>
          </w:p>
        </w:tc>
        <w:tc>
          <w:tcPr>
            <w:tcW w:w="4265" w:type="dxa"/>
            <w:tcBorders>
              <w:tl2br w:val="nil"/>
              <w:tr2bl w:val="nil"/>
            </w:tcBorders>
            <w:vAlign w:val="center"/>
          </w:tcPr>
          <w:p w14:paraId="65DAEF7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66.529999</w:t>
            </w:r>
          </w:p>
        </w:tc>
        <w:tc>
          <w:tcPr>
            <w:tcW w:w="2402" w:type="dxa"/>
            <w:gridSpan w:val="2"/>
            <w:tcBorders>
              <w:tl2br w:val="nil"/>
              <w:tr2bl w:val="nil"/>
            </w:tcBorders>
            <w:vAlign w:val="center"/>
          </w:tcPr>
          <w:p w14:paraId="1B20D9A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3.3264999</w:t>
            </w:r>
          </w:p>
        </w:tc>
      </w:tr>
      <w:tr w14:paraId="4F271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957" w:type="dxa"/>
            <w:tcBorders>
              <w:tl2br w:val="nil"/>
              <w:tr2bl w:val="nil"/>
            </w:tcBorders>
            <w:shd w:val="clear" w:color="auto" w:fill="auto"/>
            <w:vAlign w:val="center"/>
          </w:tcPr>
          <w:p w14:paraId="6B471CC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w:t>
            </w:r>
          </w:p>
        </w:tc>
        <w:tc>
          <w:tcPr>
            <w:tcW w:w="4265" w:type="dxa"/>
            <w:tcBorders>
              <w:tl2br w:val="nil"/>
              <w:tr2bl w:val="nil"/>
            </w:tcBorders>
            <w:shd w:val="clear" w:color="auto" w:fill="auto"/>
            <w:vAlign w:val="center"/>
          </w:tcPr>
          <w:p w14:paraId="22288E2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62.98</w:t>
            </w:r>
          </w:p>
        </w:tc>
        <w:tc>
          <w:tcPr>
            <w:tcW w:w="2402" w:type="dxa"/>
            <w:gridSpan w:val="2"/>
            <w:tcBorders>
              <w:tl2br w:val="nil"/>
              <w:tr2bl w:val="nil"/>
            </w:tcBorders>
            <w:shd w:val="clear" w:color="auto" w:fill="auto"/>
            <w:vAlign w:val="center"/>
          </w:tcPr>
          <w:p w14:paraId="08E187E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3.149</w:t>
            </w:r>
          </w:p>
        </w:tc>
      </w:tr>
      <w:tr w14:paraId="16DFF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957" w:type="dxa"/>
            <w:tcBorders>
              <w:tl2br w:val="nil"/>
              <w:tr2bl w:val="nil"/>
            </w:tcBorders>
            <w:vAlign w:val="center"/>
          </w:tcPr>
          <w:p w14:paraId="28EA00C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w:t>
            </w:r>
          </w:p>
        </w:tc>
        <w:tc>
          <w:tcPr>
            <w:tcW w:w="4265" w:type="dxa"/>
            <w:tcBorders>
              <w:tl2br w:val="nil"/>
              <w:tr2bl w:val="nil"/>
            </w:tcBorders>
            <w:vAlign w:val="center"/>
          </w:tcPr>
          <w:p w14:paraId="342CEBB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39.5</w:t>
            </w:r>
          </w:p>
        </w:tc>
        <w:tc>
          <w:tcPr>
            <w:tcW w:w="2402" w:type="dxa"/>
            <w:gridSpan w:val="2"/>
            <w:tcBorders>
              <w:tl2br w:val="nil"/>
              <w:tr2bl w:val="nil"/>
            </w:tcBorders>
            <w:vAlign w:val="center"/>
          </w:tcPr>
          <w:p w14:paraId="3A5CD83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1.975</w:t>
            </w:r>
          </w:p>
        </w:tc>
      </w:tr>
      <w:tr w14:paraId="4586B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957" w:type="dxa"/>
            <w:tcBorders>
              <w:tl2br w:val="nil"/>
              <w:tr2bl w:val="nil"/>
            </w:tcBorders>
            <w:vAlign w:val="center"/>
          </w:tcPr>
          <w:p w14:paraId="29A3246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300</w:t>
            </w:r>
          </w:p>
        </w:tc>
        <w:tc>
          <w:tcPr>
            <w:tcW w:w="4265" w:type="dxa"/>
            <w:tcBorders>
              <w:tl2br w:val="nil"/>
              <w:tr2bl w:val="nil"/>
            </w:tcBorders>
            <w:vAlign w:val="center"/>
          </w:tcPr>
          <w:p w14:paraId="72B8C4B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29.5</w:t>
            </w:r>
          </w:p>
        </w:tc>
        <w:tc>
          <w:tcPr>
            <w:tcW w:w="2402" w:type="dxa"/>
            <w:gridSpan w:val="2"/>
            <w:tcBorders>
              <w:tl2br w:val="nil"/>
              <w:tr2bl w:val="nil"/>
            </w:tcBorders>
            <w:vAlign w:val="center"/>
          </w:tcPr>
          <w:p w14:paraId="35602C0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1.475</w:t>
            </w:r>
          </w:p>
        </w:tc>
      </w:tr>
      <w:tr w14:paraId="347530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957" w:type="dxa"/>
            <w:tcBorders>
              <w:tl2br w:val="nil"/>
              <w:tr2bl w:val="nil"/>
            </w:tcBorders>
            <w:vAlign w:val="center"/>
          </w:tcPr>
          <w:p w14:paraId="5CB825C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400</w:t>
            </w:r>
          </w:p>
        </w:tc>
        <w:tc>
          <w:tcPr>
            <w:tcW w:w="4265" w:type="dxa"/>
            <w:tcBorders>
              <w:tl2br w:val="nil"/>
              <w:tr2bl w:val="nil"/>
            </w:tcBorders>
            <w:vAlign w:val="center"/>
          </w:tcPr>
          <w:p w14:paraId="1F8E3A0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24.02</w:t>
            </w:r>
          </w:p>
        </w:tc>
        <w:tc>
          <w:tcPr>
            <w:tcW w:w="2402" w:type="dxa"/>
            <w:gridSpan w:val="2"/>
            <w:tcBorders>
              <w:tl2br w:val="nil"/>
              <w:tr2bl w:val="nil"/>
            </w:tcBorders>
            <w:vAlign w:val="center"/>
          </w:tcPr>
          <w:p w14:paraId="2E56011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1.201</w:t>
            </w:r>
          </w:p>
        </w:tc>
      </w:tr>
      <w:tr w14:paraId="08533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957" w:type="dxa"/>
            <w:tcBorders>
              <w:tl2br w:val="nil"/>
              <w:tr2bl w:val="nil"/>
            </w:tcBorders>
            <w:vAlign w:val="center"/>
          </w:tcPr>
          <w:p w14:paraId="0ECD4B8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500</w:t>
            </w:r>
          </w:p>
        </w:tc>
        <w:tc>
          <w:tcPr>
            <w:tcW w:w="4265" w:type="dxa"/>
            <w:tcBorders>
              <w:tl2br w:val="nil"/>
              <w:tr2bl w:val="nil"/>
            </w:tcBorders>
            <w:vAlign w:val="center"/>
          </w:tcPr>
          <w:p w14:paraId="74D781E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20.49</w:t>
            </w:r>
          </w:p>
        </w:tc>
        <w:tc>
          <w:tcPr>
            <w:tcW w:w="2402" w:type="dxa"/>
            <w:gridSpan w:val="2"/>
            <w:tcBorders>
              <w:tl2br w:val="nil"/>
              <w:tr2bl w:val="nil"/>
            </w:tcBorders>
            <w:vAlign w:val="center"/>
          </w:tcPr>
          <w:p w14:paraId="0A9EC75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1.0245</w:t>
            </w:r>
          </w:p>
        </w:tc>
      </w:tr>
      <w:tr w14:paraId="69339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57" w:type="dxa"/>
            <w:tcBorders>
              <w:tl2br w:val="nil"/>
              <w:tr2bl w:val="nil"/>
            </w:tcBorders>
            <w:vAlign w:val="center"/>
          </w:tcPr>
          <w:p w14:paraId="7C38CB8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600</w:t>
            </w:r>
          </w:p>
        </w:tc>
        <w:tc>
          <w:tcPr>
            <w:tcW w:w="4265" w:type="dxa"/>
            <w:tcBorders>
              <w:tl2br w:val="nil"/>
              <w:tr2bl w:val="nil"/>
            </w:tcBorders>
            <w:vAlign w:val="center"/>
          </w:tcPr>
          <w:p w14:paraId="29E444C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18.01</w:t>
            </w:r>
          </w:p>
        </w:tc>
        <w:tc>
          <w:tcPr>
            <w:tcW w:w="2402" w:type="dxa"/>
            <w:gridSpan w:val="2"/>
            <w:tcBorders>
              <w:tl2br w:val="nil"/>
              <w:tr2bl w:val="nil"/>
            </w:tcBorders>
            <w:vAlign w:val="center"/>
          </w:tcPr>
          <w:p w14:paraId="352F0DD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0.9005</w:t>
            </w:r>
          </w:p>
        </w:tc>
      </w:tr>
      <w:tr w14:paraId="5757B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8" w:hRule="atLeast"/>
          <w:jc w:val="center"/>
        </w:trPr>
        <w:tc>
          <w:tcPr>
            <w:tcW w:w="1957" w:type="dxa"/>
            <w:tcBorders>
              <w:tl2br w:val="nil"/>
              <w:tr2bl w:val="nil"/>
            </w:tcBorders>
            <w:vAlign w:val="center"/>
          </w:tcPr>
          <w:p w14:paraId="7B5BF59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800</w:t>
            </w:r>
          </w:p>
        </w:tc>
        <w:tc>
          <w:tcPr>
            <w:tcW w:w="4265" w:type="dxa"/>
            <w:tcBorders>
              <w:tl2br w:val="nil"/>
              <w:tr2bl w:val="nil"/>
            </w:tcBorders>
            <w:vAlign w:val="center"/>
          </w:tcPr>
          <w:p w14:paraId="11EAADA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14.69</w:t>
            </w:r>
          </w:p>
        </w:tc>
        <w:tc>
          <w:tcPr>
            <w:tcW w:w="2394" w:type="dxa"/>
            <w:tcBorders>
              <w:tl2br w:val="nil"/>
              <w:tr2bl w:val="nil"/>
            </w:tcBorders>
            <w:vAlign w:val="center"/>
          </w:tcPr>
          <w:p w14:paraId="7313BD7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0.7345</w:t>
            </w:r>
          </w:p>
        </w:tc>
      </w:tr>
      <w:tr w14:paraId="5EF49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5AC5B5E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900</w:t>
            </w:r>
          </w:p>
        </w:tc>
        <w:tc>
          <w:tcPr>
            <w:tcW w:w="4265" w:type="dxa"/>
            <w:tcBorders>
              <w:tl2br w:val="nil"/>
              <w:tr2bl w:val="nil"/>
            </w:tcBorders>
            <w:vAlign w:val="center"/>
          </w:tcPr>
          <w:p w14:paraId="6DE040C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13.52</w:t>
            </w:r>
          </w:p>
        </w:tc>
        <w:tc>
          <w:tcPr>
            <w:tcW w:w="2394" w:type="dxa"/>
            <w:tcBorders>
              <w:tl2br w:val="nil"/>
              <w:tr2bl w:val="nil"/>
            </w:tcBorders>
            <w:vAlign w:val="center"/>
          </w:tcPr>
          <w:p w14:paraId="4F21CE4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0.676</w:t>
            </w:r>
          </w:p>
        </w:tc>
      </w:tr>
      <w:tr w14:paraId="21ED5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68B44CF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1000</w:t>
            </w:r>
          </w:p>
        </w:tc>
        <w:tc>
          <w:tcPr>
            <w:tcW w:w="4265" w:type="dxa"/>
            <w:tcBorders>
              <w:tl2br w:val="nil"/>
              <w:tr2bl w:val="nil"/>
            </w:tcBorders>
            <w:vAlign w:val="center"/>
          </w:tcPr>
          <w:p w14:paraId="67F9217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12.55</w:t>
            </w:r>
          </w:p>
        </w:tc>
        <w:tc>
          <w:tcPr>
            <w:tcW w:w="2394" w:type="dxa"/>
            <w:tcBorders>
              <w:tl2br w:val="nil"/>
              <w:tr2bl w:val="nil"/>
            </w:tcBorders>
            <w:vAlign w:val="center"/>
          </w:tcPr>
          <w:p w14:paraId="5B853FCC">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0.6275</w:t>
            </w:r>
          </w:p>
        </w:tc>
      </w:tr>
      <w:tr w14:paraId="1F7DD1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2" w:hRule="atLeast"/>
          <w:jc w:val="center"/>
        </w:trPr>
        <w:tc>
          <w:tcPr>
            <w:tcW w:w="1957" w:type="dxa"/>
            <w:tcBorders>
              <w:tl2br w:val="nil"/>
              <w:tr2bl w:val="nil"/>
            </w:tcBorders>
            <w:vAlign w:val="center"/>
          </w:tcPr>
          <w:p w14:paraId="29CC3D0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1100</w:t>
            </w:r>
          </w:p>
        </w:tc>
        <w:tc>
          <w:tcPr>
            <w:tcW w:w="4265" w:type="dxa"/>
            <w:tcBorders>
              <w:tl2br w:val="nil"/>
              <w:tr2bl w:val="nil"/>
            </w:tcBorders>
            <w:vAlign w:val="center"/>
          </w:tcPr>
          <w:p w14:paraId="1B4CF2F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11.74</w:t>
            </w:r>
          </w:p>
        </w:tc>
        <w:tc>
          <w:tcPr>
            <w:tcW w:w="2394" w:type="dxa"/>
            <w:tcBorders>
              <w:tl2br w:val="nil"/>
              <w:tr2bl w:val="nil"/>
            </w:tcBorders>
            <w:vAlign w:val="center"/>
          </w:tcPr>
          <w:p w14:paraId="72115F3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0.587</w:t>
            </w:r>
          </w:p>
        </w:tc>
      </w:tr>
      <w:tr w14:paraId="4C772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38E8D6E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1200</w:t>
            </w:r>
          </w:p>
        </w:tc>
        <w:tc>
          <w:tcPr>
            <w:tcW w:w="4265" w:type="dxa"/>
            <w:tcBorders>
              <w:tl2br w:val="nil"/>
              <w:tr2bl w:val="nil"/>
            </w:tcBorders>
            <w:vAlign w:val="center"/>
          </w:tcPr>
          <w:p w14:paraId="5788A6D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11.04</w:t>
            </w:r>
          </w:p>
        </w:tc>
        <w:tc>
          <w:tcPr>
            <w:tcW w:w="2394" w:type="dxa"/>
            <w:tcBorders>
              <w:tl2br w:val="nil"/>
              <w:tr2bl w:val="nil"/>
            </w:tcBorders>
            <w:vAlign w:val="center"/>
          </w:tcPr>
          <w:p w14:paraId="30767BC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0.552</w:t>
            </w:r>
          </w:p>
        </w:tc>
      </w:tr>
      <w:tr w14:paraId="5E1D81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134765B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1300</w:t>
            </w:r>
          </w:p>
        </w:tc>
        <w:tc>
          <w:tcPr>
            <w:tcW w:w="4265" w:type="dxa"/>
            <w:tcBorders>
              <w:tl2br w:val="nil"/>
              <w:tr2bl w:val="nil"/>
            </w:tcBorders>
            <w:vAlign w:val="center"/>
          </w:tcPr>
          <w:p w14:paraId="3515EB6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10.43</w:t>
            </w:r>
          </w:p>
        </w:tc>
        <w:tc>
          <w:tcPr>
            <w:tcW w:w="2394" w:type="dxa"/>
            <w:tcBorders>
              <w:tl2br w:val="nil"/>
              <w:tr2bl w:val="nil"/>
            </w:tcBorders>
            <w:vAlign w:val="center"/>
          </w:tcPr>
          <w:p w14:paraId="24F4CB0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0.5215</w:t>
            </w:r>
          </w:p>
        </w:tc>
      </w:tr>
      <w:tr w14:paraId="17A17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2D034FF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1400</w:t>
            </w:r>
          </w:p>
        </w:tc>
        <w:tc>
          <w:tcPr>
            <w:tcW w:w="4265" w:type="dxa"/>
            <w:tcBorders>
              <w:tl2br w:val="nil"/>
              <w:tr2bl w:val="nil"/>
            </w:tcBorders>
            <w:vAlign w:val="center"/>
          </w:tcPr>
          <w:p w14:paraId="731F72F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9.904</w:t>
            </w:r>
          </w:p>
        </w:tc>
        <w:tc>
          <w:tcPr>
            <w:tcW w:w="2394" w:type="dxa"/>
            <w:tcBorders>
              <w:tl2br w:val="nil"/>
              <w:tr2bl w:val="nil"/>
            </w:tcBorders>
            <w:vAlign w:val="center"/>
          </w:tcPr>
          <w:p w14:paraId="188A95CC">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0.4952</w:t>
            </w:r>
          </w:p>
        </w:tc>
      </w:tr>
      <w:tr w14:paraId="20D52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28563E3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1500</w:t>
            </w:r>
          </w:p>
        </w:tc>
        <w:tc>
          <w:tcPr>
            <w:tcW w:w="4265" w:type="dxa"/>
            <w:tcBorders>
              <w:tl2br w:val="nil"/>
              <w:tr2bl w:val="nil"/>
            </w:tcBorders>
            <w:vAlign w:val="center"/>
          </w:tcPr>
          <w:p w14:paraId="0F9E2F0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9.434</w:t>
            </w:r>
          </w:p>
        </w:tc>
        <w:tc>
          <w:tcPr>
            <w:tcW w:w="2394" w:type="dxa"/>
            <w:tcBorders>
              <w:tl2br w:val="nil"/>
              <w:tr2bl w:val="nil"/>
            </w:tcBorders>
            <w:vAlign w:val="center"/>
          </w:tcPr>
          <w:p w14:paraId="427F185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0.4717</w:t>
            </w:r>
          </w:p>
        </w:tc>
      </w:tr>
      <w:tr w14:paraId="5BA2B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2B5A89A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1600</w:t>
            </w:r>
          </w:p>
        </w:tc>
        <w:tc>
          <w:tcPr>
            <w:tcW w:w="4265" w:type="dxa"/>
            <w:tcBorders>
              <w:tl2br w:val="nil"/>
              <w:tr2bl w:val="nil"/>
            </w:tcBorders>
            <w:vAlign w:val="center"/>
          </w:tcPr>
          <w:p w14:paraId="4B600E4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9.016</w:t>
            </w:r>
          </w:p>
        </w:tc>
        <w:tc>
          <w:tcPr>
            <w:tcW w:w="2394" w:type="dxa"/>
            <w:tcBorders>
              <w:tl2br w:val="nil"/>
              <w:tr2bl w:val="nil"/>
            </w:tcBorders>
            <w:vAlign w:val="center"/>
          </w:tcPr>
          <w:p w14:paraId="3F0FC91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0.4508</w:t>
            </w:r>
          </w:p>
        </w:tc>
      </w:tr>
      <w:tr w14:paraId="767F29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0D3D029C">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1700</w:t>
            </w:r>
          </w:p>
        </w:tc>
        <w:tc>
          <w:tcPr>
            <w:tcW w:w="4265" w:type="dxa"/>
            <w:tcBorders>
              <w:tl2br w:val="nil"/>
              <w:tr2bl w:val="nil"/>
            </w:tcBorders>
            <w:vAlign w:val="center"/>
          </w:tcPr>
          <w:p w14:paraId="7899D9A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8.639</w:t>
            </w:r>
          </w:p>
        </w:tc>
        <w:tc>
          <w:tcPr>
            <w:tcW w:w="2394" w:type="dxa"/>
            <w:tcBorders>
              <w:tl2br w:val="nil"/>
              <w:tr2bl w:val="nil"/>
            </w:tcBorders>
            <w:vAlign w:val="center"/>
          </w:tcPr>
          <w:p w14:paraId="4141059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0.43195</w:t>
            </w:r>
          </w:p>
        </w:tc>
      </w:tr>
      <w:tr w14:paraId="331D7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0776319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1800</w:t>
            </w:r>
          </w:p>
        </w:tc>
        <w:tc>
          <w:tcPr>
            <w:tcW w:w="4265" w:type="dxa"/>
            <w:tcBorders>
              <w:tl2br w:val="nil"/>
              <w:tr2bl w:val="nil"/>
            </w:tcBorders>
            <w:vAlign w:val="center"/>
          </w:tcPr>
          <w:p w14:paraId="5C5874B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8.299</w:t>
            </w:r>
          </w:p>
        </w:tc>
        <w:tc>
          <w:tcPr>
            <w:tcW w:w="2394" w:type="dxa"/>
            <w:tcBorders>
              <w:tl2br w:val="nil"/>
              <w:tr2bl w:val="nil"/>
            </w:tcBorders>
            <w:vAlign w:val="center"/>
          </w:tcPr>
          <w:p w14:paraId="4881B58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0.41495</w:t>
            </w:r>
          </w:p>
        </w:tc>
      </w:tr>
      <w:tr w14:paraId="6E03F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0C32771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1900</w:t>
            </w:r>
          </w:p>
        </w:tc>
        <w:tc>
          <w:tcPr>
            <w:tcW w:w="4265" w:type="dxa"/>
            <w:tcBorders>
              <w:tl2br w:val="nil"/>
              <w:tr2bl w:val="nil"/>
            </w:tcBorders>
            <w:vAlign w:val="center"/>
          </w:tcPr>
          <w:p w14:paraId="070F65E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7.99</w:t>
            </w:r>
          </w:p>
        </w:tc>
        <w:tc>
          <w:tcPr>
            <w:tcW w:w="2394" w:type="dxa"/>
            <w:tcBorders>
              <w:tl2br w:val="nil"/>
              <w:tr2bl w:val="nil"/>
            </w:tcBorders>
            <w:vAlign w:val="center"/>
          </w:tcPr>
          <w:p w14:paraId="74C6144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0.3995</w:t>
            </w:r>
          </w:p>
        </w:tc>
      </w:tr>
      <w:tr w14:paraId="08BF51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28F4D5A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2000</w:t>
            </w:r>
          </w:p>
        </w:tc>
        <w:tc>
          <w:tcPr>
            <w:tcW w:w="4265" w:type="dxa"/>
            <w:tcBorders>
              <w:tl2br w:val="nil"/>
              <w:tr2bl w:val="nil"/>
            </w:tcBorders>
            <w:vAlign w:val="center"/>
          </w:tcPr>
          <w:p w14:paraId="53B424A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7.707</w:t>
            </w:r>
          </w:p>
        </w:tc>
        <w:tc>
          <w:tcPr>
            <w:tcW w:w="2394" w:type="dxa"/>
            <w:tcBorders>
              <w:tl2br w:val="nil"/>
              <w:tr2bl w:val="nil"/>
            </w:tcBorders>
            <w:vAlign w:val="center"/>
          </w:tcPr>
          <w:p w14:paraId="40EE159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0.38535</w:t>
            </w:r>
          </w:p>
        </w:tc>
      </w:tr>
      <w:tr w14:paraId="4C1C4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2EABF03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2100</w:t>
            </w:r>
          </w:p>
        </w:tc>
        <w:tc>
          <w:tcPr>
            <w:tcW w:w="4265" w:type="dxa"/>
            <w:tcBorders>
              <w:tl2br w:val="nil"/>
              <w:tr2bl w:val="nil"/>
            </w:tcBorders>
            <w:vAlign w:val="center"/>
          </w:tcPr>
          <w:p w14:paraId="152B86E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7.447</w:t>
            </w:r>
          </w:p>
        </w:tc>
        <w:tc>
          <w:tcPr>
            <w:tcW w:w="2394" w:type="dxa"/>
            <w:tcBorders>
              <w:tl2br w:val="nil"/>
              <w:tr2bl w:val="nil"/>
            </w:tcBorders>
            <w:vAlign w:val="center"/>
          </w:tcPr>
          <w:p w14:paraId="41E3681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0.37235</w:t>
            </w:r>
          </w:p>
        </w:tc>
      </w:tr>
      <w:tr w14:paraId="61C48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73377D6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2200</w:t>
            </w:r>
          </w:p>
        </w:tc>
        <w:tc>
          <w:tcPr>
            <w:tcW w:w="4265" w:type="dxa"/>
            <w:tcBorders>
              <w:tl2br w:val="nil"/>
              <w:tr2bl w:val="nil"/>
            </w:tcBorders>
            <w:vAlign w:val="center"/>
          </w:tcPr>
          <w:p w14:paraId="32D3CBD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7.208</w:t>
            </w:r>
          </w:p>
        </w:tc>
        <w:tc>
          <w:tcPr>
            <w:tcW w:w="2394" w:type="dxa"/>
            <w:tcBorders>
              <w:tl2br w:val="nil"/>
              <w:tr2bl w:val="nil"/>
            </w:tcBorders>
            <w:vAlign w:val="center"/>
          </w:tcPr>
          <w:p w14:paraId="023FB9B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0.3604</w:t>
            </w:r>
          </w:p>
        </w:tc>
      </w:tr>
      <w:tr w14:paraId="58FA1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4C7C0AC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2300</w:t>
            </w:r>
          </w:p>
        </w:tc>
        <w:tc>
          <w:tcPr>
            <w:tcW w:w="4265" w:type="dxa"/>
            <w:tcBorders>
              <w:tl2br w:val="nil"/>
              <w:tr2bl w:val="nil"/>
            </w:tcBorders>
            <w:vAlign w:val="center"/>
          </w:tcPr>
          <w:p w14:paraId="4DB6587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6.986</w:t>
            </w:r>
          </w:p>
        </w:tc>
        <w:tc>
          <w:tcPr>
            <w:tcW w:w="2394" w:type="dxa"/>
            <w:tcBorders>
              <w:tl2br w:val="nil"/>
              <w:tr2bl w:val="nil"/>
            </w:tcBorders>
            <w:vAlign w:val="center"/>
          </w:tcPr>
          <w:p w14:paraId="676CEE2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0.3493</w:t>
            </w:r>
          </w:p>
        </w:tc>
      </w:tr>
      <w:tr w14:paraId="4C098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0E108DB6">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000000"/>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2400</w:t>
            </w:r>
          </w:p>
        </w:tc>
        <w:tc>
          <w:tcPr>
            <w:tcW w:w="4265" w:type="dxa"/>
            <w:tcBorders>
              <w:tl2br w:val="nil"/>
              <w:tr2bl w:val="nil"/>
            </w:tcBorders>
            <w:vAlign w:val="center"/>
          </w:tcPr>
          <w:p w14:paraId="4A48E57B">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auto"/>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6.781</w:t>
            </w:r>
          </w:p>
        </w:tc>
        <w:tc>
          <w:tcPr>
            <w:tcW w:w="2394" w:type="dxa"/>
            <w:tcBorders>
              <w:tl2br w:val="nil"/>
              <w:tr2bl w:val="nil"/>
            </w:tcBorders>
            <w:vAlign w:val="center"/>
          </w:tcPr>
          <w:p w14:paraId="54BF7D37">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auto"/>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0.33905</w:t>
            </w:r>
          </w:p>
        </w:tc>
      </w:tr>
      <w:tr w14:paraId="746D7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957" w:type="dxa"/>
            <w:tcBorders>
              <w:tl2br w:val="nil"/>
              <w:tr2bl w:val="nil"/>
            </w:tcBorders>
            <w:vAlign w:val="center"/>
          </w:tcPr>
          <w:p w14:paraId="10F47919">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000000"/>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2500</w:t>
            </w:r>
          </w:p>
        </w:tc>
        <w:tc>
          <w:tcPr>
            <w:tcW w:w="4265" w:type="dxa"/>
            <w:tcBorders>
              <w:tl2br w:val="nil"/>
              <w:tr2bl w:val="nil"/>
            </w:tcBorders>
            <w:vAlign w:val="center"/>
          </w:tcPr>
          <w:p w14:paraId="700D2C2E">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auto"/>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6.589</w:t>
            </w:r>
          </w:p>
        </w:tc>
        <w:tc>
          <w:tcPr>
            <w:tcW w:w="2394" w:type="dxa"/>
            <w:tcBorders>
              <w:tl2br w:val="nil"/>
              <w:tr2bl w:val="nil"/>
            </w:tcBorders>
            <w:vAlign w:val="center"/>
          </w:tcPr>
          <w:p w14:paraId="3656A250">
            <w:pPr>
              <w:keepNext w:val="0"/>
              <w:keepLines w:val="0"/>
              <w:pageBreakBefore w:val="0"/>
              <w:widowControl/>
              <w:suppressLineNumbers w:val="0"/>
              <w:wordWrap/>
              <w:overflowPunct/>
              <w:topLinePunct w:val="0"/>
              <w:bidi w:val="0"/>
              <w:spacing w:line="360" w:lineRule="auto"/>
              <w:jc w:val="center"/>
              <w:textAlignment w:val="center"/>
              <w:rPr>
                <w:rFonts w:hint="eastAsia" w:ascii="Times New Roman" w:hAnsi="Times New Roman" w:eastAsia="宋体" w:cs="宋体"/>
                <w:i w:val="0"/>
                <w:iCs w:val="0"/>
                <w:snapToGrid w:val="0"/>
                <w:color w:val="auto"/>
                <w:kern w:val="0"/>
                <w:sz w:val="21"/>
                <w:szCs w:val="22"/>
                <w:u w:val="none"/>
                <w:lang w:val="en-US"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0.32945</w:t>
            </w:r>
          </w:p>
        </w:tc>
      </w:tr>
      <w:tr w14:paraId="28422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1110" w:hRule="atLeast"/>
          <w:jc w:val="center"/>
        </w:trPr>
        <w:tc>
          <w:tcPr>
            <w:tcW w:w="1068" w:type="pct"/>
            <w:tcBorders>
              <w:tl2br w:val="nil"/>
              <w:tr2bl w:val="nil"/>
            </w:tcBorders>
            <w:vAlign w:val="center"/>
          </w:tcPr>
          <w:p w14:paraId="0CF08E4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下风向最</w:t>
            </w:r>
          </w:p>
          <w:p w14:paraId="038DDF6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大质量浓</w:t>
            </w:r>
          </w:p>
          <w:p w14:paraId="74BF5391">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度及占标</w:t>
            </w:r>
          </w:p>
          <w:p w14:paraId="6AF5DEE1">
            <w:pPr>
              <w:pStyle w:val="37"/>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snapToGrid/>
                <w:color w:val="auto"/>
                <w:sz w:val="21"/>
              </w:rPr>
              <w:t>率</w:t>
            </w:r>
            <w:r>
              <w:rPr>
                <w:rFonts w:ascii="Times New Roman" w:hAnsi="Times New Roman" w:eastAsia="宋体"/>
                <w:snapToGrid/>
                <w:color w:val="auto"/>
                <w:sz w:val="21"/>
              </w:rPr>
              <w:t>/%</w:t>
            </w:r>
          </w:p>
        </w:tc>
        <w:tc>
          <w:tcPr>
            <w:tcW w:w="4265" w:type="dxa"/>
            <w:tcBorders>
              <w:tl2br w:val="nil"/>
              <w:tr2bl w:val="nil"/>
            </w:tcBorders>
            <w:vAlign w:val="center"/>
          </w:tcPr>
          <w:p w14:paraId="75744BA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66.529999</w:t>
            </w:r>
          </w:p>
        </w:tc>
        <w:tc>
          <w:tcPr>
            <w:tcW w:w="2402" w:type="dxa"/>
            <w:tcBorders>
              <w:tl2br w:val="nil"/>
              <w:tr2bl w:val="nil"/>
            </w:tcBorders>
            <w:vAlign w:val="center"/>
          </w:tcPr>
          <w:p w14:paraId="098757D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3.3264999</w:t>
            </w:r>
          </w:p>
        </w:tc>
      </w:tr>
    </w:tbl>
    <w:p w14:paraId="7D2FCDA8">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w:t>
      </w:r>
      <w:r>
        <w:rPr>
          <w:rFonts w:hint="eastAsia" w:ascii="Times New Roman" w:hAnsi="Times New Roman"/>
          <w:b/>
          <w:bCs/>
          <w:snapToGrid/>
          <w:color w:val="auto"/>
          <w:sz w:val="24"/>
          <w:lang w:val="en-US" w:eastAsia="zh-CN"/>
        </w:rPr>
        <w:t>8</w:t>
      </w:r>
      <w:r>
        <w:rPr>
          <w:rFonts w:ascii="Times New Roman" w:hAnsi="Times New Roman"/>
          <w:b/>
          <w:bCs/>
          <w:snapToGrid/>
          <w:color w:val="auto"/>
          <w:sz w:val="24"/>
          <w:lang w:eastAsia="zh-CN"/>
        </w:rPr>
        <w:t>正常工况下</w:t>
      </w:r>
      <w:r>
        <w:rPr>
          <w:rFonts w:hint="eastAsia" w:ascii="Times New Roman" w:hAnsi="Times New Roman"/>
          <w:b/>
          <w:bCs/>
          <w:snapToGrid/>
          <w:color w:val="auto"/>
          <w:sz w:val="24"/>
          <w:lang w:val="en-US" w:eastAsia="zh-CN"/>
        </w:rPr>
        <w:t>颗粒物</w:t>
      </w:r>
      <w:r>
        <w:rPr>
          <w:rFonts w:ascii="Times New Roman" w:hAnsi="Times New Roman"/>
          <w:b/>
          <w:bCs/>
          <w:snapToGrid/>
          <w:color w:val="auto"/>
          <w:sz w:val="24"/>
          <w:lang w:eastAsia="zh-CN"/>
        </w:rPr>
        <w:t>无组织废气大气污染物落地浓度估算</w:t>
      </w:r>
    </w:p>
    <w:tbl>
      <w:tblPr>
        <w:tblStyle w:val="36"/>
        <w:tblW w:w="504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62"/>
        <w:gridCol w:w="4617"/>
        <w:gridCol w:w="2605"/>
        <w:gridCol w:w="7"/>
      </w:tblGrid>
      <w:tr w14:paraId="7694D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1067" w:type="pct"/>
            <w:vMerge w:val="restart"/>
            <w:tcBorders>
              <w:tl2br w:val="nil"/>
              <w:tr2bl w:val="nil"/>
            </w:tcBorders>
            <w:vAlign w:val="center"/>
          </w:tcPr>
          <w:p w14:paraId="3BF79919">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b/>
                <w:bCs/>
                <w:snapToGrid/>
                <w:color w:val="auto"/>
                <w:sz w:val="21"/>
              </w:rPr>
              <w:t>下风向距离</w:t>
            </w:r>
            <w:r>
              <w:rPr>
                <w:rFonts w:ascii="Times New Roman" w:hAnsi="Times New Roman" w:eastAsia="宋体"/>
                <w:b/>
                <w:bCs/>
                <w:snapToGrid/>
                <w:color w:val="auto"/>
                <w:sz w:val="21"/>
              </w:rPr>
              <w:t>/m</w:t>
            </w:r>
          </w:p>
        </w:tc>
        <w:tc>
          <w:tcPr>
            <w:tcW w:w="3932" w:type="pct"/>
            <w:gridSpan w:val="3"/>
            <w:tcBorders>
              <w:tl2br w:val="nil"/>
              <w:tr2bl w:val="nil"/>
            </w:tcBorders>
            <w:vAlign w:val="center"/>
          </w:tcPr>
          <w:p w14:paraId="59EE52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hint="eastAsia" w:ascii="Times New Roman" w:hAnsi="Times New Roman" w:eastAsia="宋体" w:cs="宋体"/>
                <w:b/>
                <w:bCs/>
                <w:snapToGrid/>
                <w:color w:val="auto"/>
                <w:sz w:val="21"/>
                <w:lang w:eastAsia="zh-CN"/>
              </w:rPr>
              <w:t>生产车间</w:t>
            </w:r>
            <w:r>
              <w:rPr>
                <w:rFonts w:ascii="Times New Roman" w:hAnsi="Times New Roman" w:eastAsia="宋体" w:cs="宋体"/>
                <w:b/>
                <w:bCs/>
                <w:snapToGrid/>
                <w:color w:val="auto"/>
                <w:sz w:val="21"/>
                <w:lang w:eastAsia="zh-CN"/>
              </w:rPr>
              <w:t>无组织（</w:t>
            </w:r>
            <w:r>
              <w:rPr>
                <w:rFonts w:hint="eastAsia" w:ascii="Times New Roman" w:hAnsi="Times New Roman" w:eastAsia="宋体" w:cs="宋体"/>
                <w:b/>
                <w:bCs/>
                <w:snapToGrid/>
                <w:color w:val="auto"/>
                <w:sz w:val="21"/>
                <w:lang w:val="en-US" w:eastAsia="zh-CN"/>
              </w:rPr>
              <w:t>颗粒物</w:t>
            </w:r>
            <w:r>
              <w:rPr>
                <w:rFonts w:ascii="Times New Roman" w:hAnsi="Times New Roman" w:eastAsia="宋体" w:cs="宋体"/>
                <w:b/>
                <w:bCs/>
                <w:snapToGrid/>
                <w:color w:val="auto"/>
                <w:sz w:val="21"/>
                <w:lang w:eastAsia="zh-CN"/>
              </w:rPr>
              <w:t>）</w:t>
            </w:r>
          </w:p>
        </w:tc>
      </w:tr>
      <w:tr w14:paraId="2CE308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1067" w:type="pct"/>
            <w:vMerge w:val="continue"/>
            <w:tcBorders>
              <w:tl2br w:val="nil"/>
              <w:tr2bl w:val="nil"/>
            </w:tcBorders>
            <w:vAlign w:val="center"/>
          </w:tcPr>
          <w:p w14:paraId="1F524DA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lang w:eastAsia="zh-CN"/>
              </w:rPr>
            </w:pPr>
          </w:p>
        </w:tc>
        <w:tc>
          <w:tcPr>
            <w:tcW w:w="2511" w:type="pct"/>
            <w:tcBorders>
              <w:tl2br w:val="nil"/>
              <w:tr2bl w:val="nil"/>
            </w:tcBorders>
            <w:vAlign w:val="center"/>
          </w:tcPr>
          <w:p w14:paraId="26C6C5AB">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b/>
                <w:bCs/>
                <w:snapToGrid/>
                <w:color w:val="auto"/>
                <w:sz w:val="21"/>
                <w:lang w:eastAsia="zh-CN"/>
              </w:rPr>
              <w:t>预测质量浓度</w:t>
            </w:r>
            <w:r>
              <w:rPr>
                <w:rFonts w:hint="eastAsia" w:ascii="Times New Roman" w:hAnsi="Times New Roman" w:eastAsia="宋体" w:cs="宋体"/>
                <w:b/>
                <w:bCs/>
                <w:snapToGrid/>
                <w:color w:val="auto"/>
                <w:sz w:val="21"/>
                <w:lang w:eastAsia="zh-CN"/>
              </w:rPr>
              <w:t>（</w:t>
            </w:r>
            <w:r>
              <w:rPr>
                <w:rFonts w:ascii="Times New Roman" w:hAnsi="Times New Roman" w:eastAsia="宋体"/>
                <w:b/>
                <w:bCs/>
                <w:snapToGrid/>
                <w:color w:val="auto"/>
                <w:sz w:val="21"/>
              </w:rPr>
              <w:t>μ</w:t>
            </w:r>
            <w:r>
              <w:rPr>
                <w:rFonts w:ascii="Times New Roman" w:hAnsi="Times New Roman" w:eastAsia="宋体"/>
                <w:b/>
                <w:bCs/>
                <w:snapToGrid/>
                <w:color w:val="auto"/>
                <w:sz w:val="21"/>
                <w:lang w:eastAsia="zh-CN"/>
              </w:rPr>
              <w:t>g/m</w:t>
            </w:r>
            <w:r>
              <w:rPr>
                <w:rFonts w:ascii="Times New Roman" w:hAnsi="Times New Roman" w:eastAsia="宋体"/>
                <w:b/>
                <w:bCs/>
                <w:snapToGrid/>
                <w:color w:val="auto"/>
                <w:sz w:val="21"/>
                <w:szCs w:val="13"/>
                <w:vertAlign w:val="superscript"/>
                <w:lang w:eastAsia="zh-CN"/>
              </w:rPr>
              <w:t>3</w:t>
            </w:r>
            <w:r>
              <w:rPr>
                <w:rFonts w:ascii="Times New Roman" w:hAnsi="Times New Roman" w:eastAsia="宋体" w:cs="宋体"/>
                <w:b/>
                <w:bCs/>
                <w:snapToGrid/>
                <w:color w:val="auto"/>
                <w:sz w:val="21"/>
                <w:lang w:eastAsia="zh-CN"/>
              </w:rPr>
              <w:t>）</w:t>
            </w:r>
          </w:p>
        </w:tc>
        <w:tc>
          <w:tcPr>
            <w:tcW w:w="1420" w:type="pct"/>
            <w:gridSpan w:val="2"/>
            <w:tcBorders>
              <w:tl2br w:val="nil"/>
              <w:tr2bl w:val="nil"/>
            </w:tcBorders>
            <w:vAlign w:val="center"/>
          </w:tcPr>
          <w:p w14:paraId="35377203">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rPr>
            </w:pPr>
            <w:r>
              <w:rPr>
                <w:rFonts w:ascii="Times New Roman" w:hAnsi="Times New Roman" w:eastAsia="宋体" w:cs="宋体"/>
                <w:b/>
                <w:bCs/>
                <w:snapToGrid/>
                <w:color w:val="auto"/>
                <w:sz w:val="21"/>
              </w:rPr>
              <w:t>占标率（</w:t>
            </w:r>
            <w:r>
              <w:rPr>
                <w:rFonts w:ascii="Times New Roman" w:hAnsi="Times New Roman" w:eastAsia="宋体"/>
                <w:b/>
                <w:bCs/>
                <w:snapToGrid/>
                <w:color w:val="auto"/>
                <w:sz w:val="21"/>
              </w:rPr>
              <w:t>%</w:t>
            </w:r>
            <w:r>
              <w:rPr>
                <w:rFonts w:ascii="Times New Roman" w:hAnsi="Times New Roman" w:eastAsia="宋体" w:cs="宋体"/>
                <w:b/>
                <w:bCs/>
                <w:snapToGrid/>
                <w:color w:val="auto"/>
                <w:sz w:val="21"/>
              </w:rPr>
              <w:t>）</w:t>
            </w:r>
          </w:p>
        </w:tc>
      </w:tr>
      <w:tr w14:paraId="760B6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067" w:type="pct"/>
            <w:tcBorders>
              <w:tl2br w:val="nil"/>
              <w:tr2bl w:val="nil"/>
            </w:tcBorders>
            <w:vAlign w:val="center"/>
          </w:tcPr>
          <w:p w14:paraId="3486FFAC">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w:t>
            </w:r>
          </w:p>
        </w:tc>
        <w:tc>
          <w:tcPr>
            <w:tcW w:w="4602" w:type="dxa"/>
            <w:tcBorders>
              <w:tl2br w:val="nil"/>
              <w:tr2bl w:val="nil"/>
            </w:tcBorders>
            <w:vAlign w:val="center"/>
          </w:tcPr>
          <w:p w14:paraId="2705706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37.27</w:t>
            </w:r>
          </w:p>
        </w:tc>
        <w:tc>
          <w:tcPr>
            <w:tcW w:w="2603" w:type="dxa"/>
            <w:gridSpan w:val="2"/>
            <w:tcBorders>
              <w:tl2br w:val="nil"/>
              <w:tr2bl w:val="nil"/>
            </w:tcBorders>
            <w:vAlign w:val="center"/>
          </w:tcPr>
          <w:p w14:paraId="029CA6A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4.1411111</w:t>
            </w:r>
          </w:p>
        </w:tc>
      </w:tr>
      <w:tr w14:paraId="35529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067" w:type="pct"/>
            <w:tcBorders>
              <w:tl2br w:val="nil"/>
              <w:tr2bl w:val="nil"/>
            </w:tcBorders>
            <w:vAlign w:val="center"/>
          </w:tcPr>
          <w:p w14:paraId="4D07428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79</w:t>
            </w:r>
          </w:p>
        </w:tc>
        <w:tc>
          <w:tcPr>
            <w:tcW w:w="4602" w:type="dxa"/>
            <w:tcBorders>
              <w:tl2br w:val="nil"/>
              <w:tr2bl w:val="nil"/>
            </w:tcBorders>
            <w:vAlign w:val="center"/>
          </w:tcPr>
          <w:p w14:paraId="2E1DCFF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46.540001</w:t>
            </w:r>
          </w:p>
        </w:tc>
        <w:tc>
          <w:tcPr>
            <w:tcW w:w="2603" w:type="dxa"/>
            <w:gridSpan w:val="2"/>
            <w:tcBorders>
              <w:tl2br w:val="nil"/>
              <w:tr2bl w:val="nil"/>
            </w:tcBorders>
            <w:vAlign w:val="center"/>
          </w:tcPr>
          <w:p w14:paraId="4433B9D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5.1711112</w:t>
            </w:r>
          </w:p>
        </w:tc>
      </w:tr>
      <w:tr w14:paraId="03208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067" w:type="pct"/>
            <w:tcBorders>
              <w:tl2br w:val="nil"/>
              <w:tr2bl w:val="nil"/>
            </w:tcBorders>
            <w:shd w:val="clear" w:color="auto" w:fill="auto"/>
            <w:vAlign w:val="center"/>
          </w:tcPr>
          <w:p w14:paraId="6D52CC2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w:t>
            </w:r>
          </w:p>
        </w:tc>
        <w:tc>
          <w:tcPr>
            <w:tcW w:w="4602" w:type="dxa"/>
            <w:tcBorders>
              <w:tl2br w:val="nil"/>
              <w:tr2bl w:val="nil"/>
            </w:tcBorders>
            <w:shd w:val="clear" w:color="auto" w:fill="auto"/>
            <w:vAlign w:val="center"/>
          </w:tcPr>
          <w:p w14:paraId="7456614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43.65</w:t>
            </w:r>
          </w:p>
        </w:tc>
        <w:tc>
          <w:tcPr>
            <w:tcW w:w="2603" w:type="dxa"/>
            <w:gridSpan w:val="2"/>
            <w:tcBorders>
              <w:tl2br w:val="nil"/>
              <w:tr2bl w:val="nil"/>
            </w:tcBorders>
            <w:shd w:val="clear" w:color="auto" w:fill="auto"/>
            <w:vAlign w:val="center"/>
          </w:tcPr>
          <w:p w14:paraId="64AD9DF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4.85</w:t>
            </w:r>
          </w:p>
        </w:tc>
      </w:tr>
      <w:tr w14:paraId="74CE0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067" w:type="pct"/>
            <w:tcBorders>
              <w:tl2br w:val="nil"/>
              <w:tr2bl w:val="nil"/>
            </w:tcBorders>
            <w:vAlign w:val="center"/>
          </w:tcPr>
          <w:p w14:paraId="00B2C87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w:t>
            </w:r>
          </w:p>
        </w:tc>
        <w:tc>
          <w:tcPr>
            <w:tcW w:w="4602" w:type="dxa"/>
            <w:tcBorders>
              <w:tl2br w:val="nil"/>
              <w:tr2bl w:val="nil"/>
            </w:tcBorders>
            <w:vAlign w:val="center"/>
          </w:tcPr>
          <w:p w14:paraId="6DB7AAD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27.32</w:t>
            </w:r>
          </w:p>
        </w:tc>
        <w:tc>
          <w:tcPr>
            <w:tcW w:w="2603" w:type="dxa"/>
            <w:gridSpan w:val="2"/>
            <w:tcBorders>
              <w:tl2br w:val="nil"/>
              <w:tr2bl w:val="nil"/>
            </w:tcBorders>
            <w:vAlign w:val="center"/>
          </w:tcPr>
          <w:p w14:paraId="449DA83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3.0355556</w:t>
            </w:r>
          </w:p>
        </w:tc>
      </w:tr>
      <w:tr w14:paraId="4C39F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067" w:type="pct"/>
            <w:tcBorders>
              <w:tl2br w:val="nil"/>
              <w:tr2bl w:val="nil"/>
            </w:tcBorders>
            <w:vAlign w:val="center"/>
          </w:tcPr>
          <w:p w14:paraId="1CF11A3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300</w:t>
            </w:r>
          </w:p>
        </w:tc>
        <w:tc>
          <w:tcPr>
            <w:tcW w:w="4602" w:type="dxa"/>
            <w:tcBorders>
              <w:tl2br w:val="nil"/>
              <w:tr2bl w:val="nil"/>
            </w:tcBorders>
            <w:vAlign w:val="center"/>
          </w:tcPr>
          <w:p w14:paraId="1E3C79A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20.4</w:t>
            </w:r>
          </w:p>
        </w:tc>
        <w:tc>
          <w:tcPr>
            <w:tcW w:w="2603" w:type="dxa"/>
            <w:gridSpan w:val="2"/>
            <w:tcBorders>
              <w:tl2br w:val="nil"/>
              <w:tr2bl w:val="nil"/>
            </w:tcBorders>
            <w:vAlign w:val="center"/>
          </w:tcPr>
          <w:p w14:paraId="631312E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2.2666667</w:t>
            </w:r>
          </w:p>
        </w:tc>
      </w:tr>
      <w:tr w14:paraId="4BEB6C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1067" w:type="pct"/>
            <w:tcBorders>
              <w:tl2br w:val="nil"/>
              <w:tr2bl w:val="nil"/>
            </w:tcBorders>
            <w:vAlign w:val="center"/>
          </w:tcPr>
          <w:p w14:paraId="38D4992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400</w:t>
            </w:r>
          </w:p>
        </w:tc>
        <w:tc>
          <w:tcPr>
            <w:tcW w:w="4602" w:type="dxa"/>
            <w:tcBorders>
              <w:tl2br w:val="nil"/>
              <w:tr2bl w:val="nil"/>
            </w:tcBorders>
            <w:vAlign w:val="center"/>
          </w:tcPr>
          <w:p w14:paraId="1E1073C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16.61</w:t>
            </w:r>
          </w:p>
        </w:tc>
        <w:tc>
          <w:tcPr>
            <w:tcW w:w="2603" w:type="dxa"/>
            <w:gridSpan w:val="2"/>
            <w:tcBorders>
              <w:tl2br w:val="nil"/>
              <w:tr2bl w:val="nil"/>
            </w:tcBorders>
            <w:vAlign w:val="center"/>
          </w:tcPr>
          <w:p w14:paraId="581F110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1.8455556</w:t>
            </w:r>
          </w:p>
        </w:tc>
      </w:tr>
      <w:tr w14:paraId="267E8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067" w:type="pct"/>
            <w:tcBorders>
              <w:tl2br w:val="nil"/>
              <w:tr2bl w:val="nil"/>
            </w:tcBorders>
            <w:vAlign w:val="center"/>
          </w:tcPr>
          <w:p w14:paraId="3510524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500</w:t>
            </w:r>
          </w:p>
        </w:tc>
        <w:tc>
          <w:tcPr>
            <w:tcW w:w="4602" w:type="dxa"/>
            <w:tcBorders>
              <w:tl2br w:val="nil"/>
              <w:tr2bl w:val="nil"/>
            </w:tcBorders>
            <w:vAlign w:val="center"/>
          </w:tcPr>
          <w:p w14:paraId="07FB96C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14.18</w:t>
            </w:r>
          </w:p>
        </w:tc>
        <w:tc>
          <w:tcPr>
            <w:tcW w:w="2603" w:type="dxa"/>
            <w:gridSpan w:val="2"/>
            <w:tcBorders>
              <w:tl2br w:val="nil"/>
              <w:tr2bl w:val="nil"/>
            </w:tcBorders>
            <w:vAlign w:val="center"/>
          </w:tcPr>
          <w:p w14:paraId="59701F0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1.5755556</w:t>
            </w:r>
          </w:p>
        </w:tc>
      </w:tr>
      <w:tr w14:paraId="6673F7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067" w:type="pct"/>
            <w:tcBorders>
              <w:tl2br w:val="nil"/>
              <w:tr2bl w:val="nil"/>
            </w:tcBorders>
            <w:vAlign w:val="center"/>
          </w:tcPr>
          <w:p w14:paraId="6A68473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600</w:t>
            </w:r>
          </w:p>
        </w:tc>
        <w:tc>
          <w:tcPr>
            <w:tcW w:w="4602" w:type="dxa"/>
            <w:tcBorders>
              <w:tl2br w:val="nil"/>
              <w:tr2bl w:val="nil"/>
            </w:tcBorders>
            <w:vAlign w:val="center"/>
          </w:tcPr>
          <w:p w14:paraId="5F0712A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12.46</w:t>
            </w:r>
          </w:p>
        </w:tc>
        <w:tc>
          <w:tcPr>
            <w:tcW w:w="2603" w:type="dxa"/>
            <w:gridSpan w:val="2"/>
            <w:tcBorders>
              <w:tl2br w:val="nil"/>
              <w:tr2bl w:val="nil"/>
            </w:tcBorders>
            <w:vAlign w:val="center"/>
          </w:tcPr>
          <w:p w14:paraId="2AFF9C0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1.3844444</w:t>
            </w:r>
          </w:p>
        </w:tc>
      </w:tr>
      <w:tr w14:paraId="2C4D89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8" w:hRule="atLeast"/>
          <w:jc w:val="center"/>
        </w:trPr>
        <w:tc>
          <w:tcPr>
            <w:tcW w:w="1067" w:type="pct"/>
            <w:tcBorders>
              <w:tl2br w:val="nil"/>
              <w:tr2bl w:val="nil"/>
            </w:tcBorders>
            <w:vAlign w:val="center"/>
          </w:tcPr>
          <w:p w14:paraId="72AA8B7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800</w:t>
            </w:r>
          </w:p>
        </w:tc>
        <w:tc>
          <w:tcPr>
            <w:tcW w:w="4602" w:type="dxa"/>
            <w:tcBorders>
              <w:tl2br w:val="nil"/>
              <w:tr2bl w:val="nil"/>
            </w:tcBorders>
            <w:vAlign w:val="center"/>
          </w:tcPr>
          <w:p w14:paraId="44F2293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10.16</w:t>
            </w:r>
          </w:p>
        </w:tc>
        <w:tc>
          <w:tcPr>
            <w:tcW w:w="2595" w:type="dxa"/>
            <w:tcBorders>
              <w:tl2br w:val="nil"/>
              <w:tr2bl w:val="nil"/>
            </w:tcBorders>
            <w:vAlign w:val="center"/>
          </w:tcPr>
          <w:p w14:paraId="357D31B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1.1288889</w:t>
            </w:r>
          </w:p>
        </w:tc>
      </w:tr>
      <w:tr w14:paraId="2C6998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5FF034D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900</w:t>
            </w:r>
          </w:p>
        </w:tc>
        <w:tc>
          <w:tcPr>
            <w:tcW w:w="4602" w:type="dxa"/>
            <w:tcBorders>
              <w:tl2br w:val="nil"/>
              <w:tr2bl w:val="nil"/>
            </w:tcBorders>
            <w:vAlign w:val="center"/>
          </w:tcPr>
          <w:p w14:paraId="432FFCA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9.352</w:t>
            </w:r>
          </w:p>
        </w:tc>
        <w:tc>
          <w:tcPr>
            <w:tcW w:w="2595" w:type="dxa"/>
            <w:tcBorders>
              <w:tl2br w:val="nil"/>
              <w:tr2bl w:val="nil"/>
            </w:tcBorders>
            <w:vAlign w:val="center"/>
          </w:tcPr>
          <w:p w14:paraId="54348525">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1.0391111</w:t>
            </w:r>
          </w:p>
        </w:tc>
      </w:tr>
      <w:tr w14:paraId="425E5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5CF8D65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1000</w:t>
            </w:r>
          </w:p>
        </w:tc>
        <w:tc>
          <w:tcPr>
            <w:tcW w:w="4602" w:type="dxa"/>
            <w:tcBorders>
              <w:tl2br w:val="nil"/>
              <w:tr2bl w:val="nil"/>
            </w:tcBorders>
            <w:vAlign w:val="center"/>
          </w:tcPr>
          <w:p w14:paraId="7BE102D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8.682</w:t>
            </w:r>
          </w:p>
        </w:tc>
        <w:tc>
          <w:tcPr>
            <w:tcW w:w="2595" w:type="dxa"/>
            <w:tcBorders>
              <w:tl2br w:val="nil"/>
              <w:tr2bl w:val="nil"/>
            </w:tcBorders>
            <w:vAlign w:val="center"/>
          </w:tcPr>
          <w:p w14:paraId="1368E35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0.9646667</w:t>
            </w:r>
          </w:p>
        </w:tc>
      </w:tr>
      <w:tr w14:paraId="496BE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2" w:hRule="atLeast"/>
          <w:jc w:val="center"/>
        </w:trPr>
        <w:tc>
          <w:tcPr>
            <w:tcW w:w="1067" w:type="pct"/>
            <w:tcBorders>
              <w:tl2br w:val="nil"/>
              <w:tr2bl w:val="nil"/>
            </w:tcBorders>
            <w:vAlign w:val="center"/>
          </w:tcPr>
          <w:p w14:paraId="4A14D37D">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1100</w:t>
            </w:r>
          </w:p>
        </w:tc>
        <w:tc>
          <w:tcPr>
            <w:tcW w:w="4602" w:type="dxa"/>
            <w:tcBorders>
              <w:tl2br w:val="nil"/>
              <w:tr2bl w:val="nil"/>
            </w:tcBorders>
            <w:vAlign w:val="center"/>
          </w:tcPr>
          <w:p w14:paraId="1DF2F3B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8.118</w:t>
            </w:r>
          </w:p>
        </w:tc>
        <w:tc>
          <w:tcPr>
            <w:tcW w:w="2595" w:type="dxa"/>
            <w:tcBorders>
              <w:tl2br w:val="nil"/>
              <w:tr2bl w:val="nil"/>
            </w:tcBorders>
            <w:vAlign w:val="center"/>
          </w:tcPr>
          <w:p w14:paraId="4E32E73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0.902</w:t>
            </w:r>
          </w:p>
        </w:tc>
      </w:tr>
      <w:tr w14:paraId="2BE5C4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03F0D36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1200</w:t>
            </w:r>
          </w:p>
        </w:tc>
        <w:tc>
          <w:tcPr>
            <w:tcW w:w="4602" w:type="dxa"/>
            <w:tcBorders>
              <w:tl2br w:val="nil"/>
              <w:tr2bl w:val="nil"/>
            </w:tcBorders>
            <w:vAlign w:val="center"/>
          </w:tcPr>
          <w:p w14:paraId="099DA84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7.635</w:t>
            </w:r>
          </w:p>
        </w:tc>
        <w:tc>
          <w:tcPr>
            <w:tcW w:w="2595" w:type="dxa"/>
            <w:tcBorders>
              <w:tl2br w:val="nil"/>
              <w:tr2bl w:val="nil"/>
            </w:tcBorders>
            <w:vAlign w:val="center"/>
          </w:tcPr>
          <w:p w14:paraId="730E68F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0.8483333</w:t>
            </w:r>
          </w:p>
        </w:tc>
      </w:tr>
      <w:tr w14:paraId="23E77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1094CA2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1300</w:t>
            </w:r>
          </w:p>
        </w:tc>
        <w:tc>
          <w:tcPr>
            <w:tcW w:w="4602" w:type="dxa"/>
            <w:tcBorders>
              <w:tl2br w:val="nil"/>
              <w:tr2bl w:val="nil"/>
            </w:tcBorders>
            <w:vAlign w:val="center"/>
          </w:tcPr>
          <w:p w14:paraId="23A4286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7.217</w:t>
            </w:r>
          </w:p>
        </w:tc>
        <w:tc>
          <w:tcPr>
            <w:tcW w:w="2595" w:type="dxa"/>
            <w:tcBorders>
              <w:tl2br w:val="nil"/>
              <w:tr2bl w:val="nil"/>
            </w:tcBorders>
            <w:vAlign w:val="center"/>
          </w:tcPr>
          <w:p w14:paraId="35D59C0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0.8018889</w:t>
            </w:r>
          </w:p>
        </w:tc>
      </w:tr>
      <w:tr w14:paraId="29AF5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4A7DBE8C">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1400</w:t>
            </w:r>
          </w:p>
        </w:tc>
        <w:tc>
          <w:tcPr>
            <w:tcW w:w="4602" w:type="dxa"/>
            <w:tcBorders>
              <w:tl2br w:val="nil"/>
              <w:tr2bl w:val="nil"/>
            </w:tcBorders>
            <w:vAlign w:val="center"/>
          </w:tcPr>
          <w:p w14:paraId="245DD3D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6.85</w:t>
            </w:r>
          </w:p>
        </w:tc>
        <w:tc>
          <w:tcPr>
            <w:tcW w:w="2595" w:type="dxa"/>
            <w:tcBorders>
              <w:tl2br w:val="nil"/>
              <w:tr2bl w:val="nil"/>
            </w:tcBorders>
            <w:vAlign w:val="center"/>
          </w:tcPr>
          <w:p w14:paraId="296AA8B0">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0.7611111</w:t>
            </w:r>
          </w:p>
        </w:tc>
      </w:tr>
      <w:tr w14:paraId="0768B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0F835C9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1500</w:t>
            </w:r>
          </w:p>
        </w:tc>
        <w:tc>
          <w:tcPr>
            <w:tcW w:w="4602" w:type="dxa"/>
            <w:tcBorders>
              <w:tl2br w:val="nil"/>
              <w:tr2bl w:val="nil"/>
            </w:tcBorders>
            <w:vAlign w:val="center"/>
          </w:tcPr>
          <w:p w14:paraId="132771D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6.525</w:t>
            </w:r>
          </w:p>
        </w:tc>
        <w:tc>
          <w:tcPr>
            <w:tcW w:w="2595" w:type="dxa"/>
            <w:tcBorders>
              <w:tl2br w:val="nil"/>
              <w:tr2bl w:val="nil"/>
            </w:tcBorders>
            <w:vAlign w:val="center"/>
          </w:tcPr>
          <w:p w14:paraId="31C28AA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0.725</w:t>
            </w:r>
          </w:p>
        </w:tc>
      </w:tr>
      <w:tr w14:paraId="6693F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6B3AAFD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1600</w:t>
            </w:r>
          </w:p>
        </w:tc>
        <w:tc>
          <w:tcPr>
            <w:tcW w:w="4602" w:type="dxa"/>
            <w:tcBorders>
              <w:tl2br w:val="nil"/>
              <w:tr2bl w:val="nil"/>
            </w:tcBorders>
            <w:vAlign w:val="center"/>
          </w:tcPr>
          <w:p w14:paraId="7629FBF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6.236</w:t>
            </w:r>
          </w:p>
        </w:tc>
        <w:tc>
          <w:tcPr>
            <w:tcW w:w="2595" w:type="dxa"/>
            <w:tcBorders>
              <w:tl2br w:val="nil"/>
              <w:tr2bl w:val="nil"/>
            </w:tcBorders>
            <w:vAlign w:val="center"/>
          </w:tcPr>
          <w:p w14:paraId="1A95C04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0.6928889</w:t>
            </w:r>
          </w:p>
        </w:tc>
      </w:tr>
      <w:tr w14:paraId="71448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481B31D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1700</w:t>
            </w:r>
          </w:p>
        </w:tc>
        <w:tc>
          <w:tcPr>
            <w:tcW w:w="4602" w:type="dxa"/>
            <w:tcBorders>
              <w:tl2br w:val="nil"/>
              <w:tr2bl w:val="nil"/>
            </w:tcBorders>
            <w:vAlign w:val="center"/>
          </w:tcPr>
          <w:p w14:paraId="13C6EE08">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5.976</w:t>
            </w:r>
          </w:p>
        </w:tc>
        <w:tc>
          <w:tcPr>
            <w:tcW w:w="2595" w:type="dxa"/>
            <w:tcBorders>
              <w:tl2br w:val="nil"/>
              <w:tr2bl w:val="nil"/>
            </w:tcBorders>
            <w:vAlign w:val="center"/>
          </w:tcPr>
          <w:p w14:paraId="23EB8A0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0.664</w:t>
            </w:r>
          </w:p>
        </w:tc>
      </w:tr>
      <w:tr w14:paraId="4D87C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1CFABAA7">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1800</w:t>
            </w:r>
          </w:p>
        </w:tc>
        <w:tc>
          <w:tcPr>
            <w:tcW w:w="4602" w:type="dxa"/>
            <w:tcBorders>
              <w:tl2br w:val="nil"/>
              <w:tr2bl w:val="nil"/>
            </w:tcBorders>
            <w:vAlign w:val="center"/>
          </w:tcPr>
          <w:p w14:paraId="6E0C690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5.74</w:t>
            </w:r>
          </w:p>
        </w:tc>
        <w:tc>
          <w:tcPr>
            <w:tcW w:w="2595" w:type="dxa"/>
            <w:tcBorders>
              <w:tl2br w:val="nil"/>
              <w:tr2bl w:val="nil"/>
            </w:tcBorders>
            <w:vAlign w:val="center"/>
          </w:tcPr>
          <w:p w14:paraId="679A21D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0.6377778</w:t>
            </w:r>
          </w:p>
        </w:tc>
      </w:tr>
      <w:tr w14:paraId="58CDC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6B5F7A2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2000</w:t>
            </w:r>
          </w:p>
        </w:tc>
        <w:tc>
          <w:tcPr>
            <w:tcW w:w="4602" w:type="dxa"/>
            <w:tcBorders>
              <w:tl2br w:val="nil"/>
              <w:tr2bl w:val="nil"/>
            </w:tcBorders>
            <w:vAlign w:val="center"/>
          </w:tcPr>
          <w:p w14:paraId="4331ECC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5.331</w:t>
            </w:r>
          </w:p>
        </w:tc>
        <w:tc>
          <w:tcPr>
            <w:tcW w:w="2595" w:type="dxa"/>
            <w:tcBorders>
              <w:tl2br w:val="nil"/>
              <w:tr2bl w:val="nil"/>
            </w:tcBorders>
            <w:vAlign w:val="center"/>
          </w:tcPr>
          <w:p w14:paraId="3D134A2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0.5923333</w:t>
            </w:r>
          </w:p>
        </w:tc>
      </w:tr>
      <w:tr w14:paraId="5C33D5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19038CFF">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2100</w:t>
            </w:r>
          </w:p>
        </w:tc>
        <w:tc>
          <w:tcPr>
            <w:tcW w:w="4602" w:type="dxa"/>
            <w:tcBorders>
              <w:tl2br w:val="nil"/>
              <w:tr2bl w:val="nil"/>
            </w:tcBorders>
            <w:vAlign w:val="center"/>
          </w:tcPr>
          <w:p w14:paraId="30694CB2">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5.151</w:t>
            </w:r>
          </w:p>
        </w:tc>
        <w:tc>
          <w:tcPr>
            <w:tcW w:w="2595" w:type="dxa"/>
            <w:tcBorders>
              <w:tl2br w:val="nil"/>
              <w:tr2bl w:val="nil"/>
            </w:tcBorders>
            <w:vAlign w:val="center"/>
          </w:tcPr>
          <w:p w14:paraId="7E5A259B">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0.5723333</w:t>
            </w:r>
          </w:p>
        </w:tc>
      </w:tr>
      <w:tr w14:paraId="77510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4207EA16">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2200</w:t>
            </w:r>
          </w:p>
        </w:tc>
        <w:tc>
          <w:tcPr>
            <w:tcW w:w="4602" w:type="dxa"/>
            <w:tcBorders>
              <w:tl2br w:val="nil"/>
              <w:tr2bl w:val="nil"/>
            </w:tcBorders>
            <w:vAlign w:val="center"/>
          </w:tcPr>
          <w:p w14:paraId="11F7F6D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4.985</w:t>
            </w:r>
          </w:p>
        </w:tc>
        <w:tc>
          <w:tcPr>
            <w:tcW w:w="2595" w:type="dxa"/>
            <w:tcBorders>
              <w:tl2br w:val="nil"/>
              <w:tr2bl w:val="nil"/>
            </w:tcBorders>
            <w:vAlign w:val="center"/>
          </w:tcPr>
          <w:p w14:paraId="31D210F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0.5538889</w:t>
            </w:r>
          </w:p>
        </w:tc>
      </w:tr>
      <w:tr w14:paraId="37CE8D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67AD1D1E">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2300</w:t>
            </w:r>
          </w:p>
        </w:tc>
        <w:tc>
          <w:tcPr>
            <w:tcW w:w="4602" w:type="dxa"/>
            <w:tcBorders>
              <w:tl2br w:val="nil"/>
              <w:tr2bl w:val="nil"/>
            </w:tcBorders>
            <w:vAlign w:val="center"/>
          </w:tcPr>
          <w:p w14:paraId="21E699F3">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4.832</w:t>
            </w:r>
          </w:p>
        </w:tc>
        <w:tc>
          <w:tcPr>
            <w:tcW w:w="2595" w:type="dxa"/>
            <w:tcBorders>
              <w:tl2br w:val="nil"/>
              <w:tr2bl w:val="nil"/>
            </w:tcBorders>
            <w:vAlign w:val="center"/>
          </w:tcPr>
          <w:p w14:paraId="24C8AD8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0.5368889</w:t>
            </w:r>
          </w:p>
        </w:tc>
      </w:tr>
      <w:tr w14:paraId="0D9F4E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314" w:hRule="atLeast"/>
          <w:jc w:val="center"/>
        </w:trPr>
        <w:tc>
          <w:tcPr>
            <w:tcW w:w="1067" w:type="pct"/>
            <w:tcBorders>
              <w:tl2br w:val="nil"/>
              <w:tr2bl w:val="nil"/>
            </w:tcBorders>
            <w:vAlign w:val="center"/>
          </w:tcPr>
          <w:p w14:paraId="43822C8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2500</w:t>
            </w:r>
          </w:p>
        </w:tc>
        <w:tc>
          <w:tcPr>
            <w:tcW w:w="4602" w:type="dxa"/>
            <w:tcBorders>
              <w:tl2br w:val="nil"/>
              <w:tr2bl w:val="nil"/>
            </w:tcBorders>
            <w:vAlign w:val="center"/>
          </w:tcPr>
          <w:p w14:paraId="0AC798D9">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4.557</w:t>
            </w:r>
          </w:p>
        </w:tc>
        <w:tc>
          <w:tcPr>
            <w:tcW w:w="2595" w:type="dxa"/>
            <w:tcBorders>
              <w:tl2br w:val="nil"/>
              <w:tr2bl w:val="nil"/>
            </w:tcBorders>
            <w:vAlign w:val="center"/>
          </w:tcPr>
          <w:p w14:paraId="38C0FE71">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cs="宋体"/>
                <w:color w:val="auto"/>
                <w:sz w:val="21"/>
                <w:szCs w:val="22"/>
                <w:lang w:eastAsia="zh-CN" w:bidi="ar"/>
              </w:rPr>
            </w:pPr>
            <w:r>
              <w:rPr>
                <w:rFonts w:hint="eastAsia" w:ascii="Times New Roman" w:hAnsi="Times New Roman" w:eastAsia="宋体" w:cs="宋体"/>
                <w:i w:val="0"/>
                <w:iCs w:val="0"/>
                <w:snapToGrid w:val="0"/>
                <w:color w:val="000000"/>
                <w:kern w:val="0"/>
                <w:sz w:val="21"/>
                <w:szCs w:val="22"/>
                <w:u w:val="none"/>
                <w:lang w:val="en-US" w:eastAsia="zh-CN" w:bidi="ar"/>
              </w:rPr>
              <w:t>0.5063333</w:t>
            </w:r>
          </w:p>
        </w:tc>
      </w:tr>
      <w:tr w14:paraId="04049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4" w:type="pct"/>
          <w:trHeight w:val="1110" w:hRule="atLeast"/>
          <w:jc w:val="center"/>
        </w:trPr>
        <w:tc>
          <w:tcPr>
            <w:tcW w:w="1067" w:type="pct"/>
            <w:tcBorders>
              <w:tl2br w:val="nil"/>
              <w:tr2bl w:val="nil"/>
            </w:tcBorders>
            <w:vAlign w:val="center"/>
          </w:tcPr>
          <w:p w14:paraId="01316C8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下风向最</w:t>
            </w:r>
          </w:p>
          <w:p w14:paraId="7EC9FB2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大质量浓</w:t>
            </w:r>
          </w:p>
          <w:p w14:paraId="008712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宋体"/>
                <w:snapToGrid/>
                <w:color w:val="auto"/>
                <w:sz w:val="21"/>
                <w:lang w:eastAsia="zh-CN"/>
              </w:rPr>
            </w:pPr>
            <w:r>
              <w:rPr>
                <w:rFonts w:ascii="Times New Roman" w:hAnsi="Times New Roman" w:eastAsia="宋体" w:cs="宋体"/>
                <w:snapToGrid/>
                <w:color w:val="auto"/>
                <w:sz w:val="21"/>
                <w:lang w:eastAsia="zh-CN"/>
              </w:rPr>
              <w:t>度及占标</w:t>
            </w:r>
          </w:p>
          <w:p w14:paraId="7CF03257">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snapToGrid/>
                <w:color w:val="auto"/>
                <w:sz w:val="21"/>
              </w:rPr>
            </w:pPr>
            <w:r>
              <w:rPr>
                <w:rFonts w:ascii="Times New Roman" w:hAnsi="Times New Roman" w:eastAsia="宋体" w:cs="宋体"/>
                <w:snapToGrid/>
                <w:color w:val="auto"/>
                <w:sz w:val="21"/>
              </w:rPr>
              <w:t>率</w:t>
            </w:r>
            <w:r>
              <w:rPr>
                <w:rFonts w:ascii="Times New Roman" w:hAnsi="Times New Roman" w:eastAsia="宋体"/>
                <w:snapToGrid/>
                <w:color w:val="auto"/>
                <w:sz w:val="21"/>
              </w:rPr>
              <w:t>/%</w:t>
            </w:r>
          </w:p>
        </w:tc>
        <w:tc>
          <w:tcPr>
            <w:tcW w:w="4617" w:type="dxa"/>
            <w:tcBorders>
              <w:tl2br w:val="nil"/>
              <w:tr2bl w:val="nil"/>
            </w:tcBorders>
            <w:vAlign w:val="center"/>
          </w:tcPr>
          <w:p w14:paraId="006B6B2A">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46.540001</w:t>
            </w:r>
          </w:p>
        </w:tc>
        <w:tc>
          <w:tcPr>
            <w:tcW w:w="2603" w:type="dxa"/>
            <w:tcBorders>
              <w:tl2br w:val="nil"/>
              <w:tr2bl w:val="nil"/>
            </w:tcBorders>
            <w:vAlign w:val="center"/>
          </w:tcPr>
          <w:p w14:paraId="147AAB84">
            <w:pPr>
              <w:keepNext w:val="0"/>
              <w:keepLines w:val="0"/>
              <w:pageBreakBefore w:val="0"/>
              <w:widowControl/>
              <w:suppressLineNumbers w:val="0"/>
              <w:wordWrap/>
              <w:overflowPunct/>
              <w:topLinePunct w:val="0"/>
              <w:bidi w:val="0"/>
              <w:spacing w:line="360" w:lineRule="auto"/>
              <w:jc w:val="center"/>
              <w:textAlignment w:val="center"/>
              <w:rPr>
                <w:rFonts w:ascii="Times New Roman" w:hAnsi="Times New Roman" w:eastAsia="宋体"/>
                <w:snapToGrid/>
                <w:color w:val="auto"/>
                <w:sz w:val="21"/>
              </w:rPr>
            </w:pPr>
            <w:r>
              <w:rPr>
                <w:rFonts w:hint="eastAsia" w:ascii="Times New Roman" w:hAnsi="Times New Roman" w:eastAsia="宋体" w:cs="宋体"/>
                <w:i w:val="0"/>
                <w:iCs w:val="0"/>
                <w:snapToGrid w:val="0"/>
                <w:color w:val="000000"/>
                <w:kern w:val="0"/>
                <w:sz w:val="21"/>
                <w:szCs w:val="22"/>
                <w:u w:val="none"/>
                <w:lang w:val="en-US" w:eastAsia="zh-CN" w:bidi="ar"/>
              </w:rPr>
              <w:t>5.1711112</w:t>
            </w:r>
          </w:p>
        </w:tc>
      </w:tr>
    </w:tbl>
    <w:p w14:paraId="0E07319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由估算模式预测结果可知：有组织非甲烷总烃最大地面空气质量浓度分别为</w:t>
      </w:r>
      <w:r>
        <w:rPr>
          <w:rFonts w:hint="eastAsia" w:ascii="Times New Roman" w:hAnsi="Times New Roman"/>
          <w:snapToGrid/>
          <w:color w:val="auto"/>
          <w:sz w:val="24"/>
          <w:szCs w:val="24"/>
          <w:lang w:val="en-US" w:eastAsia="zh-CN"/>
        </w:rPr>
        <w:t>2.21μg/m</w:t>
      </w:r>
      <w:r>
        <w:rPr>
          <w:rFonts w:hint="eastAsia" w:ascii="Times New Roman" w:hAnsi="Times New Roman"/>
          <w:snapToGrid/>
          <w:color w:val="auto"/>
          <w:sz w:val="24"/>
          <w:szCs w:val="24"/>
          <w:vertAlign w:val="superscript"/>
          <w:lang w:val="en-US" w:eastAsia="zh-CN"/>
        </w:rPr>
        <w:t>3</w:t>
      </w:r>
      <w:r>
        <w:rPr>
          <w:rFonts w:ascii="Times New Roman" w:hAnsi="Times New Roman"/>
          <w:snapToGrid/>
          <w:color w:val="auto"/>
          <w:sz w:val="24"/>
          <w:szCs w:val="24"/>
          <w:lang w:eastAsia="zh-CN"/>
        </w:rPr>
        <w:t>，占标率为</w:t>
      </w:r>
      <w:r>
        <w:rPr>
          <w:rFonts w:hint="eastAsia" w:ascii="Times New Roman" w:hAnsi="Times New Roman"/>
          <w:snapToGrid/>
          <w:color w:val="auto"/>
          <w:sz w:val="24"/>
          <w:szCs w:val="24"/>
          <w:lang w:val="en-US" w:eastAsia="zh-CN"/>
        </w:rPr>
        <w:t>0.1105</w:t>
      </w:r>
      <w:r>
        <w:rPr>
          <w:rFonts w:ascii="Times New Roman" w:hAnsi="Times New Roman"/>
          <w:snapToGrid/>
          <w:color w:val="auto"/>
          <w:sz w:val="24"/>
          <w:szCs w:val="24"/>
          <w:lang w:eastAsia="zh-CN"/>
        </w:rPr>
        <w:t>%；最大落地距离为</w:t>
      </w:r>
      <w:r>
        <w:rPr>
          <w:rFonts w:hint="eastAsia" w:ascii="Times New Roman" w:hAnsi="Times New Roman"/>
          <w:snapToGrid/>
          <w:color w:val="auto"/>
          <w:sz w:val="24"/>
          <w:szCs w:val="24"/>
          <w:lang w:eastAsia="zh-CN"/>
        </w:rPr>
        <w:t>10</w:t>
      </w:r>
      <w:r>
        <w:rPr>
          <w:rFonts w:ascii="Times New Roman" w:hAnsi="Times New Roman"/>
          <w:snapToGrid/>
          <w:color w:val="auto"/>
          <w:sz w:val="24"/>
          <w:szCs w:val="24"/>
          <w:lang w:eastAsia="zh-CN"/>
        </w:rPr>
        <w:t>m；</w:t>
      </w:r>
    </w:p>
    <w:p w14:paraId="45066B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生产车间无组织非甲烷总烃最大地面空气质量浓度分别为</w:t>
      </w:r>
      <w:r>
        <w:rPr>
          <w:rFonts w:hint="eastAsia" w:ascii="Times New Roman" w:hAnsi="Times New Roman"/>
          <w:snapToGrid/>
          <w:color w:val="auto"/>
          <w:sz w:val="24"/>
          <w:szCs w:val="24"/>
          <w:lang w:val="en-US" w:eastAsia="zh-CN"/>
        </w:rPr>
        <w:t>66.529999ug</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，占标率分别为</w:t>
      </w:r>
      <w:r>
        <w:rPr>
          <w:rFonts w:hint="eastAsia" w:ascii="Times New Roman" w:hAnsi="Times New Roman"/>
          <w:snapToGrid/>
          <w:color w:val="auto"/>
          <w:sz w:val="24"/>
          <w:szCs w:val="24"/>
          <w:lang w:val="en-US" w:eastAsia="zh-CN"/>
        </w:rPr>
        <w:t>3.3264999</w:t>
      </w:r>
      <w:r>
        <w:rPr>
          <w:rFonts w:ascii="Times New Roman" w:hAnsi="Times New Roman"/>
          <w:snapToGrid/>
          <w:color w:val="auto"/>
          <w:sz w:val="24"/>
          <w:szCs w:val="24"/>
          <w:lang w:eastAsia="zh-CN"/>
        </w:rPr>
        <w:t>%；最大落地距离为</w:t>
      </w:r>
      <w:r>
        <w:rPr>
          <w:rFonts w:hint="eastAsia" w:ascii="Times New Roman" w:hAnsi="Times New Roman"/>
          <w:snapToGrid/>
          <w:color w:val="auto"/>
          <w:sz w:val="24"/>
          <w:szCs w:val="24"/>
          <w:lang w:val="en-US" w:eastAsia="zh-CN"/>
        </w:rPr>
        <w:t>80</w:t>
      </w:r>
      <w:r>
        <w:rPr>
          <w:rFonts w:ascii="Times New Roman" w:hAnsi="Times New Roman"/>
          <w:snapToGrid/>
          <w:color w:val="auto"/>
          <w:sz w:val="24"/>
          <w:szCs w:val="24"/>
          <w:lang w:eastAsia="zh-CN"/>
        </w:rPr>
        <w:t>m；</w:t>
      </w:r>
    </w:p>
    <w:p w14:paraId="236749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堆场</w:t>
      </w:r>
      <w:r>
        <w:rPr>
          <w:rFonts w:ascii="Times New Roman" w:hAnsi="Times New Roman"/>
          <w:snapToGrid/>
          <w:color w:val="auto"/>
          <w:sz w:val="24"/>
          <w:szCs w:val="24"/>
          <w:lang w:eastAsia="zh-CN"/>
        </w:rPr>
        <w:t>无组织</w:t>
      </w:r>
      <w:r>
        <w:rPr>
          <w:rFonts w:hint="eastAsia" w:ascii="Times New Roman" w:hAnsi="Times New Roman"/>
          <w:snapToGrid/>
          <w:color w:val="auto"/>
          <w:sz w:val="24"/>
          <w:szCs w:val="24"/>
          <w:lang w:val="en-US" w:eastAsia="zh-CN"/>
        </w:rPr>
        <w:t>颗粒物</w:t>
      </w:r>
      <w:r>
        <w:rPr>
          <w:rFonts w:ascii="Times New Roman" w:hAnsi="Times New Roman"/>
          <w:snapToGrid/>
          <w:color w:val="auto"/>
          <w:sz w:val="24"/>
          <w:szCs w:val="24"/>
          <w:lang w:eastAsia="zh-CN"/>
        </w:rPr>
        <w:t>最大地面空气质量浓度分别为</w:t>
      </w:r>
      <w:r>
        <w:rPr>
          <w:rFonts w:hint="eastAsia" w:ascii="Times New Roman" w:hAnsi="Times New Roman"/>
          <w:snapToGrid/>
          <w:color w:val="auto"/>
          <w:sz w:val="24"/>
          <w:szCs w:val="24"/>
          <w:lang w:val="en-US" w:eastAsia="zh-CN"/>
        </w:rPr>
        <w:t>46.540001ug</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，占标率分别为</w:t>
      </w:r>
      <w:r>
        <w:rPr>
          <w:rFonts w:hint="eastAsia" w:ascii="Times New Roman" w:hAnsi="Times New Roman"/>
          <w:snapToGrid/>
          <w:color w:val="auto"/>
          <w:sz w:val="24"/>
          <w:szCs w:val="24"/>
          <w:lang w:val="en-US" w:eastAsia="zh-CN"/>
        </w:rPr>
        <w:t>5.1711112</w:t>
      </w:r>
      <w:r>
        <w:rPr>
          <w:rFonts w:ascii="Times New Roman" w:hAnsi="Times New Roman"/>
          <w:snapToGrid/>
          <w:color w:val="auto"/>
          <w:sz w:val="24"/>
          <w:szCs w:val="24"/>
          <w:lang w:eastAsia="zh-CN"/>
        </w:rPr>
        <w:t>%；最大落地距离为</w:t>
      </w:r>
      <w:r>
        <w:rPr>
          <w:rFonts w:hint="eastAsia" w:ascii="Times New Roman" w:hAnsi="Times New Roman"/>
          <w:snapToGrid/>
          <w:color w:val="auto"/>
          <w:sz w:val="24"/>
          <w:szCs w:val="24"/>
          <w:lang w:val="en-US" w:eastAsia="zh-CN"/>
        </w:rPr>
        <w:t>79</w:t>
      </w:r>
      <w:r>
        <w:rPr>
          <w:rFonts w:ascii="Times New Roman" w:hAnsi="Times New Roman"/>
          <w:snapToGrid/>
          <w:color w:val="auto"/>
          <w:sz w:val="24"/>
          <w:szCs w:val="24"/>
          <w:lang w:eastAsia="zh-CN"/>
        </w:rPr>
        <w:t>m；</w:t>
      </w:r>
    </w:p>
    <w:p w14:paraId="22574B85">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"file:///C:\\Users\\jobezho\\AppData\\Local\\Temp\\Rar$DIa13476.12779\\5.2.1.4" </w:instrText>
      </w:r>
      <w:r>
        <w:rPr>
          <w:color w:val="auto"/>
        </w:rPr>
        <w:fldChar w:fldCharType="separate"/>
      </w:r>
      <w:r>
        <w:rPr>
          <w:rFonts w:hint="eastAsia" w:ascii="Times New Roman" w:hAnsi="Times New Roman" w:eastAsia="宋体"/>
          <w:snapToGrid/>
          <w:color w:val="auto"/>
          <w:sz w:val="24"/>
          <w:lang w:eastAsia="zh-CN"/>
        </w:rPr>
        <w:t>5.2.1.</w:t>
      </w:r>
      <w:r>
        <w:rPr>
          <w:rFonts w:hint="eastAsia" w:ascii="Times New Roman" w:hAnsi="Times New Roman" w:eastAsia="宋体"/>
          <w:snapToGrid/>
          <w:color w:val="auto"/>
          <w:sz w:val="24"/>
          <w:lang w:val="en-US" w:eastAsia="zh-CN"/>
        </w:rPr>
        <w:t>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污染物排放量核算</w:t>
      </w:r>
    </w:p>
    <w:p w14:paraId="09F8F95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项目大气污染物有组织排放量核算详见表5.2-</w:t>
      </w:r>
      <w:r>
        <w:rPr>
          <w:rFonts w:hint="eastAsia" w:ascii="Times New Roman" w:hAnsi="Times New Roman"/>
          <w:snapToGrid/>
          <w:color w:val="auto"/>
          <w:sz w:val="24"/>
          <w:szCs w:val="24"/>
          <w:lang w:eastAsia="zh-CN"/>
        </w:rPr>
        <w:t>8</w:t>
      </w:r>
      <w:r>
        <w:rPr>
          <w:rFonts w:ascii="Times New Roman" w:hAnsi="Times New Roman"/>
          <w:snapToGrid/>
          <w:color w:val="auto"/>
          <w:sz w:val="24"/>
          <w:szCs w:val="24"/>
          <w:lang w:eastAsia="zh-CN"/>
        </w:rPr>
        <w:t>，项目大气污染物无组织排放量核算详见表5.2-</w:t>
      </w:r>
      <w:r>
        <w:rPr>
          <w:rFonts w:hint="eastAsia" w:ascii="Times New Roman" w:hAnsi="Times New Roman"/>
          <w:snapToGrid/>
          <w:color w:val="auto"/>
          <w:sz w:val="24"/>
          <w:szCs w:val="24"/>
          <w:lang w:eastAsia="zh-CN"/>
        </w:rPr>
        <w:t>9</w:t>
      </w:r>
      <w:r>
        <w:rPr>
          <w:rFonts w:ascii="Times New Roman" w:hAnsi="Times New Roman"/>
          <w:snapToGrid/>
          <w:color w:val="auto"/>
          <w:sz w:val="24"/>
          <w:szCs w:val="24"/>
          <w:lang w:eastAsia="zh-CN"/>
        </w:rPr>
        <w:t>，项目大气污染物年排放量核算详见表5.2-1</w:t>
      </w:r>
      <w:r>
        <w:rPr>
          <w:rFonts w:hint="eastAsia" w:ascii="Times New Roman" w:hAnsi="Times New Roman"/>
          <w:snapToGrid/>
          <w:color w:val="auto"/>
          <w:sz w:val="24"/>
          <w:szCs w:val="24"/>
          <w:lang w:eastAsia="zh-CN"/>
        </w:rPr>
        <w:t>0</w:t>
      </w:r>
      <w:r>
        <w:rPr>
          <w:rFonts w:ascii="Times New Roman" w:hAnsi="Times New Roman"/>
          <w:snapToGrid/>
          <w:color w:val="auto"/>
          <w:sz w:val="24"/>
          <w:szCs w:val="24"/>
          <w:lang w:eastAsia="zh-CN"/>
        </w:rPr>
        <w:t>。</w:t>
      </w:r>
    </w:p>
    <w:p w14:paraId="2F837300">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表5.2-</w:t>
      </w:r>
      <w:r>
        <w:rPr>
          <w:rFonts w:hint="eastAsia" w:ascii="Times New Roman" w:hAnsi="Times New Roman"/>
          <w:b/>
          <w:bCs/>
          <w:snapToGrid/>
          <w:color w:val="auto"/>
          <w:sz w:val="24"/>
          <w:lang w:eastAsia="zh-CN"/>
        </w:rPr>
        <w:t>8</w:t>
      </w:r>
      <w:r>
        <w:rPr>
          <w:rFonts w:ascii="Times New Roman" w:hAnsi="Times New Roman"/>
          <w:b/>
          <w:bCs/>
          <w:snapToGrid/>
          <w:color w:val="auto"/>
          <w:sz w:val="24"/>
          <w:lang w:eastAsia="zh-CN"/>
        </w:rPr>
        <w:t>大气污染物有组织排放量核算表</w:t>
      </w:r>
    </w:p>
    <w:p w14:paraId="60DF9765">
      <w:pPr>
        <w:widowControl w:val="0"/>
        <w:shd w:val="clear"/>
        <w:kinsoku/>
        <w:autoSpaceDE/>
        <w:autoSpaceDN/>
        <w:adjustRightInd/>
        <w:snapToGrid/>
        <w:spacing w:line="23" w:lineRule="exact"/>
        <w:textAlignment w:val="auto"/>
        <w:rPr>
          <w:rFonts w:ascii="Times New Roman" w:hAnsi="Times New Roman" w:eastAsia="宋体"/>
          <w:snapToGrid/>
          <w:color w:val="auto"/>
          <w:lang w:eastAsia="zh-CN"/>
        </w:rPr>
      </w:pP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3"/>
        <w:gridCol w:w="1511"/>
        <w:gridCol w:w="1360"/>
        <w:gridCol w:w="2115"/>
        <w:gridCol w:w="1753"/>
        <w:gridCol w:w="1635"/>
      </w:tblGrid>
      <w:tr w14:paraId="2CC68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397" w:type="pct"/>
            <w:tcBorders>
              <w:tl2br w:val="nil"/>
              <w:tr2bl w:val="nil"/>
            </w:tcBorders>
            <w:vAlign w:val="center"/>
          </w:tcPr>
          <w:p w14:paraId="7CBFFA1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830" w:type="pct"/>
            <w:tcBorders>
              <w:tl2br w:val="nil"/>
              <w:tr2bl w:val="nil"/>
            </w:tcBorders>
            <w:vAlign w:val="center"/>
          </w:tcPr>
          <w:p w14:paraId="6BE9727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排放口编号</w:t>
            </w:r>
          </w:p>
        </w:tc>
        <w:tc>
          <w:tcPr>
            <w:tcW w:w="747" w:type="pct"/>
            <w:tcBorders>
              <w:tl2br w:val="nil"/>
              <w:tr2bl w:val="nil"/>
            </w:tcBorders>
            <w:vAlign w:val="center"/>
          </w:tcPr>
          <w:p w14:paraId="75D8DE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1162" w:type="pct"/>
            <w:tcBorders>
              <w:tl2br w:val="nil"/>
              <w:tr2bl w:val="nil"/>
            </w:tcBorders>
            <w:vAlign w:val="center"/>
          </w:tcPr>
          <w:p w14:paraId="1BD5FEAE">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b/>
                <w:bCs/>
                <w:snapToGrid/>
                <w:color w:val="auto"/>
                <w:lang w:eastAsia="zh-CN"/>
              </w:rPr>
              <w:t>核算排放浓度（</w:t>
            </w:r>
            <w:r>
              <w:rPr>
                <w:rFonts w:eastAsia="宋体"/>
                <w:b/>
                <w:bCs/>
                <w:snapToGrid/>
                <w:color w:val="auto"/>
                <w:lang w:eastAsia="zh-CN"/>
              </w:rPr>
              <w:t>mg/m</w:t>
            </w:r>
            <w:r>
              <w:rPr>
                <w:rFonts w:eastAsia="宋体"/>
                <w:b/>
                <w:bCs/>
                <w:snapToGrid/>
                <w:color w:val="auto"/>
                <w:szCs w:val="13"/>
                <w:vertAlign w:val="superscript"/>
                <w:lang w:eastAsia="zh-CN"/>
              </w:rPr>
              <w:t>3</w:t>
            </w:r>
            <w:r>
              <w:rPr>
                <w:rFonts w:eastAsia="宋体" w:cs="宋体"/>
                <w:b/>
                <w:bCs/>
                <w:snapToGrid/>
                <w:color w:val="auto"/>
                <w:lang w:eastAsia="zh-CN"/>
              </w:rPr>
              <w:t>）</w:t>
            </w:r>
          </w:p>
        </w:tc>
        <w:tc>
          <w:tcPr>
            <w:tcW w:w="963" w:type="pct"/>
            <w:tcBorders>
              <w:tl2br w:val="nil"/>
              <w:tr2bl w:val="nil"/>
            </w:tcBorders>
            <w:vAlign w:val="center"/>
          </w:tcPr>
          <w:p w14:paraId="7B981BA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核算排放速率</w:t>
            </w:r>
          </w:p>
          <w:p w14:paraId="156A73B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b/>
                <w:bCs/>
                <w:snapToGrid/>
                <w:color w:val="auto"/>
                <w:lang w:eastAsia="zh-CN"/>
              </w:rPr>
              <w:t>(</w:t>
            </w:r>
            <w:r>
              <w:rPr>
                <w:rFonts w:eastAsia="宋体"/>
                <w:b/>
                <w:bCs/>
                <w:snapToGrid/>
                <w:color w:val="auto"/>
              </w:rPr>
              <w:t>kg/h</w:t>
            </w:r>
            <w:r>
              <w:rPr>
                <w:rFonts w:hint="eastAsia" w:eastAsia="宋体"/>
                <w:b/>
                <w:bCs/>
                <w:snapToGrid/>
                <w:color w:val="auto"/>
                <w:lang w:eastAsia="zh-CN"/>
              </w:rPr>
              <w:t>)</w:t>
            </w:r>
          </w:p>
        </w:tc>
        <w:tc>
          <w:tcPr>
            <w:tcW w:w="898" w:type="pct"/>
            <w:tcBorders>
              <w:tl2br w:val="nil"/>
              <w:tr2bl w:val="nil"/>
            </w:tcBorders>
            <w:vAlign w:val="center"/>
          </w:tcPr>
          <w:p w14:paraId="2FE72D5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核算年排放量</w:t>
            </w:r>
          </w:p>
          <w:p w14:paraId="52C3635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b/>
                <w:bCs/>
                <w:snapToGrid/>
                <w:color w:val="auto"/>
                <w:lang w:eastAsia="zh-CN"/>
              </w:rPr>
              <w:t>(</w:t>
            </w:r>
            <w:r>
              <w:rPr>
                <w:rFonts w:eastAsia="宋体"/>
                <w:b/>
                <w:bCs/>
                <w:snapToGrid/>
                <w:color w:val="auto"/>
              </w:rPr>
              <w:t>t/a</w:t>
            </w:r>
            <w:r>
              <w:rPr>
                <w:rFonts w:hint="eastAsia" w:eastAsia="宋体"/>
                <w:b/>
                <w:bCs/>
                <w:snapToGrid/>
                <w:color w:val="auto"/>
                <w:lang w:eastAsia="zh-CN"/>
              </w:rPr>
              <w:t>)</w:t>
            </w:r>
          </w:p>
        </w:tc>
      </w:tr>
      <w:tr w14:paraId="6BCBD9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397" w:type="pct"/>
            <w:tcBorders>
              <w:tl2br w:val="nil"/>
              <w:tr2bl w:val="nil"/>
            </w:tcBorders>
            <w:vAlign w:val="center"/>
          </w:tcPr>
          <w:p w14:paraId="588DD9A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830" w:type="pct"/>
            <w:tcBorders>
              <w:tl2br w:val="nil"/>
              <w:tr2bl w:val="nil"/>
            </w:tcBorders>
            <w:vAlign w:val="center"/>
          </w:tcPr>
          <w:p w14:paraId="54E3131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排气筒（</w:t>
            </w:r>
            <w:r>
              <w:rPr>
                <w:rFonts w:eastAsia="宋体"/>
                <w:snapToGrid/>
                <w:color w:val="auto"/>
              </w:rPr>
              <w:t>DA001</w:t>
            </w:r>
            <w:r>
              <w:rPr>
                <w:rFonts w:eastAsia="宋体" w:cs="宋体"/>
                <w:snapToGrid/>
                <w:color w:val="auto"/>
              </w:rPr>
              <w:t>）</w:t>
            </w:r>
          </w:p>
        </w:tc>
        <w:tc>
          <w:tcPr>
            <w:tcW w:w="747" w:type="pct"/>
            <w:tcBorders>
              <w:tl2br w:val="nil"/>
              <w:tr2bl w:val="nil"/>
            </w:tcBorders>
            <w:vAlign w:val="center"/>
          </w:tcPr>
          <w:p w14:paraId="265F264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162" w:type="pct"/>
            <w:tcBorders>
              <w:tl2br w:val="nil"/>
              <w:tr2bl w:val="nil"/>
            </w:tcBorders>
            <w:vAlign w:val="center"/>
          </w:tcPr>
          <w:p w14:paraId="2B4C46F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3.2</w:t>
            </w:r>
          </w:p>
        </w:tc>
        <w:tc>
          <w:tcPr>
            <w:tcW w:w="963" w:type="pct"/>
            <w:tcBorders>
              <w:tl2br w:val="nil"/>
              <w:tr2bl w:val="nil"/>
            </w:tcBorders>
            <w:vAlign w:val="center"/>
          </w:tcPr>
          <w:p w14:paraId="284C1F8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0.16</w:t>
            </w:r>
          </w:p>
        </w:tc>
        <w:tc>
          <w:tcPr>
            <w:tcW w:w="898" w:type="pct"/>
            <w:tcBorders>
              <w:tl2br w:val="nil"/>
              <w:tr2bl w:val="nil"/>
            </w:tcBorders>
            <w:vAlign w:val="center"/>
          </w:tcPr>
          <w:p w14:paraId="0B62E3DA">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0.945</w:t>
            </w:r>
          </w:p>
        </w:tc>
      </w:tr>
    </w:tbl>
    <w:p w14:paraId="06581315">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表5.2-</w:t>
      </w:r>
      <w:r>
        <w:rPr>
          <w:rFonts w:hint="eastAsia" w:ascii="Times New Roman" w:hAnsi="Times New Roman"/>
          <w:b/>
          <w:bCs/>
          <w:snapToGrid/>
          <w:color w:val="auto"/>
          <w:sz w:val="24"/>
          <w:lang w:eastAsia="zh-CN"/>
        </w:rPr>
        <w:t>9</w:t>
      </w:r>
      <w:r>
        <w:rPr>
          <w:rFonts w:ascii="Times New Roman" w:hAnsi="Times New Roman"/>
          <w:b/>
          <w:bCs/>
          <w:snapToGrid/>
          <w:color w:val="auto"/>
          <w:sz w:val="24"/>
          <w:lang w:eastAsia="zh-CN"/>
        </w:rPr>
        <w:t>大气污染物无组织排放量核算表</w:t>
      </w:r>
    </w:p>
    <w:p w14:paraId="7BE0BDDA">
      <w:pPr>
        <w:widowControl w:val="0"/>
        <w:shd w:val="clear"/>
        <w:kinsoku/>
        <w:autoSpaceDE/>
        <w:autoSpaceDN/>
        <w:adjustRightInd/>
        <w:snapToGrid/>
        <w:spacing w:line="26" w:lineRule="exact"/>
        <w:textAlignment w:val="auto"/>
        <w:rPr>
          <w:rFonts w:ascii="Times New Roman" w:hAnsi="Times New Roman" w:eastAsia="宋体"/>
          <w:snapToGrid/>
          <w:color w:val="auto"/>
          <w:lang w:eastAsia="zh-CN"/>
        </w:rPr>
      </w:pPr>
    </w:p>
    <w:tbl>
      <w:tblPr>
        <w:tblStyle w:val="36"/>
        <w:tblW w:w="504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942"/>
        <w:gridCol w:w="1387"/>
        <w:gridCol w:w="701"/>
        <w:gridCol w:w="1468"/>
        <w:gridCol w:w="1816"/>
        <w:gridCol w:w="1297"/>
        <w:gridCol w:w="918"/>
      </w:tblGrid>
      <w:tr w14:paraId="7E740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360" w:type="pct"/>
            <w:vMerge w:val="restart"/>
            <w:tcBorders>
              <w:tl2br w:val="nil"/>
              <w:tr2bl w:val="nil"/>
            </w:tcBorders>
            <w:textDirection w:val="tbRlV"/>
            <w:vAlign w:val="center"/>
          </w:tcPr>
          <w:p w14:paraId="77E0615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512" w:type="pct"/>
            <w:vMerge w:val="restart"/>
            <w:tcBorders>
              <w:tl2br w:val="nil"/>
              <w:tr2bl w:val="nil"/>
            </w:tcBorders>
            <w:vAlign w:val="center"/>
          </w:tcPr>
          <w:p w14:paraId="7603E8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排放口编号</w:t>
            </w:r>
          </w:p>
        </w:tc>
        <w:tc>
          <w:tcPr>
            <w:tcW w:w="754" w:type="pct"/>
            <w:vMerge w:val="restart"/>
            <w:tcBorders>
              <w:tl2br w:val="nil"/>
              <w:tr2bl w:val="nil"/>
            </w:tcBorders>
            <w:vAlign w:val="center"/>
          </w:tcPr>
          <w:p w14:paraId="0EF5AE1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产污环节</w:t>
            </w:r>
          </w:p>
        </w:tc>
        <w:tc>
          <w:tcPr>
            <w:tcW w:w="381" w:type="pct"/>
            <w:vMerge w:val="restart"/>
            <w:tcBorders>
              <w:tl2br w:val="nil"/>
              <w:tr2bl w:val="nil"/>
            </w:tcBorders>
            <w:vAlign w:val="center"/>
          </w:tcPr>
          <w:p w14:paraId="0225A4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798" w:type="pct"/>
            <w:vMerge w:val="restart"/>
            <w:tcBorders>
              <w:tl2br w:val="nil"/>
              <w:tr2bl w:val="nil"/>
            </w:tcBorders>
            <w:vAlign w:val="center"/>
          </w:tcPr>
          <w:p w14:paraId="7929149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主要防治措施</w:t>
            </w:r>
          </w:p>
        </w:tc>
        <w:tc>
          <w:tcPr>
            <w:tcW w:w="1692" w:type="pct"/>
            <w:gridSpan w:val="2"/>
            <w:tcBorders>
              <w:tl2br w:val="nil"/>
              <w:tr2bl w:val="nil"/>
            </w:tcBorders>
            <w:vAlign w:val="center"/>
          </w:tcPr>
          <w:p w14:paraId="3806F05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b/>
                <w:bCs/>
                <w:snapToGrid/>
                <w:color w:val="auto"/>
                <w:lang w:eastAsia="zh-CN"/>
              </w:rPr>
              <w:t>国家或地方污染物排放标准</w:t>
            </w:r>
          </w:p>
        </w:tc>
        <w:tc>
          <w:tcPr>
            <w:tcW w:w="499" w:type="pct"/>
            <w:vMerge w:val="restart"/>
            <w:tcBorders>
              <w:tl2br w:val="nil"/>
              <w:tr2bl w:val="nil"/>
            </w:tcBorders>
            <w:vAlign w:val="center"/>
          </w:tcPr>
          <w:p w14:paraId="7D3F3F80">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年排放量（</w:t>
            </w:r>
            <w:r>
              <w:rPr>
                <w:rFonts w:eastAsia="宋体"/>
                <w:b/>
                <w:bCs/>
                <w:snapToGrid/>
                <w:color w:val="auto"/>
              </w:rPr>
              <w:t>t/a</w:t>
            </w:r>
            <w:r>
              <w:rPr>
                <w:rFonts w:eastAsia="宋体" w:cs="宋体"/>
                <w:b/>
                <w:bCs/>
                <w:snapToGrid/>
                <w:color w:val="auto"/>
              </w:rPr>
              <w:t>）</w:t>
            </w:r>
          </w:p>
        </w:tc>
      </w:tr>
      <w:tr w14:paraId="1D43A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360" w:type="pct"/>
            <w:vMerge w:val="continue"/>
            <w:tcBorders>
              <w:tl2br w:val="nil"/>
              <w:tr2bl w:val="nil"/>
            </w:tcBorders>
            <w:textDirection w:val="tbRlV"/>
            <w:vAlign w:val="center"/>
          </w:tcPr>
          <w:p w14:paraId="437F333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12" w:type="pct"/>
            <w:vMerge w:val="continue"/>
            <w:tcBorders>
              <w:tl2br w:val="nil"/>
              <w:tr2bl w:val="nil"/>
            </w:tcBorders>
            <w:vAlign w:val="center"/>
          </w:tcPr>
          <w:p w14:paraId="01DDA3E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54" w:type="pct"/>
            <w:vMerge w:val="continue"/>
            <w:tcBorders>
              <w:tl2br w:val="nil"/>
              <w:tr2bl w:val="nil"/>
            </w:tcBorders>
            <w:vAlign w:val="center"/>
          </w:tcPr>
          <w:p w14:paraId="2EE46D6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81" w:type="pct"/>
            <w:vMerge w:val="continue"/>
            <w:tcBorders>
              <w:tl2br w:val="nil"/>
              <w:tr2bl w:val="nil"/>
            </w:tcBorders>
            <w:vAlign w:val="center"/>
          </w:tcPr>
          <w:p w14:paraId="0C4564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8" w:type="pct"/>
            <w:vMerge w:val="continue"/>
            <w:tcBorders>
              <w:tl2br w:val="nil"/>
              <w:tr2bl w:val="nil"/>
            </w:tcBorders>
            <w:vAlign w:val="center"/>
          </w:tcPr>
          <w:p w14:paraId="5D39FF2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14FDF8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标准名称</w:t>
            </w:r>
          </w:p>
        </w:tc>
        <w:tc>
          <w:tcPr>
            <w:tcW w:w="704" w:type="pct"/>
            <w:tcBorders>
              <w:tl2br w:val="nil"/>
              <w:tr2bl w:val="nil"/>
            </w:tcBorders>
            <w:vAlign w:val="center"/>
          </w:tcPr>
          <w:p w14:paraId="6E20BFE4">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b/>
                <w:bCs/>
                <w:snapToGrid/>
                <w:color w:val="auto"/>
              </w:rPr>
              <w:t>浓度限值（</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499" w:type="pct"/>
            <w:vMerge w:val="continue"/>
            <w:tcBorders>
              <w:tl2br w:val="nil"/>
              <w:tr2bl w:val="nil"/>
            </w:tcBorders>
            <w:vAlign w:val="center"/>
          </w:tcPr>
          <w:p w14:paraId="796E732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24750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360" w:type="pct"/>
            <w:tcBorders>
              <w:tl2br w:val="nil"/>
              <w:tr2bl w:val="nil"/>
            </w:tcBorders>
            <w:vAlign w:val="center"/>
          </w:tcPr>
          <w:p w14:paraId="47B77A7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512" w:type="pct"/>
            <w:tcBorders>
              <w:tl2br w:val="nil"/>
              <w:tr2bl w:val="nil"/>
            </w:tcBorders>
            <w:vAlign w:val="center"/>
          </w:tcPr>
          <w:p w14:paraId="64E2A8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生产车间</w:t>
            </w:r>
          </w:p>
        </w:tc>
        <w:tc>
          <w:tcPr>
            <w:tcW w:w="754" w:type="pct"/>
            <w:tcBorders>
              <w:tl2br w:val="nil"/>
              <w:tr2bl w:val="nil"/>
            </w:tcBorders>
            <w:vAlign w:val="center"/>
          </w:tcPr>
          <w:p w14:paraId="6673DFA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生产</w:t>
            </w:r>
            <w:r>
              <w:rPr>
                <w:rFonts w:ascii="Times New Roman" w:hAnsi="Times New Roman" w:eastAsia="宋体" w:cs="宋体"/>
                <w:snapToGrid/>
                <w:color w:val="auto"/>
              </w:rPr>
              <w:t>工序</w:t>
            </w:r>
          </w:p>
        </w:tc>
        <w:tc>
          <w:tcPr>
            <w:tcW w:w="381" w:type="pct"/>
            <w:tcBorders>
              <w:tl2br w:val="nil"/>
              <w:tr2bl w:val="nil"/>
            </w:tcBorders>
            <w:vAlign w:val="center"/>
          </w:tcPr>
          <w:p w14:paraId="0657CF3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798" w:type="pct"/>
            <w:tcBorders>
              <w:tl2br w:val="nil"/>
              <w:tr2bl w:val="nil"/>
            </w:tcBorders>
            <w:vAlign w:val="center"/>
          </w:tcPr>
          <w:p w14:paraId="71B4C6F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加强车间通风及设备维护及管理</w:t>
            </w:r>
          </w:p>
        </w:tc>
        <w:tc>
          <w:tcPr>
            <w:tcW w:w="987" w:type="pct"/>
            <w:vMerge w:val="restart"/>
            <w:tcBorders>
              <w:tl2br w:val="nil"/>
              <w:tr2bl w:val="nil"/>
            </w:tcBorders>
            <w:vAlign w:val="center"/>
          </w:tcPr>
          <w:p w14:paraId="3F410F9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《合成树脂工业污染物排放标准》（GB 31572-2015，含2024年修改单）</w:t>
            </w:r>
            <w:r>
              <w:rPr>
                <w:rFonts w:ascii="Times New Roman" w:hAnsi="Times New Roman" w:eastAsia="宋体" w:cs="宋体"/>
                <w:snapToGrid/>
                <w:color w:val="auto"/>
                <w:lang w:eastAsia="zh-CN"/>
              </w:rPr>
              <w:t>表</w:t>
            </w:r>
            <w:r>
              <w:rPr>
                <w:rFonts w:ascii="Times New Roman" w:hAnsi="Times New Roman" w:eastAsia="宋体"/>
                <w:snapToGrid/>
                <w:color w:val="auto"/>
                <w:lang w:eastAsia="zh-CN"/>
              </w:rPr>
              <w:t>9</w:t>
            </w:r>
            <w:r>
              <w:rPr>
                <w:rFonts w:ascii="Times New Roman" w:hAnsi="Times New Roman" w:eastAsia="宋体" w:cs="宋体"/>
                <w:snapToGrid/>
                <w:color w:val="auto"/>
                <w:lang w:eastAsia="zh-CN"/>
              </w:rPr>
              <w:t>中标准要求</w:t>
            </w:r>
          </w:p>
        </w:tc>
        <w:tc>
          <w:tcPr>
            <w:tcW w:w="704" w:type="pct"/>
            <w:tcBorders>
              <w:tl2br w:val="nil"/>
              <w:tr2bl w:val="nil"/>
            </w:tcBorders>
            <w:vAlign w:val="center"/>
          </w:tcPr>
          <w:p w14:paraId="3DFF565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4.0</w:t>
            </w:r>
          </w:p>
        </w:tc>
        <w:tc>
          <w:tcPr>
            <w:tcW w:w="499" w:type="pct"/>
            <w:tcBorders>
              <w:tl2br w:val="nil"/>
              <w:tr2bl w:val="nil"/>
            </w:tcBorders>
            <w:vAlign w:val="center"/>
          </w:tcPr>
          <w:p w14:paraId="07A01C94">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0.7</w:t>
            </w:r>
          </w:p>
        </w:tc>
      </w:tr>
      <w:tr w14:paraId="72CC6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360" w:type="pct"/>
            <w:tcBorders>
              <w:tl2br w:val="nil"/>
              <w:tr2bl w:val="nil"/>
            </w:tcBorders>
            <w:vAlign w:val="center"/>
          </w:tcPr>
          <w:p w14:paraId="07B62F65">
            <w:pPr>
              <w:pStyle w:val="37"/>
              <w:widowControl w:val="0"/>
              <w:shd w:val="clear"/>
              <w:kinsoku/>
              <w:autoSpaceDE/>
              <w:autoSpaceDN/>
              <w:adjustRightInd/>
              <w:snapToGrid/>
              <w:spacing w:line="360" w:lineRule="auto"/>
              <w:jc w:val="center"/>
              <w:textAlignment w:val="auto"/>
              <w:rPr>
                <w:rFonts w:hint="eastAsia" w:eastAsia="宋体"/>
                <w:snapToGrid/>
                <w:color w:val="auto"/>
                <w:lang w:val="en-US" w:eastAsia="zh-CN"/>
              </w:rPr>
            </w:pPr>
            <w:r>
              <w:rPr>
                <w:rFonts w:hint="eastAsia" w:eastAsia="宋体"/>
                <w:snapToGrid/>
                <w:color w:val="auto"/>
                <w:lang w:val="en-US" w:eastAsia="zh-CN"/>
              </w:rPr>
              <w:t>2</w:t>
            </w:r>
          </w:p>
        </w:tc>
        <w:tc>
          <w:tcPr>
            <w:tcW w:w="512" w:type="pct"/>
            <w:tcBorders>
              <w:tl2br w:val="nil"/>
              <w:tr2bl w:val="nil"/>
            </w:tcBorders>
            <w:vAlign w:val="center"/>
          </w:tcPr>
          <w:p w14:paraId="7856699F">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堆场</w:t>
            </w:r>
          </w:p>
        </w:tc>
        <w:tc>
          <w:tcPr>
            <w:tcW w:w="754" w:type="pct"/>
            <w:tcBorders>
              <w:tl2br w:val="nil"/>
              <w:tr2bl w:val="nil"/>
            </w:tcBorders>
            <w:vAlign w:val="center"/>
          </w:tcPr>
          <w:p w14:paraId="22F9F7C7">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分拣工序</w:t>
            </w:r>
          </w:p>
        </w:tc>
        <w:tc>
          <w:tcPr>
            <w:tcW w:w="381" w:type="pct"/>
            <w:tcBorders>
              <w:tl2br w:val="nil"/>
              <w:tr2bl w:val="nil"/>
            </w:tcBorders>
            <w:vAlign w:val="center"/>
          </w:tcPr>
          <w:p w14:paraId="22CD6119">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颗粒物</w:t>
            </w:r>
          </w:p>
        </w:tc>
        <w:tc>
          <w:tcPr>
            <w:tcW w:w="798" w:type="pct"/>
            <w:tcBorders>
              <w:tl2br w:val="nil"/>
              <w:tr2bl w:val="nil"/>
            </w:tcBorders>
            <w:vAlign w:val="center"/>
          </w:tcPr>
          <w:p w14:paraId="4830223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半封闭堆场</w:t>
            </w:r>
          </w:p>
        </w:tc>
        <w:tc>
          <w:tcPr>
            <w:tcW w:w="987" w:type="pct"/>
            <w:vMerge w:val="continue"/>
            <w:tcBorders>
              <w:tl2br w:val="nil"/>
              <w:tr2bl w:val="nil"/>
            </w:tcBorders>
            <w:vAlign w:val="center"/>
          </w:tcPr>
          <w:p w14:paraId="65634605">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eastAsia="zh-CN"/>
              </w:rPr>
            </w:pPr>
          </w:p>
        </w:tc>
        <w:tc>
          <w:tcPr>
            <w:tcW w:w="704" w:type="pct"/>
            <w:tcBorders>
              <w:tl2br w:val="nil"/>
              <w:tr2bl w:val="nil"/>
            </w:tcBorders>
            <w:vAlign w:val="center"/>
          </w:tcPr>
          <w:p w14:paraId="1EFF56EC">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1.0</w:t>
            </w:r>
          </w:p>
        </w:tc>
        <w:tc>
          <w:tcPr>
            <w:tcW w:w="499" w:type="pct"/>
            <w:tcBorders>
              <w:tl2br w:val="nil"/>
              <w:tr2bl w:val="nil"/>
            </w:tcBorders>
            <w:vAlign w:val="center"/>
          </w:tcPr>
          <w:p w14:paraId="4C3108BA">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0.48</w:t>
            </w:r>
          </w:p>
        </w:tc>
      </w:tr>
    </w:tbl>
    <w:p w14:paraId="396D167D">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表5.2-1</w:t>
      </w:r>
      <w:r>
        <w:rPr>
          <w:rFonts w:hint="eastAsia" w:ascii="Times New Roman" w:hAnsi="Times New Roman"/>
          <w:b/>
          <w:bCs/>
          <w:snapToGrid/>
          <w:color w:val="auto"/>
          <w:sz w:val="24"/>
          <w:lang w:eastAsia="zh-CN"/>
        </w:rPr>
        <w:t>0</w:t>
      </w:r>
      <w:r>
        <w:rPr>
          <w:rFonts w:ascii="Times New Roman" w:hAnsi="Times New Roman"/>
          <w:b/>
          <w:bCs/>
          <w:snapToGrid/>
          <w:color w:val="auto"/>
          <w:sz w:val="24"/>
        </w:rPr>
        <w:t>大气污染物年排放量核算表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06"/>
        <w:gridCol w:w="3186"/>
        <w:gridCol w:w="1553"/>
        <w:gridCol w:w="3353"/>
      </w:tblGrid>
      <w:tr w14:paraId="7D982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3" w:type="pct"/>
            <w:tcBorders>
              <w:tl2br w:val="nil"/>
              <w:tr2bl w:val="nil"/>
            </w:tcBorders>
            <w:vAlign w:val="center"/>
          </w:tcPr>
          <w:p w14:paraId="290495A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序号</w:t>
            </w:r>
          </w:p>
        </w:tc>
        <w:tc>
          <w:tcPr>
            <w:tcW w:w="1750" w:type="pct"/>
            <w:tcBorders>
              <w:tl2br w:val="nil"/>
              <w:tr2bl w:val="nil"/>
            </w:tcBorders>
            <w:vAlign w:val="center"/>
          </w:tcPr>
          <w:p w14:paraId="2FEDCBC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w:t>
            </w:r>
          </w:p>
        </w:tc>
        <w:tc>
          <w:tcPr>
            <w:tcW w:w="2695" w:type="pct"/>
            <w:gridSpan w:val="2"/>
            <w:tcBorders>
              <w:tl2br w:val="nil"/>
              <w:tr2bl w:val="nil"/>
            </w:tcBorders>
            <w:vAlign w:val="center"/>
          </w:tcPr>
          <w:p w14:paraId="50AFA6A0">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ascii="Times New Roman" w:hAnsi="Times New Roman" w:eastAsia="宋体" w:cs="宋体"/>
                <w:b/>
                <w:bCs/>
                <w:snapToGrid/>
                <w:color w:val="auto"/>
              </w:rPr>
              <w:t>年排放量</w:t>
            </w:r>
            <w:r>
              <w:rPr>
                <w:rFonts w:hint="eastAsia" w:ascii="Times New Roman" w:hAnsi="Times New Roman" w:eastAsia="宋体" w:cs="宋体"/>
                <w:b/>
                <w:bCs/>
                <w:snapToGrid/>
                <w:color w:val="auto"/>
                <w:lang w:val="en-US" w:eastAsia="zh-CN"/>
              </w:rPr>
              <w:t>t/a</w:t>
            </w:r>
          </w:p>
        </w:tc>
      </w:tr>
      <w:tr w14:paraId="16526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53" w:type="pct"/>
            <w:vMerge w:val="restart"/>
            <w:tcBorders>
              <w:tl2br w:val="nil"/>
              <w:tr2bl w:val="nil"/>
            </w:tcBorders>
            <w:vAlign w:val="center"/>
          </w:tcPr>
          <w:p w14:paraId="506A31C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1</w:t>
            </w:r>
          </w:p>
        </w:tc>
        <w:tc>
          <w:tcPr>
            <w:tcW w:w="1750" w:type="pct"/>
            <w:vMerge w:val="restart"/>
            <w:tcBorders>
              <w:tl2br w:val="nil"/>
              <w:tr2bl w:val="nil"/>
            </w:tcBorders>
            <w:vAlign w:val="center"/>
          </w:tcPr>
          <w:p w14:paraId="1503A45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VOCs</w:t>
            </w:r>
          </w:p>
        </w:tc>
        <w:tc>
          <w:tcPr>
            <w:tcW w:w="853" w:type="pct"/>
            <w:tcBorders>
              <w:tl2br w:val="nil"/>
              <w:tr2bl w:val="nil"/>
            </w:tcBorders>
            <w:vAlign w:val="center"/>
          </w:tcPr>
          <w:p w14:paraId="47C44E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w:t>
            </w:r>
          </w:p>
        </w:tc>
        <w:tc>
          <w:tcPr>
            <w:tcW w:w="1841" w:type="pct"/>
            <w:tcBorders>
              <w:tl2br w:val="nil"/>
              <w:tr2bl w:val="nil"/>
            </w:tcBorders>
            <w:vAlign w:val="center"/>
          </w:tcPr>
          <w:p w14:paraId="50FD0916">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hint="eastAsia" w:eastAsia="宋体"/>
                <w:snapToGrid/>
                <w:color w:val="auto"/>
                <w:lang w:eastAsia="zh-CN"/>
              </w:rPr>
              <w:t>0.945</w:t>
            </w:r>
          </w:p>
        </w:tc>
      </w:tr>
      <w:tr w14:paraId="3CD92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553" w:type="pct"/>
            <w:vMerge w:val="continue"/>
            <w:tcBorders>
              <w:tl2br w:val="nil"/>
              <w:tr2bl w:val="nil"/>
            </w:tcBorders>
            <w:vAlign w:val="center"/>
          </w:tcPr>
          <w:p w14:paraId="72A2A1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750" w:type="pct"/>
            <w:vMerge w:val="continue"/>
            <w:tcBorders>
              <w:tl2br w:val="nil"/>
              <w:tr2bl w:val="nil"/>
            </w:tcBorders>
            <w:vAlign w:val="center"/>
          </w:tcPr>
          <w:p w14:paraId="641AD33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53" w:type="pct"/>
            <w:tcBorders>
              <w:tl2br w:val="nil"/>
              <w:tr2bl w:val="nil"/>
            </w:tcBorders>
            <w:vAlign w:val="center"/>
          </w:tcPr>
          <w:p w14:paraId="7424C60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1841" w:type="pct"/>
            <w:tcBorders>
              <w:tl2br w:val="nil"/>
              <w:tr2bl w:val="nil"/>
            </w:tcBorders>
            <w:vAlign w:val="center"/>
          </w:tcPr>
          <w:p w14:paraId="41CEFD53">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0.7</w:t>
            </w:r>
          </w:p>
        </w:tc>
      </w:tr>
      <w:tr w14:paraId="2E0F6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553" w:type="pct"/>
            <w:tcBorders>
              <w:tl2br w:val="nil"/>
              <w:tr2bl w:val="nil"/>
            </w:tcBorders>
            <w:vAlign w:val="center"/>
          </w:tcPr>
          <w:p w14:paraId="3D2ED02E">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2</w:t>
            </w:r>
          </w:p>
        </w:tc>
        <w:tc>
          <w:tcPr>
            <w:tcW w:w="1750" w:type="pct"/>
            <w:tcBorders>
              <w:tl2br w:val="nil"/>
              <w:tr2bl w:val="nil"/>
            </w:tcBorders>
            <w:vAlign w:val="center"/>
          </w:tcPr>
          <w:p w14:paraId="05E3438A">
            <w:pPr>
              <w:widowControl w:val="0"/>
              <w:shd w:val="clear"/>
              <w:kinsoku/>
              <w:autoSpaceDE/>
              <w:autoSpaceDN/>
              <w:adjustRightInd/>
              <w:snapToGrid/>
              <w:spacing w:line="36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颗粒物</w:t>
            </w:r>
          </w:p>
        </w:tc>
        <w:tc>
          <w:tcPr>
            <w:tcW w:w="853" w:type="pct"/>
            <w:tcBorders>
              <w:tl2br w:val="nil"/>
              <w:tr2bl w:val="nil"/>
            </w:tcBorders>
            <w:vAlign w:val="center"/>
          </w:tcPr>
          <w:p w14:paraId="011D741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1841" w:type="pct"/>
            <w:tcBorders>
              <w:tl2br w:val="nil"/>
              <w:tr2bl w:val="nil"/>
            </w:tcBorders>
            <w:vAlign w:val="center"/>
          </w:tcPr>
          <w:p w14:paraId="433C1CAE">
            <w:pPr>
              <w:pStyle w:val="37"/>
              <w:widowControl w:val="0"/>
              <w:shd w:val="clear"/>
              <w:kinsoku/>
              <w:autoSpaceDE/>
              <w:autoSpaceDN/>
              <w:adjustRightInd/>
              <w:snapToGrid/>
              <w:spacing w:line="360" w:lineRule="auto"/>
              <w:jc w:val="center"/>
              <w:textAlignment w:val="auto"/>
              <w:rPr>
                <w:rFonts w:hint="default" w:eastAsia="宋体"/>
                <w:snapToGrid/>
                <w:color w:val="auto"/>
                <w:lang w:val="en-US" w:eastAsia="zh-CN"/>
              </w:rPr>
            </w:pPr>
            <w:r>
              <w:rPr>
                <w:rFonts w:hint="eastAsia" w:eastAsia="宋体"/>
                <w:snapToGrid/>
                <w:color w:val="auto"/>
                <w:lang w:val="en-US" w:eastAsia="zh-CN"/>
              </w:rPr>
              <w:t>0.48</w:t>
            </w:r>
          </w:p>
        </w:tc>
      </w:tr>
    </w:tbl>
    <w:p w14:paraId="7169A441">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"file:///C:\\Users\\jobezho\\AppData\\Local\\Temp\\Rar$DIa13476.12779\\5.2.1.5" </w:instrText>
      </w:r>
      <w:r>
        <w:rPr>
          <w:color w:val="auto"/>
        </w:rPr>
        <w:fldChar w:fldCharType="separate"/>
      </w:r>
      <w:r>
        <w:rPr>
          <w:rFonts w:hint="eastAsia" w:ascii="Times New Roman" w:hAnsi="Times New Roman" w:eastAsia="宋体"/>
          <w:snapToGrid/>
          <w:color w:val="auto"/>
          <w:sz w:val="24"/>
          <w:lang w:eastAsia="zh-CN"/>
        </w:rPr>
        <w:t>5.2.1.</w:t>
      </w:r>
      <w:r>
        <w:rPr>
          <w:rFonts w:hint="eastAsia" w:ascii="Times New Roman" w:hAnsi="Times New Roman" w:eastAsia="宋体"/>
          <w:snapToGrid/>
          <w:color w:val="auto"/>
          <w:sz w:val="24"/>
          <w:lang w:val="en-US" w:eastAsia="zh-CN"/>
        </w:rPr>
        <w:t>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防护距离</w:t>
      </w:r>
    </w:p>
    <w:p w14:paraId="7CCF58D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rPr>
      </w:pPr>
      <w:r>
        <w:rPr>
          <w:rFonts w:ascii="Times New Roman" w:hAnsi="Times New Roman"/>
          <w:snapToGrid/>
          <w:color w:val="auto"/>
          <w:sz w:val="24"/>
          <w:szCs w:val="24"/>
        </w:rPr>
        <w:t>（1）大气环境防护距离</w:t>
      </w:r>
    </w:p>
    <w:p w14:paraId="3990C48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根据《环境影响评价技术导则大气环境》（HJ2.2-2018）中的大气环境防护距离的要求，本项目厂界浓度满足大气污染物厂界浓度限值，因此本</w:t>
      </w:r>
      <w:r>
        <w:rPr>
          <w:rFonts w:hint="eastAsia" w:ascii="Times New Roman" w:hAnsi="Times New Roman"/>
          <w:snapToGrid/>
          <w:color w:val="auto"/>
          <w:sz w:val="24"/>
          <w:szCs w:val="24"/>
          <w:lang w:eastAsia="zh-CN"/>
        </w:rPr>
        <w:t>项目</w:t>
      </w:r>
      <w:r>
        <w:rPr>
          <w:rFonts w:ascii="Times New Roman" w:hAnsi="Times New Roman"/>
          <w:snapToGrid/>
          <w:color w:val="auto"/>
          <w:sz w:val="24"/>
          <w:szCs w:val="24"/>
          <w:lang w:eastAsia="zh-CN"/>
        </w:rPr>
        <w:t>不设置大气环境防护距离。</w:t>
      </w:r>
    </w:p>
    <w:p w14:paraId="01CFD8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（2）卫生防护距离项目运营期产生并呈面源排放的无组织颗粒物和NMHC卫生防护距离为</w:t>
      </w:r>
      <w:r>
        <w:rPr>
          <w:rFonts w:hint="eastAsia" w:ascii="Times New Roman" w:hAnsi="Times New Roman"/>
          <w:snapToGrid/>
          <w:color w:val="auto"/>
          <w:sz w:val="24"/>
          <w:szCs w:val="24"/>
          <w:lang w:eastAsia="zh-CN"/>
        </w:rPr>
        <w:t>4.2</w:t>
      </w:r>
      <w:r>
        <w:rPr>
          <w:rFonts w:ascii="Times New Roman" w:hAnsi="Times New Roman"/>
          <w:snapToGrid/>
          <w:color w:val="auto"/>
          <w:sz w:val="24"/>
          <w:szCs w:val="24"/>
          <w:lang w:eastAsia="zh-CN"/>
        </w:rPr>
        <w:t>m，根据《大气有害物质无组织排放卫生防护距离推导技术导则》</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GB/T39499-2020</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，含2种以上污染物应提级，因此确定本项目卫生防护距离为100m。根据现场调查，周边100m范围内无居住区，因此项目场址可以满足卫生防护距离的要求。</w:t>
      </w:r>
    </w:p>
    <w:p w14:paraId="1DB6D982">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表5.2-1</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建设项目大气环境影响评价自查表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746"/>
        <w:gridCol w:w="921"/>
        <w:gridCol w:w="125"/>
        <w:gridCol w:w="281"/>
        <w:gridCol w:w="98"/>
        <w:gridCol w:w="72"/>
        <w:gridCol w:w="168"/>
        <w:gridCol w:w="123"/>
        <w:gridCol w:w="253"/>
        <w:gridCol w:w="699"/>
        <w:gridCol w:w="311"/>
        <w:gridCol w:w="202"/>
        <w:gridCol w:w="100"/>
        <w:gridCol w:w="88"/>
        <w:gridCol w:w="363"/>
        <w:gridCol w:w="298"/>
        <w:gridCol w:w="163"/>
        <w:gridCol w:w="125"/>
        <w:gridCol w:w="248"/>
        <w:gridCol w:w="509"/>
        <w:gridCol w:w="302"/>
        <w:gridCol w:w="323"/>
        <w:gridCol w:w="336"/>
        <w:gridCol w:w="512"/>
      </w:tblGrid>
      <w:tr w14:paraId="6038F6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19" w:type="pct"/>
            <w:gridSpan w:val="2"/>
            <w:tcBorders>
              <w:tl2br w:val="nil"/>
              <w:tr2bl w:val="nil"/>
            </w:tcBorders>
            <w:vAlign w:val="center"/>
          </w:tcPr>
          <w:p w14:paraId="0AC3001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工作内容</w:t>
            </w:r>
          </w:p>
        </w:tc>
        <w:tc>
          <w:tcPr>
            <w:tcW w:w="3577" w:type="pct"/>
            <w:gridSpan w:val="23"/>
            <w:tcBorders>
              <w:tl2br w:val="nil"/>
              <w:tr2bl w:val="nil"/>
            </w:tcBorders>
            <w:vAlign w:val="center"/>
          </w:tcPr>
          <w:p w14:paraId="75E7FF4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自查项目</w:t>
            </w:r>
          </w:p>
        </w:tc>
      </w:tr>
      <w:tr w14:paraId="68F93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1" w:type="pct"/>
            <w:vMerge w:val="restart"/>
            <w:tcBorders>
              <w:tl2br w:val="nil"/>
              <w:tr2bl w:val="nil"/>
            </w:tcBorders>
            <w:vAlign w:val="center"/>
          </w:tcPr>
          <w:p w14:paraId="045EE0D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评价等</w:t>
            </w:r>
          </w:p>
          <w:p w14:paraId="46E38D3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级与范</w:t>
            </w:r>
          </w:p>
          <w:p w14:paraId="22AC4D6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围</w:t>
            </w:r>
          </w:p>
        </w:tc>
        <w:tc>
          <w:tcPr>
            <w:tcW w:w="987" w:type="pct"/>
            <w:tcBorders>
              <w:tl2br w:val="nil"/>
              <w:tr2bl w:val="nil"/>
            </w:tcBorders>
            <w:vAlign w:val="center"/>
          </w:tcPr>
          <w:p w14:paraId="4722D9B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评价等级</w:t>
            </w:r>
          </w:p>
        </w:tc>
        <w:tc>
          <w:tcPr>
            <w:tcW w:w="1040" w:type="pct"/>
            <w:gridSpan w:val="8"/>
            <w:tcBorders>
              <w:tl2br w:val="nil"/>
              <w:tr2bl w:val="nil"/>
            </w:tcBorders>
            <w:vAlign w:val="center"/>
          </w:tcPr>
          <w:p w14:paraId="1F060A4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一级□</w:t>
            </w:r>
          </w:p>
        </w:tc>
        <w:tc>
          <w:tcPr>
            <w:tcW w:w="1266" w:type="pct"/>
            <w:gridSpan w:val="10"/>
            <w:tcBorders>
              <w:tl2br w:val="nil"/>
              <w:tr2bl w:val="nil"/>
            </w:tcBorders>
            <w:vAlign w:val="center"/>
          </w:tcPr>
          <w:p w14:paraId="45C541B9">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lang w:eastAsia="zh-CN"/>
              </w:rPr>
            </w:pPr>
            <w:r>
              <w:rPr>
                <w:rFonts w:ascii="Times New Roman" w:hAnsi="Times New Roman" w:eastAsia="宋体" w:cs="宋体"/>
                <w:snapToGrid/>
                <w:color w:val="auto"/>
                <w:szCs w:val="18"/>
              </w:rPr>
              <w:t>二级</w:t>
            </w:r>
            <w:r>
              <w:rPr>
                <w:rFonts w:hint="eastAsia" w:ascii="Times New Roman" w:hAnsi="Times New Roman" w:eastAsia="宋体" w:cs="MS Gothic"/>
                <w:snapToGrid/>
                <w:color w:val="auto"/>
                <w:szCs w:val="18"/>
                <w:lang w:eastAsia="zh-CN"/>
              </w:rPr>
              <w:t>☑</w:t>
            </w:r>
          </w:p>
        </w:tc>
        <w:tc>
          <w:tcPr>
            <w:tcW w:w="1271" w:type="pct"/>
            <w:gridSpan w:val="5"/>
            <w:tcBorders>
              <w:tl2br w:val="nil"/>
              <w:tr2bl w:val="nil"/>
            </w:tcBorders>
            <w:vAlign w:val="center"/>
          </w:tcPr>
          <w:p w14:paraId="3B7740A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rPr>
              <w:t>三级</w:t>
            </w:r>
            <w:r>
              <w:rPr>
                <w:rFonts w:hint="eastAsia" w:ascii="Times New Roman" w:hAnsi="Times New Roman" w:eastAsia="宋体" w:cs="宋体"/>
                <w:snapToGrid/>
                <w:color w:val="auto"/>
                <w:szCs w:val="18"/>
                <w:lang w:eastAsia="zh-CN"/>
              </w:rPr>
              <w:t>□</w:t>
            </w:r>
          </w:p>
        </w:tc>
      </w:tr>
      <w:tr w14:paraId="0C22C7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1" w:type="pct"/>
            <w:vMerge w:val="continue"/>
            <w:tcBorders>
              <w:tl2br w:val="nil"/>
              <w:tr2bl w:val="nil"/>
            </w:tcBorders>
            <w:vAlign w:val="center"/>
          </w:tcPr>
          <w:p w14:paraId="3AE5F60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231C18D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评价范围</w:t>
            </w:r>
          </w:p>
        </w:tc>
        <w:tc>
          <w:tcPr>
            <w:tcW w:w="1040" w:type="pct"/>
            <w:gridSpan w:val="8"/>
            <w:tcBorders>
              <w:tl2br w:val="nil"/>
              <w:tr2bl w:val="nil"/>
            </w:tcBorders>
            <w:vAlign w:val="center"/>
          </w:tcPr>
          <w:p w14:paraId="07F2206A">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边长</w:t>
            </w:r>
            <w:r>
              <w:rPr>
                <w:rFonts w:eastAsia="宋体"/>
                <w:snapToGrid/>
                <w:color w:val="auto"/>
                <w:szCs w:val="18"/>
              </w:rPr>
              <w:t>=50km</w:t>
            </w:r>
            <w:r>
              <w:rPr>
                <w:rFonts w:eastAsia="宋体" w:cs="宋体"/>
                <w:snapToGrid/>
                <w:color w:val="auto"/>
                <w:szCs w:val="18"/>
              </w:rPr>
              <w:t>□</w:t>
            </w:r>
          </w:p>
        </w:tc>
        <w:tc>
          <w:tcPr>
            <w:tcW w:w="1266" w:type="pct"/>
            <w:gridSpan w:val="10"/>
            <w:tcBorders>
              <w:tl2br w:val="nil"/>
              <w:tr2bl w:val="nil"/>
            </w:tcBorders>
            <w:vAlign w:val="center"/>
          </w:tcPr>
          <w:p w14:paraId="6ED24557">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边长</w:t>
            </w:r>
            <w:r>
              <w:rPr>
                <w:rFonts w:eastAsia="宋体"/>
                <w:snapToGrid/>
                <w:color w:val="auto"/>
                <w:szCs w:val="18"/>
              </w:rPr>
              <w:t>5~50km</w:t>
            </w:r>
            <w:r>
              <w:rPr>
                <w:rFonts w:eastAsia="宋体" w:cs="宋体"/>
                <w:snapToGrid/>
                <w:color w:val="auto"/>
                <w:szCs w:val="18"/>
              </w:rPr>
              <w:t>□</w:t>
            </w:r>
          </w:p>
        </w:tc>
        <w:tc>
          <w:tcPr>
            <w:tcW w:w="1271" w:type="pct"/>
            <w:gridSpan w:val="5"/>
            <w:tcBorders>
              <w:tl2br w:val="nil"/>
              <w:tr2bl w:val="nil"/>
            </w:tcBorders>
            <w:vAlign w:val="center"/>
          </w:tcPr>
          <w:p w14:paraId="13BB1BB6">
            <w:pPr>
              <w:pStyle w:val="37"/>
              <w:widowControl w:val="0"/>
              <w:shd w:val="clear"/>
              <w:kinsoku/>
              <w:autoSpaceDE/>
              <w:autoSpaceDN/>
              <w:adjustRightInd/>
              <w:snapToGrid/>
              <w:spacing w:line="360" w:lineRule="auto"/>
              <w:jc w:val="center"/>
              <w:textAlignment w:val="auto"/>
              <w:rPr>
                <w:rFonts w:eastAsia="宋体" w:cs="MS Gothic"/>
                <w:snapToGrid/>
                <w:color w:val="auto"/>
                <w:szCs w:val="18"/>
              </w:rPr>
            </w:pPr>
            <w:r>
              <w:rPr>
                <w:rFonts w:eastAsia="宋体" w:cs="宋体"/>
                <w:snapToGrid/>
                <w:color w:val="auto"/>
                <w:szCs w:val="18"/>
              </w:rPr>
              <w:t>边长</w:t>
            </w:r>
            <w:r>
              <w:rPr>
                <w:rFonts w:eastAsia="宋体"/>
                <w:snapToGrid/>
                <w:color w:val="auto"/>
                <w:szCs w:val="18"/>
              </w:rPr>
              <w:t>=5km</w:t>
            </w:r>
            <w:r>
              <w:rPr>
                <w:rFonts w:eastAsia="宋体" w:cs="MS Gothic"/>
                <w:snapToGrid/>
                <w:color w:val="auto"/>
                <w:szCs w:val="18"/>
              </w:rPr>
              <w:t>☑</w:t>
            </w:r>
          </w:p>
        </w:tc>
      </w:tr>
      <w:tr w14:paraId="43E02A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431" w:type="pct"/>
            <w:vMerge w:val="restart"/>
            <w:tcBorders>
              <w:tl2br w:val="nil"/>
              <w:tr2bl w:val="nil"/>
            </w:tcBorders>
            <w:vAlign w:val="center"/>
          </w:tcPr>
          <w:p w14:paraId="2D4842F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评价因子</w:t>
            </w:r>
          </w:p>
        </w:tc>
        <w:tc>
          <w:tcPr>
            <w:tcW w:w="987" w:type="pct"/>
            <w:tcBorders>
              <w:tl2br w:val="nil"/>
              <w:tr2bl w:val="nil"/>
            </w:tcBorders>
            <w:vAlign w:val="center"/>
          </w:tcPr>
          <w:p w14:paraId="483DA5F7">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SO</w:t>
            </w:r>
            <w:r>
              <w:rPr>
                <w:rFonts w:eastAsia="宋体"/>
                <w:snapToGrid/>
                <w:color w:val="auto"/>
                <w:szCs w:val="12"/>
                <w:vertAlign w:val="subscript"/>
              </w:rPr>
              <w:t>2</w:t>
            </w:r>
            <w:r>
              <w:rPr>
                <w:rFonts w:eastAsia="宋体"/>
                <w:snapToGrid/>
                <w:color w:val="auto"/>
                <w:szCs w:val="18"/>
              </w:rPr>
              <w:t>+NO</w:t>
            </w:r>
            <w:r>
              <w:rPr>
                <w:rFonts w:eastAsia="宋体"/>
                <w:snapToGrid/>
                <w:color w:val="auto"/>
                <w:szCs w:val="12"/>
                <w:vertAlign w:val="subscript"/>
              </w:rPr>
              <w:t>2</w:t>
            </w:r>
            <w:r>
              <w:rPr>
                <w:rFonts w:eastAsia="宋体" w:cs="宋体"/>
                <w:snapToGrid/>
                <w:color w:val="auto"/>
                <w:szCs w:val="18"/>
              </w:rPr>
              <w:t>排放量</w:t>
            </w:r>
          </w:p>
        </w:tc>
        <w:tc>
          <w:tcPr>
            <w:tcW w:w="1040" w:type="pct"/>
            <w:gridSpan w:val="8"/>
            <w:tcBorders>
              <w:tl2br w:val="nil"/>
              <w:tr2bl w:val="nil"/>
            </w:tcBorders>
            <w:vAlign w:val="center"/>
          </w:tcPr>
          <w:p w14:paraId="0014E354">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w:t>
            </w:r>
            <w:r>
              <w:rPr>
                <w:rFonts w:eastAsia="宋体"/>
                <w:snapToGrid/>
                <w:color w:val="auto"/>
                <w:szCs w:val="18"/>
              </w:rPr>
              <w:t>2000t/a</w:t>
            </w:r>
            <w:r>
              <w:rPr>
                <w:rFonts w:eastAsia="宋体" w:cs="宋体"/>
                <w:snapToGrid/>
                <w:color w:val="auto"/>
                <w:szCs w:val="18"/>
              </w:rPr>
              <w:t>□</w:t>
            </w:r>
          </w:p>
        </w:tc>
        <w:tc>
          <w:tcPr>
            <w:tcW w:w="1266" w:type="pct"/>
            <w:gridSpan w:val="10"/>
            <w:tcBorders>
              <w:tl2br w:val="nil"/>
              <w:tr2bl w:val="nil"/>
            </w:tcBorders>
            <w:vAlign w:val="center"/>
          </w:tcPr>
          <w:p w14:paraId="3C61C4E3">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500~2000t/a</w:t>
            </w:r>
            <w:r>
              <w:rPr>
                <w:rFonts w:eastAsia="宋体" w:cs="宋体"/>
                <w:snapToGrid/>
                <w:color w:val="auto"/>
                <w:szCs w:val="18"/>
              </w:rPr>
              <w:t>□</w:t>
            </w:r>
          </w:p>
        </w:tc>
        <w:tc>
          <w:tcPr>
            <w:tcW w:w="1271" w:type="pct"/>
            <w:gridSpan w:val="5"/>
            <w:tcBorders>
              <w:tl2br w:val="nil"/>
              <w:tr2bl w:val="nil"/>
            </w:tcBorders>
            <w:vAlign w:val="center"/>
          </w:tcPr>
          <w:p w14:paraId="0DCB1B3A">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hint="eastAsia" w:eastAsia="宋体" w:cs="宋体"/>
                <w:snapToGrid/>
                <w:color w:val="auto"/>
                <w:szCs w:val="18"/>
                <w:lang w:eastAsia="zh-CN"/>
              </w:rPr>
              <w:t>&lt;</w:t>
            </w:r>
            <w:r>
              <w:rPr>
                <w:rFonts w:eastAsia="宋体"/>
                <w:snapToGrid/>
                <w:color w:val="auto"/>
                <w:szCs w:val="18"/>
              </w:rPr>
              <w:t>500t/a</w:t>
            </w:r>
            <w:r>
              <w:rPr>
                <w:rFonts w:eastAsia="宋体" w:cs="宋体"/>
                <w:snapToGrid/>
                <w:color w:val="auto"/>
                <w:szCs w:val="18"/>
              </w:rPr>
              <w:t>□</w:t>
            </w:r>
          </w:p>
        </w:tc>
      </w:tr>
      <w:tr w14:paraId="3048B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431" w:type="pct"/>
            <w:vMerge w:val="continue"/>
            <w:tcBorders>
              <w:tl2br w:val="nil"/>
              <w:tr2bl w:val="nil"/>
            </w:tcBorders>
            <w:vAlign w:val="center"/>
          </w:tcPr>
          <w:p w14:paraId="09C1E39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6E44175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评价因子</w:t>
            </w:r>
          </w:p>
        </w:tc>
        <w:tc>
          <w:tcPr>
            <w:tcW w:w="2039" w:type="pct"/>
            <w:gridSpan w:val="15"/>
            <w:tcBorders>
              <w:tl2br w:val="nil"/>
              <w:tr2bl w:val="nil"/>
            </w:tcBorders>
            <w:vAlign w:val="center"/>
          </w:tcPr>
          <w:p w14:paraId="4540C431">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基本污染物（</w:t>
            </w:r>
            <w:r>
              <w:rPr>
                <w:rFonts w:eastAsia="宋体"/>
                <w:snapToGrid/>
                <w:color w:val="auto"/>
                <w:szCs w:val="18"/>
              </w:rPr>
              <w:t>CO</w:t>
            </w:r>
            <w:r>
              <w:rPr>
                <w:rFonts w:eastAsia="宋体" w:cs="宋体"/>
                <w:snapToGrid/>
                <w:color w:val="auto"/>
                <w:szCs w:val="18"/>
              </w:rPr>
              <w:t>、</w:t>
            </w:r>
            <w:r>
              <w:rPr>
                <w:rFonts w:eastAsia="宋体"/>
                <w:snapToGrid/>
                <w:color w:val="auto"/>
                <w:szCs w:val="18"/>
              </w:rPr>
              <w:t>O</w:t>
            </w:r>
            <w:r>
              <w:rPr>
                <w:rFonts w:eastAsia="宋体"/>
                <w:snapToGrid/>
                <w:color w:val="auto"/>
                <w:szCs w:val="12"/>
                <w:vertAlign w:val="subscript"/>
              </w:rPr>
              <w:t>3</w:t>
            </w:r>
            <w:r>
              <w:rPr>
                <w:rFonts w:eastAsia="宋体" w:cs="宋体"/>
                <w:snapToGrid/>
                <w:color w:val="auto"/>
                <w:szCs w:val="18"/>
              </w:rPr>
              <w:t>、</w:t>
            </w:r>
            <w:r>
              <w:rPr>
                <w:rFonts w:eastAsia="宋体"/>
                <w:snapToGrid/>
                <w:color w:val="auto"/>
                <w:szCs w:val="18"/>
              </w:rPr>
              <w:t>PM</w:t>
            </w:r>
            <w:r>
              <w:rPr>
                <w:rFonts w:eastAsia="宋体"/>
                <w:snapToGrid/>
                <w:color w:val="auto"/>
                <w:szCs w:val="12"/>
                <w:vertAlign w:val="subscript"/>
              </w:rPr>
              <w:t>10</w:t>
            </w:r>
            <w:r>
              <w:rPr>
                <w:rFonts w:eastAsia="宋体" w:cs="宋体"/>
                <w:snapToGrid/>
                <w:color w:val="auto"/>
                <w:szCs w:val="18"/>
              </w:rPr>
              <w:t>、</w:t>
            </w:r>
            <w:r>
              <w:rPr>
                <w:rFonts w:eastAsia="宋体"/>
                <w:snapToGrid/>
                <w:color w:val="auto"/>
                <w:szCs w:val="18"/>
              </w:rPr>
              <w:t>PM</w:t>
            </w:r>
            <w:r>
              <w:rPr>
                <w:rFonts w:eastAsia="宋体"/>
                <w:snapToGrid/>
                <w:color w:val="auto"/>
                <w:szCs w:val="12"/>
                <w:vertAlign w:val="subscript"/>
              </w:rPr>
              <w:t>2.5</w:t>
            </w:r>
            <w:r>
              <w:rPr>
                <w:rFonts w:eastAsia="宋体" w:cs="宋体"/>
                <w:snapToGrid/>
                <w:color w:val="auto"/>
                <w:szCs w:val="18"/>
              </w:rPr>
              <w:t>、</w:t>
            </w:r>
            <w:r>
              <w:rPr>
                <w:rFonts w:eastAsia="宋体"/>
                <w:snapToGrid/>
                <w:color w:val="auto"/>
                <w:szCs w:val="18"/>
              </w:rPr>
              <w:t>SO</w:t>
            </w:r>
            <w:r>
              <w:rPr>
                <w:rFonts w:eastAsia="宋体"/>
                <w:snapToGrid/>
                <w:color w:val="auto"/>
                <w:szCs w:val="12"/>
                <w:vertAlign w:val="subscript"/>
              </w:rPr>
              <w:t>2</w:t>
            </w:r>
            <w:r>
              <w:rPr>
                <w:rFonts w:eastAsia="宋体" w:cs="宋体"/>
                <w:snapToGrid/>
                <w:color w:val="auto"/>
                <w:szCs w:val="18"/>
              </w:rPr>
              <w:t>、</w:t>
            </w:r>
            <w:r>
              <w:rPr>
                <w:rFonts w:eastAsia="宋体"/>
                <w:snapToGrid/>
                <w:color w:val="auto"/>
                <w:szCs w:val="18"/>
              </w:rPr>
              <w:t>NO</w:t>
            </w:r>
            <w:r>
              <w:rPr>
                <w:rFonts w:eastAsia="宋体"/>
                <w:snapToGrid/>
                <w:color w:val="auto"/>
                <w:szCs w:val="12"/>
                <w:vertAlign w:val="subscript"/>
              </w:rPr>
              <w:t>2</w:t>
            </w:r>
            <w:r>
              <w:rPr>
                <w:rFonts w:eastAsia="宋体" w:cs="宋体"/>
                <w:snapToGrid/>
                <w:color w:val="auto"/>
                <w:szCs w:val="18"/>
              </w:rPr>
              <w:t>）</w:t>
            </w:r>
          </w:p>
          <w:p w14:paraId="60B3663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其他污染物（非甲烷总烃</w:t>
            </w:r>
            <w:r>
              <w:rPr>
                <w:rFonts w:hint="eastAsia" w:ascii="Times New Roman" w:hAnsi="Times New Roman" w:eastAsia="宋体" w:cs="宋体"/>
                <w:snapToGrid/>
                <w:color w:val="auto"/>
                <w:szCs w:val="18"/>
                <w:lang w:eastAsia="zh-CN"/>
              </w:rPr>
              <w:t>、TSP</w:t>
            </w:r>
            <w:r>
              <w:rPr>
                <w:rFonts w:ascii="Times New Roman" w:hAnsi="Times New Roman" w:eastAsia="宋体" w:cs="宋体"/>
                <w:snapToGrid/>
                <w:color w:val="auto"/>
                <w:szCs w:val="18"/>
                <w:lang w:eastAsia="zh-CN"/>
              </w:rPr>
              <w:t>）</w:t>
            </w:r>
          </w:p>
        </w:tc>
        <w:tc>
          <w:tcPr>
            <w:tcW w:w="1538" w:type="pct"/>
            <w:gridSpan w:val="8"/>
            <w:tcBorders>
              <w:tl2br w:val="nil"/>
              <w:tr2bl w:val="nil"/>
            </w:tcBorders>
            <w:vAlign w:val="center"/>
          </w:tcPr>
          <w:p w14:paraId="5D661537">
            <w:pPr>
              <w:pStyle w:val="37"/>
              <w:widowControl w:val="0"/>
              <w:shd w:val="clear"/>
              <w:kinsoku/>
              <w:autoSpaceDE/>
              <w:autoSpaceDN/>
              <w:adjustRightInd/>
              <w:snapToGrid/>
              <w:spacing w:line="360" w:lineRule="auto"/>
              <w:jc w:val="center"/>
              <w:textAlignment w:val="auto"/>
              <w:rPr>
                <w:rFonts w:eastAsia="宋体" w:cs="MS Gothic"/>
                <w:snapToGrid/>
                <w:color w:val="auto"/>
                <w:szCs w:val="18"/>
              </w:rPr>
            </w:pPr>
            <w:r>
              <w:rPr>
                <w:rFonts w:eastAsia="宋体" w:cs="宋体"/>
                <w:snapToGrid/>
                <w:color w:val="auto"/>
                <w:szCs w:val="18"/>
              </w:rPr>
              <w:t>包括二次</w:t>
            </w:r>
            <w:r>
              <w:rPr>
                <w:rFonts w:eastAsia="宋体"/>
                <w:snapToGrid/>
                <w:color w:val="auto"/>
                <w:szCs w:val="18"/>
              </w:rPr>
              <w:t>PM2.5</w:t>
            </w:r>
            <w:r>
              <w:rPr>
                <w:rFonts w:eastAsia="宋体" w:cs="宋体"/>
                <w:snapToGrid/>
                <w:color w:val="auto"/>
                <w:szCs w:val="18"/>
              </w:rPr>
              <w:t>□不包括二次</w:t>
            </w:r>
            <w:r>
              <w:rPr>
                <w:rFonts w:eastAsia="宋体"/>
                <w:snapToGrid/>
                <w:color w:val="auto"/>
                <w:szCs w:val="18"/>
              </w:rPr>
              <w:t>PM2.5</w:t>
            </w:r>
            <w:r>
              <w:rPr>
                <w:rFonts w:eastAsia="宋体" w:cs="MS Gothic"/>
                <w:snapToGrid/>
                <w:color w:val="auto"/>
                <w:szCs w:val="18"/>
              </w:rPr>
              <w:t>☑</w:t>
            </w:r>
          </w:p>
        </w:tc>
      </w:tr>
      <w:tr w14:paraId="2C9B9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431" w:type="pct"/>
            <w:tcBorders>
              <w:tl2br w:val="nil"/>
              <w:tr2bl w:val="nil"/>
            </w:tcBorders>
            <w:vAlign w:val="center"/>
          </w:tcPr>
          <w:p w14:paraId="71A4D96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评价标准</w:t>
            </w:r>
          </w:p>
        </w:tc>
        <w:tc>
          <w:tcPr>
            <w:tcW w:w="987" w:type="pct"/>
            <w:tcBorders>
              <w:tl2br w:val="nil"/>
              <w:tr2bl w:val="nil"/>
            </w:tcBorders>
            <w:vAlign w:val="center"/>
          </w:tcPr>
          <w:p w14:paraId="5C36008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评价标准</w:t>
            </w:r>
          </w:p>
        </w:tc>
        <w:tc>
          <w:tcPr>
            <w:tcW w:w="724" w:type="pct"/>
            <w:gridSpan w:val="4"/>
            <w:tcBorders>
              <w:tl2br w:val="nil"/>
              <w:tr2bl w:val="nil"/>
            </w:tcBorders>
            <w:vAlign w:val="center"/>
          </w:tcPr>
          <w:p w14:paraId="1EBF9529">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lang w:eastAsia="zh-CN"/>
              </w:rPr>
            </w:pPr>
            <w:r>
              <w:rPr>
                <w:rFonts w:ascii="Times New Roman" w:hAnsi="Times New Roman" w:eastAsia="宋体" w:cs="宋体"/>
                <w:snapToGrid/>
                <w:color w:val="auto"/>
                <w:szCs w:val="18"/>
              </w:rPr>
              <w:t>国家标准</w:t>
            </w:r>
            <w:r>
              <w:rPr>
                <w:rFonts w:hint="eastAsia" w:ascii="Times New Roman" w:hAnsi="Times New Roman" w:eastAsia="宋体" w:cs="MS Gothic"/>
                <w:snapToGrid/>
                <w:color w:val="auto"/>
                <w:szCs w:val="18"/>
                <w:lang w:eastAsia="zh-CN"/>
              </w:rPr>
              <w:t>☑</w:t>
            </w:r>
          </w:p>
        </w:tc>
        <w:tc>
          <w:tcPr>
            <w:tcW w:w="899" w:type="pct"/>
            <w:gridSpan w:val="7"/>
            <w:tcBorders>
              <w:tl2br w:val="nil"/>
              <w:tr2bl w:val="nil"/>
            </w:tcBorders>
            <w:vAlign w:val="center"/>
          </w:tcPr>
          <w:p w14:paraId="36CA165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地方标准□</w:t>
            </w:r>
          </w:p>
        </w:tc>
        <w:tc>
          <w:tcPr>
            <w:tcW w:w="941" w:type="pct"/>
            <w:gridSpan w:val="8"/>
            <w:tcBorders>
              <w:tl2br w:val="nil"/>
              <w:tr2bl w:val="nil"/>
            </w:tcBorders>
            <w:vAlign w:val="center"/>
          </w:tcPr>
          <w:p w14:paraId="01C8F123">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cs="宋体"/>
                <w:snapToGrid/>
                <w:color w:val="auto"/>
                <w:szCs w:val="18"/>
              </w:rPr>
              <w:t>附录</w:t>
            </w:r>
            <w:r>
              <w:rPr>
                <w:rFonts w:eastAsia="宋体"/>
                <w:snapToGrid/>
                <w:color w:val="auto"/>
                <w:szCs w:val="18"/>
              </w:rPr>
              <w:t>D</w:t>
            </w:r>
            <w:r>
              <w:rPr>
                <w:rFonts w:hint="eastAsia" w:eastAsia="宋体" w:cs="宋体"/>
                <w:snapToGrid/>
                <w:color w:val="auto"/>
                <w:szCs w:val="18"/>
                <w:lang w:eastAsia="zh-CN"/>
              </w:rPr>
              <w:t>☑</w:t>
            </w:r>
          </w:p>
        </w:tc>
        <w:tc>
          <w:tcPr>
            <w:tcW w:w="1012" w:type="pct"/>
            <w:gridSpan w:val="4"/>
            <w:tcBorders>
              <w:tl2br w:val="nil"/>
              <w:tr2bl w:val="nil"/>
            </w:tcBorders>
            <w:vAlign w:val="center"/>
          </w:tcPr>
          <w:p w14:paraId="14D78F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其他标准□</w:t>
            </w:r>
          </w:p>
        </w:tc>
      </w:tr>
      <w:tr w14:paraId="365142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431" w:type="pct"/>
            <w:vMerge w:val="restart"/>
            <w:tcBorders>
              <w:tl2br w:val="nil"/>
              <w:tr2bl w:val="nil"/>
            </w:tcBorders>
            <w:vAlign w:val="center"/>
          </w:tcPr>
          <w:p w14:paraId="6713C90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现状评价</w:t>
            </w:r>
          </w:p>
        </w:tc>
        <w:tc>
          <w:tcPr>
            <w:tcW w:w="987" w:type="pct"/>
            <w:tcBorders>
              <w:tl2br w:val="nil"/>
              <w:tr2bl w:val="nil"/>
            </w:tcBorders>
            <w:vAlign w:val="center"/>
          </w:tcPr>
          <w:p w14:paraId="7D15330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环境功能区</w:t>
            </w:r>
          </w:p>
        </w:tc>
        <w:tc>
          <w:tcPr>
            <w:tcW w:w="1040" w:type="pct"/>
            <w:gridSpan w:val="8"/>
            <w:tcBorders>
              <w:tl2br w:val="nil"/>
              <w:tr2bl w:val="nil"/>
            </w:tcBorders>
            <w:vAlign w:val="center"/>
          </w:tcPr>
          <w:p w14:paraId="31540A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一类区□</w:t>
            </w:r>
          </w:p>
        </w:tc>
        <w:tc>
          <w:tcPr>
            <w:tcW w:w="1266" w:type="pct"/>
            <w:gridSpan w:val="10"/>
            <w:tcBorders>
              <w:tl2br w:val="nil"/>
              <w:tr2bl w:val="nil"/>
            </w:tcBorders>
            <w:vAlign w:val="center"/>
          </w:tcPr>
          <w:p w14:paraId="002C8AC5">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rPr>
            </w:pPr>
            <w:r>
              <w:rPr>
                <w:rFonts w:ascii="Times New Roman" w:hAnsi="Times New Roman" w:eastAsia="宋体" w:cs="宋体"/>
                <w:snapToGrid/>
                <w:color w:val="auto"/>
                <w:szCs w:val="18"/>
              </w:rPr>
              <w:t>二类区</w:t>
            </w:r>
            <w:r>
              <w:rPr>
                <w:rFonts w:ascii="Times New Roman" w:hAnsi="Times New Roman" w:eastAsia="宋体" w:cs="MS Gothic"/>
                <w:snapToGrid/>
                <w:color w:val="auto"/>
                <w:szCs w:val="18"/>
              </w:rPr>
              <w:t>☑</w:t>
            </w:r>
          </w:p>
        </w:tc>
        <w:tc>
          <w:tcPr>
            <w:tcW w:w="1271" w:type="pct"/>
            <w:gridSpan w:val="5"/>
            <w:tcBorders>
              <w:tl2br w:val="nil"/>
              <w:tr2bl w:val="nil"/>
            </w:tcBorders>
            <w:vAlign w:val="center"/>
          </w:tcPr>
          <w:p w14:paraId="47D44B1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一类区和二类区□</w:t>
            </w:r>
          </w:p>
        </w:tc>
      </w:tr>
      <w:tr w14:paraId="3870C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431" w:type="pct"/>
            <w:vMerge w:val="continue"/>
            <w:tcBorders>
              <w:tl2br w:val="nil"/>
              <w:tr2bl w:val="nil"/>
            </w:tcBorders>
            <w:vAlign w:val="center"/>
          </w:tcPr>
          <w:p w14:paraId="66661B2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762DC6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评价基准年</w:t>
            </w:r>
          </w:p>
        </w:tc>
        <w:tc>
          <w:tcPr>
            <w:tcW w:w="3577" w:type="pct"/>
            <w:gridSpan w:val="23"/>
            <w:tcBorders>
              <w:tl2br w:val="nil"/>
              <w:tr2bl w:val="nil"/>
            </w:tcBorders>
            <w:vAlign w:val="center"/>
          </w:tcPr>
          <w:p w14:paraId="55304917">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w:t>
            </w:r>
            <w:r>
              <w:rPr>
                <w:rFonts w:hint="eastAsia" w:eastAsia="宋体"/>
                <w:snapToGrid/>
                <w:color w:val="auto"/>
                <w:szCs w:val="18"/>
                <w:lang w:eastAsia="zh-CN"/>
              </w:rPr>
              <w:t>2023</w:t>
            </w:r>
            <w:r>
              <w:rPr>
                <w:rFonts w:eastAsia="宋体" w:cs="宋体"/>
                <w:snapToGrid/>
                <w:color w:val="auto"/>
                <w:szCs w:val="18"/>
              </w:rPr>
              <w:t>）年</w:t>
            </w:r>
          </w:p>
        </w:tc>
      </w:tr>
      <w:tr w14:paraId="248C10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431" w:type="pct"/>
            <w:vMerge w:val="continue"/>
            <w:tcBorders>
              <w:tl2br w:val="nil"/>
              <w:tr2bl w:val="nil"/>
            </w:tcBorders>
            <w:vAlign w:val="center"/>
          </w:tcPr>
          <w:p w14:paraId="5AA3420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44282B8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环境空气质量现状调查数据来源</w:t>
            </w:r>
          </w:p>
        </w:tc>
        <w:tc>
          <w:tcPr>
            <w:tcW w:w="1040" w:type="pct"/>
            <w:gridSpan w:val="8"/>
            <w:tcBorders>
              <w:tl2br w:val="nil"/>
              <w:tr2bl w:val="nil"/>
            </w:tcBorders>
            <w:vAlign w:val="center"/>
          </w:tcPr>
          <w:p w14:paraId="5419D97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长期例行监测数据□</w:t>
            </w:r>
          </w:p>
        </w:tc>
        <w:tc>
          <w:tcPr>
            <w:tcW w:w="1266" w:type="pct"/>
            <w:gridSpan w:val="10"/>
            <w:tcBorders>
              <w:tl2br w:val="nil"/>
              <w:tr2bl w:val="nil"/>
            </w:tcBorders>
            <w:vAlign w:val="center"/>
          </w:tcPr>
          <w:p w14:paraId="7EB88FC1">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rPr>
            </w:pPr>
            <w:r>
              <w:rPr>
                <w:rFonts w:ascii="Times New Roman" w:hAnsi="Times New Roman" w:eastAsia="宋体" w:cs="宋体"/>
                <w:snapToGrid/>
                <w:color w:val="auto"/>
                <w:szCs w:val="18"/>
              </w:rPr>
              <w:t>主管部门发布的数据</w:t>
            </w:r>
            <w:r>
              <w:rPr>
                <w:rFonts w:ascii="Times New Roman" w:hAnsi="Times New Roman" w:eastAsia="宋体" w:cs="MS Gothic"/>
                <w:snapToGrid/>
                <w:color w:val="auto"/>
                <w:szCs w:val="18"/>
              </w:rPr>
              <w:t>☑</w:t>
            </w:r>
          </w:p>
        </w:tc>
        <w:tc>
          <w:tcPr>
            <w:tcW w:w="1271" w:type="pct"/>
            <w:gridSpan w:val="5"/>
            <w:tcBorders>
              <w:tl2br w:val="nil"/>
              <w:tr2bl w:val="nil"/>
            </w:tcBorders>
            <w:vAlign w:val="center"/>
          </w:tcPr>
          <w:p w14:paraId="096FE40A">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rPr>
            </w:pPr>
            <w:r>
              <w:rPr>
                <w:rFonts w:ascii="Times New Roman" w:hAnsi="Times New Roman" w:eastAsia="宋体" w:cs="宋体"/>
                <w:snapToGrid/>
                <w:color w:val="auto"/>
                <w:szCs w:val="18"/>
              </w:rPr>
              <w:t>现状补充监测</w:t>
            </w:r>
            <w:r>
              <w:rPr>
                <w:rFonts w:ascii="Times New Roman" w:hAnsi="Times New Roman" w:eastAsia="宋体" w:cs="MS Gothic"/>
                <w:snapToGrid/>
                <w:color w:val="auto"/>
                <w:szCs w:val="18"/>
              </w:rPr>
              <w:t>☑</w:t>
            </w:r>
          </w:p>
        </w:tc>
      </w:tr>
      <w:tr w14:paraId="692E7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431" w:type="pct"/>
            <w:vMerge w:val="continue"/>
            <w:tcBorders>
              <w:tl2br w:val="nil"/>
              <w:tr2bl w:val="nil"/>
            </w:tcBorders>
            <w:vAlign w:val="center"/>
          </w:tcPr>
          <w:p w14:paraId="2C527F5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73EB70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现状评价</w:t>
            </w:r>
          </w:p>
        </w:tc>
        <w:tc>
          <w:tcPr>
            <w:tcW w:w="1623" w:type="pct"/>
            <w:gridSpan w:val="11"/>
            <w:tcBorders>
              <w:tl2br w:val="nil"/>
              <w:tr2bl w:val="nil"/>
            </w:tcBorders>
            <w:vAlign w:val="center"/>
          </w:tcPr>
          <w:p w14:paraId="2A50D7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达标区</w:t>
            </w:r>
            <w:r>
              <w:rPr>
                <w:rFonts w:hint="eastAsia" w:ascii="Times New Roman" w:hAnsi="Times New Roman" w:eastAsia="宋体" w:cs="宋体"/>
                <w:snapToGrid/>
                <w:color w:val="auto"/>
                <w:szCs w:val="18"/>
                <w:lang w:eastAsia="zh-CN"/>
              </w:rPr>
              <w:t>☑</w:t>
            </w:r>
          </w:p>
        </w:tc>
        <w:tc>
          <w:tcPr>
            <w:tcW w:w="1954" w:type="pct"/>
            <w:gridSpan w:val="12"/>
            <w:tcBorders>
              <w:tl2br w:val="nil"/>
              <w:tr2bl w:val="nil"/>
            </w:tcBorders>
            <w:vAlign w:val="center"/>
          </w:tcPr>
          <w:p w14:paraId="7A6754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rPr>
              <w:t>不达标区</w:t>
            </w:r>
            <w:r>
              <w:rPr>
                <w:rFonts w:hint="eastAsia" w:ascii="Times New Roman" w:hAnsi="Times New Roman" w:eastAsia="宋体" w:cs="宋体"/>
                <w:snapToGrid/>
                <w:color w:val="auto"/>
                <w:szCs w:val="18"/>
                <w:lang w:eastAsia="zh-CN"/>
              </w:rPr>
              <w:t>□</w:t>
            </w:r>
          </w:p>
        </w:tc>
      </w:tr>
      <w:tr w14:paraId="03FB0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69" w:hRule="atLeast"/>
          <w:jc w:val="center"/>
        </w:trPr>
        <w:tc>
          <w:tcPr>
            <w:tcW w:w="431" w:type="pct"/>
            <w:tcBorders>
              <w:tl2br w:val="nil"/>
              <w:tr2bl w:val="nil"/>
            </w:tcBorders>
            <w:vAlign w:val="center"/>
          </w:tcPr>
          <w:p w14:paraId="368C8C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污染源调查</w:t>
            </w:r>
          </w:p>
        </w:tc>
        <w:tc>
          <w:tcPr>
            <w:tcW w:w="987" w:type="pct"/>
            <w:tcBorders>
              <w:tl2br w:val="nil"/>
              <w:tr2bl w:val="nil"/>
            </w:tcBorders>
            <w:vAlign w:val="center"/>
          </w:tcPr>
          <w:p w14:paraId="48FD35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调查内容</w:t>
            </w:r>
          </w:p>
        </w:tc>
        <w:tc>
          <w:tcPr>
            <w:tcW w:w="919" w:type="pct"/>
            <w:gridSpan w:val="7"/>
            <w:tcBorders>
              <w:tl2br w:val="nil"/>
              <w:tr2bl w:val="nil"/>
            </w:tcBorders>
            <w:vAlign w:val="center"/>
          </w:tcPr>
          <w:p w14:paraId="34EF688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本项目正常排放源</w:t>
            </w:r>
          </w:p>
          <w:p w14:paraId="5F8AE6CD">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lang w:eastAsia="zh-CN"/>
              </w:rPr>
            </w:pPr>
            <w:r>
              <w:rPr>
                <w:rFonts w:ascii="Times New Roman" w:hAnsi="Times New Roman" w:eastAsia="宋体" w:cs="MS Gothic"/>
                <w:snapToGrid/>
                <w:color w:val="auto"/>
                <w:szCs w:val="18"/>
                <w:lang w:eastAsia="zh-CN"/>
              </w:rPr>
              <w:t>☑</w:t>
            </w:r>
          </w:p>
          <w:p w14:paraId="6EC530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本项目非正常排放</w:t>
            </w:r>
          </w:p>
          <w:p w14:paraId="1DEDD2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源口</w:t>
            </w:r>
          </w:p>
          <w:p w14:paraId="47A8FBC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污染源□</w:t>
            </w:r>
          </w:p>
        </w:tc>
        <w:tc>
          <w:tcPr>
            <w:tcW w:w="796" w:type="pct"/>
            <w:gridSpan w:val="6"/>
            <w:tcBorders>
              <w:tl2br w:val="nil"/>
              <w:tr2bl w:val="nil"/>
            </w:tcBorders>
            <w:vAlign w:val="center"/>
          </w:tcPr>
          <w:p w14:paraId="38D009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拟替代的污染源□</w:t>
            </w:r>
          </w:p>
        </w:tc>
        <w:tc>
          <w:tcPr>
            <w:tcW w:w="1257" w:type="pct"/>
            <w:gridSpan w:val="8"/>
            <w:tcBorders>
              <w:tl2br w:val="nil"/>
              <w:tr2bl w:val="nil"/>
            </w:tcBorders>
            <w:vAlign w:val="center"/>
          </w:tcPr>
          <w:p w14:paraId="2009C8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其他在建、拟建项目污染源□</w:t>
            </w:r>
          </w:p>
        </w:tc>
        <w:tc>
          <w:tcPr>
            <w:tcW w:w="603" w:type="pct"/>
            <w:gridSpan w:val="2"/>
            <w:tcBorders>
              <w:tl2br w:val="nil"/>
              <w:tr2bl w:val="nil"/>
            </w:tcBorders>
            <w:vAlign w:val="center"/>
          </w:tcPr>
          <w:p w14:paraId="326FBE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区域污染源□</w:t>
            </w:r>
          </w:p>
        </w:tc>
      </w:tr>
      <w:tr w14:paraId="2E8A7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431" w:type="pct"/>
            <w:tcBorders>
              <w:tl2br w:val="nil"/>
              <w:tr2bl w:val="nil"/>
            </w:tcBorders>
            <w:vAlign w:val="center"/>
          </w:tcPr>
          <w:p w14:paraId="4F59A4D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大气环境影响</w:t>
            </w:r>
          </w:p>
        </w:tc>
        <w:tc>
          <w:tcPr>
            <w:tcW w:w="987" w:type="pct"/>
            <w:tcBorders>
              <w:tl2br w:val="nil"/>
              <w:tr2bl w:val="nil"/>
            </w:tcBorders>
            <w:vAlign w:val="center"/>
          </w:tcPr>
          <w:p w14:paraId="3D16929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预测模型</w:t>
            </w:r>
          </w:p>
        </w:tc>
        <w:tc>
          <w:tcPr>
            <w:tcW w:w="437" w:type="pct"/>
            <w:tcBorders>
              <w:tl2br w:val="nil"/>
              <w:tr2bl w:val="nil"/>
            </w:tcBorders>
            <w:vAlign w:val="center"/>
          </w:tcPr>
          <w:p w14:paraId="2601AE2D">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snapToGrid/>
                <w:color w:val="auto"/>
                <w:szCs w:val="18"/>
              </w:rPr>
              <w:t>AERMOD</w:t>
            </w:r>
          </w:p>
          <w:p w14:paraId="2983C4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w:t>
            </w:r>
          </w:p>
        </w:tc>
        <w:tc>
          <w:tcPr>
            <w:tcW w:w="423" w:type="pct"/>
            <w:gridSpan w:val="5"/>
            <w:tcBorders>
              <w:tl2br w:val="nil"/>
              <w:tr2bl w:val="nil"/>
            </w:tcBorders>
            <w:vAlign w:val="center"/>
          </w:tcPr>
          <w:p w14:paraId="3F19E9AA">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ADMS</w:t>
            </w:r>
            <w:r>
              <w:rPr>
                <w:rFonts w:eastAsia="宋体" w:cs="宋体"/>
                <w:snapToGrid/>
                <w:color w:val="auto"/>
                <w:szCs w:val="18"/>
              </w:rPr>
              <w:t>□</w:t>
            </w:r>
          </w:p>
        </w:tc>
        <w:tc>
          <w:tcPr>
            <w:tcW w:w="664" w:type="pct"/>
            <w:gridSpan w:val="4"/>
            <w:tcBorders>
              <w:tl2br w:val="nil"/>
              <w:tr2bl w:val="nil"/>
            </w:tcBorders>
            <w:vAlign w:val="center"/>
          </w:tcPr>
          <w:p w14:paraId="6025EE8E">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AUSTAL2000</w:t>
            </w:r>
            <w:r>
              <w:rPr>
                <w:rFonts w:eastAsia="宋体" w:cs="宋体"/>
                <w:snapToGrid/>
                <w:color w:val="auto"/>
                <w:szCs w:val="18"/>
              </w:rPr>
              <w:t>□</w:t>
            </w:r>
          </w:p>
        </w:tc>
        <w:tc>
          <w:tcPr>
            <w:tcW w:w="656" w:type="pct"/>
            <w:gridSpan w:val="7"/>
            <w:tcBorders>
              <w:tl2br w:val="nil"/>
              <w:tr2bl w:val="nil"/>
            </w:tcBorders>
            <w:vAlign w:val="center"/>
          </w:tcPr>
          <w:p w14:paraId="2A3DA896">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EDMS/AEDT</w:t>
            </w:r>
            <w:r>
              <w:rPr>
                <w:rFonts w:eastAsia="宋体" w:cs="宋体"/>
                <w:snapToGrid/>
                <w:color w:val="auto"/>
                <w:szCs w:val="18"/>
              </w:rPr>
              <w:t>□</w:t>
            </w:r>
          </w:p>
        </w:tc>
        <w:tc>
          <w:tcPr>
            <w:tcW w:w="537" w:type="pct"/>
            <w:gridSpan w:val="3"/>
            <w:tcBorders>
              <w:tl2br w:val="nil"/>
              <w:tr2bl w:val="nil"/>
            </w:tcBorders>
            <w:vAlign w:val="center"/>
          </w:tcPr>
          <w:p w14:paraId="1A7944A8">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CALPUFF</w:t>
            </w:r>
            <w:r>
              <w:rPr>
                <w:rFonts w:eastAsia="宋体" w:cs="宋体"/>
                <w:snapToGrid/>
                <w:color w:val="auto"/>
                <w:szCs w:val="18"/>
              </w:rPr>
              <w:t>□</w:t>
            </w:r>
          </w:p>
        </w:tc>
        <w:tc>
          <w:tcPr>
            <w:tcW w:w="524" w:type="pct"/>
            <w:gridSpan w:val="2"/>
            <w:tcBorders>
              <w:tl2br w:val="nil"/>
              <w:tr2bl w:val="nil"/>
            </w:tcBorders>
            <w:vAlign w:val="center"/>
          </w:tcPr>
          <w:p w14:paraId="394BA36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网络模型□</w:t>
            </w:r>
          </w:p>
        </w:tc>
        <w:tc>
          <w:tcPr>
            <w:tcW w:w="332" w:type="pct"/>
            <w:tcBorders>
              <w:tl2br w:val="nil"/>
              <w:tr2bl w:val="nil"/>
            </w:tcBorders>
            <w:vAlign w:val="center"/>
          </w:tcPr>
          <w:p w14:paraId="25C9172A">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rPr>
            </w:pPr>
            <w:r>
              <w:rPr>
                <w:rFonts w:ascii="Times New Roman" w:hAnsi="Times New Roman" w:eastAsia="宋体" w:cs="宋体"/>
                <w:snapToGrid/>
                <w:color w:val="auto"/>
                <w:szCs w:val="18"/>
              </w:rPr>
              <w:t>其他</w:t>
            </w:r>
            <w:r>
              <w:rPr>
                <w:rFonts w:ascii="Times New Roman" w:hAnsi="Times New Roman" w:eastAsia="宋体" w:cs="MS Gothic"/>
                <w:snapToGrid/>
                <w:color w:val="auto"/>
                <w:szCs w:val="18"/>
              </w:rPr>
              <w:t>☑</w:t>
            </w:r>
          </w:p>
        </w:tc>
      </w:tr>
      <w:tr w14:paraId="798FE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431" w:type="pct"/>
            <w:vMerge w:val="restart"/>
            <w:tcBorders>
              <w:tl2br w:val="nil"/>
              <w:tr2bl w:val="nil"/>
            </w:tcBorders>
            <w:vAlign w:val="center"/>
          </w:tcPr>
          <w:p w14:paraId="10250A7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预测与评价</w:t>
            </w:r>
          </w:p>
        </w:tc>
        <w:tc>
          <w:tcPr>
            <w:tcW w:w="987" w:type="pct"/>
            <w:tcBorders>
              <w:tl2br w:val="nil"/>
              <w:tr2bl w:val="nil"/>
            </w:tcBorders>
            <w:vAlign w:val="center"/>
          </w:tcPr>
          <w:p w14:paraId="7810454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预测范围</w:t>
            </w:r>
          </w:p>
        </w:tc>
        <w:tc>
          <w:tcPr>
            <w:tcW w:w="1040" w:type="pct"/>
            <w:gridSpan w:val="8"/>
            <w:tcBorders>
              <w:tl2br w:val="nil"/>
              <w:tr2bl w:val="nil"/>
            </w:tcBorders>
            <w:vAlign w:val="center"/>
          </w:tcPr>
          <w:p w14:paraId="233DEBBD">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边长≥</w:t>
            </w:r>
            <w:r>
              <w:rPr>
                <w:rFonts w:eastAsia="宋体"/>
                <w:snapToGrid/>
                <w:color w:val="auto"/>
                <w:szCs w:val="18"/>
              </w:rPr>
              <w:t>50km</w:t>
            </w:r>
            <w:r>
              <w:rPr>
                <w:rFonts w:eastAsia="宋体" w:cs="宋体"/>
                <w:snapToGrid/>
                <w:color w:val="auto"/>
                <w:szCs w:val="18"/>
              </w:rPr>
              <w:t>□</w:t>
            </w:r>
          </w:p>
        </w:tc>
        <w:tc>
          <w:tcPr>
            <w:tcW w:w="1266" w:type="pct"/>
            <w:gridSpan w:val="10"/>
            <w:tcBorders>
              <w:tl2br w:val="nil"/>
              <w:tr2bl w:val="nil"/>
            </w:tcBorders>
            <w:vAlign w:val="center"/>
          </w:tcPr>
          <w:p w14:paraId="198987C1">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边长</w:t>
            </w:r>
            <w:r>
              <w:rPr>
                <w:rFonts w:eastAsia="宋体"/>
                <w:snapToGrid/>
                <w:color w:val="auto"/>
                <w:szCs w:val="18"/>
              </w:rPr>
              <w:t>5~50km</w:t>
            </w:r>
            <w:r>
              <w:rPr>
                <w:rFonts w:eastAsia="宋体" w:cs="宋体"/>
                <w:snapToGrid/>
                <w:color w:val="auto"/>
                <w:szCs w:val="18"/>
              </w:rPr>
              <w:t>□</w:t>
            </w:r>
          </w:p>
        </w:tc>
        <w:tc>
          <w:tcPr>
            <w:tcW w:w="1270" w:type="pct"/>
            <w:gridSpan w:val="5"/>
            <w:tcBorders>
              <w:tl2br w:val="nil"/>
              <w:tr2bl w:val="nil"/>
            </w:tcBorders>
            <w:vAlign w:val="center"/>
          </w:tcPr>
          <w:p w14:paraId="4C29C5A3">
            <w:pPr>
              <w:pStyle w:val="37"/>
              <w:widowControl w:val="0"/>
              <w:shd w:val="clear"/>
              <w:kinsoku/>
              <w:autoSpaceDE/>
              <w:autoSpaceDN/>
              <w:adjustRightInd/>
              <w:snapToGrid/>
              <w:spacing w:line="360" w:lineRule="auto"/>
              <w:jc w:val="center"/>
              <w:textAlignment w:val="auto"/>
              <w:rPr>
                <w:rFonts w:eastAsia="宋体" w:cs="MS Gothic"/>
                <w:snapToGrid/>
                <w:color w:val="auto"/>
                <w:szCs w:val="18"/>
              </w:rPr>
            </w:pPr>
            <w:r>
              <w:rPr>
                <w:rFonts w:eastAsia="宋体" w:cs="宋体"/>
                <w:snapToGrid/>
                <w:color w:val="auto"/>
                <w:szCs w:val="18"/>
              </w:rPr>
              <w:t>边长</w:t>
            </w:r>
            <w:r>
              <w:rPr>
                <w:rFonts w:eastAsia="宋体"/>
                <w:snapToGrid/>
                <w:color w:val="auto"/>
                <w:szCs w:val="18"/>
              </w:rPr>
              <w:t>=5km</w:t>
            </w:r>
            <w:r>
              <w:rPr>
                <w:rFonts w:eastAsia="宋体" w:cs="MS Gothic"/>
                <w:snapToGrid/>
                <w:color w:val="auto"/>
                <w:szCs w:val="18"/>
              </w:rPr>
              <w:t>☑</w:t>
            </w:r>
          </w:p>
        </w:tc>
      </w:tr>
      <w:tr w14:paraId="01CDF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31" w:type="pct"/>
            <w:vMerge w:val="continue"/>
            <w:tcBorders>
              <w:tl2br w:val="nil"/>
              <w:tr2bl w:val="nil"/>
            </w:tcBorders>
            <w:vAlign w:val="center"/>
          </w:tcPr>
          <w:p w14:paraId="20714AF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3555A1E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预测因子</w:t>
            </w:r>
          </w:p>
        </w:tc>
        <w:tc>
          <w:tcPr>
            <w:tcW w:w="1893" w:type="pct"/>
            <w:gridSpan w:val="14"/>
            <w:tcBorders>
              <w:tl2br w:val="nil"/>
              <w:tr2bl w:val="nil"/>
            </w:tcBorders>
            <w:vAlign w:val="center"/>
          </w:tcPr>
          <w:p w14:paraId="3130C8E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预测因子（非甲烷总烃</w:t>
            </w:r>
            <w:r>
              <w:rPr>
                <w:rFonts w:hint="eastAsia" w:ascii="Times New Roman" w:hAnsi="Times New Roman" w:eastAsia="宋体" w:cs="宋体"/>
                <w:snapToGrid/>
                <w:color w:val="auto"/>
                <w:szCs w:val="18"/>
                <w:lang w:eastAsia="zh-CN"/>
              </w:rPr>
              <w:t>、</w:t>
            </w:r>
            <w:r>
              <w:rPr>
                <w:rFonts w:hint="eastAsia" w:ascii="Times New Roman" w:hAnsi="Times New Roman" w:eastAsia="宋体" w:cs="宋体"/>
                <w:snapToGrid/>
                <w:color w:val="auto"/>
                <w:szCs w:val="18"/>
                <w:lang w:val="en-US" w:eastAsia="zh-CN"/>
              </w:rPr>
              <w:t>TSP</w:t>
            </w:r>
            <w:r>
              <w:rPr>
                <w:rFonts w:ascii="Times New Roman" w:hAnsi="Times New Roman" w:eastAsia="宋体" w:cs="宋体"/>
                <w:snapToGrid/>
                <w:color w:val="auto"/>
                <w:szCs w:val="18"/>
                <w:lang w:eastAsia="zh-CN"/>
              </w:rPr>
              <w:t>）</w:t>
            </w:r>
          </w:p>
        </w:tc>
        <w:tc>
          <w:tcPr>
            <w:tcW w:w="1683" w:type="pct"/>
            <w:gridSpan w:val="9"/>
            <w:tcBorders>
              <w:tl2br w:val="nil"/>
              <w:tr2bl w:val="nil"/>
            </w:tcBorders>
            <w:vAlign w:val="center"/>
          </w:tcPr>
          <w:p w14:paraId="3798F3CE">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cs="宋体"/>
                <w:snapToGrid/>
                <w:color w:val="auto"/>
                <w:szCs w:val="18"/>
              </w:rPr>
              <w:t>包括二次</w:t>
            </w:r>
            <w:r>
              <w:rPr>
                <w:rFonts w:eastAsia="宋体"/>
                <w:snapToGrid/>
                <w:color w:val="auto"/>
                <w:szCs w:val="18"/>
              </w:rPr>
              <w:t>PM2.5</w:t>
            </w:r>
            <w:r>
              <w:rPr>
                <w:rFonts w:eastAsia="宋体" w:cs="宋体"/>
                <w:snapToGrid/>
                <w:color w:val="auto"/>
                <w:szCs w:val="18"/>
              </w:rPr>
              <w:t>□不包括二次</w:t>
            </w:r>
            <w:r>
              <w:rPr>
                <w:rFonts w:eastAsia="宋体"/>
                <w:snapToGrid/>
                <w:color w:val="auto"/>
                <w:szCs w:val="18"/>
              </w:rPr>
              <w:t>PM2.5</w:t>
            </w:r>
            <w:r>
              <w:rPr>
                <w:rFonts w:eastAsia="宋体" w:cs="宋体"/>
                <w:snapToGrid/>
                <w:color w:val="auto"/>
                <w:szCs w:val="18"/>
              </w:rPr>
              <w:t>□</w:t>
            </w:r>
          </w:p>
        </w:tc>
      </w:tr>
      <w:tr w14:paraId="291AF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1" w:type="pct"/>
            <w:vMerge w:val="continue"/>
            <w:tcBorders>
              <w:tl2br w:val="nil"/>
              <w:tr2bl w:val="nil"/>
            </w:tcBorders>
            <w:vAlign w:val="center"/>
          </w:tcPr>
          <w:p w14:paraId="55DC4CC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7F7A083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正常排放短期浓度贡献值</w:t>
            </w:r>
          </w:p>
        </w:tc>
        <w:tc>
          <w:tcPr>
            <w:tcW w:w="1893" w:type="pct"/>
            <w:gridSpan w:val="14"/>
            <w:tcBorders>
              <w:tl2br w:val="nil"/>
              <w:tr2bl w:val="nil"/>
            </w:tcBorders>
            <w:vAlign w:val="center"/>
          </w:tcPr>
          <w:p w14:paraId="079A3758">
            <w:pPr>
              <w:pStyle w:val="37"/>
              <w:widowControl w:val="0"/>
              <w:shd w:val="clear"/>
              <w:kinsoku/>
              <w:autoSpaceDE/>
              <w:autoSpaceDN/>
              <w:adjustRightInd/>
              <w:snapToGrid/>
              <w:spacing w:line="360" w:lineRule="auto"/>
              <w:jc w:val="center"/>
              <w:textAlignment w:val="auto"/>
              <w:rPr>
                <w:rFonts w:eastAsia="宋体" w:cs="MS Gothic"/>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100%</w:t>
            </w:r>
            <w:r>
              <w:rPr>
                <w:rFonts w:eastAsia="宋体" w:cs="MS Gothic"/>
                <w:snapToGrid/>
                <w:color w:val="auto"/>
                <w:szCs w:val="18"/>
                <w:lang w:eastAsia="zh-CN"/>
              </w:rPr>
              <w:t>☑</w:t>
            </w:r>
          </w:p>
        </w:tc>
        <w:tc>
          <w:tcPr>
            <w:tcW w:w="1683" w:type="pct"/>
            <w:gridSpan w:val="9"/>
            <w:tcBorders>
              <w:tl2br w:val="nil"/>
              <w:tr2bl w:val="nil"/>
            </w:tcBorders>
            <w:vAlign w:val="center"/>
          </w:tcPr>
          <w:p w14:paraId="4249ED21">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100%</w:t>
            </w:r>
            <w:r>
              <w:rPr>
                <w:rFonts w:eastAsia="宋体" w:cs="宋体"/>
                <w:snapToGrid/>
                <w:color w:val="auto"/>
                <w:szCs w:val="18"/>
                <w:lang w:eastAsia="zh-CN"/>
              </w:rPr>
              <w:t>□</w:t>
            </w:r>
          </w:p>
        </w:tc>
      </w:tr>
      <w:tr w14:paraId="08A4F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431" w:type="pct"/>
            <w:vMerge w:val="continue"/>
            <w:tcBorders>
              <w:tl2br w:val="nil"/>
              <w:tr2bl w:val="nil"/>
            </w:tcBorders>
            <w:vAlign w:val="center"/>
          </w:tcPr>
          <w:p w14:paraId="0A0570F5">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87" w:type="pct"/>
            <w:vMerge w:val="restart"/>
            <w:tcBorders>
              <w:tl2br w:val="nil"/>
              <w:tr2bl w:val="nil"/>
            </w:tcBorders>
            <w:vAlign w:val="center"/>
          </w:tcPr>
          <w:p w14:paraId="0DCB0B9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正常排放年均浓度贡献值</w:t>
            </w:r>
          </w:p>
        </w:tc>
        <w:tc>
          <w:tcPr>
            <w:tcW w:w="508" w:type="pct"/>
            <w:gridSpan w:val="2"/>
            <w:tcBorders>
              <w:tl2br w:val="nil"/>
              <w:tr2bl w:val="nil"/>
            </w:tcBorders>
            <w:vAlign w:val="center"/>
          </w:tcPr>
          <w:p w14:paraId="4187AC1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一类区</w:t>
            </w:r>
          </w:p>
        </w:tc>
        <w:tc>
          <w:tcPr>
            <w:tcW w:w="1385" w:type="pct"/>
            <w:gridSpan w:val="12"/>
            <w:tcBorders>
              <w:tl2br w:val="nil"/>
              <w:tr2bl w:val="nil"/>
            </w:tcBorders>
            <w:vAlign w:val="center"/>
          </w:tcPr>
          <w:p w14:paraId="0CE1D636">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10%</w:t>
            </w:r>
            <w:r>
              <w:rPr>
                <w:rFonts w:eastAsia="宋体" w:cs="宋体"/>
                <w:snapToGrid/>
                <w:color w:val="auto"/>
                <w:szCs w:val="18"/>
                <w:lang w:eastAsia="zh-CN"/>
              </w:rPr>
              <w:t>□</w:t>
            </w:r>
          </w:p>
        </w:tc>
        <w:tc>
          <w:tcPr>
            <w:tcW w:w="1683" w:type="pct"/>
            <w:gridSpan w:val="9"/>
            <w:tcBorders>
              <w:tl2br w:val="nil"/>
              <w:tr2bl w:val="nil"/>
            </w:tcBorders>
            <w:vAlign w:val="center"/>
          </w:tcPr>
          <w:p w14:paraId="4EE37FA7">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10%</w:t>
            </w:r>
            <w:r>
              <w:rPr>
                <w:rFonts w:eastAsia="宋体" w:cs="宋体"/>
                <w:snapToGrid/>
                <w:color w:val="auto"/>
                <w:szCs w:val="18"/>
                <w:lang w:eastAsia="zh-CN"/>
              </w:rPr>
              <w:t>□</w:t>
            </w:r>
          </w:p>
        </w:tc>
      </w:tr>
      <w:tr w14:paraId="7C31B8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31" w:type="pct"/>
            <w:vMerge w:val="continue"/>
            <w:tcBorders>
              <w:tl2br w:val="nil"/>
              <w:tr2bl w:val="nil"/>
            </w:tcBorders>
            <w:vAlign w:val="center"/>
          </w:tcPr>
          <w:p w14:paraId="3CF1CA7F">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87" w:type="pct"/>
            <w:vMerge w:val="continue"/>
            <w:tcBorders>
              <w:tl2br w:val="nil"/>
              <w:tr2bl w:val="nil"/>
            </w:tcBorders>
            <w:vAlign w:val="center"/>
          </w:tcPr>
          <w:p w14:paraId="22F22F86">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508" w:type="pct"/>
            <w:gridSpan w:val="2"/>
            <w:tcBorders>
              <w:tl2br w:val="nil"/>
              <w:tr2bl w:val="nil"/>
            </w:tcBorders>
            <w:vAlign w:val="center"/>
          </w:tcPr>
          <w:p w14:paraId="4015E2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二类区</w:t>
            </w:r>
          </w:p>
        </w:tc>
        <w:tc>
          <w:tcPr>
            <w:tcW w:w="1385" w:type="pct"/>
            <w:gridSpan w:val="12"/>
            <w:tcBorders>
              <w:tl2br w:val="nil"/>
              <w:tr2bl w:val="nil"/>
            </w:tcBorders>
            <w:vAlign w:val="center"/>
          </w:tcPr>
          <w:p w14:paraId="22AA9204">
            <w:pPr>
              <w:pStyle w:val="37"/>
              <w:widowControl w:val="0"/>
              <w:shd w:val="clear"/>
              <w:kinsoku/>
              <w:autoSpaceDE/>
              <w:autoSpaceDN/>
              <w:adjustRightInd/>
              <w:snapToGrid/>
              <w:spacing w:line="360" w:lineRule="auto"/>
              <w:jc w:val="center"/>
              <w:textAlignment w:val="auto"/>
              <w:rPr>
                <w:rFonts w:eastAsia="宋体" w:cs="MS Gothic"/>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30%</w:t>
            </w:r>
            <w:r>
              <w:rPr>
                <w:rFonts w:hint="eastAsia" w:eastAsia="宋体" w:cs="MS Gothic"/>
                <w:snapToGrid/>
                <w:color w:val="auto"/>
                <w:szCs w:val="18"/>
                <w:lang w:eastAsia="zh-CN"/>
              </w:rPr>
              <w:t>□</w:t>
            </w:r>
          </w:p>
        </w:tc>
        <w:tc>
          <w:tcPr>
            <w:tcW w:w="1683" w:type="pct"/>
            <w:gridSpan w:val="9"/>
            <w:tcBorders>
              <w:tl2br w:val="nil"/>
              <w:tr2bl w:val="nil"/>
            </w:tcBorders>
            <w:vAlign w:val="center"/>
          </w:tcPr>
          <w:p w14:paraId="04B05822">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本项目最大占标率＞</w:t>
            </w:r>
            <w:r>
              <w:rPr>
                <w:rFonts w:eastAsia="宋体"/>
                <w:snapToGrid/>
                <w:color w:val="auto"/>
                <w:szCs w:val="18"/>
                <w:lang w:eastAsia="zh-CN"/>
              </w:rPr>
              <w:t>30%</w:t>
            </w:r>
            <w:r>
              <w:rPr>
                <w:rFonts w:eastAsia="宋体" w:cs="宋体"/>
                <w:snapToGrid/>
                <w:color w:val="auto"/>
                <w:szCs w:val="18"/>
                <w:lang w:eastAsia="zh-CN"/>
              </w:rPr>
              <w:t>□</w:t>
            </w:r>
          </w:p>
        </w:tc>
      </w:tr>
      <w:tr w14:paraId="73D94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31" w:type="pct"/>
            <w:vMerge w:val="continue"/>
            <w:tcBorders>
              <w:tl2br w:val="nil"/>
              <w:tr2bl w:val="nil"/>
            </w:tcBorders>
            <w:vAlign w:val="center"/>
          </w:tcPr>
          <w:p w14:paraId="1A6F21FF">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87" w:type="pct"/>
            <w:tcBorders>
              <w:tl2br w:val="nil"/>
              <w:tr2bl w:val="nil"/>
            </w:tcBorders>
            <w:vAlign w:val="center"/>
          </w:tcPr>
          <w:p w14:paraId="3477E192">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cs="宋体"/>
                <w:snapToGrid/>
                <w:color w:val="auto"/>
                <w:szCs w:val="18"/>
                <w:lang w:eastAsia="zh-CN"/>
              </w:rPr>
              <w:t>非正常排放</w:t>
            </w:r>
            <w:r>
              <w:rPr>
                <w:rFonts w:eastAsia="宋体"/>
                <w:snapToGrid/>
                <w:color w:val="auto"/>
                <w:szCs w:val="18"/>
                <w:lang w:eastAsia="zh-CN"/>
              </w:rPr>
              <w:t>1h</w:t>
            </w:r>
            <w:r>
              <w:rPr>
                <w:rFonts w:eastAsia="宋体" w:cs="宋体"/>
                <w:snapToGrid/>
                <w:color w:val="auto"/>
                <w:szCs w:val="18"/>
                <w:lang w:eastAsia="zh-CN"/>
              </w:rPr>
              <w:t>浓度贡献值</w:t>
            </w:r>
          </w:p>
        </w:tc>
        <w:tc>
          <w:tcPr>
            <w:tcW w:w="668" w:type="pct"/>
            <w:gridSpan w:val="3"/>
            <w:tcBorders>
              <w:tl2br w:val="nil"/>
              <w:tr2bl w:val="nil"/>
            </w:tcBorders>
            <w:vAlign w:val="center"/>
          </w:tcPr>
          <w:p w14:paraId="76155EC6">
            <w:pPr>
              <w:pStyle w:val="37"/>
              <w:widowControl w:val="0"/>
              <w:shd w:val="clear"/>
              <w:kinsoku/>
              <w:autoSpaceDE/>
              <w:autoSpaceDN/>
              <w:adjustRightInd/>
              <w:snapToGrid/>
              <w:spacing w:line="360" w:lineRule="auto"/>
              <w:jc w:val="center"/>
              <w:textAlignment w:val="auto"/>
              <w:rPr>
                <w:rFonts w:eastAsia="宋体"/>
                <w:snapToGrid/>
                <w:color w:val="auto"/>
                <w:szCs w:val="18"/>
                <w:lang w:eastAsia="zh-CN"/>
              </w:rPr>
            </w:pPr>
            <w:r>
              <w:rPr>
                <w:rFonts w:eastAsia="宋体" w:cs="宋体"/>
                <w:snapToGrid/>
                <w:color w:val="auto"/>
                <w:szCs w:val="18"/>
                <w:lang w:eastAsia="zh-CN"/>
              </w:rPr>
              <w:t>非正常持续时长（）</w:t>
            </w:r>
            <w:r>
              <w:rPr>
                <w:rFonts w:eastAsia="宋体"/>
                <w:snapToGrid/>
                <w:color w:val="auto"/>
                <w:szCs w:val="18"/>
                <w:lang w:eastAsia="zh-CN"/>
              </w:rPr>
              <w:t>h</w:t>
            </w:r>
          </w:p>
        </w:tc>
        <w:tc>
          <w:tcPr>
            <w:tcW w:w="1451" w:type="pct"/>
            <w:gridSpan w:val="13"/>
            <w:tcBorders>
              <w:tl2br w:val="nil"/>
              <w:tr2bl w:val="nil"/>
            </w:tcBorders>
            <w:vAlign w:val="center"/>
          </w:tcPr>
          <w:p w14:paraId="2CE1CFBC">
            <w:pPr>
              <w:pStyle w:val="37"/>
              <w:widowControl w:val="0"/>
              <w:shd w:val="clear"/>
              <w:kinsoku/>
              <w:autoSpaceDE/>
              <w:autoSpaceDN/>
              <w:adjustRightInd/>
              <w:snapToGrid/>
              <w:spacing w:line="360" w:lineRule="auto"/>
              <w:jc w:val="center"/>
              <w:textAlignment w:val="auto"/>
              <w:rPr>
                <w:rFonts w:eastAsia="宋体" w:cs="MS Gothic"/>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非正常最大占标率≤</w:t>
            </w:r>
            <w:r>
              <w:rPr>
                <w:rFonts w:eastAsia="宋体"/>
                <w:snapToGrid/>
                <w:color w:val="auto"/>
                <w:szCs w:val="18"/>
                <w:lang w:eastAsia="zh-CN"/>
              </w:rPr>
              <w:t>100%</w:t>
            </w:r>
            <w:r>
              <w:rPr>
                <w:rFonts w:hint="eastAsia" w:eastAsia="宋体" w:cs="MS Gothic"/>
                <w:snapToGrid/>
                <w:color w:val="auto"/>
                <w:szCs w:val="18"/>
                <w:lang w:eastAsia="zh-CN"/>
              </w:rPr>
              <w:t>□</w:t>
            </w:r>
          </w:p>
        </w:tc>
        <w:tc>
          <w:tcPr>
            <w:tcW w:w="1457" w:type="pct"/>
            <w:gridSpan w:val="7"/>
            <w:tcBorders>
              <w:tl2br w:val="nil"/>
              <w:tr2bl w:val="nil"/>
            </w:tcBorders>
            <w:vAlign w:val="center"/>
          </w:tcPr>
          <w:p w14:paraId="6DEB383C">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snapToGrid/>
                <w:color w:val="auto"/>
                <w:szCs w:val="18"/>
                <w:lang w:eastAsia="zh-CN"/>
              </w:rPr>
              <w:t>C</w:t>
            </w:r>
            <w:r>
              <w:rPr>
                <w:rFonts w:eastAsia="宋体" w:cs="宋体"/>
                <w:snapToGrid/>
                <w:color w:val="auto"/>
                <w:szCs w:val="18"/>
                <w:lang w:eastAsia="zh-CN"/>
              </w:rPr>
              <w:t>非正常最大占标率＞</w:t>
            </w:r>
            <w:r>
              <w:rPr>
                <w:rFonts w:eastAsia="宋体"/>
                <w:snapToGrid/>
                <w:color w:val="auto"/>
                <w:szCs w:val="18"/>
                <w:lang w:eastAsia="zh-CN"/>
              </w:rPr>
              <w:t>100%</w:t>
            </w:r>
            <w:r>
              <w:rPr>
                <w:rFonts w:eastAsia="宋体" w:cs="宋体"/>
                <w:snapToGrid/>
                <w:color w:val="auto"/>
                <w:szCs w:val="18"/>
                <w:lang w:eastAsia="zh-CN"/>
              </w:rPr>
              <w:t>□</w:t>
            </w:r>
          </w:p>
        </w:tc>
      </w:tr>
      <w:tr w14:paraId="534273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31" w:type="pct"/>
            <w:vMerge w:val="continue"/>
            <w:tcBorders>
              <w:tl2br w:val="nil"/>
              <w:tr2bl w:val="nil"/>
            </w:tcBorders>
            <w:vAlign w:val="center"/>
          </w:tcPr>
          <w:p w14:paraId="718349D0">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87" w:type="pct"/>
            <w:tcBorders>
              <w:tl2br w:val="nil"/>
              <w:tr2bl w:val="nil"/>
            </w:tcBorders>
            <w:vAlign w:val="center"/>
          </w:tcPr>
          <w:p w14:paraId="54B3AE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保证率日平均浓度和年平均浓度叠加值</w:t>
            </w:r>
          </w:p>
        </w:tc>
        <w:tc>
          <w:tcPr>
            <w:tcW w:w="1672" w:type="pct"/>
            <w:gridSpan w:val="12"/>
            <w:tcBorders>
              <w:tl2br w:val="nil"/>
              <w:tr2bl w:val="nil"/>
            </w:tcBorders>
            <w:vAlign w:val="center"/>
          </w:tcPr>
          <w:p w14:paraId="0C40A493">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C</w:t>
            </w:r>
            <w:r>
              <w:rPr>
                <w:rFonts w:eastAsia="宋体" w:cs="宋体"/>
                <w:snapToGrid/>
                <w:color w:val="auto"/>
                <w:szCs w:val="18"/>
              </w:rPr>
              <w:t>叠加达标□</w:t>
            </w:r>
          </w:p>
        </w:tc>
        <w:tc>
          <w:tcPr>
            <w:tcW w:w="1905" w:type="pct"/>
            <w:gridSpan w:val="11"/>
            <w:tcBorders>
              <w:tl2br w:val="nil"/>
              <w:tr2bl w:val="nil"/>
            </w:tcBorders>
            <w:vAlign w:val="center"/>
          </w:tcPr>
          <w:p w14:paraId="26F655B3">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C</w:t>
            </w:r>
            <w:r>
              <w:rPr>
                <w:rFonts w:eastAsia="宋体" w:cs="宋体"/>
                <w:snapToGrid/>
                <w:color w:val="auto"/>
                <w:szCs w:val="18"/>
              </w:rPr>
              <w:t>叠加不达标□</w:t>
            </w:r>
          </w:p>
        </w:tc>
      </w:tr>
      <w:tr w14:paraId="213CD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31" w:type="pct"/>
            <w:vMerge w:val="continue"/>
            <w:tcBorders>
              <w:tl2br w:val="nil"/>
              <w:tr2bl w:val="nil"/>
            </w:tcBorders>
            <w:vAlign w:val="center"/>
          </w:tcPr>
          <w:p w14:paraId="375B3C9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4230107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lang w:eastAsia="zh-CN"/>
              </w:rPr>
            </w:pPr>
            <w:r>
              <w:rPr>
                <w:rFonts w:ascii="Times New Roman" w:hAnsi="Times New Roman" w:eastAsia="宋体" w:cs="宋体"/>
                <w:snapToGrid/>
                <w:color w:val="auto"/>
                <w:szCs w:val="18"/>
                <w:lang w:eastAsia="zh-CN"/>
              </w:rPr>
              <w:t>区域环境质量的整体变化情况</w:t>
            </w:r>
          </w:p>
        </w:tc>
        <w:tc>
          <w:tcPr>
            <w:tcW w:w="1672" w:type="pct"/>
            <w:gridSpan w:val="12"/>
            <w:tcBorders>
              <w:tl2br w:val="nil"/>
              <w:tr2bl w:val="nil"/>
            </w:tcBorders>
            <w:vAlign w:val="center"/>
          </w:tcPr>
          <w:p w14:paraId="48F3C9F8">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k</w:t>
            </w:r>
            <w:r>
              <w:rPr>
                <w:rFonts w:eastAsia="宋体" w:cs="宋体"/>
                <w:snapToGrid/>
                <w:color w:val="auto"/>
                <w:szCs w:val="18"/>
              </w:rPr>
              <w:t>≤</w:t>
            </w:r>
            <w:r>
              <w:rPr>
                <w:rFonts w:eastAsia="宋体"/>
                <w:snapToGrid/>
                <w:color w:val="auto"/>
                <w:szCs w:val="18"/>
              </w:rPr>
              <w:t>-20%</w:t>
            </w:r>
            <w:r>
              <w:rPr>
                <w:rFonts w:eastAsia="宋体" w:cs="宋体"/>
                <w:snapToGrid/>
                <w:color w:val="auto"/>
                <w:szCs w:val="18"/>
              </w:rPr>
              <w:t>□</w:t>
            </w:r>
          </w:p>
        </w:tc>
        <w:tc>
          <w:tcPr>
            <w:tcW w:w="1905" w:type="pct"/>
            <w:gridSpan w:val="11"/>
            <w:tcBorders>
              <w:tl2br w:val="nil"/>
              <w:tr2bl w:val="nil"/>
            </w:tcBorders>
            <w:vAlign w:val="center"/>
          </w:tcPr>
          <w:p w14:paraId="4B97FFCB">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k</w:t>
            </w:r>
            <w:r>
              <w:rPr>
                <w:rFonts w:hint="eastAsia" w:eastAsia="宋体"/>
                <w:snapToGrid/>
                <w:color w:val="auto"/>
                <w:szCs w:val="18"/>
                <w:lang w:eastAsia="zh-CN"/>
              </w:rPr>
              <w:t>&gt;</w:t>
            </w:r>
            <w:r>
              <w:rPr>
                <w:rFonts w:eastAsia="宋体"/>
                <w:snapToGrid/>
                <w:color w:val="auto"/>
                <w:szCs w:val="18"/>
              </w:rPr>
              <w:t>-20%</w:t>
            </w:r>
            <w:r>
              <w:rPr>
                <w:rFonts w:eastAsia="宋体" w:cs="宋体"/>
                <w:snapToGrid/>
                <w:color w:val="auto"/>
                <w:szCs w:val="18"/>
              </w:rPr>
              <w:t>□</w:t>
            </w:r>
          </w:p>
        </w:tc>
      </w:tr>
      <w:tr w14:paraId="713241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1" w:type="pct"/>
            <w:vMerge w:val="restart"/>
            <w:tcBorders>
              <w:tl2br w:val="nil"/>
              <w:tr2bl w:val="nil"/>
            </w:tcBorders>
            <w:vAlign w:val="center"/>
          </w:tcPr>
          <w:p w14:paraId="368E8CD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环境监测计划</w:t>
            </w:r>
          </w:p>
        </w:tc>
        <w:tc>
          <w:tcPr>
            <w:tcW w:w="987" w:type="pct"/>
            <w:tcBorders>
              <w:tl2br w:val="nil"/>
              <w:tr2bl w:val="nil"/>
            </w:tcBorders>
            <w:vAlign w:val="center"/>
          </w:tcPr>
          <w:p w14:paraId="15BEE78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污染源监测</w:t>
            </w:r>
          </w:p>
        </w:tc>
        <w:tc>
          <w:tcPr>
            <w:tcW w:w="1375" w:type="pct"/>
            <w:gridSpan w:val="9"/>
            <w:tcBorders>
              <w:tl2br w:val="nil"/>
              <w:tr2bl w:val="nil"/>
            </w:tcBorders>
            <w:vAlign w:val="center"/>
          </w:tcPr>
          <w:p w14:paraId="57C51FCD">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cs="宋体"/>
                <w:snapToGrid/>
                <w:color w:val="auto"/>
                <w:szCs w:val="18"/>
                <w:lang w:eastAsia="zh-CN"/>
              </w:rPr>
              <w:t>监测因子（</w:t>
            </w:r>
            <w:r>
              <w:rPr>
                <w:rFonts w:eastAsia="宋体"/>
                <w:snapToGrid/>
                <w:color w:val="auto"/>
                <w:szCs w:val="18"/>
                <w:lang w:eastAsia="zh-CN"/>
              </w:rPr>
              <w:t>TSP</w:t>
            </w:r>
            <w:r>
              <w:rPr>
                <w:rFonts w:eastAsia="宋体" w:cs="宋体"/>
                <w:snapToGrid/>
                <w:color w:val="auto"/>
                <w:szCs w:val="18"/>
                <w:lang w:eastAsia="zh-CN"/>
              </w:rPr>
              <w:t>、非甲烷总烃）</w:t>
            </w:r>
          </w:p>
        </w:tc>
        <w:tc>
          <w:tcPr>
            <w:tcW w:w="1599" w:type="pct"/>
            <w:gridSpan w:val="12"/>
            <w:tcBorders>
              <w:tl2br w:val="nil"/>
              <w:tr2bl w:val="nil"/>
            </w:tcBorders>
            <w:vAlign w:val="center"/>
          </w:tcPr>
          <w:p w14:paraId="4061DBAE">
            <w:pPr>
              <w:widowControl w:val="0"/>
              <w:shd w:val="clear"/>
              <w:kinsoku/>
              <w:autoSpaceDE/>
              <w:autoSpaceDN/>
              <w:adjustRightInd/>
              <w:snapToGrid/>
              <w:spacing w:line="360" w:lineRule="auto"/>
              <w:jc w:val="center"/>
              <w:textAlignment w:val="auto"/>
              <w:rPr>
                <w:rFonts w:ascii="Times New Roman" w:hAnsi="Times New Roman" w:eastAsia="宋体" w:cs="MS Gothic"/>
                <w:snapToGrid/>
                <w:color w:val="auto"/>
                <w:szCs w:val="18"/>
                <w:lang w:eastAsia="zh-CN"/>
              </w:rPr>
            </w:pPr>
            <w:r>
              <w:rPr>
                <w:rFonts w:ascii="Times New Roman" w:hAnsi="Times New Roman" w:eastAsia="宋体" w:cs="宋体"/>
                <w:snapToGrid/>
                <w:color w:val="auto"/>
                <w:szCs w:val="18"/>
                <w:lang w:eastAsia="zh-CN"/>
              </w:rPr>
              <w:t>有组织废气监测</w:t>
            </w:r>
            <w:r>
              <w:rPr>
                <w:rFonts w:ascii="Times New Roman" w:hAnsi="Times New Roman" w:eastAsia="宋体" w:cs="MS Gothic"/>
                <w:snapToGrid/>
                <w:color w:val="auto"/>
                <w:szCs w:val="18"/>
                <w:lang w:eastAsia="zh-CN"/>
              </w:rPr>
              <w:t>☑</w:t>
            </w:r>
            <w:r>
              <w:rPr>
                <w:rFonts w:ascii="Times New Roman" w:hAnsi="Times New Roman" w:eastAsia="宋体" w:cs="宋体"/>
                <w:snapToGrid/>
                <w:color w:val="auto"/>
                <w:szCs w:val="18"/>
                <w:lang w:eastAsia="zh-CN"/>
              </w:rPr>
              <w:t>无组织废气监测</w:t>
            </w:r>
            <w:r>
              <w:rPr>
                <w:rFonts w:ascii="Times New Roman" w:hAnsi="Times New Roman" w:eastAsia="宋体" w:cs="MS Gothic"/>
                <w:snapToGrid/>
                <w:color w:val="auto"/>
                <w:szCs w:val="18"/>
                <w:lang w:eastAsia="zh-CN"/>
              </w:rPr>
              <w:t>☑</w:t>
            </w:r>
          </w:p>
        </w:tc>
        <w:tc>
          <w:tcPr>
            <w:tcW w:w="602" w:type="pct"/>
            <w:gridSpan w:val="2"/>
            <w:tcBorders>
              <w:tl2br w:val="nil"/>
              <w:tr2bl w:val="nil"/>
            </w:tcBorders>
            <w:vAlign w:val="center"/>
          </w:tcPr>
          <w:p w14:paraId="053584B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无监测□</w:t>
            </w:r>
          </w:p>
        </w:tc>
      </w:tr>
      <w:tr w14:paraId="6DD68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431" w:type="pct"/>
            <w:vMerge w:val="continue"/>
            <w:tcBorders>
              <w:tl2br w:val="nil"/>
              <w:tr2bl w:val="nil"/>
            </w:tcBorders>
            <w:vAlign w:val="center"/>
          </w:tcPr>
          <w:p w14:paraId="3003876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126E27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环境质量监测</w:t>
            </w:r>
          </w:p>
        </w:tc>
        <w:tc>
          <w:tcPr>
            <w:tcW w:w="1375" w:type="pct"/>
            <w:gridSpan w:val="9"/>
            <w:tcBorders>
              <w:tl2br w:val="nil"/>
              <w:tr2bl w:val="nil"/>
            </w:tcBorders>
            <w:vAlign w:val="center"/>
          </w:tcPr>
          <w:p w14:paraId="26EC46FD">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cs="宋体"/>
                <w:snapToGrid/>
                <w:color w:val="auto"/>
                <w:szCs w:val="18"/>
                <w:lang w:eastAsia="zh-CN"/>
              </w:rPr>
              <w:t>监测因子（</w:t>
            </w:r>
            <w:r>
              <w:rPr>
                <w:rFonts w:eastAsia="宋体"/>
                <w:snapToGrid/>
                <w:color w:val="auto"/>
                <w:szCs w:val="18"/>
                <w:lang w:eastAsia="zh-CN"/>
              </w:rPr>
              <w:t>TSP</w:t>
            </w:r>
            <w:r>
              <w:rPr>
                <w:rFonts w:eastAsia="宋体" w:cs="宋体"/>
                <w:snapToGrid/>
                <w:color w:val="auto"/>
                <w:szCs w:val="18"/>
                <w:lang w:eastAsia="zh-CN"/>
              </w:rPr>
              <w:t>、非甲烷总烃）</w:t>
            </w:r>
          </w:p>
        </w:tc>
        <w:tc>
          <w:tcPr>
            <w:tcW w:w="1599" w:type="pct"/>
            <w:gridSpan w:val="12"/>
            <w:tcBorders>
              <w:tl2br w:val="nil"/>
              <w:tr2bl w:val="nil"/>
            </w:tcBorders>
            <w:vAlign w:val="center"/>
          </w:tcPr>
          <w:p w14:paraId="516C1414">
            <w:pPr>
              <w:pStyle w:val="37"/>
              <w:widowControl w:val="0"/>
              <w:shd w:val="clear"/>
              <w:kinsoku/>
              <w:autoSpaceDE/>
              <w:autoSpaceDN/>
              <w:adjustRightInd/>
              <w:snapToGrid/>
              <w:spacing w:line="360" w:lineRule="auto"/>
              <w:jc w:val="center"/>
              <w:textAlignment w:val="auto"/>
              <w:rPr>
                <w:rFonts w:eastAsia="宋体" w:cs="宋体"/>
                <w:snapToGrid/>
                <w:color w:val="auto"/>
                <w:szCs w:val="18"/>
                <w:lang w:eastAsia="zh-CN"/>
              </w:rPr>
            </w:pPr>
            <w:r>
              <w:rPr>
                <w:rFonts w:eastAsia="宋体" w:cs="宋体"/>
                <w:snapToGrid/>
                <w:color w:val="auto"/>
                <w:szCs w:val="18"/>
                <w:lang w:eastAsia="zh-CN"/>
              </w:rPr>
              <w:t>监测点位数（</w:t>
            </w:r>
            <w:r>
              <w:rPr>
                <w:rFonts w:eastAsia="宋体"/>
                <w:snapToGrid/>
                <w:color w:val="auto"/>
                <w:szCs w:val="18"/>
                <w:lang w:eastAsia="zh-CN"/>
              </w:rPr>
              <w:t>P1~P4</w:t>
            </w:r>
            <w:r>
              <w:rPr>
                <w:rFonts w:eastAsia="宋体" w:cs="宋体"/>
                <w:snapToGrid/>
                <w:color w:val="auto"/>
                <w:szCs w:val="18"/>
                <w:lang w:eastAsia="zh-CN"/>
              </w:rPr>
              <w:t>和厂界四周）</w:t>
            </w:r>
          </w:p>
        </w:tc>
        <w:tc>
          <w:tcPr>
            <w:tcW w:w="602" w:type="pct"/>
            <w:gridSpan w:val="2"/>
            <w:tcBorders>
              <w:tl2br w:val="nil"/>
              <w:tr2bl w:val="nil"/>
            </w:tcBorders>
            <w:vAlign w:val="center"/>
          </w:tcPr>
          <w:p w14:paraId="3A4B17A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无监测□</w:t>
            </w:r>
          </w:p>
        </w:tc>
      </w:tr>
      <w:tr w14:paraId="6EF0C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31" w:type="pct"/>
            <w:vMerge w:val="restart"/>
            <w:tcBorders>
              <w:tl2br w:val="nil"/>
              <w:tr2bl w:val="nil"/>
            </w:tcBorders>
            <w:vAlign w:val="center"/>
          </w:tcPr>
          <w:p w14:paraId="5B5C240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78E006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评价结论</w:t>
            </w:r>
          </w:p>
        </w:tc>
        <w:tc>
          <w:tcPr>
            <w:tcW w:w="987" w:type="pct"/>
            <w:tcBorders>
              <w:tl2br w:val="nil"/>
              <w:tr2bl w:val="nil"/>
            </w:tcBorders>
            <w:vAlign w:val="center"/>
          </w:tcPr>
          <w:p w14:paraId="455F84C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环境影响</w:t>
            </w:r>
          </w:p>
        </w:tc>
        <w:tc>
          <w:tcPr>
            <w:tcW w:w="3577" w:type="pct"/>
            <w:gridSpan w:val="23"/>
            <w:tcBorders>
              <w:tl2br w:val="nil"/>
              <w:tr2bl w:val="nil"/>
            </w:tcBorders>
            <w:vAlign w:val="center"/>
          </w:tcPr>
          <w:p w14:paraId="7C76A6F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可以接受</w:t>
            </w:r>
            <w:r>
              <w:rPr>
                <w:rFonts w:ascii="Times New Roman" w:hAnsi="Times New Roman" w:eastAsia="宋体" w:cs="MS Gothic"/>
                <w:snapToGrid/>
                <w:color w:val="auto"/>
                <w:szCs w:val="18"/>
              </w:rPr>
              <w:t>☑</w:t>
            </w:r>
            <w:r>
              <w:rPr>
                <w:rFonts w:ascii="Times New Roman" w:hAnsi="Times New Roman" w:eastAsia="宋体" w:cs="宋体"/>
                <w:snapToGrid/>
                <w:color w:val="auto"/>
                <w:szCs w:val="18"/>
              </w:rPr>
              <w:t>不可以接受□</w:t>
            </w:r>
          </w:p>
        </w:tc>
      </w:tr>
      <w:tr w14:paraId="7F220A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431" w:type="pct"/>
            <w:vMerge w:val="continue"/>
            <w:tcBorders>
              <w:tl2br w:val="nil"/>
              <w:tr2bl w:val="nil"/>
            </w:tcBorders>
            <w:vAlign w:val="center"/>
          </w:tcPr>
          <w:p w14:paraId="25A96A2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87" w:type="pct"/>
            <w:tcBorders>
              <w:tl2br w:val="nil"/>
              <w:tr2bl w:val="nil"/>
            </w:tcBorders>
            <w:vAlign w:val="center"/>
          </w:tcPr>
          <w:p w14:paraId="6F5AB36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大气环境防护距离</w:t>
            </w:r>
          </w:p>
        </w:tc>
        <w:tc>
          <w:tcPr>
            <w:tcW w:w="3577" w:type="pct"/>
            <w:gridSpan w:val="23"/>
            <w:tcBorders>
              <w:tl2br w:val="nil"/>
              <w:tr2bl w:val="nil"/>
            </w:tcBorders>
            <w:vAlign w:val="center"/>
          </w:tcPr>
          <w:p w14:paraId="05A0A68C">
            <w:pPr>
              <w:pStyle w:val="37"/>
              <w:widowControl w:val="0"/>
              <w:shd w:val="clear"/>
              <w:kinsoku/>
              <w:autoSpaceDE/>
              <w:autoSpaceDN/>
              <w:adjustRightInd/>
              <w:snapToGrid/>
              <w:spacing w:line="360" w:lineRule="auto"/>
              <w:jc w:val="center"/>
              <w:textAlignment w:val="auto"/>
              <w:rPr>
                <w:rFonts w:eastAsia="宋体"/>
                <w:snapToGrid/>
                <w:color w:val="auto"/>
                <w:szCs w:val="18"/>
                <w:lang w:eastAsia="zh-CN"/>
              </w:rPr>
            </w:pPr>
            <w:r>
              <w:rPr>
                <w:rFonts w:eastAsia="宋体" w:cs="宋体"/>
                <w:snapToGrid/>
                <w:color w:val="auto"/>
                <w:szCs w:val="18"/>
                <w:lang w:eastAsia="zh-CN"/>
              </w:rPr>
              <w:t>距（</w:t>
            </w:r>
            <w:r>
              <w:rPr>
                <w:rFonts w:hint="eastAsia" w:eastAsia="宋体" w:cs="宋体"/>
                <w:snapToGrid/>
                <w:color w:val="auto"/>
                <w:szCs w:val="18"/>
                <w:lang w:eastAsia="zh-CN"/>
              </w:rPr>
              <w:t>－</w:t>
            </w:r>
            <w:r>
              <w:rPr>
                <w:rFonts w:eastAsia="宋体" w:cs="宋体"/>
                <w:snapToGrid/>
                <w:color w:val="auto"/>
                <w:szCs w:val="18"/>
                <w:lang w:eastAsia="zh-CN"/>
              </w:rPr>
              <w:t>）厂界最远</w:t>
            </w:r>
            <w:r>
              <w:rPr>
                <w:rFonts w:hint="eastAsia" w:eastAsia="宋体" w:cs="宋体"/>
                <w:snapToGrid/>
                <w:color w:val="auto"/>
                <w:szCs w:val="18"/>
                <w:lang w:eastAsia="zh-CN"/>
              </w:rPr>
              <w:t>（</w:t>
            </w:r>
            <w:r>
              <w:rPr>
                <w:rFonts w:eastAsia="宋体" w:cs="宋体"/>
                <w:snapToGrid/>
                <w:color w:val="auto"/>
                <w:szCs w:val="18"/>
                <w:lang w:eastAsia="zh-CN"/>
              </w:rPr>
              <w:t>）</w:t>
            </w:r>
            <w:r>
              <w:rPr>
                <w:rFonts w:eastAsia="宋体"/>
                <w:snapToGrid/>
                <w:color w:val="auto"/>
                <w:szCs w:val="18"/>
                <w:lang w:eastAsia="zh-CN"/>
              </w:rPr>
              <w:t>m</w:t>
            </w:r>
          </w:p>
        </w:tc>
      </w:tr>
      <w:tr w14:paraId="1226A1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431" w:type="pct"/>
            <w:vMerge w:val="continue"/>
            <w:tcBorders>
              <w:tl2br w:val="nil"/>
              <w:tr2bl w:val="nil"/>
            </w:tcBorders>
            <w:vAlign w:val="center"/>
          </w:tcPr>
          <w:p w14:paraId="58022815">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87" w:type="pct"/>
            <w:tcBorders>
              <w:tl2br w:val="nil"/>
              <w:tr2bl w:val="nil"/>
            </w:tcBorders>
            <w:vAlign w:val="center"/>
          </w:tcPr>
          <w:p w14:paraId="65C8958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szCs w:val="18"/>
              </w:rPr>
            </w:pPr>
            <w:r>
              <w:rPr>
                <w:rFonts w:ascii="Times New Roman" w:hAnsi="Times New Roman" w:eastAsia="宋体" w:cs="宋体"/>
                <w:snapToGrid/>
                <w:color w:val="auto"/>
                <w:szCs w:val="18"/>
              </w:rPr>
              <w:t>污染源年排放量</w:t>
            </w:r>
          </w:p>
        </w:tc>
        <w:tc>
          <w:tcPr>
            <w:tcW w:w="765" w:type="pct"/>
            <w:gridSpan w:val="5"/>
            <w:tcBorders>
              <w:tl2br w:val="nil"/>
              <w:tr2bl w:val="nil"/>
            </w:tcBorders>
            <w:vAlign w:val="center"/>
          </w:tcPr>
          <w:p w14:paraId="5B1E3FF3">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snapToGrid/>
                <w:color w:val="auto"/>
                <w:szCs w:val="18"/>
              </w:rPr>
              <w:t>SO</w:t>
            </w:r>
            <w:r>
              <w:rPr>
                <w:rFonts w:eastAsia="宋体"/>
                <w:snapToGrid/>
                <w:color w:val="auto"/>
                <w:szCs w:val="12"/>
                <w:vertAlign w:val="subscript"/>
              </w:rPr>
              <w:t>2</w:t>
            </w:r>
            <w:r>
              <w:rPr>
                <w:rFonts w:hint="eastAsia" w:eastAsia="宋体"/>
                <w:snapToGrid/>
                <w:color w:val="auto"/>
                <w:szCs w:val="12"/>
                <w:vertAlign w:val="subscript"/>
                <w:lang w:eastAsia="zh-CN"/>
              </w:rPr>
              <w:t>:</w:t>
            </w:r>
            <w:r>
              <w:rPr>
                <w:rFonts w:hint="eastAsia" w:eastAsia="宋体"/>
                <w:snapToGrid/>
                <w:color w:val="auto"/>
                <w:szCs w:val="12"/>
                <w:vertAlign w:val="baseline"/>
                <w:lang w:eastAsia="zh-CN"/>
              </w:rPr>
              <w:t>(－)</w:t>
            </w:r>
            <w:r>
              <w:rPr>
                <w:rFonts w:eastAsia="宋体"/>
                <w:snapToGrid/>
                <w:color w:val="auto"/>
                <w:szCs w:val="18"/>
              </w:rPr>
              <w:t>t/a</w:t>
            </w:r>
          </w:p>
        </w:tc>
        <w:tc>
          <w:tcPr>
            <w:tcW w:w="857" w:type="pct"/>
            <w:gridSpan w:val="6"/>
            <w:tcBorders>
              <w:tl2br w:val="nil"/>
              <w:tr2bl w:val="nil"/>
            </w:tcBorders>
            <w:vAlign w:val="center"/>
          </w:tcPr>
          <w:p w14:paraId="3288458A">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snapToGrid/>
                <w:color w:val="auto"/>
                <w:szCs w:val="18"/>
              </w:rPr>
              <w:t>NO</w:t>
            </w:r>
            <w:r>
              <w:rPr>
                <w:rFonts w:eastAsia="宋体"/>
                <w:snapToGrid/>
                <w:color w:val="auto"/>
                <w:szCs w:val="12"/>
                <w:vertAlign w:val="subscript"/>
              </w:rPr>
              <w:t>2</w:t>
            </w:r>
            <w:r>
              <w:rPr>
                <w:rFonts w:hint="eastAsia" w:eastAsia="宋体"/>
                <w:snapToGrid/>
                <w:color w:val="auto"/>
                <w:szCs w:val="12"/>
                <w:vertAlign w:val="baseline"/>
                <w:lang w:eastAsia="zh-CN"/>
              </w:rPr>
              <w:t>:(－)</w:t>
            </w:r>
            <w:r>
              <w:rPr>
                <w:rFonts w:eastAsia="宋体"/>
                <w:snapToGrid/>
                <w:color w:val="auto"/>
                <w:szCs w:val="18"/>
              </w:rPr>
              <w:t>t/a</w:t>
            </w:r>
          </w:p>
        </w:tc>
        <w:tc>
          <w:tcPr>
            <w:tcW w:w="941" w:type="pct"/>
            <w:gridSpan w:val="8"/>
            <w:tcBorders>
              <w:tl2br w:val="nil"/>
              <w:tr2bl w:val="nil"/>
            </w:tcBorders>
            <w:vAlign w:val="center"/>
          </w:tcPr>
          <w:p w14:paraId="30E08711">
            <w:pPr>
              <w:pStyle w:val="37"/>
              <w:widowControl w:val="0"/>
              <w:shd w:val="clear"/>
              <w:kinsoku/>
              <w:autoSpaceDE/>
              <w:autoSpaceDN/>
              <w:adjustRightInd/>
              <w:snapToGrid/>
              <w:spacing w:line="360" w:lineRule="auto"/>
              <w:jc w:val="center"/>
              <w:textAlignment w:val="auto"/>
              <w:rPr>
                <w:rFonts w:eastAsia="宋体"/>
                <w:snapToGrid/>
                <w:color w:val="auto"/>
                <w:szCs w:val="18"/>
              </w:rPr>
            </w:pPr>
            <w:r>
              <w:rPr>
                <w:rFonts w:eastAsia="宋体" w:cs="宋体"/>
                <w:snapToGrid/>
                <w:color w:val="auto"/>
                <w:szCs w:val="18"/>
              </w:rPr>
              <w:t>颗粒物：（</w:t>
            </w:r>
            <w:r>
              <w:rPr>
                <w:rFonts w:hint="eastAsia" w:eastAsia="宋体" w:cs="宋体"/>
                <w:snapToGrid/>
                <w:color w:val="auto"/>
                <w:szCs w:val="18"/>
                <w:lang w:val="en-US" w:eastAsia="zh-CN"/>
              </w:rPr>
              <w:t>0.48</w:t>
            </w:r>
            <w:r>
              <w:rPr>
                <w:rFonts w:eastAsia="宋体" w:cs="宋体"/>
                <w:snapToGrid/>
                <w:color w:val="auto"/>
                <w:szCs w:val="18"/>
              </w:rPr>
              <w:t>）</w:t>
            </w:r>
            <w:r>
              <w:rPr>
                <w:rFonts w:eastAsia="宋体"/>
                <w:snapToGrid/>
                <w:color w:val="auto"/>
                <w:szCs w:val="18"/>
              </w:rPr>
              <w:t>t/a</w:t>
            </w:r>
          </w:p>
        </w:tc>
        <w:tc>
          <w:tcPr>
            <w:tcW w:w="1012" w:type="pct"/>
            <w:gridSpan w:val="4"/>
            <w:tcBorders>
              <w:tl2br w:val="nil"/>
              <w:tr2bl w:val="nil"/>
            </w:tcBorders>
            <w:vAlign w:val="center"/>
          </w:tcPr>
          <w:p w14:paraId="30AA590A">
            <w:pPr>
              <w:pStyle w:val="37"/>
              <w:widowControl w:val="0"/>
              <w:shd w:val="clear"/>
              <w:kinsoku/>
              <w:autoSpaceDE/>
              <w:autoSpaceDN/>
              <w:adjustRightInd/>
              <w:snapToGrid/>
              <w:spacing w:line="360" w:lineRule="auto"/>
              <w:jc w:val="center"/>
              <w:textAlignment w:val="auto"/>
              <w:rPr>
                <w:rFonts w:eastAsia="宋体" w:cs="宋体"/>
                <w:snapToGrid/>
                <w:color w:val="auto"/>
                <w:szCs w:val="18"/>
              </w:rPr>
            </w:pPr>
            <w:r>
              <w:rPr>
                <w:rFonts w:eastAsia="宋体"/>
                <w:snapToGrid/>
                <w:color w:val="auto"/>
                <w:szCs w:val="18"/>
              </w:rPr>
              <w:t>VOC</w:t>
            </w:r>
            <w:r>
              <w:rPr>
                <w:rFonts w:eastAsia="宋体"/>
                <w:snapToGrid/>
                <w:color w:val="auto"/>
                <w:szCs w:val="18"/>
                <w:vertAlign w:val="subscript"/>
              </w:rPr>
              <w:t>S</w:t>
            </w:r>
            <w:r>
              <w:rPr>
                <w:rFonts w:hint="eastAsia" w:eastAsia="宋体"/>
                <w:snapToGrid/>
                <w:color w:val="auto"/>
                <w:szCs w:val="18"/>
                <w:vertAlign w:val="subscript"/>
                <w:lang w:eastAsia="zh-CN"/>
              </w:rPr>
              <w:t>:(</w:t>
            </w:r>
            <w:r>
              <w:rPr>
                <w:rFonts w:hint="eastAsia" w:eastAsia="宋体"/>
                <w:snapToGrid/>
                <w:color w:val="auto"/>
                <w:szCs w:val="18"/>
                <w:lang w:val="en-US" w:eastAsia="zh-CN"/>
              </w:rPr>
              <w:t>4.67</w:t>
            </w:r>
            <w:r>
              <w:rPr>
                <w:rFonts w:eastAsia="宋体"/>
                <w:snapToGrid/>
                <w:color w:val="auto"/>
                <w:szCs w:val="18"/>
              </w:rPr>
              <w:t>t/a</w:t>
            </w:r>
            <w:r>
              <w:rPr>
                <w:rFonts w:hint="eastAsia" w:eastAsia="宋体"/>
                <w:snapToGrid/>
                <w:color w:val="auto"/>
                <w:szCs w:val="18"/>
                <w:lang w:eastAsia="zh-CN"/>
              </w:rPr>
              <w:t>)</w:t>
            </w:r>
          </w:p>
        </w:tc>
      </w:tr>
    </w:tbl>
    <w:p w14:paraId="6F0EE000">
      <w:pPr>
        <w:pStyle w:val="2"/>
        <w:widowControl w:val="0"/>
        <w:shd w:val="clear"/>
        <w:kinsoku/>
        <w:autoSpaceDE/>
        <w:autoSpaceDN/>
        <w:adjustRightInd/>
        <w:snapToGrid/>
        <w:spacing w:before="80" w:line="270" w:lineRule="exact"/>
        <w:ind w:left="1847"/>
        <w:textAlignment w:val="auto"/>
        <w:rPr>
          <w:rFonts w:ascii="Times New Roman" w:hAnsi="Times New Roman"/>
          <w:snapToGrid/>
          <w:color w:val="auto"/>
          <w:sz w:val="18"/>
          <w:szCs w:val="18"/>
          <w:lang w:eastAsia="zh-CN"/>
        </w:rPr>
      </w:pPr>
      <w:r>
        <w:rPr>
          <w:rFonts w:ascii="Times New Roman" w:hAnsi="Times New Roman"/>
          <w:snapToGrid/>
          <w:color w:val="auto"/>
          <w:sz w:val="18"/>
          <w:szCs w:val="18"/>
          <w:lang w:eastAsia="zh-CN"/>
        </w:rPr>
        <w:t>注：“□”为勾选项，填“</w:t>
      </w:r>
      <w:r>
        <w:rPr>
          <w:rFonts w:ascii="Times New Roman" w:hAnsi="Times New Roman" w:cs="Times New Roman"/>
          <w:snapToGrid/>
          <w:color w:val="auto"/>
          <w:sz w:val="18"/>
          <w:szCs w:val="18"/>
          <w:lang w:eastAsia="zh-CN"/>
        </w:rPr>
        <w:t>√</w:t>
      </w:r>
      <w:r>
        <w:rPr>
          <w:rFonts w:ascii="Times New Roman" w:hAnsi="Times New Roman"/>
          <w:snapToGrid/>
          <w:color w:val="auto"/>
          <w:sz w:val="18"/>
          <w:szCs w:val="18"/>
          <w:lang w:eastAsia="zh-CN"/>
        </w:rPr>
        <w:t>”；“（）”为内容填写项</w:t>
      </w:r>
    </w:p>
    <w:p w14:paraId="28B44FCB">
      <w:pPr>
        <w:widowControl w:val="0"/>
        <w:shd w:val="clear"/>
        <w:kinsoku/>
        <w:autoSpaceDE/>
        <w:autoSpaceDN/>
        <w:adjustRightInd/>
        <w:snapToGrid/>
        <w:spacing w:before="47" w:line="29" w:lineRule="exact"/>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5307965" cy="1778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66"/>
                    <a:stretch>
                      <a:fillRect/>
                    </a:stretch>
                  </pic:blipFill>
                  <pic:spPr>
                    <a:xfrm>
                      <a:off x="0" y="0"/>
                      <a:ext cx="5308091" cy="18288"/>
                    </a:xfrm>
                    <a:prstGeom prst="rect">
                      <a:avLst/>
                    </a:prstGeom>
                  </pic:spPr>
                </pic:pic>
              </a:graphicData>
            </a:graphic>
          </wp:inline>
        </w:drawing>
      </w:r>
    </w:p>
    <w:p w14:paraId="2865F8E3">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613" w:name="_Toc5833"/>
      <w:bookmarkStart w:id="614" w:name="_Toc32025"/>
      <w:bookmarkStart w:id="615" w:name="_Toc4135"/>
      <w:r>
        <w:rPr>
          <w:rFonts w:hint="eastAsia" w:ascii="Times New Roman" w:hAnsi="Times New Roman" w:eastAsia="宋体" w:cs="Times New Roman"/>
          <w:snapToGrid/>
          <w:color w:val="auto"/>
          <w:lang w:eastAsia="zh-CN"/>
        </w:rPr>
        <w:t>5.2.2地表水环境影响分析</w:t>
      </w:r>
      <w:bookmarkEnd w:id="613"/>
      <w:bookmarkEnd w:id="614"/>
      <w:bookmarkEnd w:id="615"/>
    </w:p>
    <w:p w14:paraId="6B09E3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本项目主要用水包括生产车间用水、生活用水</w:t>
      </w:r>
    </w:p>
    <w:p w14:paraId="756F203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（1）废水来源分析</w:t>
      </w:r>
    </w:p>
    <w:p w14:paraId="4333876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1）清洗废水</w:t>
      </w:r>
    </w:p>
    <w:p w14:paraId="2ADED8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是先破碎后进入清洗工序，采用物理清洗方法，清洗过程不添加其他化学试剂。项目清洗废水经沉淀池沉淀处理后，项目清洗废水主要污染物为SS，上层清水回用于清洗工序，下层污泥主要以泥沙为主，待生产季结束后统一清掏，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至含水率低于60%后，交由环卫部门外运填埋处理。</w:t>
      </w:r>
    </w:p>
    <w:p w14:paraId="4227954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项目废旧滴灌带清洗废水产生量为38.92m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/d（9340.8m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/a），项目废旧滴灌带清洗废水经厂区1座</w:t>
      </w:r>
      <w:r>
        <w:rPr>
          <w:rFonts w:hint="eastAsia" w:ascii="Times New Roman" w:hAnsi="Times New Roman"/>
          <w:snapToGrid/>
          <w:color w:val="auto"/>
          <w:sz w:val="24"/>
          <w:szCs w:val="24"/>
          <w:lang w:eastAsia="zh-CN"/>
        </w:rPr>
        <w:t>500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的三级沉淀池处理后循环利用，无废水排放，且沉淀池容积满足需求。</w:t>
      </w:r>
    </w:p>
    <w:p w14:paraId="0395E99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2）冷却水</w:t>
      </w:r>
    </w:p>
    <w:p w14:paraId="292FB6F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废旧塑料颗粒加工造粒工段冷却用水量为20m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/d，滴灌带冷却用水量为20m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/d，循环使用不外排。循环冷却池容积为</w:t>
      </w:r>
      <w:r>
        <w:rPr>
          <w:rFonts w:hint="eastAsia" w:ascii="Times New Roman" w:hAnsi="Times New Roman"/>
          <w:snapToGrid/>
          <w:color w:val="auto"/>
          <w:sz w:val="24"/>
          <w:szCs w:val="24"/>
          <w:lang w:eastAsia="zh-CN"/>
        </w:rPr>
        <w:t>50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，循环池容积满足需求。</w:t>
      </w:r>
    </w:p>
    <w:p w14:paraId="268B5C3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3）生活污水</w:t>
      </w:r>
    </w:p>
    <w:p w14:paraId="4B5DFAE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生活污水排放量为134.7m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/a，生活污水</w:t>
      </w:r>
      <w:r>
        <w:rPr>
          <w:rFonts w:hint="eastAsia" w:ascii="Times New Roman" w:hAnsi="Times New Roman"/>
          <w:snapToGrid/>
          <w:color w:val="auto"/>
          <w:sz w:val="24"/>
          <w:szCs w:val="24"/>
          <w:lang w:eastAsia="zh-CN"/>
        </w:rPr>
        <w:t>排入防渗化粪池，定期抽运至木垒哈萨克自治县污水处理厂处理</w:t>
      </w:r>
      <w:r>
        <w:rPr>
          <w:rFonts w:ascii="Times New Roman" w:hAnsi="Times New Roman"/>
          <w:snapToGrid/>
          <w:color w:val="auto"/>
          <w:sz w:val="24"/>
          <w:szCs w:val="24"/>
          <w:lang w:eastAsia="zh-CN"/>
        </w:rPr>
        <w:t>。</w:t>
      </w:r>
    </w:p>
    <w:p w14:paraId="6F6E737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（2）废水水量和水质分析</w:t>
      </w:r>
    </w:p>
    <w:p w14:paraId="7B505B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程分析，项目生产废水主要为清洗废旧滴灌带过程中产生的废水以及滴灌带成品加工过程中的工艺冷却水，由于滴灌带回收阶段为农产品全部秋收完毕后的最后清理阶段，滴灌带在农田停留时间较久，种植时残留的农药已基本降解完毕，项目清洗过程中不添加任何清洗剂，项目清洗废水主要污染物为SS，项目生产过程中原料清洗废水等生产废水均排入废水处理池，采用“物理好氧法+好氧生物处理法”工艺对污水进行处理，处理后的水作为原料清洗使用，不会进入地表水体。废水处理池为混凝土防渗水池，不会下渗，也不会溢流外排。并且本项目生产废水产生量为38.92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/d，小于废水处理池容积</w:t>
      </w:r>
      <w:r>
        <w:rPr>
          <w:rFonts w:hint="eastAsia" w:ascii="Times New Roman" w:hAnsi="Times New Roman"/>
          <w:snapToGrid/>
          <w:color w:val="auto"/>
          <w:sz w:val="24"/>
          <w:szCs w:val="24"/>
          <w:lang w:eastAsia="zh-CN"/>
        </w:rPr>
        <w:t>500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，因此，本项目生产废水采用废水处理池处理可行。</w:t>
      </w:r>
    </w:p>
    <w:p w14:paraId="54C0B10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生活污水排放至</w:t>
      </w:r>
      <w:r>
        <w:rPr>
          <w:rFonts w:hint="eastAsia" w:ascii="Times New Roman" w:hAnsi="Times New Roman"/>
          <w:snapToGrid/>
          <w:color w:val="auto"/>
          <w:sz w:val="24"/>
          <w:szCs w:val="24"/>
          <w:lang w:eastAsia="zh-CN"/>
        </w:rPr>
        <w:t>化粪池</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拉运至木垒哈萨克自治县污水处理厂处理</w:t>
      </w:r>
      <w:r>
        <w:rPr>
          <w:rFonts w:ascii="Times New Roman" w:hAnsi="Times New Roman"/>
          <w:snapToGrid/>
          <w:color w:val="auto"/>
          <w:sz w:val="24"/>
          <w:szCs w:val="24"/>
          <w:lang w:eastAsia="zh-CN"/>
        </w:rPr>
        <w:t>。</w:t>
      </w:r>
    </w:p>
    <w:p w14:paraId="7F54F84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本项目废水不会进入地表水体，与地表水也不发生水力联系，对地表水环境影响不大。</w:t>
      </w:r>
    </w:p>
    <w:p w14:paraId="79C63467">
      <w:pPr>
        <w:pStyle w:val="6"/>
        <w:widowControl w:val="0"/>
        <w:shd w:val="clear"/>
        <w:kinsoku/>
        <w:autoSpaceDE/>
        <w:autoSpaceDN/>
        <w:adjustRightInd/>
        <w:snapToGrid/>
        <w:spacing w:line="360" w:lineRule="auto"/>
        <w:jc w:val="both"/>
        <w:textAlignment w:val="auto"/>
        <w:rPr>
          <w:rFonts w:ascii="Times New Roman" w:hAnsi="Times New Roman" w:eastAsia="宋体" w:cs="Times New Roman"/>
          <w:snapToGrid/>
          <w:color w:val="auto"/>
          <w:lang w:eastAsia="zh-CN"/>
        </w:rPr>
      </w:pPr>
      <w:bookmarkStart w:id="616" w:name="_Toc5021"/>
      <w:bookmarkStart w:id="617" w:name="_Toc10191"/>
      <w:bookmarkStart w:id="618" w:name="_Toc6787"/>
      <w:r>
        <w:rPr>
          <w:rFonts w:hint="eastAsia" w:ascii="Times New Roman" w:hAnsi="Times New Roman" w:eastAsia="宋体" w:cs="Times New Roman"/>
          <w:snapToGrid/>
          <w:color w:val="auto"/>
          <w:lang w:eastAsia="zh-CN"/>
        </w:rPr>
        <w:t>5.2.3地下水环境影响评价</w:t>
      </w:r>
      <w:bookmarkEnd w:id="616"/>
      <w:bookmarkEnd w:id="617"/>
      <w:bookmarkEnd w:id="618"/>
    </w:p>
    <w:p w14:paraId="43D547A2">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"file:///C:\\Users\\jobezho\\AppData\\Local\\Temp\\Rar$DIa13476.12779\\5.2.3.1" </w:instrText>
      </w:r>
      <w:r>
        <w:rPr>
          <w:color w:val="auto"/>
        </w:rPr>
        <w:fldChar w:fldCharType="separate"/>
      </w:r>
      <w:r>
        <w:rPr>
          <w:rFonts w:hint="eastAsia" w:ascii="Times New Roman" w:hAnsi="Times New Roman" w:eastAsia="宋体"/>
          <w:snapToGrid/>
          <w:color w:val="auto"/>
          <w:sz w:val="24"/>
          <w:lang w:eastAsia="zh-CN"/>
        </w:rPr>
        <w:t>5.2.3.1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评价区域水文地质概况</w:t>
      </w:r>
    </w:p>
    <w:p w14:paraId="6829E13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宋体"/>
          <w:snapToGrid/>
          <w:color w:val="auto"/>
          <w:sz w:val="24"/>
          <w:szCs w:val="24"/>
          <w:lang w:eastAsia="zh-CN"/>
        </w:rPr>
      </w:pPr>
      <w:bookmarkStart w:id="619" w:name="_Toc4632"/>
      <w:r>
        <w:rPr>
          <w:rFonts w:hint="eastAsia" w:ascii="Times New Roman" w:hAnsi="Times New Roman" w:eastAsia="宋体" w:cs="Times New Roman"/>
          <w:snapToGrid/>
          <w:color w:val="auto"/>
          <w:sz w:val="24"/>
          <w:szCs w:val="24"/>
          <w:lang w:eastAsia="zh-CN"/>
        </w:rPr>
        <w:t>1、水文地质特征</w:t>
      </w:r>
      <w:bookmarkEnd w:id="619"/>
    </w:p>
    <w:p w14:paraId="29B149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宋体"/>
          <w:snapToGrid/>
          <w:color w:val="auto"/>
          <w:sz w:val="24"/>
          <w:szCs w:val="24"/>
          <w:lang w:eastAsia="zh-CN"/>
        </w:rPr>
      </w:pPr>
      <w:r>
        <w:rPr>
          <w:rFonts w:hint="eastAsia" w:ascii="Times New Roman" w:hAnsi="Times New Roman" w:eastAsia="宋体" w:cs="宋体"/>
          <w:snapToGrid/>
          <w:color w:val="auto"/>
          <w:sz w:val="24"/>
          <w:szCs w:val="24"/>
          <w:lang w:eastAsia="zh-CN"/>
        </w:rPr>
        <w:t>木垒哈萨克自治县</w:t>
      </w:r>
      <w:r>
        <w:rPr>
          <w:rFonts w:ascii="Times New Roman" w:hAnsi="Times New Roman" w:eastAsia="宋体" w:cs="宋体"/>
          <w:snapToGrid/>
          <w:color w:val="auto"/>
          <w:sz w:val="24"/>
          <w:szCs w:val="24"/>
          <w:lang w:eastAsia="zh-CN"/>
        </w:rPr>
        <w:t>地下水按赋存特征可划分为：基岩裂隙水、碎屑岩类裂隙孔隙承压水和松散岩类孔隙潜水。基岩裂隙水主要分布在山丘区，碎屑岩类裂隙孔隙承压水主要分布在</w:t>
      </w:r>
      <w:r>
        <w:rPr>
          <w:rFonts w:hint="eastAsia" w:ascii="Times New Roman" w:hAnsi="Times New Roman" w:eastAsia="宋体" w:cs="宋体"/>
          <w:snapToGrid/>
          <w:color w:val="auto"/>
          <w:sz w:val="24"/>
          <w:szCs w:val="24"/>
          <w:lang w:eastAsia="zh-CN"/>
        </w:rPr>
        <w:t>木垒哈萨克自治县</w:t>
      </w:r>
      <w:r>
        <w:rPr>
          <w:rFonts w:ascii="Times New Roman" w:hAnsi="Times New Roman" w:eastAsia="宋体" w:cs="宋体"/>
          <w:snapToGrid/>
          <w:color w:val="auto"/>
          <w:sz w:val="24"/>
          <w:szCs w:val="24"/>
          <w:lang w:eastAsia="zh-CN"/>
        </w:rPr>
        <w:t>北部地区，松散岩类孔隙潜水分布在山前平原及沙漠区。</w:t>
      </w:r>
    </w:p>
    <w:p w14:paraId="114D5F28">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宋体"/>
          <w:snapToGrid/>
          <w:color w:val="auto"/>
          <w:sz w:val="24"/>
          <w:szCs w:val="24"/>
          <w:lang w:eastAsia="zh-CN"/>
        </w:rPr>
      </w:pPr>
      <w:r>
        <w:rPr>
          <w:rFonts w:ascii="Times New Roman" w:hAnsi="Times New Roman" w:eastAsia="宋体" w:cs="宋体"/>
          <w:snapToGrid/>
          <w:color w:val="auto"/>
          <w:sz w:val="24"/>
          <w:szCs w:val="24"/>
          <w:lang w:eastAsia="zh-CN"/>
        </w:rPr>
        <w:t>松散岩类孔隙潜水由第四纪下更新</w:t>
      </w:r>
      <w:r>
        <w:rPr>
          <w:rFonts w:hint="eastAsia" w:ascii="Times New Roman" w:hAnsi="Times New Roman" w:eastAsia="宋体" w:cs="宋体"/>
          <w:snapToGrid/>
          <w:color w:val="auto"/>
          <w:sz w:val="24"/>
          <w:szCs w:val="24"/>
          <w:lang w:eastAsia="zh-CN"/>
        </w:rPr>
        <w:t>统一</w:t>
      </w:r>
      <w:r>
        <w:rPr>
          <w:rFonts w:ascii="Times New Roman" w:hAnsi="Times New Roman" w:eastAsia="宋体" w:cs="宋体"/>
          <w:snapToGrid/>
          <w:color w:val="auto"/>
          <w:sz w:val="24"/>
          <w:szCs w:val="24"/>
          <w:lang w:eastAsia="zh-CN"/>
        </w:rPr>
        <w:t>全新统的冰水沉积物和冲洪积物组成的单一结构潜水含水层，含水层岩性，从南到北由卵砾石、砾石，渐变为砂砾石、砂，由上到下，南部表现为卵石、卵砾石，渐变为</w:t>
      </w:r>
      <w:r>
        <w:rPr>
          <w:rFonts w:hint="eastAsia" w:ascii="Times New Roman" w:hAnsi="Times New Roman" w:eastAsia="宋体" w:cs="宋体"/>
          <w:snapToGrid/>
          <w:color w:val="auto"/>
          <w:sz w:val="24"/>
          <w:szCs w:val="24"/>
          <w:lang w:eastAsia="zh-CN"/>
        </w:rPr>
        <w:t>沙砾石</w:t>
      </w:r>
      <w:r>
        <w:rPr>
          <w:rFonts w:ascii="Times New Roman" w:hAnsi="Times New Roman" w:eastAsia="宋体" w:cs="宋体"/>
          <w:snapToGrid/>
          <w:color w:val="auto"/>
          <w:sz w:val="24"/>
          <w:szCs w:val="24"/>
          <w:lang w:eastAsia="zh-CN"/>
        </w:rPr>
        <w:t>，北部由</w:t>
      </w:r>
      <w:r>
        <w:rPr>
          <w:rFonts w:hint="eastAsia" w:ascii="Times New Roman" w:hAnsi="Times New Roman" w:eastAsia="宋体" w:cs="宋体"/>
          <w:snapToGrid/>
          <w:color w:val="auto"/>
          <w:sz w:val="24"/>
          <w:szCs w:val="24"/>
          <w:lang w:eastAsia="zh-CN"/>
        </w:rPr>
        <w:t>砂砾</w:t>
      </w:r>
      <w:r>
        <w:rPr>
          <w:rFonts w:ascii="Times New Roman" w:hAnsi="Times New Roman" w:eastAsia="宋体" w:cs="宋体"/>
          <w:snapToGrid/>
          <w:color w:val="auto"/>
          <w:sz w:val="24"/>
          <w:szCs w:val="24"/>
          <w:lang w:eastAsia="zh-CN"/>
        </w:rPr>
        <w:t>石变为砂。总体上南部基底坡度大，地下水径流速度快，含水层薄，不利于地下水的富集。北部基底坡降小，地下水径流速度慢，含水层厚度增厚，形成相对好的富水区，水位埋深由南向北总体表现为由大到小的变化规律，北部沙漠及沙漠前缘水位埋深2</w:t>
      </w:r>
      <w:r>
        <w:rPr>
          <w:rFonts w:hint="eastAsia" w:ascii="Times New Roman" w:hAnsi="Times New Roman" w:eastAsia="宋体" w:cs="宋体"/>
          <w:snapToGrid/>
          <w:color w:val="auto"/>
          <w:sz w:val="24"/>
          <w:szCs w:val="24"/>
          <w:lang w:eastAsia="zh-CN"/>
        </w:rPr>
        <w:t>—</w:t>
      </w:r>
      <w:r>
        <w:rPr>
          <w:rFonts w:ascii="Times New Roman" w:hAnsi="Times New Roman" w:eastAsia="宋体" w:cs="宋体"/>
          <w:snapToGrid/>
          <w:color w:val="auto"/>
          <w:sz w:val="24"/>
          <w:szCs w:val="24"/>
          <w:lang w:eastAsia="zh-CN"/>
        </w:rPr>
        <w:t>15m。</w:t>
      </w:r>
    </w:p>
    <w:p w14:paraId="604841AB">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宋体"/>
          <w:snapToGrid/>
          <w:color w:val="auto"/>
          <w:sz w:val="24"/>
          <w:szCs w:val="24"/>
          <w:lang w:eastAsia="zh-CN"/>
        </w:rPr>
      </w:pPr>
      <w:r>
        <w:rPr>
          <w:rFonts w:ascii="Times New Roman" w:hAnsi="Times New Roman" w:eastAsia="宋体" w:cs="宋体"/>
          <w:snapToGrid/>
          <w:color w:val="auto"/>
          <w:sz w:val="24"/>
          <w:szCs w:val="24"/>
          <w:lang w:eastAsia="zh-CN"/>
        </w:rPr>
        <w:t>基岩山区，地下水补给源主要为山区大气降水。平原区地下水的补给受自然条件和区内人类活动共同影响，侧向上接受山区基岩裂隙水沟谷潜流补给，垂向上主要接受大气降水入渗补给、洪流入渗补给、渠系入渗、田间灌溉入渗补给及坎儿井、泉水、水库的入渗补给。沙漠区及其以南的平原细土带主要接受侧向径流补给和洪水入渗补给。</w:t>
      </w:r>
    </w:p>
    <w:p w14:paraId="4F0C298B">
      <w:pPr>
        <w:widowControl w:val="0"/>
        <w:shd w:val="clear"/>
        <w:kinsoku/>
        <w:autoSpaceDE/>
        <w:autoSpaceDN/>
        <w:adjustRightInd/>
        <w:snapToGrid/>
        <w:spacing w:line="360" w:lineRule="auto"/>
        <w:ind w:firstLine="480" w:firstLineChars="200"/>
        <w:jc w:val="both"/>
        <w:textAlignment w:val="auto"/>
        <w:rPr>
          <w:rFonts w:ascii="Times New Roman" w:hAnsi="Times New Roman" w:eastAsia="宋体" w:cs="宋体"/>
          <w:snapToGrid/>
          <w:color w:val="auto"/>
          <w:sz w:val="24"/>
          <w:szCs w:val="24"/>
          <w:lang w:eastAsia="zh-CN"/>
        </w:rPr>
      </w:pPr>
      <w:r>
        <w:rPr>
          <w:rFonts w:ascii="Times New Roman" w:hAnsi="Times New Roman" w:eastAsia="宋体" w:cs="宋体"/>
          <w:snapToGrid/>
          <w:color w:val="auto"/>
          <w:sz w:val="24"/>
          <w:szCs w:val="24"/>
          <w:lang w:eastAsia="zh-CN"/>
        </w:rPr>
        <w:t>山区地下水以水平或垂直方式从高处向低处运移，径流途径短，在沟谷处以泉形式溢出地表补给地表水或以沟谷潜流形式侧向径流。平原区地下水</w:t>
      </w:r>
      <w:r>
        <w:rPr>
          <w:rFonts w:hint="eastAsia" w:ascii="Times New Roman" w:hAnsi="Times New Roman" w:eastAsia="宋体" w:cs="宋体"/>
          <w:snapToGrid/>
          <w:color w:val="auto"/>
          <w:sz w:val="24"/>
          <w:szCs w:val="24"/>
          <w:lang w:eastAsia="zh-CN"/>
        </w:rPr>
        <w:t>水流</w:t>
      </w:r>
      <w:r>
        <w:rPr>
          <w:rFonts w:ascii="Times New Roman" w:hAnsi="Times New Roman" w:eastAsia="宋体" w:cs="宋体"/>
          <w:snapToGrid/>
          <w:color w:val="auto"/>
          <w:sz w:val="24"/>
          <w:szCs w:val="24"/>
          <w:lang w:eastAsia="zh-CN"/>
        </w:rPr>
        <w:t>坡度南大北小，地下水呈北西向，由南向北径流，至北部沙漠区流向逐渐偏转为北西西向。山区地下水主要以泉或沟谷潜流的形式排泄。平原区地下水排泄方式主要为侧向径流排泄、人工开采、蒸发蒸腾以及泉水溢出等。沙漠区地下水以侧向流出、蒸发蒸腾排泄为主。</w:t>
      </w:r>
    </w:p>
    <w:p w14:paraId="20A28CF8">
      <w:pPr>
        <w:shd w:val="clear"/>
        <w:spacing w:line="360" w:lineRule="auto"/>
        <w:ind w:firstLine="482"/>
        <w:rPr>
          <w:color w:val="auto"/>
          <w:sz w:val="24"/>
          <w:szCs w:val="24"/>
          <w:lang w:eastAsia="zh-CN"/>
        </w:rPr>
      </w:pPr>
      <w:r>
        <w:rPr>
          <w:rFonts w:ascii="Times New Roman" w:hAnsi="Times New Roman"/>
          <w:snapToGrid/>
          <w:color w:val="auto"/>
          <w:sz w:val="24"/>
          <w:szCs w:val="24"/>
          <w:lang w:eastAsia="zh-CN"/>
        </w:rPr>
        <w:t>项目所在区域地下水属于孔隙潜水，含水层岩性为中粗砂，富有地下水，单位涌水量约为900m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/d•m，渗透系数为3.144m/d，埋深约为50m。地下水由南向北径流，补给来源主要为侧向径流补给，排泄方式以侧向流出和蒸发蒸腾为主。</w:t>
      </w:r>
    </w:p>
    <w:p w14:paraId="1706C6E9">
      <w:pPr>
        <w:pStyle w:val="2"/>
        <w:widowControl w:val="0"/>
        <w:shd w:val="clear"/>
        <w:kinsoku/>
        <w:autoSpaceDE/>
        <w:autoSpaceDN/>
        <w:adjustRightInd/>
        <w:snapToGrid/>
        <w:spacing w:line="360" w:lineRule="auto"/>
        <w:ind w:firstLine="420" w:firstLineChars="200"/>
        <w:jc w:val="both"/>
        <w:textAlignment w:val="auto"/>
        <w:rPr>
          <w:color w:val="auto"/>
        </w:rPr>
      </w:pPr>
      <w:r>
        <w:rPr>
          <w:color w:val="auto"/>
        </w:rPr>
        <mc:AlternateContent>
          <mc:Choice Requires="wps">
            <w:drawing>
              <wp:anchor distT="0" distB="0" distL="114300" distR="114300" simplePos="0" relativeHeight="251712512" behindDoc="0" locked="0" layoutInCell="1" allowOverlap="1">
                <wp:simplePos x="0" y="0"/>
                <wp:positionH relativeFrom="column">
                  <wp:posOffset>1004570</wp:posOffset>
                </wp:positionH>
                <wp:positionV relativeFrom="paragraph">
                  <wp:posOffset>2531745</wp:posOffset>
                </wp:positionV>
                <wp:extent cx="509905" cy="323850"/>
                <wp:effectExtent l="0" t="0" r="4445" b="19050"/>
                <wp:wrapNone/>
                <wp:docPr id="14" name="直接箭头连接符 14"/>
                <wp:cNvGraphicFramePr/>
                <a:graphic xmlns:a="http://schemas.openxmlformats.org/drawingml/2006/main">
                  <a:graphicData uri="http://schemas.microsoft.com/office/word/2010/wordprocessingShape">
                    <wps:wsp>
                      <wps:cNvCnPr/>
                      <wps:spPr>
                        <a:xfrm flipH="1" flipV="1">
                          <a:off x="2129155" y="7996555"/>
                          <a:ext cx="509905" cy="323850"/>
                        </a:xfrm>
                        <a:prstGeom prst="straightConnector1">
                          <a:avLst/>
                        </a:prstGeom>
                        <a:ln w="63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79.1pt;margin-top:199.35pt;height:25.5pt;width:40.15pt;z-index:251712512;mso-width-relative:page;mso-height-relative:page;" filled="f" stroked="t" coordsize="21600,21600" o:gfxdata="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oqo02wAAAAsB&#10;AAAPAAAAAAAAAAEAIAAAACIAAABkcnMvZG93bnJldi54bWxQSwECFAAUAAAACACHTuJAQadouBgC&#10;AADtAwAADgAAAAAAAAABACAAAAAqAQAAZHJzL2Uyb0RvYy54bWxQSwUGAAAAAAYABgBZAQAAtAUA&#10;AAAA&#10;">
                <v:fill on="f" focussize="0,0"/>
                <v:stroke weight="0.5pt" color="#FF0000 [3204]" joinstyle="round" endarrow="open"/>
                <v:imagedata o:title=""/>
                <o:lock v:ext="edit" aspectratio="f"/>
              </v:shape>
            </w:pict>
          </mc:Fallback>
        </mc:AlternateContent>
      </w:r>
      <w:r>
        <w:rPr>
          <w:color w:val="auto"/>
        </w:rPr>
        <mc:AlternateContent>
          <mc:Choice Requires="wps">
            <w:drawing>
              <wp:anchor distT="0" distB="0" distL="114300" distR="114300" simplePos="0" relativeHeight="251711488" behindDoc="0" locked="0" layoutInCell="1" allowOverlap="1">
                <wp:simplePos x="0" y="0"/>
                <wp:positionH relativeFrom="column">
                  <wp:posOffset>619125</wp:posOffset>
                </wp:positionH>
                <wp:positionV relativeFrom="paragraph">
                  <wp:posOffset>2331720</wp:posOffset>
                </wp:positionV>
                <wp:extent cx="647065" cy="304800"/>
                <wp:effectExtent l="0" t="0" r="0" b="0"/>
                <wp:wrapNone/>
                <wp:docPr id="13" name="矩形 13"/>
                <wp:cNvGraphicFramePr/>
                <a:graphic xmlns:a="http://schemas.openxmlformats.org/drawingml/2006/main">
                  <a:graphicData uri="http://schemas.microsoft.com/office/word/2010/wordprocessingShape">
                    <wps:wsp>
                      <wps:cNvSpPr/>
                      <wps:spPr>
                        <a:xfrm>
                          <a:off x="1743710" y="7796530"/>
                          <a:ext cx="647065" cy="3048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9E6485">
                            <w:pPr>
                              <w:jc w:val="both"/>
                              <w:rPr>
                                <w:rFonts w:eastAsia="宋体"/>
                                <w:lang w:eastAsia="zh-CN"/>
                              </w:rPr>
                            </w:pPr>
                            <w:r>
                              <w:rPr>
                                <w:rFonts w:hint="eastAsia" w:eastAsia="宋体"/>
                                <w:lang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5pt;margin-top:183.6pt;height:24pt;width:50.95pt;z-index:251711488;v-text-anchor:middle;mso-width-relative:page;mso-height-relative:page;" filled="f" stroked="f" coordsize="21600,21600" o:gfxdata="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f69tkAAAAKAQAADwAAAAAAAAABACAAAAAiAAAAZHJzL2Rvd25yZXYueG1sUEsBAhQAFAAA&#10;AAgAh07iQClxJeRgAgAAowQAAA4AAAAAAAAAAQAgAAAAKAEAAGRycy9lMm9Eb2MueG1sUEsFBgAA&#10;AAAGAAYAWQEAAPoFAAAAAA==&#10;">
                <v:fill on="f" focussize="0,0"/>
                <v:stroke on="f" weight="2pt"/>
                <v:imagedata o:title=""/>
                <o:lock v:ext="edit" aspectratio="f"/>
                <v:textbox>
                  <w:txbxContent>
                    <w:p w14:paraId="259E6485">
                      <w:pPr>
                        <w:jc w:val="both"/>
                        <w:rPr>
                          <w:rFonts w:eastAsia="宋体"/>
                          <w:lang w:eastAsia="zh-CN"/>
                        </w:rPr>
                      </w:pPr>
                      <w:r>
                        <w:rPr>
                          <w:rFonts w:hint="eastAsia" w:eastAsia="宋体"/>
                          <w:lang w:eastAsia="zh-CN"/>
                        </w:rPr>
                        <w:t>项目区</w:t>
                      </w:r>
                    </w:p>
                  </w:txbxContent>
                </v:textbox>
              </v:rect>
            </w:pict>
          </mc:Fallback>
        </mc:AlternateContent>
      </w:r>
      <w:r>
        <w:rPr>
          <w:color w:val="auto"/>
        </w:rPr>
        <mc:AlternateContent>
          <mc:Choice Requires="wps">
            <w:drawing>
              <wp:anchor distT="0" distB="0" distL="114300" distR="114300" simplePos="0" relativeHeight="251710464" behindDoc="0" locked="0" layoutInCell="1" allowOverlap="1">
                <wp:simplePos x="0" y="0"/>
                <wp:positionH relativeFrom="column">
                  <wp:posOffset>1514475</wp:posOffset>
                </wp:positionH>
                <wp:positionV relativeFrom="paragraph">
                  <wp:posOffset>2817495</wp:posOffset>
                </wp:positionV>
                <wp:extent cx="75565" cy="75565"/>
                <wp:effectExtent l="0" t="0" r="635" b="635"/>
                <wp:wrapNone/>
                <wp:docPr id="12" name="矩形 12"/>
                <wp:cNvGraphicFramePr/>
                <a:graphic xmlns:a="http://schemas.openxmlformats.org/drawingml/2006/main">
                  <a:graphicData uri="http://schemas.microsoft.com/office/word/2010/wordprocessingShape">
                    <wps:wsp>
                      <wps:cNvSpPr/>
                      <wps:spPr>
                        <a:xfrm>
                          <a:off x="2639060" y="8282305"/>
                          <a:ext cx="75565" cy="75565"/>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221.85pt;height:5.95pt;width:5.95pt;z-index:251710464;v-text-anchor:middle;mso-width-relative:page;mso-height-relative:page;" fillcolor="#FF0000" filled="t" stroked="f" coordsize="21600,21600" o:gfxdata="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x2pidcAAAALAQAADwAAAAAAAAABACAAAAAiAAAAZHJzL2Rvd25yZXYueG1sUEsB&#10;AhQAFAAAAAgAh07iQF1oct1oAgAAvwQAAA4AAAAAAAAAAQAgAAAAJgEAAGRycy9lMm9Eb2MueG1s&#10;UEsFBgAAAAAGAAYAWQEAAAAGAAAAAA==&#10;">
                <v:fill on="t" focussize="0,0"/>
                <v:stroke on="f" weight="2pt"/>
                <v:imagedata o:title=""/>
                <o:lock v:ext="edit" aspectratio="f"/>
              </v:rect>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olumn">
                  <wp:posOffset>4685030</wp:posOffset>
                </wp:positionH>
                <wp:positionV relativeFrom="paragraph">
                  <wp:posOffset>3047365</wp:posOffset>
                </wp:positionV>
                <wp:extent cx="118110" cy="75565"/>
                <wp:effectExtent l="0" t="0" r="15240" b="635"/>
                <wp:wrapNone/>
                <wp:docPr id="11" name="矩形 11"/>
                <wp:cNvGraphicFramePr/>
                <a:graphic xmlns:a="http://schemas.openxmlformats.org/drawingml/2006/main">
                  <a:graphicData uri="http://schemas.microsoft.com/office/word/2010/wordprocessingShape">
                    <wps:wsp>
                      <wps:cNvSpPr/>
                      <wps:spPr>
                        <a:xfrm>
                          <a:off x="5809615" y="8512175"/>
                          <a:ext cx="118110" cy="75565"/>
                        </a:xfrm>
                        <a:prstGeom prst="rect">
                          <a:avLst/>
                        </a:prstGeom>
                        <a:solidFill>
                          <a:srgbClr val="FFFF66"/>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9pt;margin-top:239.95pt;height:5.95pt;width:9.3pt;z-index:251709440;v-text-anchor:middle;mso-width-relative:page;mso-height-relative:page;" fillcolor="#FFFF66" filled="t" stroked="f" coordsize="21600,21600" o:gfxdata="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cC1kdoAAAALAQAADwAAAAAAAAABACAAAAAiAAAAZHJzL2Rvd25yZXYu&#10;eG1sUEsBAhQAFAAAAAgAh07iQL50G5hrAgAAwAQAAA4AAAAAAAAAAQAgAAAAKQEAAGRycy9lMm9E&#10;b2MueG1sUEsFBgAAAAAGAAYAWQEAAAYGAAAAAA==&#10;">
                <v:fill on="t" focussize="0,0"/>
                <v:stroke on="f" weight="2pt"/>
                <v:imagedata o:title=""/>
                <o:lock v:ext="edit" aspectratio="f"/>
              </v:rect>
            </w:pict>
          </mc:Fallback>
        </mc:AlternateContent>
      </w:r>
      <w:r>
        <w:rPr>
          <w:color w:val="auto"/>
        </w:rPr>
        <w:drawing>
          <wp:anchor distT="0" distB="0" distL="114300" distR="114300" simplePos="0" relativeHeight="251708416" behindDoc="0" locked="0" layoutInCell="1" allowOverlap="1">
            <wp:simplePos x="0" y="0"/>
            <wp:positionH relativeFrom="column">
              <wp:posOffset>4587240</wp:posOffset>
            </wp:positionH>
            <wp:positionV relativeFrom="paragraph">
              <wp:posOffset>2407920</wp:posOffset>
            </wp:positionV>
            <wp:extent cx="953770" cy="1562735"/>
            <wp:effectExtent l="0" t="0" r="17780" b="18415"/>
            <wp:wrapNone/>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67"/>
                    <a:stretch>
                      <a:fillRect/>
                    </a:stretch>
                  </pic:blipFill>
                  <pic:spPr>
                    <a:xfrm>
                      <a:off x="0" y="0"/>
                      <a:ext cx="953770" cy="1562735"/>
                    </a:xfrm>
                    <a:prstGeom prst="rect">
                      <a:avLst/>
                    </a:prstGeom>
                    <a:noFill/>
                    <a:ln>
                      <a:noFill/>
                    </a:ln>
                  </pic:spPr>
                </pic:pic>
              </a:graphicData>
            </a:graphic>
          </wp:anchor>
        </w:drawing>
      </w:r>
      <w:r>
        <w:rPr>
          <w:color w:val="auto"/>
        </w:rPr>
        <w:drawing>
          <wp:inline distT="0" distB="0" distL="114300" distR="114300">
            <wp:extent cx="5271135" cy="3998595"/>
            <wp:effectExtent l="19050" t="19050" r="24765" b="2095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68"/>
                    <a:stretch>
                      <a:fillRect/>
                    </a:stretch>
                  </pic:blipFill>
                  <pic:spPr>
                    <a:xfrm>
                      <a:off x="0" y="0"/>
                      <a:ext cx="5271135" cy="3998595"/>
                    </a:xfrm>
                    <a:prstGeom prst="rect">
                      <a:avLst/>
                    </a:prstGeom>
                    <a:noFill/>
                    <a:ln w="19050">
                      <a:solidFill>
                        <a:schemeClr val="tx1"/>
                      </a:solidFill>
                    </a:ln>
                  </pic:spPr>
                </pic:pic>
              </a:graphicData>
            </a:graphic>
          </wp:inline>
        </w:drawing>
      </w:r>
    </w:p>
    <w:p w14:paraId="7A0990B0">
      <w:pPr>
        <w:pStyle w:val="2"/>
        <w:widowControl w:val="0"/>
        <w:shd w:val="clear"/>
        <w:kinsoku/>
        <w:autoSpaceDE/>
        <w:autoSpaceDN/>
        <w:adjustRightInd/>
        <w:snapToGrid/>
        <w:spacing w:line="360" w:lineRule="auto"/>
        <w:jc w:val="center"/>
        <w:textAlignment w:val="auto"/>
        <w:rPr>
          <w:b/>
          <w:bCs/>
          <w:color w:val="auto"/>
          <w:sz w:val="24"/>
          <w:lang w:eastAsia="zh-CN"/>
        </w:rPr>
      </w:pPr>
      <w:r>
        <w:rPr>
          <w:rFonts w:hint="eastAsia"/>
          <w:b/>
          <w:bCs/>
          <w:color w:val="auto"/>
          <w:sz w:val="24"/>
          <w:lang w:eastAsia="zh-CN"/>
        </w:rPr>
        <w:t>水文地质图</w:t>
      </w:r>
    </w:p>
    <w:p w14:paraId="5C00AB0B">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620" w:name="_Toc65"/>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 HYPERLINK "file:///C:\\Users\\jobezho\\AppData\\Local\\Temp\\Rar$DIa13476.12779\\5.2.3.2" </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5.2.3.2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地下水影响分析</w:t>
      </w:r>
      <w:bookmarkEnd w:id="620"/>
    </w:p>
    <w:p w14:paraId="20AEAF9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（1）正常情况下地下水影响分析</w:t>
      </w:r>
    </w:p>
    <w:p w14:paraId="68942C7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正常情况下，项目严格按照报告中提出的“源头控制、分区防控、污染监控、应急响应”原则。根据本项目生产特点、废水性质及排放去向，本项目生产废水主要为清洗废旧滴灌带过程中产生的废水以及滴灌带成品加工过程中产生的冷却水，清洗废水经设置的防渗沉淀池沉淀处理后回用，循环冷却水循环使用不外排，定期补充新鲜水，无生产废水产生。生活污水经</w:t>
      </w:r>
      <w:r>
        <w:rPr>
          <w:rFonts w:hint="eastAsia" w:ascii="Times New Roman" w:hAnsi="Times New Roman"/>
          <w:snapToGrid/>
          <w:color w:val="auto"/>
          <w:sz w:val="24"/>
          <w:szCs w:val="24"/>
          <w:lang w:eastAsia="zh-CN"/>
        </w:rPr>
        <w:t>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hint="eastAsia" w:ascii="Times New Roman" w:hAnsi="Times New Roman"/>
          <w:snapToGrid/>
          <w:color w:val="auto"/>
          <w:sz w:val="24"/>
          <w:szCs w:val="24"/>
          <w:lang w:val="en-US" w:eastAsia="zh-CN"/>
        </w:rPr>
        <w:t>定期抽运至木垒哈萨克自治县污水处理厂处理</w:t>
      </w:r>
      <w:r>
        <w:rPr>
          <w:rFonts w:ascii="Times New Roman" w:hAnsi="Times New Roman"/>
          <w:snapToGrid/>
          <w:color w:val="auto"/>
          <w:sz w:val="24"/>
          <w:szCs w:val="24"/>
          <w:lang w:eastAsia="zh-CN"/>
        </w:rPr>
        <w:t>。因此，本项目废水不会通过地表水和地下水的水力联系而进入地下水从而</w:t>
      </w:r>
      <w:r>
        <w:rPr>
          <w:rFonts w:hint="eastAsia" w:ascii="Times New Roman" w:hAnsi="Times New Roman"/>
          <w:snapToGrid/>
          <w:color w:val="auto"/>
          <w:sz w:val="24"/>
          <w:szCs w:val="24"/>
          <w:lang w:val="en-US" w:eastAsia="zh-CN"/>
        </w:rPr>
        <w:t>引起</w:t>
      </w:r>
      <w:r>
        <w:rPr>
          <w:rFonts w:ascii="Times New Roman" w:hAnsi="Times New Roman"/>
          <w:snapToGrid/>
          <w:color w:val="auto"/>
          <w:sz w:val="24"/>
          <w:szCs w:val="24"/>
          <w:lang w:eastAsia="zh-CN"/>
        </w:rPr>
        <w:t>地下水水质的变化。</w:t>
      </w:r>
    </w:p>
    <w:p w14:paraId="1779E86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车间、库房、废水处理设施均采取了防渗设计，厂区内道路均为硬化路面。在防渗系统正常运行的情况下，本项目废水向地下渗透将得到很好的控制，不会对地下水质量造成功能类别的改变。因此，在正常状况下，在做好各区域防渗的基础上，不会对场地地下包气带及地下水环境造成影响。</w:t>
      </w:r>
    </w:p>
    <w:p w14:paraId="3AD5B33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（2）非正常状况下地下水影响</w:t>
      </w:r>
    </w:p>
    <w:p w14:paraId="334888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1）影响途径</w:t>
      </w:r>
    </w:p>
    <w:p w14:paraId="0098B42B">
      <w:pPr>
        <w:pStyle w:val="47"/>
        <w:widowControl w:val="0"/>
        <w:shd w:val="clear"/>
        <w:autoSpaceDE/>
        <w:autoSpaceDN/>
        <w:adjustRightInd/>
        <w:snapToGrid/>
        <w:spacing w:line="360" w:lineRule="auto"/>
        <w:jc w:val="both"/>
        <w:textAlignment w:val="auto"/>
        <w:rPr>
          <w:rFonts w:eastAsia="宋体" w:cs="Times New Roman"/>
          <w:color w:val="auto"/>
          <w:lang w:eastAsia="zh-CN"/>
        </w:rPr>
      </w:pPr>
      <w:r>
        <w:rPr>
          <w:rFonts w:eastAsia="宋体" w:cs="Times New Roman"/>
          <w:color w:val="auto"/>
        </w:rPr>
        <w:fldChar w:fldCharType="begin"/>
      </w:r>
      <w:r>
        <w:rPr>
          <w:rFonts w:eastAsia="宋体" w:cs="Times New Roman"/>
          <w:color w:val="auto"/>
          <w:lang w:eastAsia="zh-CN"/>
        </w:rPr>
        <w:instrText xml:space="preserve"> = 1 \* GB3 \* MERGEFORMAT </w:instrText>
      </w:r>
      <w:r>
        <w:rPr>
          <w:rFonts w:eastAsia="宋体" w:cs="Times New Roman"/>
          <w:color w:val="auto"/>
        </w:rPr>
        <w:fldChar w:fldCharType="separate"/>
      </w:r>
      <w:r>
        <w:rPr>
          <w:rFonts w:hint="eastAsia" w:eastAsia="宋体" w:cs="Times New Roman"/>
          <w:color w:val="auto"/>
          <w:lang w:eastAsia="zh-CN"/>
        </w:rPr>
        <w:t>①</w:t>
      </w:r>
      <w:r>
        <w:rPr>
          <w:rFonts w:eastAsia="宋体" w:cs="Times New Roman"/>
          <w:color w:val="auto"/>
        </w:rPr>
        <w:fldChar w:fldCharType="end"/>
      </w:r>
      <w:r>
        <w:rPr>
          <w:rFonts w:eastAsia="宋体" w:cs="Times New Roman"/>
          <w:color w:val="auto"/>
          <w:lang w:eastAsia="zh-CN"/>
        </w:rPr>
        <w:t>影响途径</w:t>
      </w:r>
    </w:p>
    <w:p w14:paraId="7D448DBD">
      <w:pPr>
        <w:pStyle w:val="47"/>
        <w:widowControl w:val="0"/>
        <w:shd w:val="clear"/>
        <w:autoSpaceDE/>
        <w:autoSpaceDN/>
        <w:adjustRightInd/>
        <w:snapToGrid/>
        <w:spacing w:line="360" w:lineRule="auto"/>
        <w:jc w:val="both"/>
        <w:textAlignment w:val="auto"/>
        <w:rPr>
          <w:rFonts w:eastAsia="宋体" w:cs="Times New Roman"/>
          <w:color w:val="auto"/>
          <w:lang w:eastAsia="zh-CN"/>
        </w:rPr>
      </w:pPr>
      <w:r>
        <w:rPr>
          <w:rFonts w:eastAsia="宋体" w:cs="Times New Roman"/>
          <w:color w:val="auto"/>
          <w:lang w:eastAsia="zh-CN"/>
        </w:rPr>
        <w:t>本项目对地下水的影响主要是项目生活污水及固体废物对地下水水质的影响。考虑到非正常情况下，建设项目的工艺设备或地下水环境保护措施因系统老化、腐蚀等原因不能正常运行或保护效果达不到设计要求时的运行状况，导致污水或物料</w:t>
      </w:r>
      <w:r>
        <w:rPr>
          <w:rFonts w:hint="eastAsia" w:eastAsia="宋体" w:cs="Times New Roman"/>
          <w:color w:val="auto"/>
          <w:lang w:eastAsia="zh-CN"/>
        </w:rPr>
        <w:t>“</w:t>
      </w:r>
      <w:r>
        <w:rPr>
          <w:rFonts w:eastAsia="宋体" w:cs="Times New Roman"/>
          <w:color w:val="auto"/>
          <w:lang w:eastAsia="zh-CN"/>
        </w:rPr>
        <w:t>跑冒滴漏</w:t>
      </w:r>
      <w:r>
        <w:rPr>
          <w:rFonts w:hint="eastAsia" w:eastAsia="宋体" w:cs="Times New Roman"/>
          <w:color w:val="auto"/>
          <w:lang w:eastAsia="zh-CN"/>
        </w:rPr>
        <w:t>”，</w:t>
      </w:r>
      <w:r>
        <w:rPr>
          <w:rFonts w:eastAsia="宋体" w:cs="Times New Roman"/>
          <w:color w:val="auto"/>
          <w:lang w:eastAsia="zh-CN"/>
        </w:rPr>
        <w:t>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废水进入地下后，其污染物在地下水系统的迁移途径依次为：表土层、包气带、含水带、运移。</w:t>
      </w:r>
    </w:p>
    <w:p w14:paraId="49FE8DBD">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根据土壤吸附实验相关资料：砂土对COD吸附作用较小，截留率约38%；对NH</w:t>
      </w:r>
      <w:r>
        <w:rPr>
          <w:rFonts w:ascii="Times New Roman" w:hAnsi="Times New Roman" w:eastAsia="宋体"/>
          <w:color w:val="auto"/>
          <w:sz w:val="24"/>
          <w:szCs w:val="24"/>
          <w:vertAlign w:val="subscript"/>
          <w:lang w:eastAsia="zh-CN"/>
        </w:rPr>
        <w:t>3</w:t>
      </w:r>
      <w:r>
        <w:rPr>
          <w:rFonts w:ascii="Times New Roman" w:hAnsi="Times New Roman" w:eastAsia="宋体"/>
          <w:color w:val="auto"/>
          <w:sz w:val="24"/>
          <w:szCs w:val="24"/>
          <w:lang w:eastAsia="zh-CN"/>
        </w:rPr>
        <w:t>-N吸附作用较强，截留率可达80%。亚</w:t>
      </w:r>
      <w:r>
        <w:rPr>
          <w:rFonts w:hint="eastAsia" w:ascii="Times New Roman" w:hAnsi="Times New Roman" w:eastAsia="宋体"/>
          <w:color w:val="auto"/>
          <w:sz w:val="24"/>
          <w:szCs w:val="24"/>
          <w:lang w:eastAsia="zh-CN"/>
        </w:rPr>
        <w:t>黏土</w:t>
      </w:r>
      <w:r>
        <w:rPr>
          <w:rFonts w:ascii="Times New Roman" w:hAnsi="Times New Roman" w:eastAsia="宋体"/>
          <w:color w:val="auto"/>
          <w:sz w:val="24"/>
          <w:szCs w:val="24"/>
          <w:lang w:eastAsia="zh-CN"/>
        </w:rPr>
        <w:t>对COD吸附能力较强，截留率可达70%；对NH</w:t>
      </w:r>
      <w:r>
        <w:rPr>
          <w:rFonts w:ascii="Times New Roman" w:hAnsi="Times New Roman" w:eastAsia="宋体"/>
          <w:color w:val="auto"/>
          <w:sz w:val="24"/>
          <w:szCs w:val="24"/>
          <w:vertAlign w:val="subscript"/>
          <w:lang w:eastAsia="zh-CN"/>
        </w:rPr>
        <w:t>3</w:t>
      </w:r>
      <w:r>
        <w:rPr>
          <w:rFonts w:ascii="Times New Roman" w:hAnsi="Times New Roman" w:eastAsia="宋体"/>
          <w:color w:val="auto"/>
          <w:sz w:val="24"/>
          <w:szCs w:val="24"/>
          <w:lang w:eastAsia="zh-CN"/>
        </w:rPr>
        <w:t>-N吸附能力更强，截留率平均可达95%。该实验结果表明，当污水下渗时，由于包气带微生物降解作用不强，包气带厚度较小，仅靠土壤的吸附作用去除污水中的污染物是很有限的，虽然在污水下渗初期，经过包气带的吸附，污染物会在一定程度上降低，起到了对地下水污染的减缓作用，但其作用随着时间的推移，包气带土壤对污染物的吸附作用趋向饱和，吸附能力降低，污染物浓度增大至初始浓度，当环境容量饱和时，污染物就进入地下水，对地下水产生污染。</w:t>
      </w:r>
    </w:p>
    <w:p w14:paraId="45905743">
      <w:pPr>
        <w:pStyle w:val="47"/>
        <w:widowControl w:val="0"/>
        <w:shd w:val="clear"/>
        <w:autoSpaceDE/>
        <w:autoSpaceDN/>
        <w:adjustRightInd/>
        <w:snapToGrid/>
        <w:spacing w:line="360" w:lineRule="auto"/>
        <w:jc w:val="both"/>
        <w:textAlignment w:val="auto"/>
        <w:rPr>
          <w:rFonts w:eastAsia="宋体" w:cs="Times New Roman"/>
          <w:color w:val="auto"/>
          <w:lang w:eastAsia="zh-CN"/>
        </w:rPr>
      </w:pPr>
      <w:r>
        <w:rPr>
          <w:rFonts w:eastAsia="宋体" w:cs="Times New Roman"/>
          <w:color w:val="auto"/>
          <w:lang w:eastAsia="zh-CN"/>
        </w:rPr>
        <w:t>②预测分析</w:t>
      </w:r>
    </w:p>
    <w:p w14:paraId="4D7089BE">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根据</w:t>
      </w:r>
      <w:r>
        <w:rPr>
          <w:rFonts w:hint="eastAsia" w:ascii="Times New Roman" w:hAnsi="Times New Roman" w:eastAsia="宋体"/>
          <w:color w:val="auto"/>
          <w:sz w:val="24"/>
          <w:szCs w:val="24"/>
          <w:lang w:eastAsia="zh-CN"/>
        </w:rPr>
        <w:t>水文地质图，修正土层相关内容</w:t>
      </w:r>
      <w:r>
        <w:rPr>
          <w:rFonts w:ascii="Times New Roman" w:hAnsi="Times New Roman" w:eastAsia="宋体"/>
          <w:color w:val="auto"/>
          <w:sz w:val="24"/>
          <w:szCs w:val="24"/>
          <w:lang w:eastAsia="zh-CN"/>
        </w:rPr>
        <w:t>，项目所在区域地下水埋藏深度大于</w:t>
      </w:r>
      <w:r>
        <w:rPr>
          <w:rFonts w:hint="eastAsia" w:ascii="Times New Roman" w:hAnsi="Times New Roman" w:eastAsia="宋体"/>
          <w:color w:val="auto"/>
          <w:sz w:val="24"/>
          <w:szCs w:val="24"/>
          <w:lang w:eastAsia="zh-CN"/>
        </w:rPr>
        <w:t>10</w:t>
      </w:r>
      <w:r>
        <w:rPr>
          <w:rFonts w:ascii="Times New Roman" w:hAnsi="Times New Roman" w:eastAsia="宋体"/>
          <w:color w:val="auto"/>
          <w:sz w:val="24"/>
          <w:szCs w:val="24"/>
          <w:lang w:eastAsia="zh-CN"/>
        </w:rPr>
        <w:t>m，富水性贫乏，项目区表层土为透水不含水层，地层干燥、包气带含水率极低。采用定性分析法评价污水对场地地下水环境的影响。</w:t>
      </w:r>
    </w:p>
    <w:p w14:paraId="71612725">
      <w:pPr>
        <w:pStyle w:val="47"/>
        <w:widowControl w:val="0"/>
        <w:shd w:val="clear"/>
        <w:autoSpaceDE/>
        <w:autoSpaceDN/>
        <w:adjustRightInd/>
        <w:snapToGrid/>
        <w:spacing w:line="360" w:lineRule="auto"/>
        <w:jc w:val="both"/>
        <w:textAlignment w:val="auto"/>
        <w:rPr>
          <w:rFonts w:eastAsia="宋体" w:cs="Times New Roman"/>
          <w:color w:val="auto"/>
          <w:lang w:eastAsia="zh-CN"/>
        </w:rPr>
      </w:pPr>
      <w:r>
        <w:rPr>
          <w:rFonts w:eastAsia="宋体" w:cs="Times New Roman"/>
          <w:color w:val="auto"/>
          <w:lang w:eastAsia="zh-CN"/>
        </w:rPr>
        <w:t>对于事故工况下，假设污水以面源连续注入包气带直至潜水面，使得自地表至潜水面形成了连通的饱水通道。根据达西定律，估算污水到达含水层的时间。项目区表土渗透</w:t>
      </w:r>
      <w:r>
        <w:rPr>
          <w:rFonts w:hint="eastAsia" w:eastAsia="宋体" w:cs="Times New Roman"/>
          <w:color w:val="auto"/>
          <w:lang w:eastAsia="zh-CN"/>
        </w:rPr>
        <w:t>系数</w:t>
      </w:r>
      <w:r>
        <w:rPr>
          <w:rFonts w:eastAsia="宋体" w:cs="Times New Roman"/>
          <w:color w:val="auto"/>
          <w:lang w:eastAsia="zh-CN"/>
        </w:rPr>
        <w:t>约为1.83m/d，厚度约为1.5~2m，孔隙度约为0.25；下部渗透性约为2.3×10</w:t>
      </w:r>
      <w:r>
        <w:rPr>
          <w:rFonts w:eastAsia="宋体" w:cs="Times New Roman"/>
          <w:color w:val="auto"/>
          <w:vertAlign w:val="superscript"/>
          <w:lang w:eastAsia="zh-CN"/>
        </w:rPr>
        <w:t>-6</w:t>
      </w:r>
      <w:r>
        <w:rPr>
          <w:rFonts w:eastAsia="宋体" w:cs="Times New Roman"/>
          <w:color w:val="auto"/>
          <w:lang w:eastAsia="zh-CN"/>
        </w:rPr>
        <w:t>m/d，厚度约为10m，孔隙度为0.1。</w:t>
      </w:r>
    </w:p>
    <w:p w14:paraId="3727B093">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根据达西公式：</w:t>
      </w:r>
    </w:p>
    <w:p w14:paraId="08ADD43E">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V=KI</w:t>
      </w:r>
    </w:p>
    <w:p w14:paraId="0FB40407">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式中：V——达西流速，即相对速度；</w:t>
      </w:r>
    </w:p>
    <w:p w14:paraId="080B282F">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K——包气带的平均渗透系数；</w:t>
      </w:r>
    </w:p>
    <w:p w14:paraId="2F1149EC">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I——水力坡度。</w:t>
      </w:r>
    </w:p>
    <w:p w14:paraId="454DBB13">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随着时间的增大，水力梯度趋于1，即入渗速率趋于定值，数值上等于渗透系数K。</w:t>
      </w:r>
    </w:p>
    <w:p w14:paraId="520EA7A9">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水流实际流速为：</w:t>
      </w:r>
    </w:p>
    <w:p w14:paraId="1742DD7B">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V</w:t>
      </w:r>
      <w:r>
        <w:rPr>
          <w:rFonts w:ascii="Times New Roman" w:hAnsi="Times New Roman" w:eastAsia="宋体"/>
          <w:color w:val="auto"/>
          <w:sz w:val="24"/>
          <w:lang w:eastAsia="zh-CN"/>
        </w:rPr>
        <w:t>′</w:t>
      </w:r>
      <w:r>
        <w:rPr>
          <w:rFonts w:ascii="Times New Roman" w:hAnsi="Times New Roman" w:eastAsia="宋体"/>
          <w:color w:val="auto"/>
          <w:sz w:val="24"/>
          <w:szCs w:val="24"/>
          <w:lang w:eastAsia="zh-CN"/>
        </w:rPr>
        <w:t>=V/n</w:t>
      </w:r>
    </w:p>
    <w:p w14:paraId="7B377E6A">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进而得到污水入渗到达地下水的时间为：</w:t>
      </w:r>
    </w:p>
    <w:p w14:paraId="1AF99455">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object>
          <v:shape id="_x0000_i1027" o:spt="75" type="#_x0000_t75" style="height:30pt;width:228pt;" o:ole="t" filled="f" o:preferrelative="t" stroked="f" coordsize="21600,21600">
            <v:path/>
            <v:fill on="f" focussize="0,0"/>
            <v:stroke on="f" joinstyle="miter"/>
            <v:imagedata r:id="rId70" o:title=""/>
            <o:lock v:ext="edit" aspectratio="t"/>
            <w10:wrap type="none"/>
            <w10:anchorlock/>
          </v:shape>
          <o:OLEObject Type="Embed" ProgID="Equation.KSEE3" ShapeID="_x0000_i1027" DrawAspect="Content" ObjectID="_1468075727" r:id="rId69">
            <o:LockedField>false</o:LockedField>
          </o:OLEObject>
        </w:object>
      </w:r>
    </w:p>
    <w:p w14:paraId="73BC430A">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式中：M——包气带厚度（m）；</w:t>
      </w:r>
    </w:p>
    <w:p w14:paraId="1864BF63">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n——孔隙度；</w:t>
      </w:r>
    </w:p>
    <w:p w14:paraId="6C0EEA0A">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V——包气带平均速度（m/d）。</w:t>
      </w:r>
    </w:p>
    <w:p w14:paraId="133580DD">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由上可知，即使在饱水入渗条件下，由于项目区下部基本可以视为隔水层，渗透性极差，污染物很难在垂直方向上运动。</w:t>
      </w:r>
    </w:p>
    <w:p w14:paraId="069D6240">
      <w:pPr>
        <w:widowControl w:val="0"/>
        <w:shd w:val="clear"/>
        <w:autoSpaceDE/>
        <w:autoSpaceDN/>
        <w:adjustRightInd/>
        <w:snapToGrid/>
        <w:spacing w:line="360" w:lineRule="auto"/>
        <w:ind w:firstLine="480" w:firstLineChars="200"/>
        <w:jc w:val="both"/>
        <w:textAlignment w:val="auto"/>
        <w:rPr>
          <w:rFonts w:ascii="Times New Roman" w:hAnsi="Times New Roman" w:eastAsia="宋体"/>
          <w:color w:val="auto"/>
          <w:sz w:val="24"/>
          <w:szCs w:val="24"/>
          <w:lang w:eastAsia="zh-CN"/>
        </w:rPr>
      </w:pPr>
      <w:r>
        <w:rPr>
          <w:rFonts w:ascii="Times New Roman" w:hAnsi="Times New Roman" w:eastAsia="宋体"/>
          <w:color w:val="auto"/>
          <w:sz w:val="24"/>
          <w:szCs w:val="24"/>
          <w:lang w:eastAsia="zh-CN"/>
        </w:rPr>
        <w:t>在非正常工况情景下污水发生渗漏，并且持续下渗1191年污水能够穿透包气带，渗入到含水层，对地下水环境造成影响。</w:t>
      </w:r>
    </w:p>
    <w:p w14:paraId="5ECEDB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2）预防措施</w:t>
      </w:r>
    </w:p>
    <w:p w14:paraId="40B6B5E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①污染源控制措施</w:t>
      </w:r>
    </w:p>
    <w:p w14:paraId="3C6E19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严格按照国家相关规范要求，对工艺、管道、设备、污水储存采取相应的措施，以防止和降低污染物的跑、冒、滴、漏，将污染物泄漏的环境风险事故降低到最低程度；本项目清洗废水循环使用不外排，管线敷设尽量采用“可视化”原则，即管道尽可能地上敷设，做到污染物“早发现、早处理”，以减少由于埋地管道泄漏而可能造成的地下水污染。</w:t>
      </w:r>
    </w:p>
    <w:p w14:paraId="66C2991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②分区防渗控制措施</w:t>
      </w:r>
    </w:p>
    <w:p w14:paraId="527759F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《环境影响评价技术导则地下水环境》（HJ610-2016）将地下水污染防渗分区分为三个级别：重点防渗区、一般防渗区、简单防渗区，防渗分区判定如下：</w:t>
      </w:r>
    </w:p>
    <w:p w14:paraId="47C296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①本项目沉淀池池体属于一般防渗区，对于一般防渗区，防渗技术要求为防渗层的防渗性能不低于1.5m厚、渗透系数不大于1×10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cm/s的黏土防渗层的防渗性能。车间地面属于简单防渗区，清洗、造粒、生产车间地面全部采用水泥自流平处理，厂区其他地面除绿化用地、预留空地外采取灰土铺底，再在上层铺10~15cm的混凝土进行硬化。</w:t>
      </w:r>
    </w:p>
    <w:p w14:paraId="0F0BAA7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车间生产废水收集后排入沉淀池，池底池内壁进行混凝土浇筑、并用防渗材料进行防渗。</w:t>
      </w:r>
    </w:p>
    <w:p w14:paraId="4D9833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②本项目危废暂存间属于重点防渗区，必须进行严格的防渗处理，防渗技术要求为防渗层的防渗性能不低于6.0m厚、渗透系数不大于1.0×10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cm/s的黏土层的防渗性能。项目危废暂存间严格按照《危险废物贮存污染控制标准》（GB18957-2023）及修改单中有关规定进行建设和防渗处置。</w:t>
      </w:r>
    </w:p>
    <w:p w14:paraId="62FFC17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③项目运行后，配备专兼职技术人员，加强地下水环境管理及巡查，定期对车间、冷却水设施等环节进行检漏工作，确保各防渗漏措施运行的长期性、稳定性和可靠性。</w:t>
      </w:r>
    </w:p>
    <w:p w14:paraId="08AE6A2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本项目占用土地为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项目区下游无区域集中供水水源地。在确保废水经妥善收集和处理、固废临时堆场采取严格的防渗措施后，项目运行不会对下游区域的地下水造成污染。根据本项目工程分析可知，正常情况下，项目严格按照报告中提出的“源头控制、分区防控、污染监控、应急响应”原则。在防渗系统正常运行的情况下，本项目生产废水向地下渗透将得到很好的控制，不会对地下水质量造成功能类别的改变。</w:t>
      </w:r>
    </w:p>
    <w:p w14:paraId="262BCF56">
      <w:pPr>
        <w:pStyle w:val="2"/>
        <w:widowControl w:val="0"/>
        <w:shd w:val="clear"/>
        <w:kinsoku/>
        <w:autoSpaceDE/>
        <w:autoSpaceDN/>
        <w:adjustRightInd/>
        <w:snapToGrid/>
        <w:spacing w:before="35" w:line="341" w:lineRule="auto"/>
        <w:ind w:left="34"/>
        <w:textAlignment w:val="auto"/>
        <w:outlineLvl w:val="0"/>
        <w:rPr>
          <w:rFonts w:ascii="Times New Roman" w:hAnsi="Times New Roman" w:cs="Times New Roman"/>
          <w:b/>
          <w:bCs/>
          <w:snapToGrid/>
          <w:color w:val="auto"/>
          <w:sz w:val="28"/>
          <w:szCs w:val="32"/>
          <w:lang w:eastAsia="zh-CN"/>
        </w:rPr>
      </w:pPr>
      <w:bookmarkStart w:id="621" w:name="_Toc10735"/>
      <w:bookmarkStart w:id="622" w:name="_Toc13348"/>
      <w:bookmarkStart w:id="623" w:name="_Toc2735"/>
      <w:r>
        <w:rPr>
          <w:rFonts w:hint="eastAsia" w:ascii="Times New Roman" w:hAnsi="Times New Roman" w:cs="Times New Roman"/>
          <w:b/>
          <w:bCs/>
          <w:snapToGrid/>
          <w:color w:val="auto"/>
          <w:sz w:val="28"/>
          <w:szCs w:val="32"/>
          <w:lang w:eastAsia="zh-CN"/>
        </w:rPr>
        <w:t>5.2.4声环境影响分析</w:t>
      </w:r>
      <w:bookmarkEnd w:id="621"/>
    </w:p>
    <w:p w14:paraId="79BDD64D">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624" w:name="_Toc32151"/>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"C:\\Users\\jobezho\\AppData\\Local\\Temp\\Rar$DIa13476.12779\\5.2.4.1"</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5.2.4.1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噪声源</w:t>
      </w:r>
      <w:bookmarkEnd w:id="622"/>
      <w:bookmarkEnd w:id="623"/>
      <w:bookmarkEnd w:id="624"/>
    </w:p>
    <w:p w14:paraId="02D353C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（1）预测内容</w:t>
      </w:r>
    </w:p>
    <w:p w14:paraId="0042442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本项目噪声评价工作等级为二级评价，采用贡献值作为厂界噪声评价量。</w:t>
      </w:r>
    </w:p>
    <w:p w14:paraId="093C4E0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（2）预测模型</w:t>
      </w:r>
    </w:p>
    <w:p w14:paraId="698946A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根据项目建设内容及《环境影响评价技术导则声环境》（HJ2.4-2021）的要求，本评价采用的模型为《环境影响评价技术导则声环境》</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HJ2.4.2021</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附录A（规范性附录）户外声传播的衰减和附录B（规范性附录）中“B.1工业噪声预测计算模型”。</w:t>
      </w:r>
    </w:p>
    <w:p w14:paraId="52699EB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（3）噪声源强</w:t>
      </w:r>
    </w:p>
    <w:p w14:paraId="38FADAA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项目产噪设备主要为破碎机、造粒机、挤出机</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风机等生产设备产生的噪声，噪声声级范围60~90dB（A）。</w:t>
      </w:r>
    </w:p>
    <w:p w14:paraId="0AA2078B">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表5.2-1</w:t>
      </w:r>
      <w:r>
        <w:rPr>
          <w:rFonts w:hint="eastAsia" w:ascii="Times New Roman" w:hAnsi="Times New Roman"/>
          <w:b/>
          <w:bCs/>
          <w:snapToGrid/>
          <w:color w:val="auto"/>
          <w:sz w:val="24"/>
          <w:lang w:eastAsia="zh-CN"/>
        </w:rPr>
        <w:t>2</w:t>
      </w:r>
      <w:r>
        <w:rPr>
          <w:rFonts w:hint="eastAsia" w:hAnsi="宋体"/>
          <w:b/>
          <w:color w:val="auto"/>
          <w:sz w:val="21"/>
          <w:szCs w:val="21"/>
          <w:lang w:val="en-US" w:eastAsia="zh-CN"/>
        </w:rPr>
        <w:t>项目室外声源噪声源强调查清单表</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9"/>
        <w:gridCol w:w="1283"/>
        <w:gridCol w:w="971"/>
        <w:gridCol w:w="910"/>
        <w:gridCol w:w="822"/>
        <w:gridCol w:w="1272"/>
        <w:gridCol w:w="2536"/>
        <w:gridCol w:w="759"/>
      </w:tblGrid>
      <w:tr w14:paraId="6D3B1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393" w:type="pct"/>
            <w:vMerge w:val="restart"/>
            <w:tcBorders>
              <w:tl2br w:val="nil"/>
              <w:tr2bl w:val="nil"/>
            </w:tcBorders>
            <w:shd w:val="clear" w:color="auto" w:fill="auto"/>
            <w:noWrap w:val="0"/>
            <w:vAlign w:val="center"/>
          </w:tcPr>
          <w:p w14:paraId="1FA3BB6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bookmarkStart w:id="625" w:name="_Toc18677"/>
            <w:r>
              <w:rPr>
                <w:rFonts w:ascii="Times New Roman" w:hAnsi="Times New Roman" w:eastAsia="宋体"/>
                <w:b/>
                <w:bCs w:val="0"/>
                <w:color w:val="auto"/>
                <w:sz w:val="21"/>
              </w:rPr>
              <w:t>序号</w:t>
            </w:r>
          </w:p>
        </w:tc>
        <w:tc>
          <w:tcPr>
            <w:tcW w:w="691" w:type="pct"/>
            <w:vMerge w:val="restart"/>
            <w:tcBorders>
              <w:tl2br w:val="nil"/>
              <w:tr2bl w:val="nil"/>
            </w:tcBorders>
            <w:shd w:val="clear" w:color="auto" w:fill="auto"/>
            <w:noWrap w:val="0"/>
            <w:vAlign w:val="center"/>
          </w:tcPr>
          <w:p w14:paraId="04A22A12">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声源名称</w:t>
            </w:r>
          </w:p>
        </w:tc>
        <w:tc>
          <w:tcPr>
            <w:tcW w:w="1456" w:type="pct"/>
            <w:gridSpan w:val="3"/>
            <w:tcBorders>
              <w:tl2br w:val="nil"/>
              <w:tr2bl w:val="nil"/>
            </w:tcBorders>
            <w:shd w:val="clear" w:color="auto" w:fill="auto"/>
            <w:noWrap w:val="0"/>
            <w:vAlign w:val="center"/>
          </w:tcPr>
          <w:p w14:paraId="0BBE1EAE">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空间相对位置/m</w:t>
            </w:r>
          </w:p>
        </w:tc>
        <w:tc>
          <w:tcPr>
            <w:tcW w:w="685" w:type="pct"/>
            <w:vMerge w:val="restart"/>
            <w:tcBorders>
              <w:tl2br w:val="nil"/>
              <w:tr2bl w:val="nil"/>
            </w:tcBorders>
            <w:shd w:val="clear" w:color="auto" w:fill="auto"/>
            <w:noWrap w:val="0"/>
            <w:vAlign w:val="center"/>
          </w:tcPr>
          <w:p w14:paraId="7FC2534A">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eastAsia" w:ascii="Times New Roman" w:hAnsi="Times New Roman" w:eastAsia="宋体"/>
                <w:b/>
                <w:bCs w:val="0"/>
                <w:color w:val="auto"/>
                <w:sz w:val="21"/>
                <w:lang w:eastAsia="zh-CN"/>
              </w:rPr>
            </w:pPr>
            <w:r>
              <w:rPr>
                <w:rFonts w:ascii="Times New Roman" w:hAnsi="Times New Roman" w:eastAsia="宋体"/>
                <w:b/>
                <w:bCs w:val="0"/>
                <w:color w:val="auto"/>
                <w:sz w:val="21"/>
              </w:rPr>
              <w:t>声功率级/dB</w:t>
            </w:r>
            <w:r>
              <w:rPr>
                <w:rFonts w:hint="eastAsia" w:ascii="Times New Roman" w:hAnsi="Times New Roman" w:eastAsia="宋体"/>
                <w:b/>
                <w:bCs w:val="0"/>
                <w:color w:val="auto"/>
                <w:sz w:val="21"/>
                <w:lang w:eastAsia="zh-CN"/>
              </w:rPr>
              <w:t>（</w:t>
            </w:r>
            <w:r>
              <w:rPr>
                <w:rFonts w:ascii="Times New Roman" w:hAnsi="Times New Roman" w:eastAsia="宋体"/>
                <w:b/>
                <w:bCs w:val="0"/>
                <w:color w:val="auto"/>
                <w:sz w:val="21"/>
              </w:rPr>
              <w:t>A</w:t>
            </w:r>
            <w:r>
              <w:rPr>
                <w:rFonts w:hint="eastAsia" w:ascii="Times New Roman" w:hAnsi="Times New Roman" w:eastAsia="宋体"/>
                <w:b/>
                <w:bCs w:val="0"/>
                <w:color w:val="auto"/>
                <w:sz w:val="21"/>
                <w:lang w:eastAsia="zh-CN"/>
              </w:rPr>
              <w:t>）</w:t>
            </w:r>
          </w:p>
        </w:tc>
        <w:tc>
          <w:tcPr>
            <w:tcW w:w="1366" w:type="pct"/>
            <w:vMerge w:val="restart"/>
            <w:tcBorders>
              <w:tl2br w:val="nil"/>
              <w:tr2bl w:val="nil"/>
            </w:tcBorders>
            <w:shd w:val="clear" w:color="auto" w:fill="auto"/>
            <w:noWrap w:val="0"/>
            <w:vAlign w:val="center"/>
          </w:tcPr>
          <w:p w14:paraId="7456407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声源控制措施</w:t>
            </w:r>
          </w:p>
        </w:tc>
        <w:tc>
          <w:tcPr>
            <w:tcW w:w="406" w:type="pct"/>
            <w:vMerge w:val="restart"/>
            <w:tcBorders>
              <w:tl2br w:val="nil"/>
              <w:tr2bl w:val="nil"/>
            </w:tcBorders>
            <w:shd w:val="clear" w:color="auto" w:fill="auto"/>
            <w:noWrap w:val="0"/>
            <w:vAlign w:val="center"/>
          </w:tcPr>
          <w:p w14:paraId="3AB9CFDB">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运行时段</w:t>
            </w:r>
          </w:p>
        </w:tc>
      </w:tr>
      <w:tr w14:paraId="7BE30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2" w:hRule="atLeast"/>
          <w:jc w:val="center"/>
        </w:trPr>
        <w:tc>
          <w:tcPr>
            <w:tcW w:w="393" w:type="pct"/>
            <w:vMerge w:val="continue"/>
            <w:tcBorders>
              <w:tl2br w:val="nil"/>
              <w:tr2bl w:val="nil"/>
            </w:tcBorders>
            <w:shd w:val="clear" w:color="auto" w:fill="auto"/>
            <w:noWrap w:val="0"/>
            <w:vAlign w:val="center"/>
          </w:tcPr>
          <w:p w14:paraId="68012874">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p>
        </w:tc>
        <w:tc>
          <w:tcPr>
            <w:tcW w:w="691" w:type="pct"/>
            <w:vMerge w:val="continue"/>
            <w:tcBorders>
              <w:tl2br w:val="nil"/>
              <w:tr2bl w:val="nil"/>
            </w:tcBorders>
            <w:shd w:val="clear" w:color="auto" w:fill="auto"/>
            <w:noWrap w:val="0"/>
            <w:vAlign w:val="center"/>
          </w:tcPr>
          <w:p w14:paraId="2820887E">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p>
        </w:tc>
        <w:tc>
          <w:tcPr>
            <w:tcW w:w="523" w:type="pct"/>
            <w:tcBorders>
              <w:tl2br w:val="nil"/>
              <w:tr2bl w:val="nil"/>
            </w:tcBorders>
            <w:shd w:val="clear" w:color="auto" w:fill="auto"/>
            <w:noWrap w:val="0"/>
            <w:vAlign w:val="center"/>
          </w:tcPr>
          <w:p w14:paraId="5DA07E47">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X</w:t>
            </w:r>
          </w:p>
        </w:tc>
        <w:tc>
          <w:tcPr>
            <w:tcW w:w="490" w:type="pct"/>
            <w:tcBorders>
              <w:tl2br w:val="nil"/>
              <w:tr2bl w:val="nil"/>
            </w:tcBorders>
            <w:shd w:val="clear" w:color="auto" w:fill="auto"/>
            <w:noWrap w:val="0"/>
            <w:vAlign w:val="center"/>
          </w:tcPr>
          <w:p w14:paraId="51B623F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Y</w:t>
            </w:r>
          </w:p>
        </w:tc>
        <w:tc>
          <w:tcPr>
            <w:tcW w:w="442" w:type="pct"/>
            <w:tcBorders>
              <w:tl2br w:val="nil"/>
              <w:tr2bl w:val="nil"/>
            </w:tcBorders>
            <w:shd w:val="clear" w:color="auto" w:fill="auto"/>
            <w:noWrap w:val="0"/>
            <w:vAlign w:val="center"/>
          </w:tcPr>
          <w:p w14:paraId="3CC4A4C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r>
              <w:rPr>
                <w:rFonts w:ascii="Times New Roman" w:hAnsi="Times New Roman" w:eastAsia="宋体"/>
                <w:b/>
                <w:bCs w:val="0"/>
                <w:color w:val="auto"/>
                <w:sz w:val="21"/>
              </w:rPr>
              <w:t>Z</w:t>
            </w:r>
          </w:p>
        </w:tc>
        <w:tc>
          <w:tcPr>
            <w:tcW w:w="685" w:type="pct"/>
            <w:vMerge w:val="continue"/>
            <w:tcBorders>
              <w:tl2br w:val="nil"/>
              <w:tr2bl w:val="nil"/>
            </w:tcBorders>
            <w:shd w:val="clear" w:color="auto" w:fill="auto"/>
            <w:noWrap w:val="0"/>
            <w:vAlign w:val="center"/>
          </w:tcPr>
          <w:p w14:paraId="27B7A82E">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b/>
                <w:bCs w:val="0"/>
                <w:color w:val="auto"/>
                <w:sz w:val="21"/>
              </w:rPr>
            </w:pPr>
          </w:p>
        </w:tc>
        <w:tc>
          <w:tcPr>
            <w:tcW w:w="1366" w:type="pct"/>
            <w:vMerge w:val="continue"/>
            <w:tcBorders>
              <w:tl2br w:val="nil"/>
              <w:tr2bl w:val="nil"/>
            </w:tcBorders>
            <w:shd w:val="clear" w:color="auto" w:fill="auto"/>
            <w:noWrap w:val="0"/>
            <w:vAlign w:val="center"/>
          </w:tcPr>
          <w:p w14:paraId="37645767">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p>
        </w:tc>
        <w:tc>
          <w:tcPr>
            <w:tcW w:w="406" w:type="pct"/>
            <w:vMerge w:val="continue"/>
            <w:tcBorders>
              <w:tl2br w:val="nil"/>
              <w:tr2bl w:val="nil"/>
            </w:tcBorders>
            <w:shd w:val="clear" w:color="auto" w:fill="auto"/>
            <w:noWrap w:val="0"/>
            <w:vAlign w:val="center"/>
          </w:tcPr>
          <w:p w14:paraId="73ECF3F4">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p>
        </w:tc>
      </w:tr>
      <w:tr w14:paraId="17251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jc w:val="center"/>
        </w:trPr>
        <w:tc>
          <w:tcPr>
            <w:tcW w:w="393" w:type="pct"/>
            <w:tcBorders>
              <w:tl2br w:val="nil"/>
              <w:tr2bl w:val="nil"/>
            </w:tcBorders>
            <w:shd w:val="clear" w:color="auto" w:fill="auto"/>
            <w:noWrap w:val="0"/>
            <w:vAlign w:val="center"/>
          </w:tcPr>
          <w:p w14:paraId="15ED060A">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1</w:t>
            </w:r>
          </w:p>
        </w:tc>
        <w:tc>
          <w:tcPr>
            <w:tcW w:w="691" w:type="pct"/>
            <w:tcBorders>
              <w:tl2br w:val="nil"/>
              <w:tr2bl w:val="nil"/>
            </w:tcBorders>
            <w:shd w:val="clear" w:color="auto" w:fill="auto"/>
            <w:noWrap w:val="0"/>
            <w:vAlign w:val="center"/>
          </w:tcPr>
          <w:p w14:paraId="177444C3">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破碎机1</w:t>
            </w:r>
          </w:p>
        </w:tc>
        <w:tc>
          <w:tcPr>
            <w:tcW w:w="523" w:type="pct"/>
            <w:tcBorders>
              <w:tl2br w:val="nil"/>
              <w:tr2bl w:val="nil"/>
            </w:tcBorders>
            <w:shd w:val="clear" w:color="auto" w:fill="auto"/>
            <w:noWrap w:val="0"/>
            <w:vAlign w:val="center"/>
          </w:tcPr>
          <w:p w14:paraId="01348147">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45.1</w:t>
            </w:r>
          </w:p>
        </w:tc>
        <w:tc>
          <w:tcPr>
            <w:tcW w:w="490" w:type="pct"/>
            <w:tcBorders>
              <w:tl2br w:val="nil"/>
              <w:tr2bl w:val="nil"/>
            </w:tcBorders>
            <w:shd w:val="clear" w:color="auto" w:fill="auto"/>
            <w:noWrap w:val="0"/>
            <w:vAlign w:val="center"/>
          </w:tcPr>
          <w:p w14:paraId="02CB779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-33.2</w:t>
            </w:r>
          </w:p>
        </w:tc>
        <w:tc>
          <w:tcPr>
            <w:tcW w:w="442" w:type="pct"/>
            <w:tcBorders>
              <w:tl2br w:val="nil"/>
              <w:tr2bl w:val="nil"/>
            </w:tcBorders>
            <w:shd w:val="clear" w:color="auto" w:fill="auto"/>
            <w:noWrap w:val="0"/>
            <w:vAlign w:val="center"/>
          </w:tcPr>
          <w:p w14:paraId="76C54B4D">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1.2</w:t>
            </w:r>
          </w:p>
        </w:tc>
        <w:tc>
          <w:tcPr>
            <w:tcW w:w="685" w:type="pct"/>
            <w:tcBorders>
              <w:tl2br w:val="nil"/>
              <w:tr2bl w:val="nil"/>
            </w:tcBorders>
            <w:shd w:val="clear" w:color="auto" w:fill="auto"/>
            <w:noWrap w:val="0"/>
            <w:vAlign w:val="center"/>
          </w:tcPr>
          <w:p w14:paraId="4F9EACDB">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80</w:t>
            </w:r>
          </w:p>
        </w:tc>
        <w:tc>
          <w:tcPr>
            <w:tcW w:w="1366" w:type="pct"/>
            <w:vMerge w:val="restart"/>
            <w:tcBorders>
              <w:tl2br w:val="nil"/>
              <w:tr2bl w:val="nil"/>
            </w:tcBorders>
            <w:shd w:val="clear" w:color="auto" w:fill="auto"/>
            <w:noWrap w:val="0"/>
            <w:vAlign w:val="center"/>
          </w:tcPr>
          <w:p w14:paraId="0478F57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bookmarkStart w:id="626" w:name="OLE_LINK6"/>
            <w:r>
              <w:rPr>
                <w:rFonts w:hint="eastAsia" w:ascii="Times New Roman" w:hAnsi="Times New Roman" w:eastAsia="宋体" w:cs="Times New Roman"/>
                <w:bCs/>
                <w:color w:val="auto"/>
                <w:sz w:val="21"/>
                <w:szCs w:val="21"/>
                <w:lang w:val="en-US" w:eastAsia="zh-CN"/>
              </w:rPr>
              <w:t>选用低噪声设备、</w:t>
            </w:r>
            <w:r>
              <w:rPr>
                <w:rFonts w:hint="default" w:ascii="Times New Roman" w:hAnsi="Times New Roman" w:eastAsia="宋体" w:cs="Times New Roman"/>
                <w:bCs/>
                <w:color w:val="auto"/>
                <w:sz w:val="21"/>
                <w:szCs w:val="21"/>
                <w:lang w:val="en-US" w:eastAsia="zh-CN"/>
              </w:rPr>
              <w:t>基础减振、建筑隔声</w:t>
            </w:r>
            <w:bookmarkEnd w:id="626"/>
          </w:p>
        </w:tc>
        <w:tc>
          <w:tcPr>
            <w:tcW w:w="406" w:type="pct"/>
            <w:tcBorders>
              <w:tl2br w:val="nil"/>
              <w:tr2bl w:val="nil"/>
            </w:tcBorders>
            <w:shd w:val="clear" w:color="auto" w:fill="auto"/>
            <w:noWrap w:val="0"/>
            <w:vAlign w:val="center"/>
          </w:tcPr>
          <w:p w14:paraId="3699E9B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bookmarkStart w:id="627" w:name="OLE_LINK5"/>
            <w:r>
              <w:rPr>
                <w:rFonts w:hint="eastAsia" w:ascii="Times New Roman" w:hAnsi="Times New Roman" w:eastAsia="宋体"/>
                <w:color w:val="auto"/>
                <w:sz w:val="21"/>
                <w:lang w:val="en-US" w:eastAsia="zh-CN"/>
              </w:rPr>
              <w:t>全天</w:t>
            </w:r>
            <w:bookmarkEnd w:id="627"/>
          </w:p>
        </w:tc>
      </w:tr>
      <w:tr w14:paraId="3B8CA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393" w:type="pct"/>
            <w:tcBorders>
              <w:tl2br w:val="nil"/>
              <w:tr2bl w:val="nil"/>
            </w:tcBorders>
            <w:shd w:val="clear" w:color="auto" w:fill="auto"/>
            <w:noWrap w:val="0"/>
            <w:vAlign w:val="center"/>
          </w:tcPr>
          <w:p w14:paraId="5C514AAB">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eastAsia" w:ascii="Times New Roman" w:hAnsi="Times New Roman" w:eastAsia="宋体"/>
                <w:color w:val="auto"/>
                <w:sz w:val="21"/>
                <w:lang w:eastAsia="zh-CN"/>
              </w:rPr>
            </w:pPr>
            <w:r>
              <w:rPr>
                <w:rFonts w:hint="eastAsia" w:ascii="Times New Roman" w:hAnsi="Times New Roman" w:eastAsia="宋体" w:cs="宋体"/>
                <w:snapToGrid/>
                <w:color w:val="auto"/>
                <w:lang w:val="en-US" w:eastAsia="zh-CN"/>
              </w:rPr>
              <w:t>2</w:t>
            </w:r>
          </w:p>
        </w:tc>
        <w:tc>
          <w:tcPr>
            <w:tcW w:w="691" w:type="pct"/>
            <w:tcBorders>
              <w:tl2br w:val="nil"/>
              <w:tr2bl w:val="nil"/>
            </w:tcBorders>
            <w:shd w:val="clear" w:color="auto" w:fill="auto"/>
            <w:noWrap w:val="0"/>
            <w:vAlign w:val="center"/>
          </w:tcPr>
          <w:p w14:paraId="30A01CE2">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造粒机</w:t>
            </w:r>
          </w:p>
        </w:tc>
        <w:tc>
          <w:tcPr>
            <w:tcW w:w="523" w:type="pct"/>
            <w:tcBorders>
              <w:tl2br w:val="nil"/>
              <w:tr2bl w:val="nil"/>
            </w:tcBorders>
            <w:shd w:val="clear" w:color="auto" w:fill="auto"/>
            <w:noWrap w:val="0"/>
            <w:vAlign w:val="center"/>
          </w:tcPr>
          <w:p w14:paraId="2ED0CBD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47.3</w:t>
            </w:r>
          </w:p>
        </w:tc>
        <w:tc>
          <w:tcPr>
            <w:tcW w:w="490" w:type="pct"/>
            <w:tcBorders>
              <w:tl2br w:val="nil"/>
              <w:tr2bl w:val="nil"/>
            </w:tcBorders>
            <w:shd w:val="clear" w:color="auto" w:fill="auto"/>
            <w:noWrap w:val="0"/>
            <w:vAlign w:val="center"/>
          </w:tcPr>
          <w:p w14:paraId="1943D1AA">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-34.6</w:t>
            </w:r>
          </w:p>
        </w:tc>
        <w:tc>
          <w:tcPr>
            <w:tcW w:w="442" w:type="pct"/>
            <w:tcBorders>
              <w:tl2br w:val="nil"/>
              <w:tr2bl w:val="nil"/>
            </w:tcBorders>
            <w:shd w:val="clear" w:color="auto" w:fill="auto"/>
            <w:noWrap w:val="0"/>
            <w:vAlign w:val="center"/>
          </w:tcPr>
          <w:p w14:paraId="57FFF428">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1.2</w:t>
            </w:r>
          </w:p>
        </w:tc>
        <w:tc>
          <w:tcPr>
            <w:tcW w:w="685" w:type="pct"/>
            <w:tcBorders>
              <w:tl2br w:val="nil"/>
              <w:tr2bl w:val="nil"/>
            </w:tcBorders>
            <w:shd w:val="clear" w:color="auto" w:fill="auto"/>
            <w:noWrap w:val="0"/>
            <w:vAlign w:val="center"/>
          </w:tcPr>
          <w:p w14:paraId="7AB5FB70">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80</w:t>
            </w:r>
          </w:p>
        </w:tc>
        <w:tc>
          <w:tcPr>
            <w:tcW w:w="1366" w:type="pct"/>
            <w:vMerge w:val="continue"/>
            <w:tcBorders>
              <w:tl2br w:val="nil"/>
              <w:tr2bl w:val="nil"/>
            </w:tcBorders>
            <w:shd w:val="clear" w:color="auto" w:fill="auto"/>
            <w:noWrap w:val="0"/>
            <w:vAlign w:val="center"/>
          </w:tcPr>
          <w:p w14:paraId="7D7A82F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p>
        </w:tc>
        <w:tc>
          <w:tcPr>
            <w:tcW w:w="406" w:type="pct"/>
            <w:tcBorders>
              <w:tl2br w:val="nil"/>
              <w:tr2bl w:val="nil"/>
            </w:tcBorders>
            <w:shd w:val="clear" w:color="auto" w:fill="auto"/>
            <w:noWrap w:val="0"/>
            <w:vAlign w:val="center"/>
          </w:tcPr>
          <w:p w14:paraId="0CE49726">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全天</w:t>
            </w:r>
          </w:p>
        </w:tc>
      </w:tr>
      <w:tr w14:paraId="28E96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393" w:type="pct"/>
            <w:tcBorders>
              <w:tl2br w:val="nil"/>
              <w:tr2bl w:val="nil"/>
            </w:tcBorders>
            <w:shd w:val="clear" w:color="auto" w:fill="auto"/>
            <w:noWrap w:val="0"/>
            <w:vAlign w:val="center"/>
          </w:tcPr>
          <w:p w14:paraId="1D31F51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3</w:t>
            </w:r>
          </w:p>
        </w:tc>
        <w:tc>
          <w:tcPr>
            <w:tcW w:w="691" w:type="pct"/>
            <w:tcBorders>
              <w:tl2br w:val="nil"/>
              <w:tr2bl w:val="nil"/>
            </w:tcBorders>
            <w:shd w:val="clear" w:color="auto" w:fill="auto"/>
            <w:noWrap w:val="0"/>
            <w:vAlign w:val="center"/>
          </w:tcPr>
          <w:p w14:paraId="73C9550D">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挤出机</w:t>
            </w:r>
          </w:p>
        </w:tc>
        <w:tc>
          <w:tcPr>
            <w:tcW w:w="523" w:type="pct"/>
            <w:tcBorders>
              <w:tl2br w:val="nil"/>
              <w:tr2bl w:val="nil"/>
            </w:tcBorders>
            <w:shd w:val="clear" w:color="auto" w:fill="auto"/>
            <w:noWrap w:val="0"/>
            <w:vAlign w:val="center"/>
          </w:tcPr>
          <w:p w14:paraId="3F23295D">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48.2</w:t>
            </w:r>
          </w:p>
        </w:tc>
        <w:tc>
          <w:tcPr>
            <w:tcW w:w="490" w:type="pct"/>
            <w:tcBorders>
              <w:tl2br w:val="nil"/>
              <w:tr2bl w:val="nil"/>
            </w:tcBorders>
            <w:shd w:val="clear" w:color="auto" w:fill="auto"/>
            <w:noWrap w:val="0"/>
            <w:vAlign w:val="center"/>
          </w:tcPr>
          <w:p w14:paraId="7613358A">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ascii="Times New Roman" w:hAnsi="Times New Roman" w:eastAsia="宋体"/>
                <w:color w:val="auto"/>
                <w:sz w:val="21"/>
              </w:rPr>
              <w:t>-</w:t>
            </w:r>
            <w:r>
              <w:rPr>
                <w:rFonts w:hint="eastAsia" w:ascii="Times New Roman" w:hAnsi="Times New Roman" w:eastAsia="宋体"/>
                <w:color w:val="auto"/>
                <w:sz w:val="21"/>
                <w:lang w:val="en-US" w:eastAsia="zh-CN"/>
              </w:rPr>
              <w:t>35.2</w:t>
            </w:r>
          </w:p>
        </w:tc>
        <w:tc>
          <w:tcPr>
            <w:tcW w:w="442" w:type="pct"/>
            <w:tcBorders>
              <w:tl2br w:val="nil"/>
              <w:tr2bl w:val="nil"/>
            </w:tcBorders>
            <w:shd w:val="clear" w:color="auto" w:fill="auto"/>
            <w:noWrap w:val="0"/>
            <w:vAlign w:val="center"/>
          </w:tcPr>
          <w:p w14:paraId="26F71FA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1.2</w:t>
            </w:r>
          </w:p>
        </w:tc>
        <w:tc>
          <w:tcPr>
            <w:tcW w:w="685" w:type="pct"/>
            <w:tcBorders>
              <w:tl2br w:val="nil"/>
              <w:tr2bl w:val="nil"/>
            </w:tcBorders>
            <w:shd w:val="clear" w:color="auto" w:fill="auto"/>
            <w:noWrap w:val="0"/>
            <w:vAlign w:val="center"/>
          </w:tcPr>
          <w:p w14:paraId="68DA4F2B">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80</w:t>
            </w:r>
          </w:p>
        </w:tc>
        <w:tc>
          <w:tcPr>
            <w:tcW w:w="1366" w:type="pct"/>
            <w:vMerge w:val="continue"/>
            <w:tcBorders>
              <w:tl2br w:val="nil"/>
              <w:tr2bl w:val="nil"/>
            </w:tcBorders>
            <w:shd w:val="clear" w:color="auto" w:fill="auto"/>
            <w:noWrap w:val="0"/>
            <w:vAlign w:val="center"/>
          </w:tcPr>
          <w:p w14:paraId="6BB2DD27">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p>
        </w:tc>
        <w:tc>
          <w:tcPr>
            <w:tcW w:w="406" w:type="pct"/>
            <w:tcBorders>
              <w:tl2br w:val="nil"/>
              <w:tr2bl w:val="nil"/>
            </w:tcBorders>
            <w:shd w:val="clear" w:color="auto" w:fill="auto"/>
            <w:noWrap w:val="0"/>
            <w:vAlign w:val="center"/>
          </w:tcPr>
          <w:p w14:paraId="57ED5252">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全天</w:t>
            </w:r>
          </w:p>
        </w:tc>
      </w:tr>
      <w:tr w14:paraId="47005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393" w:type="pct"/>
            <w:tcBorders>
              <w:tl2br w:val="nil"/>
              <w:tr2bl w:val="nil"/>
            </w:tcBorders>
            <w:shd w:val="clear" w:color="auto" w:fill="auto"/>
            <w:noWrap w:val="0"/>
            <w:vAlign w:val="center"/>
          </w:tcPr>
          <w:p w14:paraId="0EACF96C">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4</w:t>
            </w:r>
          </w:p>
        </w:tc>
        <w:tc>
          <w:tcPr>
            <w:tcW w:w="691" w:type="pct"/>
            <w:tcBorders>
              <w:tl2br w:val="nil"/>
              <w:tr2bl w:val="nil"/>
            </w:tcBorders>
            <w:shd w:val="clear" w:color="auto" w:fill="auto"/>
            <w:noWrap w:val="0"/>
            <w:vAlign w:val="center"/>
          </w:tcPr>
          <w:p w14:paraId="1D2D046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风机</w:t>
            </w:r>
          </w:p>
        </w:tc>
        <w:tc>
          <w:tcPr>
            <w:tcW w:w="523" w:type="pct"/>
            <w:tcBorders>
              <w:tl2br w:val="nil"/>
              <w:tr2bl w:val="nil"/>
            </w:tcBorders>
            <w:shd w:val="clear" w:color="auto" w:fill="auto"/>
            <w:noWrap w:val="0"/>
            <w:vAlign w:val="center"/>
          </w:tcPr>
          <w:p w14:paraId="404F6919">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48.6</w:t>
            </w:r>
          </w:p>
        </w:tc>
        <w:tc>
          <w:tcPr>
            <w:tcW w:w="490" w:type="pct"/>
            <w:tcBorders>
              <w:tl2br w:val="nil"/>
              <w:tr2bl w:val="nil"/>
            </w:tcBorders>
            <w:shd w:val="clear" w:color="auto" w:fill="auto"/>
            <w:noWrap w:val="0"/>
            <w:vAlign w:val="center"/>
          </w:tcPr>
          <w:p w14:paraId="5A4DB65F">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-26.1</w:t>
            </w:r>
          </w:p>
        </w:tc>
        <w:tc>
          <w:tcPr>
            <w:tcW w:w="442" w:type="pct"/>
            <w:tcBorders>
              <w:tl2br w:val="nil"/>
              <w:tr2bl w:val="nil"/>
            </w:tcBorders>
            <w:shd w:val="clear" w:color="auto" w:fill="auto"/>
            <w:noWrap w:val="0"/>
            <w:vAlign w:val="center"/>
          </w:tcPr>
          <w:p w14:paraId="582C1DD7">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0.5</w:t>
            </w:r>
          </w:p>
        </w:tc>
        <w:tc>
          <w:tcPr>
            <w:tcW w:w="685" w:type="pct"/>
            <w:tcBorders>
              <w:tl2br w:val="nil"/>
              <w:tr2bl w:val="nil"/>
            </w:tcBorders>
            <w:shd w:val="clear" w:color="auto" w:fill="auto"/>
            <w:noWrap w:val="0"/>
            <w:vAlign w:val="center"/>
          </w:tcPr>
          <w:p w14:paraId="54293205">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ascii="Times New Roman" w:hAnsi="Times New Roman" w:eastAsia="宋体"/>
                <w:color w:val="auto"/>
                <w:sz w:val="21"/>
              </w:rPr>
              <w:t>80</w:t>
            </w:r>
          </w:p>
        </w:tc>
        <w:tc>
          <w:tcPr>
            <w:tcW w:w="1366" w:type="pct"/>
            <w:tcBorders>
              <w:tl2br w:val="nil"/>
              <w:tr2bl w:val="nil"/>
            </w:tcBorders>
            <w:shd w:val="clear" w:color="auto" w:fill="auto"/>
            <w:noWrap w:val="0"/>
            <w:vAlign w:val="center"/>
          </w:tcPr>
          <w:p w14:paraId="1D9C6205">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hint="default" w:ascii="Times New Roman" w:hAnsi="Times New Roman" w:eastAsia="宋体" w:cs="Times New Roman"/>
                <w:bCs/>
                <w:color w:val="auto"/>
                <w:sz w:val="21"/>
                <w:szCs w:val="21"/>
                <w:lang w:val="en-US" w:eastAsia="zh-CN"/>
              </w:rPr>
              <w:t>选用低噪设备、基础减振、建筑隔声、风管接头减振等</w:t>
            </w:r>
          </w:p>
        </w:tc>
        <w:tc>
          <w:tcPr>
            <w:tcW w:w="406" w:type="pct"/>
            <w:tcBorders>
              <w:tl2br w:val="nil"/>
              <w:tr2bl w:val="nil"/>
            </w:tcBorders>
            <w:shd w:val="clear" w:color="auto" w:fill="auto"/>
            <w:noWrap w:val="0"/>
            <w:vAlign w:val="center"/>
          </w:tcPr>
          <w:p w14:paraId="1345E132">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全天</w:t>
            </w:r>
          </w:p>
        </w:tc>
      </w:tr>
      <w:tr w14:paraId="191B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8"/>
            <w:tcBorders>
              <w:tl2br w:val="nil"/>
              <w:tr2bl w:val="nil"/>
            </w:tcBorders>
            <w:shd w:val="clear" w:color="auto" w:fill="auto"/>
            <w:noWrap w:val="0"/>
            <w:vAlign w:val="center"/>
          </w:tcPr>
          <w:p w14:paraId="3601E12A">
            <w:pPr>
              <w:pStyle w:val="56"/>
              <w:keepNext w:val="0"/>
              <w:keepLines w:val="0"/>
              <w:pageBreakBefore w:val="0"/>
              <w:widowControl w:val="0"/>
              <w:shd w:val="clear"/>
              <w:kinsoku w:val="0"/>
              <w:wordWrap/>
              <w:overflowPunct/>
              <w:topLinePunct w:val="0"/>
              <w:autoSpaceDE/>
              <w:autoSpaceDN/>
              <w:bidi w:val="0"/>
              <w:adjustRightInd/>
              <w:snapToGrid/>
              <w:spacing w:line="360" w:lineRule="auto"/>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表中坐标以厂界中心（90.071465395，44.061717797）为坐标原点，正东向为X轴正方向，正北向为Y轴正方向</w:t>
            </w:r>
          </w:p>
        </w:tc>
      </w:tr>
    </w:tbl>
    <w:p w14:paraId="0CC73F72">
      <w:pPr>
        <w:shd w:val="clear"/>
        <w:bidi w:val="0"/>
        <w:ind w:left="0" w:leftChars="0" w:firstLine="0" w:firstLineChars="0"/>
        <w:jc w:val="center"/>
        <w:rPr>
          <w:rFonts w:hint="eastAsia" w:hAnsi="宋体"/>
          <w:b/>
          <w:color w:val="auto"/>
          <w:sz w:val="21"/>
          <w:szCs w:val="21"/>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F3BB5A8">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color w:val="auto"/>
          <w:sz w:val="24"/>
          <w:lang w:val="en-US" w:eastAsia="zh-CN"/>
        </w:rPr>
      </w:pPr>
      <w:r>
        <w:rPr>
          <w:rFonts w:hint="eastAsia" w:ascii="Times New Roman" w:hAnsi="Times New Roman" w:eastAsia="宋体"/>
          <w:b/>
          <w:color w:val="auto"/>
          <w:sz w:val="24"/>
          <w:szCs w:val="21"/>
        </w:rPr>
        <w:t>表</w:t>
      </w:r>
      <w:r>
        <w:rPr>
          <w:rFonts w:hint="eastAsia" w:ascii="Times New Roman" w:hAnsi="Times New Roman" w:eastAsia="宋体"/>
          <w:b/>
          <w:color w:val="auto"/>
          <w:sz w:val="24"/>
          <w:szCs w:val="21"/>
          <w:lang w:val="en-US" w:eastAsia="zh-CN"/>
        </w:rPr>
        <w:t>5.2-13项目室内声源噪声源强调查清单表</w:t>
      </w:r>
    </w:p>
    <w:tbl>
      <w:tblPr>
        <w:tblStyle w:val="26"/>
        <w:tblW w:w="48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8"/>
        <w:gridCol w:w="765"/>
        <w:gridCol w:w="820"/>
        <w:gridCol w:w="2070"/>
        <w:gridCol w:w="1281"/>
        <w:gridCol w:w="1671"/>
        <w:gridCol w:w="797"/>
        <w:gridCol w:w="687"/>
        <w:gridCol w:w="640"/>
        <w:gridCol w:w="875"/>
        <w:gridCol w:w="938"/>
        <w:gridCol w:w="595"/>
        <w:gridCol w:w="877"/>
        <w:gridCol w:w="862"/>
        <w:gridCol w:w="805"/>
      </w:tblGrid>
      <w:tr w14:paraId="27D5A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185" w:type="pct"/>
            <w:vMerge w:val="restart"/>
            <w:tcBorders>
              <w:tl2br w:val="nil"/>
              <w:tr2bl w:val="nil"/>
            </w:tcBorders>
            <w:shd w:val="clear" w:color="auto" w:fill="auto"/>
            <w:noWrap w:val="0"/>
            <w:vAlign w:val="center"/>
          </w:tcPr>
          <w:p w14:paraId="7072DDD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序号</w:t>
            </w:r>
          </w:p>
        </w:tc>
        <w:tc>
          <w:tcPr>
            <w:tcW w:w="269" w:type="pct"/>
            <w:vMerge w:val="restart"/>
            <w:tcBorders>
              <w:tl2br w:val="nil"/>
              <w:tr2bl w:val="nil"/>
            </w:tcBorders>
            <w:shd w:val="clear" w:color="auto" w:fill="auto"/>
            <w:noWrap w:val="0"/>
            <w:vAlign w:val="center"/>
          </w:tcPr>
          <w:p w14:paraId="1697D76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建筑物名称</w:t>
            </w:r>
          </w:p>
        </w:tc>
        <w:tc>
          <w:tcPr>
            <w:tcW w:w="288" w:type="pct"/>
            <w:vMerge w:val="restart"/>
            <w:tcBorders>
              <w:tl2br w:val="nil"/>
              <w:tr2bl w:val="nil"/>
            </w:tcBorders>
            <w:shd w:val="clear" w:color="auto" w:fill="auto"/>
            <w:noWrap w:val="0"/>
            <w:vAlign w:val="center"/>
          </w:tcPr>
          <w:p w14:paraId="4702E63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1"/>
                <w:lang w:val="en-US" w:eastAsia="zh-CN"/>
              </w:rPr>
            </w:pPr>
            <w:r>
              <w:rPr>
                <w:rFonts w:hint="eastAsia" w:ascii="Times New Roman" w:hAnsi="Times New Roman" w:eastAsia="宋体" w:cs="Times New Roman"/>
                <w:b/>
                <w:bCs w:val="0"/>
                <w:color w:val="auto"/>
                <w:sz w:val="21"/>
                <w:lang w:val="en-US" w:eastAsia="zh-CN"/>
              </w:rPr>
              <w:t>声源</w:t>
            </w:r>
          </w:p>
        </w:tc>
        <w:tc>
          <w:tcPr>
            <w:tcW w:w="728" w:type="pct"/>
            <w:vMerge w:val="restart"/>
            <w:tcBorders>
              <w:tl2br w:val="nil"/>
              <w:tr2bl w:val="nil"/>
            </w:tcBorders>
            <w:shd w:val="clear" w:color="auto" w:fill="auto"/>
            <w:noWrap w:val="0"/>
            <w:vAlign w:val="center"/>
          </w:tcPr>
          <w:p w14:paraId="7FD22B0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声源名称</w:t>
            </w:r>
          </w:p>
        </w:tc>
        <w:tc>
          <w:tcPr>
            <w:tcW w:w="450" w:type="pct"/>
            <w:vMerge w:val="restart"/>
            <w:tcBorders>
              <w:tl2br w:val="nil"/>
              <w:tr2bl w:val="nil"/>
            </w:tcBorders>
            <w:shd w:val="clear" w:color="auto" w:fill="auto"/>
            <w:noWrap w:val="0"/>
            <w:vAlign w:val="center"/>
          </w:tcPr>
          <w:p w14:paraId="26B73EA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1"/>
                <w:lang w:eastAsia="zh-CN"/>
              </w:rPr>
            </w:pPr>
            <w:r>
              <w:rPr>
                <w:rFonts w:ascii="Times New Roman" w:hAnsi="Times New Roman" w:eastAsia="宋体" w:cs="Times New Roman"/>
                <w:b/>
                <w:bCs w:val="0"/>
                <w:color w:val="auto"/>
                <w:sz w:val="21"/>
                <w:lang w:eastAsia="zh-CN"/>
              </w:rPr>
              <w:t>声源源强</w:t>
            </w:r>
            <w:r>
              <w:rPr>
                <w:rFonts w:ascii="Times New Roman" w:hAnsi="Times New Roman" w:eastAsia="宋体" w:cs="Times New Roman"/>
                <w:b/>
                <w:bCs w:val="0"/>
                <w:color w:val="auto"/>
                <w:sz w:val="21"/>
              </w:rPr>
              <w:t>声功率级/dB</w:t>
            </w:r>
            <w:r>
              <w:rPr>
                <w:rFonts w:hint="eastAsia" w:ascii="Times New Roman" w:hAnsi="Times New Roman" w:eastAsia="宋体" w:cs="Times New Roman"/>
                <w:b/>
                <w:bCs w:val="0"/>
                <w:color w:val="auto"/>
                <w:sz w:val="21"/>
                <w:lang w:eastAsia="zh-CN"/>
              </w:rPr>
              <w:t>（</w:t>
            </w:r>
            <w:r>
              <w:rPr>
                <w:rFonts w:ascii="Times New Roman" w:hAnsi="Times New Roman" w:eastAsia="宋体" w:cs="Times New Roman"/>
                <w:b/>
                <w:bCs w:val="0"/>
                <w:color w:val="auto"/>
                <w:sz w:val="21"/>
              </w:rPr>
              <w:t>A</w:t>
            </w:r>
            <w:r>
              <w:rPr>
                <w:rFonts w:hint="eastAsia" w:ascii="Times New Roman" w:hAnsi="Times New Roman" w:eastAsia="宋体" w:cs="Times New Roman"/>
                <w:b/>
                <w:bCs w:val="0"/>
                <w:color w:val="auto"/>
                <w:sz w:val="21"/>
                <w:lang w:eastAsia="zh-CN"/>
              </w:rPr>
              <w:t>）</w:t>
            </w:r>
          </w:p>
        </w:tc>
        <w:tc>
          <w:tcPr>
            <w:tcW w:w="587" w:type="pct"/>
            <w:vMerge w:val="restart"/>
            <w:tcBorders>
              <w:tl2br w:val="nil"/>
              <w:tr2bl w:val="nil"/>
            </w:tcBorders>
            <w:shd w:val="clear" w:color="auto" w:fill="auto"/>
            <w:noWrap w:val="0"/>
            <w:vAlign w:val="center"/>
          </w:tcPr>
          <w:p w14:paraId="33A6D52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声源控制措施</w:t>
            </w:r>
          </w:p>
        </w:tc>
        <w:tc>
          <w:tcPr>
            <w:tcW w:w="747" w:type="pct"/>
            <w:gridSpan w:val="3"/>
            <w:tcBorders>
              <w:tl2br w:val="nil"/>
              <w:tr2bl w:val="nil"/>
            </w:tcBorders>
            <w:shd w:val="clear" w:color="auto" w:fill="auto"/>
            <w:noWrap w:val="0"/>
            <w:vAlign w:val="center"/>
          </w:tcPr>
          <w:p w14:paraId="186BE37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空间相对位置/m</w:t>
            </w:r>
          </w:p>
        </w:tc>
        <w:tc>
          <w:tcPr>
            <w:tcW w:w="307" w:type="pct"/>
            <w:vMerge w:val="restart"/>
            <w:tcBorders>
              <w:tl2br w:val="nil"/>
              <w:tr2bl w:val="nil"/>
            </w:tcBorders>
            <w:shd w:val="clear" w:color="auto" w:fill="auto"/>
            <w:noWrap w:val="0"/>
            <w:vAlign w:val="center"/>
          </w:tcPr>
          <w:p w14:paraId="764D167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距室内边界距离/m</w:t>
            </w:r>
          </w:p>
        </w:tc>
        <w:tc>
          <w:tcPr>
            <w:tcW w:w="330" w:type="pct"/>
            <w:vMerge w:val="restart"/>
            <w:tcBorders>
              <w:tl2br w:val="nil"/>
              <w:tr2bl w:val="nil"/>
            </w:tcBorders>
            <w:shd w:val="clear" w:color="auto" w:fill="auto"/>
            <w:noWrap w:val="0"/>
            <w:vAlign w:val="center"/>
          </w:tcPr>
          <w:p w14:paraId="77E38DC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1"/>
                <w:lang w:eastAsia="zh-CN"/>
              </w:rPr>
            </w:pPr>
            <w:r>
              <w:rPr>
                <w:rFonts w:ascii="Times New Roman" w:hAnsi="Times New Roman" w:eastAsia="宋体" w:cs="Times New Roman"/>
                <w:b/>
                <w:bCs w:val="0"/>
                <w:color w:val="auto"/>
                <w:sz w:val="21"/>
              </w:rPr>
              <w:t>室内边界声级/dB</w:t>
            </w:r>
            <w:r>
              <w:rPr>
                <w:rFonts w:hint="eastAsia" w:ascii="Times New Roman" w:hAnsi="Times New Roman" w:eastAsia="宋体" w:cs="Times New Roman"/>
                <w:b/>
                <w:bCs w:val="0"/>
                <w:color w:val="auto"/>
                <w:sz w:val="21"/>
                <w:lang w:eastAsia="zh-CN"/>
              </w:rPr>
              <w:t>（</w:t>
            </w:r>
            <w:r>
              <w:rPr>
                <w:rFonts w:ascii="Times New Roman" w:hAnsi="Times New Roman" w:eastAsia="宋体" w:cs="Times New Roman"/>
                <w:b/>
                <w:bCs w:val="0"/>
                <w:color w:val="auto"/>
                <w:sz w:val="21"/>
              </w:rPr>
              <w:t>A</w:t>
            </w:r>
            <w:r>
              <w:rPr>
                <w:rFonts w:hint="eastAsia" w:ascii="Times New Roman" w:hAnsi="Times New Roman" w:eastAsia="宋体" w:cs="Times New Roman"/>
                <w:b/>
                <w:bCs w:val="0"/>
                <w:color w:val="auto"/>
                <w:sz w:val="21"/>
                <w:lang w:eastAsia="zh-CN"/>
              </w:rPr>
              <w:t>）</w:t>
            </w:r>
          </w:p>
        </w:tc>
        <w:tc>
          <w:tcPr>
            <w:tcW w:w="209" w:type="pct"/>
            <w:vMerge w:val="restart"/>
            <w:tcBorders>
              <w:tl2br w:val="nil"/>
              <w:tr2bl w:val="nil"/>
            </w:tcBorders>
            <w:shd w:val="clear" w:color="auto" w:fill="auto"/>
            <w:noWrap w:val="0"/>
            <w:vAlign w:val="center"/>
          </w:tcPr>
          <w:p w14:paraId="63DF5A4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运行时段</w:t>
            </w:r>
          </w:p>
        </w:tc>
        <w:tc>
          <w:tcPr>
            <w:tcW w:w="308" w:type="pct"/>
            <w:vMerge w:val="restart"/>
            <w:tcBorders>
              <w:tl2br w:val="nil"/>
              <w:tr2bl w:val="nil"/>
            </w:tcBorders>
            <w:shd w:val="clear" w:color="auto" w:fill="auto"/>
            <w:noWrap w:val="0"/>
            <w:vAlign w:val="center"/>
          </w:tcPr>
          <w:p w14:paraId="08EF0A9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1"/>
                <w:lang w:eastAsia="zh-CN"/>
              </w:rPr>
            </w:pPr>
            <w:r>
              <w:rPr>
                <w:rFonts w:ascii="Times New Roman" w:hAnsi="Times New Roman" w:eastAsia="宋体" w:cs="Times New Roman"/>
                <w:b/>
                <w:bCs w:val="0"/>
                <w:color w:val="auto"/>
                <w:sz w:val="21"/>
              </w:rPr>
              <w:t>建筑物插入损失 / dB</w:t>
            </w:r>
            <w:r>
              <w:rPr>
                <w:rFonts w:hint="eastAsia" w:ascii="Times New Roman" w:hAnsi="Times New Roman" w:eastAsia="宋体" w:cs="Times New Roman"/>
                <w:b/>
                <w:bCs w:val="0"/>
                <w:color w:val="auto"/>
                <w:sz w:val="21"/>
                <w:lang w:eastAsia="zh-CN"/>
              </w:rPr>
              <w:t>（</w:t>
            </w:r>
            <w:r>
              <w:rPr>
                <w:rFonts w:ascii="Times New Roman" w:hAnsi="Times New Roman" w:eastAsia="宋体" w:cs="Times New Roman"/>
                <w:b/>
                <w:bCs w:val="0"/>
                <w:color w:val="auto"/>
                <w:sz w:val="21"/>
              </w:rPr>
              <w:t>A</w:t>
            </w:r>
            <w:bookmarkStart w:id="628" w:name="PT_10"/>
            <w:bookmarkEnd w:id="628"/>
            <w:r>
              <w:rPr>
                <w:rFonts w:hint="eastAsia" w:ascii="Times New Roman" w:hAnsi="Times New Roman" w:eastAsia="宋体" w:cs="Times New Roman"/>
                <w:b/>
                <w:bCs w:val="0"/>
                <w:color w:val="auto"/>
                <w:sz w:val="21"/>
                <w:lang w:eastAsia="zh-CN"/>
              </w:rPr>
              <w:t>）</w:t>
            </w:r>
          </w:p>
        </w:tc>
        <w:tc>
          <w:tcPr>
            <w:tcW w:w="586" w:type="pct"/>
            <w:gridSpan w:val="2"/>
            <w:tcBorders>
              <w:tl2br w:val="nil"/>
              <w:tr2bl w:val="nil"/>
            </w:tcBorders>
            <w:shd w:val="clear" w:color="auto" w:fill="auto"/>
            <w:noWrap w:val="0"/>
            <w:vAlign w:val="center"/>
          </w:tcPr>
          <w:p w14:paraId="42A3E36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建筑物外噪声</w:t>
            </w:r>
          </w:p>
        </w:tc>
      </w:tr>
      <w:tr w14:paraId="2CD73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3C5C3F61">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269" w:type="pct"/>
            <w:vMerge w:val="continue"/>
            <w:tcBorders>
              <w:tl2br w:val="nil"/>
              <w:tr2bl w:val="nil"/>
            </w:tcBorders>
            <w:shd w:val="clear" w:color="auto" w:fill="auto"/>
            <w:noWrap w:val="0"/>
            <w:vAlign w:val="center"/>
          </w:tcPr>
          <w:p w14:paraId="3D78AC9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288" w:type="pct"/>
            <w:vMerge w:val="continue"/>
            <w:tcBorders>
              <w:tl2br w:val="nil"/>
              <w:tr2bl w:val="nil"/>
            </w:tcBorders>
            <w:shd w:val="clear" w:color="auto" w:fill="auto"/>
            <w:noWrap w:val="0"/>
            <w:vAlign w:val="center"/>
          </w:tcPr>
          <w:p w14:paraId="2D9ED9E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728" w:type="pct"/>
            <w:vMerge w:val="continue"/>
            <w:tcBorders>
              <w:tl2br w:val="nil"/>
              <w:tr2bl w:val="nil"/>
            </w:tcBorders>
            <w:shd w:val="clear" w:color="auto" w:fill="auto"/>
            <w:noWrap w:val="0"/>
            <w:vAlign w:val="center"/>
          </w:tcPr>
          <w:p w14:paraId="466F8C4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450" w:type="pct"/>
            <w:vMerge w:val="continue"/>
            <w:tcBorders>
              <w:tl2br w:val="nil"/>
              <w:tr2bl w:val="nil"/>
            </w:tcBorders>
            <w:shd w:val="clear" w:color="auto" w:fill="auto"/>
            <w:noWrap w:val="0"/>
            <w:vAlign w:val="center"/>
          </w:tcPr>
          <w:p w14:paraId="3142FB4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587" w:type="pct"/>
            <w:vMerge w:val="continue"/>
            <w:tcBorders>
              <w:tl2br w:val="nil"/>
              <w:tr2bl w:val="nil"/>
            </w:tcBorders>
            <w:shd w:val="clear" w:color="auto" w:fill="auto"/>
            <w:noWrap w:val="0"/>
            <w:vAlign w:val="center"/>
          </w:tcPr>
          <w:p w14:paraId="7C14578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280" w:type="pct"/>
            <w:tcBorders>
              <w:tl2br w:val="nil"/>
              <w:tr2bl w:val="nil"/>
            </w:tcBorders>
            <w:shd w:val="clear" w:color="auto" w:fill="auto"/>
            <w:noWrap w:val="0"/>
            <w:vAlign w:val="center"/>
          </w:tcPr>
          <w:p w14:paraId="4002027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X</w:t>
            </w:r>
          </w:p>
        </w:tc>
        <w:tc>
          <w:tcPr>
            <w:tcW w:w="241" w:type="pct"/>
            <w:tcBorders>
              <w:tl2br w:val="nil"/>
              <w:tr2bl w:val="nil"/>
            </w:tcBorders>
            <w:shd w:val="clear" w:color="auto" w:fill="auto"/>
            <w:noWrap w:val="0"/>
            <w:vAlign w:val="center"/>
          </w:tcPr>
          <w:p w14:paraId="0519B6D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Y</w:t>
            </w:r>
          </w:p>
        </w:tc>
        <w:tc>
          <w:tcPr>
            <w:tcW w:w="225" w:type="pct"/>
            <w:tcBorders>
              <w:tl2br w:val="nil"/>
              <w:tr2bl w:val="nil"/>
            </w:tcBorders>
            <w:shd w:val="clear" w:color="auto" w:fill="auto"/>
            <w:noWrap w:val="0"/>
            <w:vAlign w:val="center"/>
          </w:tcPr>
          <w:p w14:paraId="6B1A6B4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Z</w:t>
            </w:r>
          </w:p>
        </w:tc>
        <w:tc>
          <w:tcPr>
            <w:tcW w:w="307" w:type="pct"/>
            <w:vMerge w:val="continue"/>
            <w:tcBorders>
              <w:tl2br w:val="nil"/>
              <w:tr2bl w:val="nil"/>
            </w:tcBorders>
            <w:shd w:val="clear" w:color="auto" w:fill="auto"/>
            <w:noWrap w:val="0"/>
            <w:vAlign w:val="center"/>
          </w:tcPr>
          <w:p w14:paraId="2C7A580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330" w:type="pct"/>
            <w:vMerge w:val="continue"/>
            <w:tcBorders>
              <w:tl2br w:val="nil"/>
              <w:tr2bl w:val="nil"/>
            </w:tcBorders>
            <w:shd w:val="clear" w:color="auto" w:fill="auto"/>
            <w:noWrap w:val="0"/>
            <w:vAlign w:val="center"/>
          </w:tcPr>
          <w:p w14:paraId="3B2C3CC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209" w:type="pct"/>
            <w:vMerge w:val="continue"/>
            <w:tcBorders>
              <w:tl2br w:val="nil"/>
              <w:tr2bl w:val="nil"/>
            </w:tcBorders>
            <w:shd w:val="clear" w:color="auto" w:fill="auto"/>
            <w:noWrap w:val="0"/>
            <w:vAlign w:val="center"/>
          </w:tcPr>
          <w:p w14:paraId="57908E9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308" w:type="pct"/>
            <w:vMerge w:val="continue"/>
            <w:tcBorders>
              <w:tl2br w:val="nil"/>
              <w:tr2bl w:val="nil"/>
            </w:tcBorders>
            <w:shd w:val="clear" w:color="auto" w:fill="auto"/>
            <w:noWrap w:val="0"/>
            <w:vAlign w:val="center"/>
          </w:tcPr>
          <w:p w14:paraId="324B331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p>
        </w:tc>
        <w:tc>
          <w:tcPr>
            <w:tcW w:w="303" w:type="pct"/>
            <w:tcBorders>
              <w:tl2br w:val="nil"/>
              <w:tr2bl w:val="nil"/>
            </w:tcBorders>
            <w:shd w:val="clear" w:color="auto" w:fill="auto"/>
            <w:noWrap w:val="0"/>
            <w:vAlign w:val="center"/>
          </w:tcPr>
          <w:p w14:paraId="141C179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1"/>
                <w:lang w:eastAsia="zh-CN"/>
              </w:rPr>
            </w:pPr>
            <w:r>
              <w:rPr>
                <w:rFonts w:ascii="Times New Roman" w:hAnsi="Times New Roman" w:eastAsia="宋体" w:cs="Times New Roman"/>
                <w:b/>
                <w:bCs w:val="0"/>
                <w:color w:val="auto"/>
                <w:sz w:val="21"/>
              </w:rPr>
              <w:t>声压级/dB</w:t>
            </w:r>
            <w:r>
              <w:rPr>
                <w:rFonts w:hint="eastAsia" w:ascii="Times New Roman" w:hAnsi="Times New Roman" w:eastAsia="宋体" w:cs="Times New Roman"/>
                <w:b/>
                <w:bCs w:val="0"/>
                <w:color w:val="auto"/>
                <w:sz w:val="21"/>
                <w:lang w:eastAsia="zh-CN"/>
              </w:rPr>
              <w:t>（</w:t>
            </w:r>
            <w:r>
              <w:rPr>
                <w:rFonts w:ascii="Times New Roman" w:hAnsi="Times New Roman" w:eastAsia="宋体" w:cs="Times New Roman"/>
                <w:b/>
                <w:bCs w:val="0"/>
                <w:color w:val="auto"/>
                <w:sz w:val="21"/>
              </w:rPr>
              <w:t>A</w:t>
            </w:r>
            <w:r>
              <w:rPr>
                <w:rFonts w:hint="eastAsia" w:ascii="Times New Roman" w:hAnsi="Times New Roman" w:eastAsia="宋体" w:cs="Times New Roman"/>
                <w:b/>
                <w:bCs w:val="0"/>
                <w:color w:val="auto"/>
                <w:sz w:val="21"/>
                <w:lang w:eastAsia="zh-CN"/>
              </w:rPr>
              <w:t>）</w:t>
            </w:r>
          </w:p>
        </w:tc>
        <w:tc>
          <w:tcPr>
            <w:tcW w:w="283" w:type="pct"/>
            <w:tcBorders>
              <w:tl2br w:val="nil"/>
              <w:tr2bl w:val="nil"/>
            </w:tcBorders>
            <w:shd w:val="clear" w:color="auto" w:fill="auto"/>
            <w:noWrap w:val="0"/>
            <w:vAlign w:val="center"/>
          </w:tcPr>
          <w:p w14:paraId="6699422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val="0"/>
                <w:color w:val="auto"/>
                <w:sz w:val="21"/>
              </w:rPr>
            </w:pPr>
            <w:r>
              <w:rPr>
                <w:rFonts w:ascii="Times New Roman" w:hAnsi="Times New Roman" w:eastAsia="宋体" w:cs="Times New Roman"/>
                <w:b/>
                <w:bCs w:val="0"/>
                <w:color w:val="auto"/>
                <w:sz w:val="21"/>
              </w:rPr>
              <w:t>建筑物外距离</w:t>
            </w:r>
          </w:p>
        </w:tc>
      </w:tr>
      <w:tr w14:paraId="05222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restart"/>
            <w:tcBorders>
              <w:tl2br w:val="nil"/>
              <w:tr2bl w:val="nil"/>
            </w:tcBorders>
            <w:shd w:val="clear" w:color="auto" w:fill="auto"/>
            <w:noWrap w:val="0"/>
            <w:vAlign w:val="center"/>
          </w:tcPr>
          <w:p w14:paraId="19CB242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ascii="Times New Roman" w:hAnsi="Times New Roman" w:eastAsia="宋体" w:cs="Times New Roman"/>
                <w:b w:val="0"/>
                <w:color w:val="auto"/>
                <w:sz w:val="21"/>
              </w:rPr>
              <w:t>1</w:t>
            </w:r>
          </w:p>
        </w:tc>
        <w:tc>
          <w:tcPr>
            <w:tcW w:w="269" w:type="pct"/>
            <w:vMerge w:val="restart"/>
            <w:tcBorders>
              <w:tl2br w:val="nil"/>
              <w:tr2bl w:val="nil"/>
            </w:tcBorders>
            <w:shd w:val="clear" w:color="auto" w:fill="auto"/>
            <w:noWrap w:val="0"/>
            <w:vAlign w:val="center"/>
          </w:tcPr>
          <w:p w14:paraId="51DE8C8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1#生产车间</w:t>
            </w:r>
          </w:p>
        </w:tc>
        <w:tc>
          <w:tcPr>
            <w:tcW w:w="288" w:type="pct"/>
            <w:vMerge w:val="restart"/>
            <w:tcBorders>
              <w:tl2br w:val="nil"/>
              <w:tr2bl w:val="nil"/>
            </w:tcBorders>
            <w:shd w:val="clear" w:color="auto" w:fill="auto"/>
            <w:noWrap w:val="0"/>
            <w:vAlign w:val="center"/>
          </w:tcPr>
          <w:p w14:paraId="41FBC29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ascii="Times New Roman" w:hAnsi="Times New Roman" w:eastAsia="宋体" w:cs="Times New Roman"/>
                <w:b w:val="0"/>
                <w:color w:val="auto"/>
                <w:sz w:val="21"/>
              </w:rPr>
              <w:t>造粒</w:t>
            </w:r>
            <w:r>
              <w:rPr>
                <w:rFonts w:hint="eastAsia" w:ascii="Times New Roman" w:hAnsi="Times New Roman" w:eastAsia="宋体" w:cs="Times New Roman"/>
                <w:b w:val="0"/>
                <w:color w:val="auto"/>
                <w:sz w:val="21"/>
                <w:lang w:val="en-US" w:eastAsia="zh-CN"/>
              </w:rPr>
              <w:t>生产线</w:t>
            </w:r>
          </w:p>
        </w:tc>
        <w:tc>
          <w:tcPr>
            <w:tcW w:w="728" w:type="pct"/>
            <w:tcBorders>
              <w:tl2br w:val="nil"/>
              <w:tr2bl w:val="nil"/>
            </w:tcBorders>
            <w:shd w:val="clear" w:color="auto" w:fill="auto"/>
            <w:noWrap w:val="0"/>
            <w:vAlign w:val="center"/>
          </w:tcPr>
          <w:p w14:paraId="07D5F2B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挤出机</w:t>
            </w:r>
          </w:p>
        </w:tc>
        <w:tc>
          <w:tcPr>
            <w:tcW w:w="450" w:type="pct"/>
            <w:tcBorders>
              <w:tl2br w:val="nil"/>
              <w:tr2bl w:val="nil"/>
            </w:tcBorders>
            <w:shd w:val="clear" w:color="auto" w:fill="auto"/>
            <w:noWrap w:val="0"/>
            <w:vAlign w:val="center"/>
          </w:tcPr>
          <w:p w14:paraId="3403F32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80</w:t>
            </w:r>
            <w:r>
              <w:rPr>
                <w:rFonts w:ascii="Times New Roman" w:hAnsi="Times New Roman" w:eastAsia="宋体" w:cs="Times New Roman"/>
                <w:b w:val="0"/>
                <w:color w:val="auto"/>
                <w:sz w:val="21"/>
              </w:rPr>
              <w:t>（等效后：</w:t>
            </w:r>
            <w:r>
              <w:rPr>
                <w:rFonts w:hint="eastAsia" w:ascii="Times New Roman" w:hAnsi="Times New Roman" w:eastAsia="宋体" w:cs="Times New Roman"/>
                <w:b w:val="0"/>
                <w:color w:val="auto"/>
                <w:sz w:val="21"/>
                <w:lang w:val="en-US" w:eastAsia="zh-CN"/>
              </w:rPr>
              <w:t>83</w:t>
            </w:r>
            <w:r>
              <w:rPr>
                <w:rFonts w:ascii="Times New Roman" w:hAnsi="Times New Roman" w:eastAsia="宋体" w:cs="Times New Roman"/>
                <w:b w:val="0"/>
                <w:color w:val="auto"/>
                <w:sz w:val="21"/>
              </w:rPr>
              <w:t>.0</w:t>
            </w:r>
            <w:r>
              <w:rPr>
                <w:rFonts w:hint="eastAsia" w:ascii="Times New Roman" w:hAnsi="Times New Roman" w:eastAsia="宋体" w:cs="Times New Roman"/>
                <w:b w:val="0"/>
                <w:color w:val="auto"/>
                <w:sz w:val="21"/>
                <w:lang w:eastAsia="zh-CN"/>
              </w:rPr>
              <w:t>）</w:t>
            </w:r>
          </w:p>
        </w:tc>
        <w:tc>
          <w:tcPr>
            <w:tcW w:w="587" w:type="pct"/>
            <w:vMerge w:val="restart"/>
            <w:tcBorders>
              <w:tl2br w:val="nil"/>
              <w:tr2bl w:val="nil"/>
            </w:tcBorders>
            <w:shd w:val="clear" w:color="auto" w:fill="auto"/>
            <w:noWrap w:val="0"/>
            <w:vAlign w:val="center"/>
          </w:tcPr>
          <w:p w14:paraId="78CFD95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hint="default" w:ascii="Times New Roman" w:hAnsi="Times New Roman" w:eastAsia="宋体" w:cs="Times New Roman"/>
                <w:b w:val="0"/>
                <w:color w:val="auto"/>
                <w:sz w:val="21"/>
                <w:lang w:val="en-US" w:eastAsia="zh-CN"/>
              </w:rPr>
              <w:t>选用低噪设备、建筑隔声</w:t>
            </w:r>
          </w:p>
        </w:tc>
        <w:tc>
          <w:tcPr>
            <w:tcW w:w="280" w:type="pct"/>
            <w:tcBorders>
              <w:tl2br w:val="nil"/>
              <w:tr2bl w:val="nil"/>
            </w:tcBorders>
            <w:shd w:val="clear" w:color="auto" w:fill="auto"/>
            <w:noWrap w:val="0"/>
            <w:vAlign w:val="center"/>
          </w:tcPr>
          <w:p w14:paraId="69468D7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6</w:t>
            </w:r>
          </w:p>
        </w:tc>
        <w:tc>
          <w:tcPr>
            <w:tcW w:w="241" w:type="pct"/>
            <w:tcBorders>
              <w:tl2br w:val="nil"/>
              <w:tr2bl w:val="nil"/>
            </w:tcBorders>
            <w:shd w:val="clear" w:color="auto" w:fill="auto"/>
            <w:noWrap w:val="0"/>
            <w:vAlign w:val="center"/>
          </w:tcPr>
          <w:p w14:paraId="3A8831E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13</w:t>
            </w:r>
          </w:p>
        </w:tc>
        <w:tc>
          <w:tcPr>
            <w:tcW w:w="225" w:type="pct"/>
            <w:tcBorders>
              <w:tl2br w:val="nil"/>
              <w:tr2bl w:val="nil"/>
            </w:tcBorders>
            <w:shd w:val="clear" w:color="auto" w:fill="auto"/>
            <w:noWrap w:val="0"/>
            <w:vAlign w:val="center"/>
          </w:tcPr>
          <w:p w14:paraId="07D9D08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1.2</w:t>
            </w:r>
          </w:p>
        </w:tc>
        <w:tc>
          <w:tcPr>
            <w:tcW w:w="307" w:type="pct"/>
            <w:tcBorders>
              <w:tl2br w:val="nil"/>
              <w:tr2bl w:val="nil"/>
            </w:tcBorders>
            <w:shd w:val="clear" w:color="auto" w:fill="auto"/>
            <w:noWrap w:val="0"/>
            <w:vAlign w:val="center"/>
          </w:tcPr>
          <w:p w14:paraId="3AE9AB71">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6.7</w:t>
            </w:r>
          </w:p>
        </w:tc>
        <w:tc>
          <w:tcPr>
            <w:tcW w:w="330" w:type="pct"/>
            <w:tcBorders>
              <w:tl2br w:val="nil"/>
              <w:tr2bl w:val="nil"/>
            </w:tcBorders>
            <w:shd w:val="clear" w:color="auto" w:fill="auto"/>
            <w:noWrap w:val="0"/>
            <w:vAlign w:val="center"/>
          </w:tcPr>
          <w:p w14:paraId="742B40C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58.6</w:t>
            </w:r>
          </w:p>
        </w:tc>
        <w:tc>
          <w:tcPr>
            <w:tcW w:w="209" w:type="pct"/>
            <w:vMerge w:val="restart"/>
            <w:tcBorders>
              <w:tl2br w:val="nil"/>
              <w:tr2bl w:val="nil"/>
            </w:tcBorders>
            <w:shd w:val="clear" w:color="auto" w:fill="auto"/>
            <w:noWrap w:val="0"/>
            <w:vAlign w:val="center"/>
          </w:tcPr>
          <w:p w14:paraId="79D77FE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全天</w:t>
            </w:r>
          </w:p>
        </w:tc>
        <w:tc>
          <w:tcPr>
            <w:tcW w:w="308" w:type="pct"/>
            <w:tcBorders>
              <w:tl2br w:val="nil"/>
              <w:tr2bl w:val="nil"/>
            </w:tcBorders>
            <w:shd w:val="clear" w:color="auto" w:fill="auto"/>
            <w:noWrap w:val="0"/>
            <w:vAlign w:val="center"/>
          </w:tcPr>
          <w:p w14:paraId="4E0CCF3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7D7D4CF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32.6</w:t>
            </w:r>
          </w:p>
        </w:tc>
        <w:tc>
          <w:tcPr>
            <w:tcW w:w="283" w:type="pct"/>
            <w:tcBorders>
              <w:tl2br w:val="nil"/>
              <w:tr2bl w:val="nil"/>
            </w:tcBorders>
            <w:shd w:val="clear" w:color="auto" w:fill="auto"/>
            <w:noWrap w:val="0"/>
            <w:vAlign w:val="center"/>
          </w:tcPr>
          <w:p w14:paraId="3A8191B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w:t>
            </w:r>
          </w:p>
        </w:tc>
      </w:tr>
      <w:tr w14:paraId="28B4A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45AC23D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69" w:type="pct"/>
            <w:vMerge w:val="continue"/>
            <w:tcBorders>
              <w:tl2br w:val="nil"/>
              <w:tr2bl w:val="nil"/>
            </w:tcBorders>
            <w:shd w:val="clear" w:color="auto" w:fill="auto"/>
            <w:noWrap w:val="0"/>
            <w:vAlign w:val="center"/>
          </w:tcPr>
          <w:p w14:paraId="2E6B166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continue"/>
            <w:tcBorders>
              <w:tl2br w:val="nil"/>
              <w:tr2bl w:val="nil"/>
            </w:tcBorders>
            <w:shd w:val="clear" w:color="auto" w:fill="auto"/>
            <w:noWrap w:val="0"/>
            <w:vAlign w:val="center"/>
          </w:tcPr>
          <w:p w14:paraId="64952C5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728" w:type="pct"/>
            <w:tcBorders>
              <w:tl2br w:val="nil"/>
              <w:tr2bl w:val="nil"/>
            </w:tcBorders>
            <w:shd w:val="clear" w:color="auto" w:fill="auto"/>
            <w:noWrap w:val="0"/>
            <w:vAlign w:val="center"/>
          </w:tcPr>
          <w:p w14:paraId="15736AB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切粒机</w:t>
            </w:r>
          </w:p>
        </w:tc>
        <w:tc>
          <w:tcPr>
            <w:tcW w:w="450" w:type="pct"/>
            <w:tcBorders>
              <w:tl2br w:val="nil"/>
              <w:tr2bl w:val="nil"/>
            </w:tcBorders>
            <w:shd w:val="clear" w:color="auto" w:fill="auto"/>
            <w:noWrap w:val="0"/>
            <w:vAlign w:val="center"/>
          </w:tcPr>
          <w:p w14:paraId="20C0CF5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8</w:t>
            </w:r>
            <w:r>
              <w:rPr>
                <w:rFonts w:ascii="Times New Roman" w:hAnsi="Times New Roman" w:eastAsia="宋体" w:cs="Times New Roman"/>
                <w:b w:val="0"/>
                <w:color w:val="auto"/>
                <w:sz w:val="21"/>
              </w:rPr>
              <w:t>5（等效后：</w:t>
            </w:r>
            <w:r>
              <w:rPr>
                <w:rFonts w:hint="eastAsia" w:ascii="Times New Roman" w:hAnsi="Times New Roman" w:eastAsia="宋体" w:cs="Times New Roman"/>
                <w:b w:val="0"/>
                <w:color w:val="auto"/>
                <w:sz w:val="21"/>
                <w:lang w:val="en-US" w:eastAsia="zh-CN"/>
              </w:rPr>
              <w:t>8</w:t>
            </w:r>
            <w:r>
              <w:rPr>
                <w:rFonts w:ascii="Times New Roman" w:hAnsi="Times New Roman" w:eastAsia="宋体" w:cs="Times New Roman"/>
                <w:b w:val="0"/>
                <w:color w:val="auto"/>
                <w:sz w:val="21"/>
              </w:rPr>
              <w:t>8.0</w:t>
            </w:r>
            <w:r>
              <w:rPr>
                <w:rFonts w:hint="eastAsia" w:ascii="Times New Roman" w:hAnsi="Times New Roman" w:eastAsia="宋体" w:cs="Times New Roman"/>
                <w:b w:val="0"/>
                <w:color w:val="auto"/>
                <w:sz w:val="21"/>
                <w:lang w:eastAsia="zh-CN"/>
              </w:rPr>
              <w:t>）</w:t>
            </w:r>
          </w:p>
        </w:tc>
        <w:tc>
          <w:tcPr>
            <w:tcW w:w="587" w:type="pct"/>
            <w:vMerge w:val="continue"/>
            <w:tcBorders>
              <w:tl2br w:val="nil"/>
              <w:tr2bl w:val="nil"/>
            </w:tcBorders>
            <w:shd w:val="clear" w:color="auto" w:fill="auto"/>
            <w:noWrap w:val="0"/>
            <w:vAlign w:val="center"/>
          </w:tcPr>
          <w:p w14:paraId="52BF667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0" w:type="pct"/>
            <w:tcBorders>
              <w:tl2br w:val="nil"/>
              <w:tr2bl w:val="nil"/>
            </w:tcBorders>
            <w:shd w:val="clear" w:color="auto" w:fill="auto"/>
            <w:noWrap w:val="0"/>
            <w:vAlign w:val="center"/>
          </w:tcPr>
          <w:p w14:paraId="315DB13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7</w:t>
            </w:r>
          </w:p>
        </w:tc>
        <w:tc>
          <w:tcPr>
            <w:tcW w:w="241" w:type="pct"/>
            <w:tcBorders>
              <w:tl2br w:val="nil"/>
              <w:tr2bl w:val="nil"/>
            </w:tcBorders>
            <w:shd w:val="clear" w:color="auto" w:fill="auto"/>
            <w:noWrap w:val="0"/>
            <w:vAlign w:val="center"/>
          </w:tcPr>
          <w:p w14:paraId="3C4FA3C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12</w:t>
            </w:r>
          </w:p>
        </w:tc>
        <w:tc>
          <w:tcPr>
            <w:tcW w:w="225" w:type="pct"/>
            <w:tcBorders>
              <w:tl2br w:val="nil"/>
              <w:tr2bl w:val="nil"/>
            </w:tcBorders>
            <w:shd w:val="clear" w:color="auto" w:fill="auto"/>
            <w:noWrap w:val="0"/>
            <w:vAlign w:val="center"/>
          </w:tcPr>
          <w:p w14:paraId="115A5CC1">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1.2</w:t>
            </w:r>
          </w:p>
        </w:tc>
        <w:tc>
          <w:tcPr>
            <w:tcW w:w="307" w:type="pct"/>
            <w:tcBorders>
              <w:tl2br w:val="nil"/>
              <w:tr2bl w:val="nil"/>
            </w:tcBorders>
            <w:shd w:val="clear" w:color="auto" w:fill="auto"/>
            <w:noWrap w:val="0"/>
            <w:vAlign w:val="center"/>
          </w:tcPr>
          <w:p w14:paraId="7BD219F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7.1</w:t>
            </w:r>
          </w:p>
        </w:tc>
        <w:tc>
          <w:tcPr>
            <w:tcW w:w="330" w:type="pct"/>
            <w:tcBorders>
              <w:tl2br w:val="nil"/>
              <w:tr2bl w:val="nil"/>
            </w:tcBorders>
            <w:shd w:val="clear" w:color="auto" w:fill="auto"/>
            <w:noWrap w:val="0"/>
            <w:vAlign w:val="center"/>
          </w:tcPr>
          <w:p w14:paraId="4F4E3BF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63.6</w:t>
            </w:r>
          </w:p>
        </w:tc>
        <w:tc>
          <w:tcPr>
            <w:tcW w:w="209" w:type="pct"/>
            <w:vMerge w:val="continue"/>
            <w:tcBorders>
              <w:tl2br w:val="nil"/>
              <w:tr2bl w:val="nil"/>
            </w:tcBorders>
            <w:shd w:val="clear" w:color="auto" w:fill="auto"/>
            <w:noWrap w:val="0"/>
            <w:vAlign w:val="center"/>
          </w:tcPr>
          <w:p w14:paraId="42194CA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308" w:type="pct"/>
            <w:tcBorders>
              <w:tl2br w:val="nil"/>
              <w:tr2bl w:val="nil"/>
            </w:tcBorders>
            <w:shd w:val="clear" w:color="auto" w:fill="auto"/>
            <w:noWrap w:val="0"/>
            <w:vAlign w:val="center"/>
          </w:tcPr>
          <w:p w14:paraId="4A10BA6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42B6679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37.6</w:t>
            </w:r>
          </w:p>
        </w:tc>
        <w:tc>
          <w:tcPr>
            <w:tcW w:w="283" w:type="pct"/>
            <w:tcBorders>
              <w:tl2br w:val="nil"/>
              <w:tr2bl w:val="nil"/>
            </w:tcBorders>
            <w:shd w:val="clear" w:color="auto" w:fill="auto"/>
            <w:noWrap w:val="0"/>
            <w:vAlign w:val="center"/>
          </w:tcPr>
          <w:p w14:paraId="5DFAFE9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w:t>
            </w:r>
          </w:p>
        </w:tc>
      </w:tr>
      <w:tr w14:paraId="7FC29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05A9F2B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69" w:type="pct"/>
            <w:vMerge w:val="continue"/>
            <w:tcBorders>
              <w:tl2br w:val="nil"/>
              <w:tr2bl w:val="nil"/>
            </w:tcBorders>
            <w:shd w:val="clear" w:color="auto" w:fill="auto"/>
            <w:noWrap w:val="0"/>
            <w:vAlign w:val="center"/>
          </w:tcPr>
          <w:p w14:paraId="5E24E6B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restart"/>
            <w:tcBorders>
              <w:tl2br w:val="nil"/>
              <w:tr2bl w:val="nil"/>
            </w:tcBorders>
            <w:shd w:val="clear" w:color="auto" w:fill="auto"/>
            <w:noWrap w:val="0"/>
            <w:vAlign w:val="center"/>
          </w:tcPr>
          <w:p w14:paraId="43EB0A8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滴灌带生产线</w:t>
            </w:r>
          </w:p>
        </w:tc>
        <w:tc>
          <w:tcPr>
            <w:tcW w:w="728" w:type="pct"/>
            <w:tcBorders>
              <w:tl2br w:val="nil"/>
              <w:tr2bl w:val="nil"/>
            </w:tcBorders>
            <w:shd w:val="clear" w:color="auto" w:fill="auto"/>
            <w:noWrap w:val="0"/>
            <w:vAlign w:val="center"/>
          </w:tcPr>
          <w:p w14:paraId="470AA58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hint="eastAsia" w:ascii="Times New Roman" w:hAnsi="Times New Roman" w:eastAsia="宋体" w:cs="Times New Roman"/>
                <w:b w:val="0"/>
                <w:color w:val="auto"/>
                <w:sz w:val="21"/>
                <w:lang w:val="en-US" w:eastAsia="zh-CN"/>
              </w:rPr>
              <w:t>拌料</w:t>
            </w:r>
            <w:r>
              <w:rPr>
                <w:rFonts w:ascii="Times New Roman" w:hAnsi="Times New Roman" w:eastAsia="宋体" w:cs="Times New Roman"/>
                <w:b w:val="0"/>
                <w:color w:val="auto"/>
                <w:sz w:val="21"/>
              </w:rPr>
              <w:t>机</w:t>
            </w:r>
          </w:p>
        </w:tc>
        <w:tc>
          <w:tcPr>
            <w:tcW w:w="450" w:type="pct"/>
            <w:tcBorders>
              <w:tl2br w:val="nil"/>
              <w:tr2bl w:val="nil"/>
            </w:tcBorders>
            <w:shd w:val="clear" w:color="auto" w:fill="auto"/>
            <w:noWrap w:val="0"/>
            <w:vAlign w:val="center"/>
          </w:tcPr>
          <w:p w14:paraId="193FCF4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8</w:t>
            </w:r>
            <w:r>
              <w:rPr>
                <w:rFonts w:ascii="Times New Roman" w:hAnsi="Times New Roman" w:eastAsia="宋体" w:cs="Times New Roman"/>
                <w:b w:val="0"/>
                <w:color w:val="auto"/>
                <w:sz w:val="21"/>
              </w:rPr>
              <w:t>0（等效后：</w:t>
            </w:r>
            <w:r>
              <w:rPr>
                <w:rFonts w:hint="eastAsia" w:ascii="Times New Roman" w:hAnsi="Times New Roman" w:eastAsia="宋体" w:cs="Times New Roman"/>
                <w:b w:val="0"/>
                <w:color w:val="auto"/>
                <w:sz w:val="21"/>
                <w:lang w:val="en-US" w:eastAsia="zh-CN"/>
              </w:rPr>
              <w:t>9</w:t>
            </w:r>
            <w:r>
              <w:rPr>
                <w:rFonts w:ascii="Times New Roman" w:hAnsi="Times New Roman" w:eastAsia="宋体" w:cs="Times New Roman"/>
                <w:b w:val="0"/>
                <w:color w:val="auto"/>
                <w:sz w:val="21"/>
              </w:rPr>
              <w:t>0.0</w:t>
            </w:r>
            <w:r>
              <w:rPr>
                <w:rFonts w:hint="eastAsia" w:ascii="Times New Roman" w:hAnsi="Times New Roman" w:eastAsia="宋体" w:cs="Times New Roman"/>
                <w:b w:val="0"/>
                <w:color w:val="auto"/>
                <w:sz w:val="21"/>
                <w:lang w:eastAsia="zh-CN"/>
              </w:rPr>
              <w:t>）</w:t>
            </w:r>
          </w:p>
        </w:tc>
        <w:tc>
          <w:tcPr>
            <w:tcW w:w="587" w:type="pct"/>
            <w:vMerge w:val="continue"/>
            <w:tcBorders>
              <w:tl2br w:val="nil"/>
              <w:tr2bl w:val="nil"/>
            </w:tcBorders>
            <w:shd w:val="clear" w:color="auto" w:fill="auto"/>
            <w:noWrap w:val="0"/>
            <w:vAlign w:val="center"/>
          </w:tcPr>
          <w:p w14:paraId="0802D8A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0" w:type="pct"/>
            <w:tcBorders>
              <w:tl2br w:val="nil"/>
              <w:tr2bl w:val="nil"/>
            </w:tcBorders>
            <w:shd w:val="clear" w:color="auto" w:fill="auto"/>
            <w:noWrap w:val="0"/>
            <w:vAlign w:val="center"/>
          </w:tcPr>
          <w:p w14:paraId="2AF50AC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3</w:t>
            </w:r>
          </w:p>
        </w:tc>
        <w:tc>
          <w:tcPr>
            <w:tcW w:w="241" w:type="pct"/>
            <w:tcBorders>
              <w:tl2br w:val="nil"/>
              <w:tr2bl w:val="nil"/>
            </w:tcBorders>
            <w:shd w:val="clear" w:color="auto" w:fill="auto"/>
            <w:noWrap w:val="0"/>
            <w:vAlign w:val="center"/>
          </w:tcPr>
          <w:p w14:paraId="54CC03F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4</w:t>
            </w:r>
          </w:p>
        </w:tc>
        <w:tc>
          <w:tcPr>
            <w:tcW w:w="225" w:type="pct"/>
            <w:tcBorders>
              <w:tl2br w:val="nil"/>
              <w:tr2bl w:val="nil"/>
            </w:tcBorders>
            <w:shd w:val="clear" w:color="auto" w:fill="auto"/>
            <w:noWrap w:val="0"/>
            <w:vAlign w:val="center"/>
          </w:tcPr>
          <w:p w14:paraId="5948C2A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1.2</w:t>
            </w:r>
          </w:p>
        </w:tc>
        <w:tc>
          <w:tcPr>
            <w:tcW w:w="307" w:type="pct"/>
            <w:tcBorders>
              <w:tl2br w:val="nil"/>
              <w:tr2bl w:val="nil"/>
            </w:tcBorders>
            <w:shd w:val="clear" w:color="auto" w:fill="auto"/>
            <w:noWrap w:val="0"/>
            <w:vAlign w:val="center"/>
          </w:tcPr>
          <w:p w14:paraId="1D598F7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3.9</w:t>
            </w:r>
          </w:p>
        </w:tc>
        <w:tc>
          <w:tcPr>
            <w:tcW w:w="330" w:type="pct"/>
            <w:tcBorders>
              <w:tl2br w:val="nil"/>
              <w:tr2bl w:val="nil"/>
            </w:tcBorders>
            <w:shd w:val="clear" w:color="auto" w:fill="auto"/>
            <w:noWrap w:val="0"/>
            <w:vAlign w:val="center"/>
          </w:tcPr>
          <w:p w14:paraId="0741294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66.1</w:t>
            </w:r>
          </w:p>
        </w:tc>
        <w:tc>
          <w:tcPr>
            <w:tcW w:w="209" w:type="pct"/>
            <w:vMerge w:val="continue"/>
            <w:tcBorders>
              <w:tl2br w:val="nil"/>
              <w:tr2bl w:val="nil"/>
            </w:tcBorders>
            <w:shd w:val="clear" w:color="auto" w:fill="auto"/>
            <w:noWrap w:val="0"/>
            <w:vAlign w:val="center"/>
          </w:tcPr>
          <w:p w14:paraId="6768720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308" w:type="pct"/>
            <w:tcBorders>
              <w:tl2br w:val="nil"/>
              <w:tr2bl w:val="nil"/>
            </w:tcBorders>
            <w:shd w:val="clear" w:color="auto" w:fill="auto"/>
            <w:noWrap w:val="0"/>
            <w:vAlign w:val="center"/>
          </w:tcPr>
          <w:p w14:paraId="5AA2F55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7A2E8EB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40.1</w:t>
            </w:r>
          </w:p>
        </w:tc>
        <w:tc>
          <w:tcPr>
            <w:tcW w:w="283" w:type="pct"/>
            <w:tcBorders>
              <w:tl2br w:val="nil"/>
              <w:tr2bl w:val="nil"/>
            </w:tcBorders>
            <w:shd w:val="clear" w:color="auto" w:fill="auto"/>
            <w:noWrap w:val="0"/>
            <w:vAlign w:val="center"/>
          </w:tcPr>
          <w:p w14:paraId="5EB1CBA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w:t>
            </w:r>
          </w:p>
        </w:tc>
      </w:tr>
      <w:tr w14:paraId="6C011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0D59129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p>
        </w:tc>
        <w:tc>
          <w:tcPr>
            <w:tcW w:w="269" w:type="pct"/>
            <w:vMerge w:val="continue"/>
            <w:tcBorders>
              <w:tl2br w:val="nil"/>
              <w:tr2bl w:val="nil"/>
            </w:tcBorders>
            <w:shd w:val="clear" w:color="auto" w:fill="auto"/>
            <w:noWrap w:val="0"/>
            <w:vAlign w:val="center"/>
          </w:tcPr>
          <w:p w14:paraId="12567C71">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continue"/>
            <w:tcBorders>
              <w:tl2br w:val="nil"/>
              <w:tr2bl w:val="nil"/>
            </w:tcBorders>
            <w:shd w:val="clear" w:color="auto" w:fill="auto"/>
            <w:noWrap w:val="0"/>
            <w:vAlign w:val="center"/>
          </w:tcPr>
          <w:p w14:paraId="328514C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728" w:type="pct"/>
            <w:tcBorders>
              <w:tl2br w:val="nil"/>
              <w:tr2bl w:val="nil"/>
            </w:tcBorders>
            <w:shd w:val="clear" w:color="auto" w:fill="auto"/>
            <w:noWrap w:val="0"/>
            <w:vAlign w:val="center"/>
          </w:tcPr>
          <w:p w14:paraId="06D32CE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挤出机</w:t>
            </w:r>
          </w:p>
        </w:tc>
        <w:tc>
          <w:tcPr>
            <w:tcW w:w="450" w:type="pct"/>
            <w:tcBorders>
              <w:tl2br w:val="nil"/>
              <w:tr2bl w:val="nil"/>
            </w:tcBorders>
            <w:shd w:val="clear" w:color="auto" w:fill="auto"/>
            <w:noWrap w:val="0"/>
            <w:vAlign w:val="center"/>
          </w:tcPr>
          <w:p w14:paraId="3A7C7C2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8</w:t>
            </w:r>
            <w:r>
              <w:rPr>
                <w:rFonts w:ascii="Times New Roman" w:hAnsi="Times New Roman" w:eastAsia="宋体" w:cs="Times New Roman"/>
                <w:b w:val="0"/>
                <w:color w:val="auto"/>
                <w:sz w:val="21"/>
              </w:rPr>
              <w:t>0（等效后：</w:t>
            </w:r>
            <w:r>
              <w:rPr>
                <w:rFonts w:hint="eastAsia" w:ascii="Times New Roman" w:hAnsi="Times New Roman" w:eastAsia="宋体" w:cs="Times New Roman"/>
                <w:b w:val="0"/>
                <w:color w:val="auto"/>
                <w:sz w:val="21"/>
                <w:lang w:val="en-US" w:eastAsia="zh-CN"/>
              </w:rPr>
              <w:t>9</w:t>
            </w:r>
            <w:r>
              <w:rPr>
                <w:rFonts w:ascii="Times New Roman" w:hAnsi="Times New Roman" w:eastAsia="宋体" w:cs="Times New Roman"/>
                <w:b w:val="0"/>
                <w:color w:val="auto"/>
                <w:sz w:val="21"/>
              </w:rPr>
              <w:t>0.0</w:t>
            </w:r>
            <w:r>
              <w:rPr>
                <w:rFonts w:hint="eastAsia" w:ascii="Times New Roman" w:hAnsi="Times New Roman" w:eastAsia="宋体" w:cs="Times New Roman"/>
                <w:b w:val="0"/>
                <w:color w:val="auto"/>
                <w:sz w:val="21"/>
                <w:lang w:eastAsia="zh-CN"/>
              </w:rPr>
              <w:t>）</w:t>
            </w:r>
          </w:p>
        </w:tc>
        <w:tc>
          <w:tcPr>
            <w:tcW w:w="587" w:type="pct"/>
            <w:vMerge w:val="continue"/>
            <w:tcBorders>
              <w:tl2br w:val="nil"/>
              <w:tr2bl w:val="nil"/>
            </w:tcBorders>
            <w:shd w:val="clear" w:color="auto" w:fill="auto"/>
            <w:noWrap w:val="0"/>
            <w:vAlign w:val="center"/>
          </w:tcPr>
          <w:p w14:paraId="784977D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280" w:type="pct"/>
            <w:tcBorders>
              <w:tl2br w:val="nil"/>
              <w:tr2bl w:val="nil"/>
            </w:tcBorders>
            <w:shd w:val="clear" w:color="auto" w:fill="auto"/>
            <w:noWrap w:val="0"/>
            <w:vAlign w:val="center"/>
          </w:tcPr>
          <w:p w14:paraId="021A260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3</w:t>
            </w:r>
          </w:p>
        </w:tc>
        <w:tc>
          <w:tcPr>
            <w:tcW w:w="241" w:type="pct"/>
            <w:tcBorders>
              <w:tl2br w:val="nil"/>
              <w:tr2bl w:val="nil"/>
            </w:tcBorders>
            <w:shd w:val="clear" w:color="auto" w:fill="auto"/>
            <w:noWrap w:val="0"/>
            <w:vAlign w:val="center"/>
          </w:tcPr>
          <w:p w14:paraId="74958EC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w:t>
            </w:r>
          </w:p>
        </w:tc>
        <w:tc>
          <w:tcPr>
            <w:tcW w:w="225" w:type="pct"/>
            <w:tcBorders>
              <w:tl2br w:val="nil"/>
              <w:tr2bl w:val="nil"/>
            </w:tcBorders>
            <w:shd w:val="clear" w:color="auto" w:fill="auto"/>
            <w:noWrap w:val="0"/>
            <w:vAlign w:val="center"/>
          </w:tcPr>
          <w:p w14:paraId="6A1F703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1.2</w:t>
            </w:r>
          </w:p>
        </w:tc>
        <w:tc>
          <w:tcPr>
            <w:tcW w:w="307" w:type="pct"/>
            <w:tcBorders>
              <w:tl2br w:val="nil"/>
              <w:tr2bl w:val="nil"/>
            </w:tcBorders>
            <w:shd w:val="clear" w:color="auto" w:fill="auto"/>
            <w:noWrap w:val="0"/>
            <w:vAlign w:val="center"/>
          </w:tcPr>
          <w:p w14:paraId="3C2982F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7.6</w:t>
            </w:r>
          </w:p>
        </w:tc>
        <w:tc>
          <w:tcPr>
            <w:tcW w:w="330" w:type="pct"/>
            <w:tcBorders>
              <w:tl2br w:val="nil"/>
              <w:tr2bl w:val="nil"/>
            </w:tcBorders>
            <w:shd w:val="clear" w:color="auto" w:fill="auto"/>
            <w:noWrap w:val="0"/>
            <w:vAlign w:val="center"/>
          </w:tcPr>
          <w:p w14:paraId="02215DF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65.6</w:t>
            </w:r>
          </w:p>
        </w:tc>
        <w:tc>
          <w:tcPr>
            <w:tcW w:w="209" w:type="pct"/>
            <w:vMerge w:val="continue"/>
            <w:tcBorders>
              <w:tl2br w:val="nil"/>
              <w:tr2bl w:val="nil"/>
            </w:tcBorders>
            <w:shd w:val="clear" w:color="auto" w:fill="auto"/>
            <w:noWrap w:val="0"/>
            <w:vAlign w:val="center"/>
          </w:tcPr>
          <w:p w14:paraId="65F5C4F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308" w:type="pct"/>
            <w:tcBorders>
              <w:tl2br w:val="nil"/>
              <w:tr2bl w:val="nil"/>
            </w:tcBorders>
            <w:shd w:val="clear" w:color="auto" w:fill="auto"/>
            <w:noWrap w:val="0"/>
            <w:vAlign w:val="center"/>
          </w:tcPr>
          <w:p w14:paraId="078E783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28F4961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39.6</w:t>
            </w:r>
          </w:p>
        </w:tc>
        <w:tc>
          <w:tcPr>
            <w:tcW w:w="283" w:type="pct"/>
            <w:tcBorders>
              <w:tl2br w:val="nil"/>
              <w:tr2bl w:val="nil"/>
            </w:tcBorders>
            <w:shd w:val="clear" w:color="auto" w:fill="auto"/>
            <w:noWrap w:val="0"/>
            <w:vAlign w:val="center"/>
          </w:tcPr>
          <w:p w14:paraId="47474D5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w:t>
            </w:r>
          </w:p>
        </w:tc>
      </w:tr>
      <w:tr w14:paraId="74568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5C196F2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p>
        </w:tc>
        <w:tc>
          <w:tcPr>
            <w:tcW w:w="269" w:type="pct"/>
            <w:vMerge w:val="continue"/>
            <w:tcBorders>
              <w:tl2br w:val="nil"/>
              <w:tr2bl w:val="nil"/>
            </w:tcBorders>
            <w:shd w:val="clear" w:color="auto" w:fill="auto"/>
            <w:noWrap w:val="0"/>
            <w:vAlign w:val="center"/>
          </w:tcPr>
          <w:p w14:paraId="4D0F8E0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continue"/>
            <w:tcBorders>
              <w:tl2br w:val="nil"/>
              <w:tr2bl w:val="nil"/>
            </w:tcBorders>
            <w:shd w:val="clear" w:color="auto" w:fill="auto"/>
            <w:noWrap w:val="0"/>
            <w:vAlign w:val="center"/>
          </w:tcPr>
          <w:p w14:paraId="3A86BBF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728" w:type="pct"/>
            <w:tcBorders>
              <w:tl2br w:val="nil"/>
              <w:tr2bl w:val="nil"/>
            </w:tcBorders>
            <w:shd w:val="clear" w:color="auto" w:fill="auto"/>
            <w:noWrap w:val="0"/>
            <w:vAlign w:val="center"/>
          </w:tcPr>
          <w:p w14:paraId="4103BD3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打包机</w:t>
            </w:r>
          </w:p>
        </w:tc>
        <w:tc>
          <w:tcPr>
            <w:tcW w:w="450" w:type="pct"/>
            <w:tcBorders>
              <w:tl2br w:val="nil"/>
              <w:tr2bl w:val="nil"/>
            </w:tcBorders>
            <w:shd w:val="clear" w:color="auto" w:fill="auto"/>
            <w:noWrap w:val="0"/>
            <w:vAlign w:val="center"/>
          </w:tcPr>
          <w:p w14:paraId="1E34D4E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ascii="Times New Roman" w:hAnsi="Times New Roman" w:eastAsia="宋体" w:cs="Times New Roman"/>
                <w:b w:val="0"/>
                <w:color w:val="auto"/>
                <w:sz w:val="21"/>
              </w:rPr>
              <w:t>65（等效后：75.0</w:t>
            </w:r>
            <w:r>
              <w:rPr>
                <w:rFonts w:hint="eastAsia" w:ascii="Times New Roman" w:hAnsi="Times New Roman" w:eastAsia="宋体" w:cs="Times New Roman"/>
                <w:b w:val="0"/>
                <w:color w:val="auto"/>
                <w:sz w:val="21"/>
                <w:lang w:eastAsia="zh-CN"/>
              </w:rPr>
              <w:t>）</w:t>
            </w:r>
          </w:p>
        </w:tc>
        <w:tc>
          <w:tcPr>
            <w:tcW w:w="587" w:type="pct"/>
            <w:vMerge w:val="continue"/>
            <w:tcBorders>
              <w:tl2br w:val="nil"/>
              <w:tr2bl w:val="nil"/>
            </w:tcBorders>
            <w:shd w:val="clear" w:color="auto" w:fill="auto"/>
            <w:noWrap w:val="0"/>
            <w:vAlign w:val="center"/>
          </w:tcPr>
          <w:p w14:paraId="08DB9AB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280" w:type="pct"/>
            <w:tcBorders>
              <w:tl2br w:val="nil"/>
              <w:tr2bl w:val="nil"/>
            </w:tcBorders>
            <w:shd w:val="clear" w:color="auto" w:fill="auto"/>
            <w:noWrap w:val="0"/>
            <w:vAlign w:val="center"/>
          </w:tcPr>
          <w:p w14:paraId="39D3F33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w:t>
            </w:r>
          </w:p>
        </w:tc>
        <w:tc>
          <w:tcPr>
            <w:tcW w:w="241" w:type="pct"/>
            <w:tcBorders>
              <w:tl2br w:val="nil"/>
              <w:tr2bl w:val="nil"/>
            </w:tcBorders>
            <w:shd w:val="clear" w:color="auto" w:fill="auto"/>
            <w:noWrap w:val="0"/>
            <w:vAlign w:val="center"/>
          </w:tcPr>
          <w:p w14:paraId="4DD3F36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-6</w:t>
            </w:r>
          </w:p>
        </w:tc>
        <w:tc>
          <w:tcPr>
            <w:tcW w:w="225" w:type="pct"/>
            <w:tcBorders>
              <w:tl2br w:val="nil"/>
              <w:tr2bl w:val="nil"/>
            </w:tcBorders>
            <w:shd w:val="clear" w:color="auto" w:fill="auto"/>
            <w:noWrap w:val="0"/>
            <w:vAlign w:val="center"/>
          </w:tcPr>
          <w:p w14:paraId="465DE0C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1.2</w:t>
            </w:r>
          </w:p>
        </w:tc>
        <w:tc>
          <w:tcPr>
            <w:tcW w:w="307" w:type="pct"/>
            <w:tcBorders>
              <w:tl2br w:val="nil"/>
              <w:tr2bl w:val="nil"/>
            </w:tcBorders>
            <w:shd w:val="clear" w:color="auto" w:fill="auto"/>
            <w:noWrap w:val="0"/>
            <w:vAlign w:val="center"/>
          </w:tcPr>
          <w:p w14:paraId="469D263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7.6</w:t>
            </w:r>
          </w:p>
        </w:tc>
        <w:tc>
          <w:tcPr>
            <w:tcW w:w="330" w:type="pct"/>
            <w:tcBorders>
              <w:tl2br w:val="nil"/>
              <w:tr2bl w:val="nil"/>
            </w:tcBorders>
            <w:shd w:val="clear" w:color="auto" w:fill="auto"/>
            <w:noWrap w:val="0"/>
            <w:vAlign w:val="center"/>
          </w:tcPr>
          <w:p w14:paraId="39B1D1D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60.6</w:t>
            </w:r>
          </w:p>
        </w:tc>
        <w:tc>
          <w:tcPr>
            <w:tcW w:w="209" w:type="pct"/>
            <w:vMerge w:val="continue"/>
            <w:tcBorders>
              <w:tl2br w:val="nil"/>
              <w:tr2bl w:val="nil"/>
            </w:tcBorders>
            <w:shd w:val="clear" w:color="auto" w:fill="auto"/>
            <w:noWrap w:val="0"/>
            <w:vAlign w:val="center"/>
          </w:tcPr>
          <w:p w14:paraId="5594A8F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308" w:type="pct"/>
            <w:tcBorders>
              <w:tl2br w:val="nil"/>
              <w:tr2bl w:val="nil"/>
            </w:tcBorders>
            <w:shd w:val="clear" w:color="auto" w:fill="auto"/>
            <w:noWrap w:val="0"/>
            <w:vAlign w:val="center"/>
          </w:tcPr>
          <w:p w14:paraId="4888E98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2E0278A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34.6</w:t>
            </w:r>
          </w:p>
        </w:tc>
        <w:tc>
          <w:tcPr>
            <w:tcW w:w="283" w:type="pct"/>
            <w:tcBorders>
              <w:tl2br w:val="nil"/>
              <w:tr2bl w:val="nil"/>
            </w:tcBorders>
            <w:shd w:val="clear" w:color="auto" w:fill="auto"/>
            <w:noWrap w:val="0"/>
            <w:vAlign w:val="center"/>
          </w:tcPr>
          <w:p w14:paraId="186F7C3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w:t>
            </w:r>
          </w:p>
        </w:tc>
      </w:tr>
      <w:tr w14:paraId="7F825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55B7228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p>
        </w:tc>
        <w:tc>
          <w:tcPr>
            <w:tcW w:w="269" w:type="pct"/>
            <w:vMerge w:val="continue"/>
            <w:tcBorders>
              <w:tl2br w:val="nil"/>
              <w:tr2bl w:val="nil"/>
            </w:tcBorders>
            <w:shd w:val="clear" w:color="auto" w:fill="auto"/>
            <w:noWrap w:val="0"/>
            <w:vAlign w:val="center"/>
          </w:tcPr>
          <w:p w14:paraId="18BEEDC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continue"/>
            <w:tcBorders>
              <w:tl2br w:val="nil"/>
              <w:tr2bl w:val="nil"/>
            </w:tcBorders>
            <w:shd w:val="clear" w:color="auto" w:fill="auto"/>
            <w:noWrap w:val="0"/>
            <w:vAlign w:val="center"/>
          </w:tcPr>
          <w:p w14:paraId="5DBF796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728" w:type="pct"/>
            <w:tcBorders>
              <w:tl2br w:val="nil"/>
              <w:tr2bl w:val="nil"/>
            </w:tcBorders>
            <w:shd w:val="clear" w:color="auto" w:fill="auto"/>
            <w:noWrap w:val="0"/>
            <w:vAlign w:val="center"/>
          </w:tcPr>
          <w:p w14:paraId="5AF38BF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空压机</w:t>
            </w:r>
          </w:p>
        </w:tc>
        <w:tc>
          <w:tcPr>
            <w:tcW w:w="450" w:type="pct"/>
            <w:tcBorders>
              <w:tl2br w:val="nil"/>
              <w:tr2bl w:val="nil"/>
            </w:tcBorders>
            <w:shd w:val="clear" w:color="auto" w:fill="auto"/>
            <w:noWrap w:val="0"/>
            <w:vAlign w:val="center"/>
          </w:tcPr>
          <w:p w14:paraId="13CFDB2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80</w:t>
            </w:r>
          </w:p>
        </w:tc>
        <w:tc>
          <w:tcPr>
            <w:tcW w:w="587" w:type="pct"/>
            <w:vMerge w:val="restart"/>
            <w:tcBorders>
              <w:tl2br w:val="nil"/>
              <w:tr2bl w:val="nil"/>
            </w:tcBorders>
            <w:shd w:val="clear" w:color="auto" w:fill="auto"/>
            <w:noWrap w:val="0"/>
            <w:vAlign w:val="center"/>
          </w:tcPr>
          <w:p w14:paraId="765164B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hint="default" w:ascii="Times New Roman" w:hAnsi="Times New Roman" w:eastAsia="宋体" w:cs="Times New Roman"/>
                <w:b w:val="0"/>
                <w:color w:val="auto"/>
                <w:sz w:val="21"/>
                <w:lang w:val="en-US" w:eastAsia="zh-CN"/>
              </w:rPr>
              <w:t>选用低噪设备、基础减振、建筑隔声等</w:t>
            </w:r>
          </w:p>
        </w:tc>
        <w:tc>
          <w:tcPr>
            <w:tcW w:w="280" w:type="pct"/>
            <w:tcBorders>
              <w:tl2br w:val="nil"/>
              <w:tr2bl w:val="nil"/>
            </w:tcBorders>
            <w:shd w:val="clear" w:color="auto" w:fill="auto"/>
            <w:noWrap w:val="0"/>
            <w:vAlign w:val="center"/>
          </w:tcPr>
          <w:p w14:paraId="0365332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w:t>
            </w:r>
          </w:p>
        </w:tc>
        <w:tc>
          <w:tcPr>
            <w:tcW w:w="241" w:type="pct"/>
            <w:tcBorders>
              <w:tl2br w:val="nil"/>
              <w:tr2bl w:val="nil"/>
            </w:tcBorders>
            <w:shd w:val="clear" w:color="auto" w:fill="auto"/>
            <w:noWrap w:val="0"/>
            <w:vAlign w:val="center"/>
          </w:tcPr>
          <w:p w14:paraId="415FFC9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-7</w:t>
            </w:r>
          </w:p>
        </w:tc>
        <w:tc>
          <w:tcPr>
            <w:tcW w:w="225" w:type="pct"/>
            <w:tcBorders>
              <w:tl2br w:val="nil"/>
              <w:tr2bl w:val="nil"/>
            </w:tcBorders>
            <w:shd w:val="clear" w:color="auto" w:fill="auto"/>
            <w:noWrap w:val="0"/>
            <w:vAlign w:val="center"/>
          </w:tcPr>
          <w:p w14:paraId="1D0A41E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0.5</w:t>
            </w:r>
          </w:p>
        </w:tc>
        <w:tc>
          <w:tcPr>
            <w:tcW w:w="307" w:type="pct"/>
            <w:tcBorders>
              <w:tl2br w:val="nil"/>
              <w:tr2bl w:val="nil"/>
            </w:tcBorders>
            <w:shd w:val="clear" w:color="auto" w:fill="auto"/>
            <w:noWrap w:val="0"/>
            <w:vAlign w:val="center"/>
          </w:tcPr>
          <w:p w14:paraId="21F4B79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3.8</w:t>
            </w:r>
          </w:p>
        </w:tc>
        <w:tc>
          <w:tcPr>
            <w:tcW w:w="330" w:type="pct"/>
            <w:tcBorders>
              <w:tl2br w:val="nil"/>
              <w:tr2bl w:val="nil"/>
            </w:tcBorders>
            <w:shd w:val="clear" w:color="auto" w:fill="auto"/>
            <w:noWrap w:val="0"/>
            <w:vAlign w:val="center"/>
          </w:tcPr>
          <w:p w14:paraId="0DE9FA6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61.1</w:t>
            </w:r>
          </w:p>
        </w:tc>
        <w:tc>
          <w:tcPr>
            <w:tcW w:w="209" w:type="pct"/>
            <w:vMerge w:val="continue"/>
            <w:tcBorders>
              <w:tl2br w:val="nil"/>
              <w:tr2bl w:val="nil"/>
            </w:tcBorders>
            <w:shd w:val="clear" w:color="auto" w:fill="auto"/>
            <w:noWrap w:val="0"/>
            <w:vAlign w:val="center"/>
          </w:tcPr>
          <w:p w14:paraId="355CAB6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308" w:type="pct"/>
            <w:tcBorders>
              <w:tl2br w:val="nil"/>
              <w:tr2bl w:val="nil"/>
            </w:tcBorders>
            <w:shd w:val="clear" w:color="auto" w:fill="auto"/>
            <w:noWrap w:val="0"/>
            <w:vAlign w:val="center"/>
          </w:tcPr>
          <w:p w14:paraId="4833050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0A92685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35.1</w:t>
            </w:r>
          </w:p>
        </w:tc>
        <w:tc>
          <w:tcPr>
            <w:tcW w:w="283" w:type="pct"/>
            <w:tcBorders>
              <w:tl2br w:val="nil"/>
              <w:tr2bl w:val="nil"/>
            </w:tcBorders>
            <w:shd w:val="clear" w:color="auto" w:fill="auto"/>
            <w:noWrap w:val="0"/>
            <w:vAlign w:val="center"/>
          </w:tcPr>
          <w:p w14:paraId="1B1F1F1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w:t>
            </w:r>
          </w:p>
        </w:tc>
      </w:tr>
      <w:tr w14:paraId="7A4AD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vMerge w:val="continue"/>
            <w:tcBorders>
              <w:tl2br w:val="nil"/>
              <w:tr2bl w:val="nil"/>
            </w:tcBorders>
            <w:shd w:val="clear" w:color="auto" w:fill="auto"/>
            <w:noWrap w:val="0"/>
            <w:vAlign w:val="center"/>
          </w:tcPr>
          <w:p w14:paraId="6C49769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p>
        </w:tc>
        <w:tc>
          <w:tcPr>
            <w:tcW w:w="269" w:type="pct"/>
            <w:vMerge w:val="continue"/>
            <w:tcBorders>
              <w:tl2br w:val="nil"/>
              <w:tr2bl w:val="nil"/>
            </w:tcBorders>
            <w:shd w:val="clear" w:color="auto" w:fill="auto"/>
            <w:noWrap w:val="0"/>
            <w:vAlign w:val="center"/>
          </w:tcPr>
          <w:p w14:paraId="0A9761F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288" w:type="pct"/>
            <w:vMerge w:val="continue"/>
            <w:tcBorders>
              <w:tl2br w:val="nil"/>
              <w:tr2bl w:val="nil"/>
            </w:tcBorders>
            <w:shd w:val="clear" w:color="auto" w:fill="auto"/>
            <w:noWrap w:val="0"/>
            <w:vAlign w:val="center"/>
          </w:tcPr>
          <w:p w14:paraId="26D2E4F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728" w:type="pct"/>
            <w:tcBorders>
              <w:tl2br w:val="nil"/>
              <w:tr2bl w:val="nil"/>
            </w:tcBorders>
            <w:shd w:val="clear" w:color="auto" w:fill="auto"/>
            <w:noWrap w:val="0"/>
            <w:vAlign w:val="center"/>
          </w:tcPr>
          <w:p w14:paraId="0F005A1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水泵</w:t>
            </w:r>
          </w:p>
        </w:tc>
        <w:tc>
          <w:tcPr>
            <w:tcW w:w="450" w:type="pct"/>
            <w:tcBorders>
              <w:tl2br w:val="nil"/>
              <w:tr2bl w:val="nil"/>
            </w:tcBorders>
            <w:shd w:val="clear" w:color="auto" w:fill="auto"/>
            <w:noWrap w:val="0"/>
            <w:vAlign w:val="center"/>
          </w:tcPr>
          <w:p w14:paraId="2C426FA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80</w:t>
            </w:r>
          </w:p>
        </w:tc>
        <w:tc>
          <w:tcPr>
            <w:tcW w:w="587" w:type="pct"/>
            <w:vMerge w:val="continue"/>
            <w:tcBorders>
              <w:tl2br w:val="nil"/>
              <w:tr2bl w:val="nil"/>
            </w:tcBorders>
            <w:shd w:val="clear" w:color="auto" w:fill="auto"/>
            <w:noWrap w:val="0"/>
            <w:vAlign w:val="center"/>
          </w:tcPr>
          <w:p w14:paraId="2C1773F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280" w:type="pct"/>
            <w:tcBorders>
              <w:tl2br w:val="nil"/>
              <w:tr2bl w:val="nil"/>
            </w:tcBorders>
            <w:shd w:val="clear" w:color="auto" w:fill="auto"/>
            <w:noWrap w:val="0"/>
            <w:vAlign w:val="center"/>
          </w:tcPr>
          <w:p w14:paraId="03C8EE4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w:t>
            </w:r>
          </w:p>
        </w:tc>
        <w:tc>
          <w:tcPr>
            <w:tcW w:w="241" w:type="pct"/>
            <w:tcBorders>
              <w:tl2br w:val="nil"/>
              <w:tr2bl w:val="nil"/>
            </w:tcBorders>
            <w:shd w:val="clear" w:color="auto" w:fill="auto"/>
            <w:noWrap w:val="0"/>
            <w:vAlign w:val="center"/>
          </w:tcPr>
          <w:p w14:paraId="663D256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w:t>
            </w:r>
          </w:p>
        </w:tc>
        <w:tc>
          <w:tcPr>
            <w:tcW w:w="225" w:type="pct"/>
            <w:tcBorders>
              <w:tl2br w:val="nil"/>
              <w:tr2bl w:val="nil"/>
            </w:tcBorders>
            <w:shd w:val="clear" w:color="auto" w:fill="auto"/>
            <w:noWrap w:val="0"/>
            <w:vAlign w:val="center"/>
          </w:tcPr>
          <w:p w14:paraId="52F02CF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0.1</w:t>
            </w:r>
          </w:p>
        </w:tc>
        <w:tc>
          <w:tcPr>
            <w:tcW w:w="307" w:type="pct"/>
            <w:tcBorders>
              <w:tl2br w:val="nil"/>
              <w:tr2bl w:val="nil"/>
            </w:tcBorders>
            <w:shd w:val="clear" w:color="auto" w:fill="auto"/>
            <w:noWrap w:val="0"/>
            <w:vAlign w:val="center"/>
          </w:tcPr>
          <w:p w14:paraId="6D9FEFA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2.8</w:t>
            </w:r>
          </w:p>
        </w:tc>
        <w:tc>
          <w:tcPr>
            <w:tcW w:w="330" w:type="pct"/>
            <w:tcBorders>
              <w:tl2br w:val="nil"/>
              <w:tr2bl w:val="nil"/>
            </w:tcBorders>
            <w:shd w:val="clear" w:color="auto" w:fill="auto"/>
            <w:noWrap w:val="0"/>
            <w:vAlign w:val="center"/>
          </w:tcPr>
          <w:p w14:paraId="5860493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66.6</w:t>
            </w:r>
          </w:p>
        </w:tc>
        <w:tc>
          <w:tcPr>
            <w:tcW w:w="209" w:type="pct"/>
            <w:vMerge w:val="continue"/>
            <w:tcBorders>
              <w:tl2br w:val="nil"/>
              <w:tr2bl w:val="nil"/>
            </w:tcBorders>
            <w:shd w:val="clear" w:color="auto" w:fill="auto"/>
            <w:noWrap w:val="0"/>
            <w:vAlign w:val="center"/>
          </w:tcPr>
          <w:p w14:paraId="38437FB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p>
        </w:tc>
        <w:tc>
          <w:tcPr>
            <w:tcW w:w="308" w:type="pct"/>
            <w:tcBorders>
              <w:tl2br w:val="nil"/>
              <w:tr2bl w:val="nil"/>
            </w:tcBorders>
            <w:shd w:val="clear" w:color="auto" w:fill="auto"/>
            <w:noWrap w:val="0"/>
            <w:vAlign w:val="center"/>
          </w:tcPr>
          <w:p w14:paraId="78BBA59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09B1F9A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40.6</w:t>
            </w:r>
          </w:p>
        </w:tc>
        <w:tc>
          <w:tcPr>
            <w:tcW w:w="283" w:type="pct"/>
            <w:tcBorders>
              <w:tl2br w:val="nil"/>
              <w:tr2bl w:val="nil"/>
            </w:tcBorders>
            <w:shd w:val="clear" w:color="auto" w:fill="auto"/>
            <w:noWrap w:val="0"/>
            <w:vAlign w:val="center"/>
          </w:tcPr>
          <w:p w14:paraId="5F11385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lang w:val="en-US" w:eastAsia="en-US"/>
              </w:rPr>
            </w:pPr>
            <w:r>
              <w:rPr>
                <w:rFonts w:ascii="Times New Roman" w:hAnsi="Times New Roman" w:eastAsia="宋体" w:cs="Times New Roman"/>
                <w:b w:val="0"/>
                <w:color w:val="auto"/>
                <w:sz w:val="21"/>
              </w:rPr>
              <w:t>1</w:t>
            </w:r>
          </w:p>
        </w:tc>
      </w:tr>
      <w:tr w14:paraId="02598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5" w:type="pct"/>
            <w:tcBorders>
              <w:tl2br w:val="nil"/>
              <w:tr2bl w:val="nil"/>
            </w:tcBorders>
            <w:shd w:val="clear" w:color="auto" w:fill="auto"/>
            <w:noWrap w:val="0"/>
            <w:vAlign w:val="center"/>
          </w:tcPr>
          <w:p w14:paraId="4916DC2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2</w:t>
            </w:r>
          </w:p>
        </w:tc>
        <w:tc>
          <w:tcPr>
            <w:tcW w:w="269" w:type="pct"/>
            <w:tcBorders>
              <w:tl2br w:val="nil"/>
              <w:tr2bl w:val="nil"/>
            </w:tcBorders>
            <w:shd w:val="clear" w:color="auto" w:fill="auto"/>
            <w:noWrap w:val="0"/>
            <w:vAlign w:val="center"/>
          </w:tcPr>
          <w:p w14:paraId="430A6B4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hint="eastAsia" w:ascii="Times New Roman" w:hAnsi="Times New Roman" w:eastAsia="宋体" w:cs="Times New Roman"/>
                <w:b w:val="0"/>
                <w:color w:val="auto"/>
                <w:sz w:val="21"/>
                <w:lang w:val="en-US" w:eastAsia="zh-CN"/>
              </w:rPr>
              <w:t>循环水池</w:t>
            </w:r>
            <w:r>
              <w:rPr>
                <w:rFonts w:ascii="Times New Roman" w:hAnsi="Times New Roman" w:eastAsia="宋体" w:cs="Times New Roman"/>
                <w:b w:val="0"/>
                <w:color w:val="auto"/>
                <w:sz w:val="21"/>
              </w:rPr>
              <w:t>泵房</w:t>
            </w:r>
          </w:p>
        </w:tc>
        <w:tc>
          <w:tcPr>
            <w:tcW w:w="288" w:type="pct"/>
            <w:tcBorders>
              <w:tl2br w:val="nil"/>
              <w:tr2bl w:val="nil"/>
            </w:tcBorders>
            <w:shd w:val="clear" w:color="auto" w:fill="auto"/>
            <w:noWrap w:val="0"/>
            <w:vAlign w:val="center"/>
          </w:tcPr>
          <w:p w14:paraId="74BA21C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造粒生产线</w:t>
            </w:r>
          </w:p>
        </w:tc>
        <w:tc>
          <w:tcPr>
            <w:tcW w:w="728" w:type="pct"/>
            <w:tcBorders>
              <w:tl2br w:val="nil"/>
              <w:tr2bl w:val="nil"/>
            </w:tcBorders>
            <w:shd w:val="clear" w:color="auto" w:fill="auto"/>
            <w:noWrap w:val="0"/>
            <w:vAlign w:val="center"/>
          </w:tcPr>
          <w:p w14:paraId="1281E00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水泵</w:t>
            </w:r>
          </w:p>
        </w:tc>
        <w:tc>
          <w:tcPr>
            <w:tcW w:w="450" w:type="pct"/>
            <w:tcBorders>
              <w:tl2br w:val="nil"/>
              <w:tr2bl w:val="nil"/>
            </w:tcBorders>
            <w:shd w:val="clear" w:color="auto" w:fill="auto"/>
            <w:noWrap w:val="0"/>
            <w:vAlign w:val="center"/>
          </w:tcPr>
          <w:p w14:paraId="4E5DB52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ascii="Times New Roman" w:hAnsi="Times New Roman" w:eastAsia="宋体" w:cs="Times New Roman"/>
                <w:b w:val="0"/>
                <w:color w:val="auto"/>
                <w:sz w:val="21"/>
              </w:rPr>
              <w:t>80（等效后：84.8</w:t>
            </w:r>
            <w:r>
              <w:rPr>
                <w:rFonts w:hint="eastAsia" w:ascii="Times New Roman" w:hAnsi="Times New Roman" w:eastAsia="宋体" w:cs="Times New Roman"/>
                <w:b w:val="0"/>
                <w:color w:val="auto"/>
                <w:sz w:val="21"/>
                <w:lang w:eastAsia="zh-CN"/>
              </w:rPr>
              <w:t>）</w:t>
            </w:r>
          </w:p>
        </w:tc>
        <w:tc>
          <w:tcPr>
            <w:tcW w:w="587" w:type="pct"/>
            <w:tcBorders>
              <w:tl2br w:val="nil"/>
              <w:tr2bl w:val="nil"/>
            </w:tcBorders>
            <w:shd w:val="clear" w:color="auto" w:fill="auto"/>
            <w:noWrap w:val="0"/>
            <w:vAlign w:val="center"/>
          </w:tcPr>
          <w:p w14:paraId="5C4C1F4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hint="default" w:ascii="Times New Roman" w:hAnsi="Times New Roman" w:eastAsia="宋体" w:cs="Times New Roman"/>
                <w:b w:val="0"/>
                <w:color w:val="auto"/>
                <w:sz w:val="21"/>
                <w:lang w:val="en-US" w:eastAsia="zh-CN"/>
              </w:rPr>
              <w:t>选用低噪设备、基础减振、设隔声设备间</w:t>
            </w:r>
          </w:p>
        </w:tc>
        <w:tc>
          <w:tcPr>
            <w:tcW w:w="280" w:type="pct"/>
            <w:tcBorders>
              <w:tl2br w:val="nil"/>
              <w:tr2bl w:val="nil"/>
            </w:tcBorders>
            <w:shd w:val="clear" w:color="auto" w:fill="auto"/>
            <w:noWrap w:val="0"/>
            <w:vAlign w:val="center"/>
          </w:tcPr>
          <w:p w14:paraId="5D11453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color w:val="auto"/>
                <w:sz w:val="21"/>
                <w:lang w:eastAsia="zh-CN"/>
              </w:rPr>
            </w:pPr>
            <w:r>
              <w:rPr>
                <w:rFonts w:hint="eastAsia" w:ascii="Times New Roman" w:hAnsi="Times New Roman" w:eastAsia="宋体" w:cs="Times New Roman"/>
                <w:b w:val="0"/>
                <w:color w:val="auto"/>
                <w:sz w:val="21"/>
                <w:lang w:val="en-US" w:eastAsia="zh-CN"/>
              </w:rPr>
              <w:t>9</w:t>
            </w:r>
          </w:p>
        </w:tc>
        <w:tc>
          <w:tcPr>
            <w:tcW w:w="241" w:type="pct"/>
            <w:tcBorders>
              <w:tl2br w:val="nil"/>
              <w:tr2bl w:val="nil"/>
            </w:tcBorders>
            <w:shd w:val="clear" w:color="auto" w:fill="auto"/>
            <w:noWrap w:val="0"/>
            <w:vAlign w:val="center"/>
          </w:tcPr>
          <w:p w14:paraId="3024A64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color w:val="auto"/>
                <w:sz w:val="21"/>
                <w:lang w:val="en-US" w:eastAsia="zh-CN"/>
              </w:rPr>
            </w:pPr>
            <w:r>
              <w:rPr>
                <w:rFonts w:hint="eastAsia" w:ascii="Times New Roman" w:hAnsi="Times New Roman" w:eastAsia="宋体" w:cs="Times New Roman"/>
                <w:b w:val="0"/>
                <w:color w:val="auto"/>
                <w:sz w:val="21"/>
                <w:lang w:val="en-US" w:eastAsia="zh-CN"/>
              </w:rPr>
              <w:t>15</w:t>
            </w:r>
          </w:p>
        </w:tc>
        <w:tc>
          <w:tcPr>
            <w:tcW w:w="225" w:type="pct"/>
            <w:tcBorders>
              <w:tl2br w:val="nil"/>
              <w:tr2bl w:val="nil"/>
            </w:tcBorders>
            <w:shd w:val="clear" w:color="auto" w:fill="auto"/>
            <w:noWrap w:val="0"/>
            <w:vAlign w:val="center"/>
          </w:tcPr>
          <w:p w14:paraId="7B03D24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0.1</w:t>
            </w:r>
          </w:p>
        </w:tc>
        <w:tc>
          <w:tcPr>
            <w:tcW w:w="307" w:type="pct"/>
            <w:tcBorders>
              <w:tl2br w:val="nil"/>
              <w:tr2bl w:val="nil"/>
            </w:tcBorders>
            <w:shd w:val="clear" w:color="auto" w:fill="auto"/>
            <w:noWrap w:val="0"/>
            <w:vAlign w:val="center"/>
          </w:tcPr>
          <w:p w14:paraId="4284669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2.5</w:t>
            </w:r>
          </w:p>
        </w:tc>
        <w:tc>
          <w:tcPr>
            <w:tcW w:w="330" w:type="pct"/>
            <w:tcBorders>
              <w:tl2br w:val="nil"/>
              <w:tr2bl w:val="nil"/>
            </w:tcBorders>
            <w:shd w:val="clear" w:color="auto" w:fill="auto"/>
            <w:noWrap w:val="0"/>
            <w:vAlign w:val="center"/>
          </w:tcPr>
          <w:p w14:paraId="0071AD7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85.0</w:t>
            </w:r>
          </w:p>
        </w:tc>
        <w:tc>
          <w:tcPr>
            <w:tcW w:w="209" w:type="pct"/>
            <w:vMerge w:val="continue"/>
            <w:tcBorders>
              <w:tl2br w:val="nil"/>
              <w:tr2bl w:val="nil"/>
            </w:tcBorders>
            <w:shd w:val="clear" w:color="auto" w:fill="auto"/>
            <w:noWrap w:val="0"/>
            <w:vAlign w:val="center"/>
          </w:tcPr>
          <w:p w14:paraId="6E12DC9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p>
        </w:tc>
        <w:tc>
          <w:tcPr>
            <w:tcW w:w="308" w:type="pct"/>
            <w:tcBorders>
              <w:tl2br w:val="nil"/>
              <w:tr2bl w:val="nil"/>
            </w:tcBorders>
            <w:shd w:val="clear" w:color="auto" w:fill="auto"/>
            <w:noWrap w:val="0"/>
            <w:vAlign w:val="center"/>
          </w:tcPr>
          <w:p w14:paraId="009BA1A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26.0</w:t>
            </w:r>
          </w:p>
        </w:tc>
        <w:tc>
          <w:tcPr>
            <w:tcW w:w="303" w:type="pct"/>
            <w:tcBorders>
              <w:tl2br w:val="nil"/>
              <w:tr2bl w:val="nil"/>
            </w:tcBorders>
            <w:shd w:val="clear" w:color="auto" w:fill="auto"/>
            <w:noWrap w:val="0"/>
            <w:vAlign w:val="center"/>
          </w:tcPr>
          <w:p w14:paraId="26E28D1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59.0</w:t>
            </w:r>
          </w:p>
        </w:tc>
        <w:tc>
          <w:tcPr>
            <w:tcW w:w="283" w:type="pct"/>
            <w:tcBorders>
              <w:tl2br w:val="nil"/>
              <w:tr2bl w:val="nil"/>
            </w:tcBorders>
            <w:shd w:val="clear" w:color="auto" w:fill="auto"/>
            <w:noWrap w:val="0"/>
            <w:vAlign w:val="center"/>
          </w:tcPr>
          <w:p w14:paraId="6BDADED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ascii="Times New Roman" w:hAnsi="Times New Roman" w:eastAsia="宋体" w:cs="Times New Roman"/>
                <w:b w:val="0"/>
                <w:color w:val="auto"/>
                <w:sz w:val="21"/>
              </w:rPr>
              <w:t>1</w:t>
            </w:r>
          </w:p>
        </w:tc>
      </w:tr>
      <w:tr w14:paraId="72009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000" w:type="pct"/>
            <w:gridSpan w:val="15"/>
            <w:tcBorders>
              <w:tl2br w:val="nil"/>
              <w:tr2bl w:val="nil"/>
            </w:tcBorders>
            <w:shd w:val="clear" w:color="auto" w:fill="auto"/>
            <w:noWrap w:val="0"/>
            <w:vAlign w:val="center"/>
          </w:tcPr>
          <w:p w14:paraId="658CD48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val="0"/>
                <w:color w:val="auto"/>
                <w:sz w:val="21"/>
              </w:rPr>
            </w:pPr>
            <w:r>
              <w:rPr>
                <w:rFonts w:hint="eastAsia" w:ascii="Times New Roman" w:hAnsi="Times New Roman" w:eastAsia="宋体" w:cs="Times New Roman"/>
                <w:b w:val="0"/>
                <w:color w:val="auto"/>
                <w:sz w:val="21"/>
              </w:rPr>
              <w:t>表中坐标以</w:t>
            </w:r>
            <w:r>
              <w:rPr>
                <w:rFonts w:hint="eastAsia" w:ascii="Times New Roman" w:hAnsi="Times New Roman" w:eastAsia="宋体" w:cs="Times New Roman"/>
                <w:b w:val="0"/>
                <w:color w:val="auto"/>
                <w:sz w:val="21"/>
                <w:lang w:val="en-US" w:eastAsia="zh-CN"/>
              </w:rPr>
              <w:t>厂房</w:t>
            </w:r>
            <w:r>
              <w:rPr>
                <w:rFonts w:hint="eastAsia" w:ascii="Times New Roman" w:hAnsi="Times New Roman" w:eastAsia="宋体" w:cs="Times New Roman"/>
                <w:b w:val="0"/>
                <w:color w:val="auto"/>
                <w:sz w:val="21"/>
              </w:rPr>
              <w:t>中心（90.071597681</w:t>
            </w:r>
            <w:r>
              <w:rPr>
                <w:rFonts w:hint="eastAsia" w:ascii="Times New Roman" w:hAnsi="Times New Roman" w:eastAsia="宋体" w:cs="Times New Roman"/>
                <w:b w:val="0"/>
                <w:color w:val="auto"/>
                <w:sz w:val="21"/>
                <w:lang w:eastAsia="zh-CN"/>
              </w:rPr>
              <w:t>，44.061640550</w:t>
            </w:r>
            <w:r>
              <w:rPr>
                <w:rFonts w:hint="eastAsia" w:ascii="Times New Roman" w:hAnsi="Times New Roman" w:eastAsia="宋体" w:cs="Times New Roman"/>
                <w:b w:val="0"/>
                <w:color w:val="auto"/>
                <w:sz w:val="21"/>
              </w:rPr>
              <w:t>）为坐标原点，正东向为X轴正方向，正北向为Y轴正方向</w:t>
            </w:r>
          </w:p>
        </w:tc>
      </w:tr>
    </w:tbl>
    <w:p w14:paraId="3DE22D2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37" w:type="default"/>
          <w:footerReference r:id="rId38" w:type="default"/>
          <w:pgSz w:w="16838" w:h="11906" w:orient="landscape"/>
          <w:pgMar w:top="1771" w:right="1136" w:bottom="1730" w:left="1157" w:header="868" w:footer="994" w:gutter="0"/>
          <w:pgBorders>
            <w:top w:val="none" w:sz="0" w:space="0"/>
            <w:left w:val="none" w:sz="0" w:space="0"/>
            <w:bottom w:val="none" w:sz="0" w:space="0"/>
            <w:right w:val="none" w:sz="0" w:space="0"/>
          </w:pgBorders>
          <w:cols w:space="720" w:num="1"/>
        </w:sectPr>
      </w:pPr>
    </w:p>
    <w:p w14:paraId="37D093B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（4）基础数据</w:t>
      </w:r>
    </w:p>
    <w:p w14:paraId="57C0D29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项目噪声环境影响预测基础数据见表5.2-1</w:t>
      </w:r>
      <w:r>
        <w:rPr>
          <w:rFonts w:hint="eastAsia" w:ascii="Times New Roman" w:hAnsi="Times New Roman"/>
          <w:snapToGrid/>
          <w:color w:val="auto"/>
          <w:sz w:val="24"/>
          <w:szCs w:val="24"/>
          <w:lang w:val="en-US" w:eastAsia="zh-CN"/>
        </w:rPr>
        <w:t>4</w:t>
      </w:r>
      <w:r>
        <w:rPr>
          <w:rFonts w:ascii="Times New Roman" w:hAnsi="Times New Roman"/>
          <w:snapToGrid/>
          <w:color w:val="auto"/>
          <w:sz w:val="24"/>
          <w:szCs w:val="24"/>
          <w:lang w:eastAsia="zh-CN"/>
        </w:rPr>
        <w:t>。</w:t>
      </w:r>
    </w:p>
    <w:p w14:paraId="1B5BBA48">
      <w:pPr>
        <w:pStyle w:val="2"/>
        <w:widowControl w:val="0"/>
        <w:shd w:val="clear"/>
        <w:kinsoku/>
        <w:autoSpaceDE/>
        <w:autoSpaceDN/>
        <w:adjustRightInd/>
        <w:snapToGrid/>
        <w:spacing w:line="360" w:lineRule="auto"/>
        <w:jc w:val="center"/>
        <w:textAlignment w:val="auto"/>
        <w:rPr>
          <w:rFonts w:ascii="Times New Roman" w:hAnsi="Times New Roman" w:cs="黑体"/>
          <w:b/>
          <w:bCs/>
          <w:color w:val="auto"/>
          <w:sz w:val="24"/>
          <w:szCs w:val="20"/>
          <w:lang w:eastAsia="zh-CN"/>
        </w:rPr>
      </w:pPr>
      <w:r>
        <w:rPr>
          <w:rFonts w:ascii="Times New Roman" w:hAnsi="Times New Roman" w:cs="黑体"/>
          <w:b/>
          <w:bCs/>
          <w:color w:val="auto"/>
          <w:sz w:val="24"/>
          <w:szCs w:val="20"/>
          <w:lang w:eastAsia="zh-CN"/>
        </w:rPr>
        <w:t>表</w:t>
      </w:r>
      <w:r>
        <w:rPr>
          <w:rFonts w:ascii="Times New Roman" w:hAnsi="Times New Roman"/>
          <w:b/>
          <w:bCs/>
          <w:color w:val="auto"/>
          <w:sz w:val="24"/>
          <w:szCs w:val="20"/>
          <w:lang w:eastAsia="zh-CN"/>
        </w:rPr>
        <w:t>5.2-1</w:t>
      </w:r>
      <w:r>
        <w:rPr>
          <w:rFonts w:hint="eastAsia" w:ascii="Times New Roman" w:hAnsi="Times New Roman"/>
          <w:b/>
          <w:bCs/>
          <w:color w:val="auto"/>
          <w:sz w:val="24"/>
          <w:szCs w:val="20"/>
          <w:lang w:val="en-US" w:eastAsia="zh-CN"/>
        </w:rPr>
        <w:t>4</w:t>
      </w:r>
      <w:r>
        <w:rPr>
          <w:rFonts w:ascii="Times New Roman" w:hAnsi="Times New Roman" w:cs="黑体"/>
          <w:b/>
          <w:bCs/>
          <w:color w:val="auto"/>
          <w:sz w:val="24"/>
          <w:szCs w:val="20"/>
          <w:lang w:eastAsia="zh-CN"/>
        </w:rPr>
        <w:t>项目噪声环境影响预测基础数据表</w:t>
      </w:r>
    </w:p>
    <w:tbl>
      <w:tblPr>
        <w:tblStyle w:val="36"/>
        <w:tblW w:w="85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2783"/>
        <w:gridCol w:w="2123"/>
        <w:gridCol w:w="2139"/>
      </w:tblGrid>
      <w:tr w14:paraId="293C5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479" w:type="dxa"/>
            <w:tcBorders>
              <w:top w:val="single" w:color="000000" w:sz="10" w:space="0"/>
              <w:left w:val="single" w:color="000000" w:sz="10" w:space="0"/>
            </w:tcBorders>
            <w:vAlign w:val="center"/>
          </w:tcPr>
          <w:p w14:paraId="29062450">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序号</w:t>
            </w:r>
          </w:p>
        </w:tc>
        <w:tc>
          <w:tcPr>
            <w:tcW w:w="2783" w:type="dxa"/>
            <w:tcBorders>
              <w:top w:val="single" w:color="000000" w:sz="10" w:space="0"/>
            </w:tcBorders>
            <w:vAlign w:val="center"/>
          </w:tcPr>
          <w:p w14:paraId="6BABE7D4">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名称</w:t>
            </w:r>
          </w:p>
        </w:tc>
        <w:tc>
          <w:tcPr>
            <w:tcW w:w="2123" w:type="dxa"/>
            <w:tcBorders>
              <w:top w:val="single" w:color="000000" w:sz="10" w:space="0"/>
            </w:tcBorders>
            <w:vAlign w:val="center"/>
          </w:tcPr>
          <w:p w14:paraId="3CE996E5">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单位</w:t>
            </w:r>
          </w:p>
        </w:tc>
        <w:tc>
          <w:tcPr>
            <w:tcW w:w="2139" w:type="dxa"/>
            <w:tcBorders>
              <w:top w:val="single" w:color="000000" w:sz="10" w:space="0"/>
              <w:right w:val="single" w:color="000000" w:sz="10" w:space="0"/>
            </w:tcBorders>
            <w:vAlign w:val="center"/>
          </w:tcPr>
          <w:p w14:paraId="684E91CD">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数据</w:t>
            </w:r>
          </w:p>
        </w:tc>
      </w:tr>
      <w:tr w14:paraId="6ADF5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479" w:type="dxa"/>
            <w:tcBorders>
              <w:left w:val="single" w:color="000000" w:sz="10" w:space="0"/>
            </w:tcBorders>
            <w:vAlign w:val="center"/>
          </w:tcPr>
          <w:p w14:paraId="0A15F20E">
            <w:pPr>
              <w:pStyle w:val="37"/>
              <w:shd w:val="clear"/>
              <w:adjustRightInd/>
              <w:snapToGrid/>
              <w:spacing w:line="360" w:lineRule="auto"/>
              <w:jc w:val="center"/>
              <w:rPr>
                <w:rFonts w:eastAsia="宋体"/>
                <w:color w:val="auto"/>
              </w:rPr>
            </w:pPr>
            <w:r>
              <w:rPr>
                <w:rFonts w:eastAsia="宋体"/>
                <w:color w:val="auto"/>
              </w:rPr>
              <w:t>1</w:t>
            </w:r>
          </w:p>
        </w:tc>
        <w:tc>
          <w:tcPr>
            <w:tcW w:w="2783" w:type="dxa"/>
            <w:vAlign w:val="center"/>
          </w:tcPr>
          <w:p w14:paraId="06F3A9E7">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年平均风速</w:t>
            </w:r>
          </w:p>
        </w:tc>
        <w:tc>
          <w:tcPr>
            <w:tcW w:w="2123" w:type="dxa"/>
            <w:vAlign w:val="center"/>
          </w:tcPr>
          <w:p w14:paraId="4CC9B9D7">
            <w:pPr>
              <w:pStyle w:val="37"/>
              <w:shd w:val="clear"/>
              <w:adjustRightInd/>
              <w:snapToGrid/>
              <w:spacing w:line="360" w:lineRule="auto"/>
              <w:jc w:val="center"/>
              <w:rPr>
                <w:rFonts w:eastAsia="宋体"/>
                <w:color w:val="auto"/>
              </w:rPr>
            </w:pPr>
            <w:r>
              <w:rPr>
                <w:rFonts w:eastAsia="宋体"/>
                <w:color w:val="auto"/>
              </w:rPr>
              <w:t>m/s</w:t>
            </w:r>
          </w:p>
        </w:tc>
        <w:tc>
          <w:tcPr>
            <w:tcW w:w="2139" w:type="dxa"/>
            <w:tcBorders>
              <w:right w:val="single" w:color="000000" w:sz="10" w:space="0"/>
            </w:tcBorders>
            <w:vAlign w:val="center"/>
          </w:tcPr>
          <w:p w14:paraId="71EB4C69">
            <w:pPr>
              <w:pStyle w:val="37"/>
              <w:shd w:val="clear"/>
              <w:adjustRightInd/>
              <w:snapToGrid/>
              <w:spacing w:line="360" w:lineRule="auto"/>
              <w:jc w:val="center"/>
              <w:rPr>
                <w:rFonts w:eastAsia="宋体"/>
                <w:color w:val="auto"/>
                <w:lang w:eastAsia="zh-CN"/>
              </w:rPr>
            </w:pPr>
            <w:r>
              <w:rPr>
                <w:rFonts w:hint="eastAsia" w:eastAsia="宋体"/>
                <w:color w:val="auto"/>
                <w:lang w:eastAsia="zh-CN"/>
              </w:rPr>
              <w:t>3.8</w:t>
            </w:r>
          </w:p>
        </w:tc>
      </w:tr>
      <w:tr w14:paraId="4C038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479" w:type="dxa"/>
            <w:tcBorders>
              <w:left w:val="single" w:color="000000" w:sz="10" w:space="0"/>
            </w:tcBorders>
            <w:vAlign w:val="center"/>
          </w:tcPr>
          <w:p w14:paraId="15921CFA">
            <w:pPr>
              <w:pStyle w:val="37"/>
              <w:shd w:val="clear"/>
              <w:adjustRightInd/>
              <w:snapToGrid/>
              <w:spacing w:line="360" w:lineRule="auto"/>
              <w:jc w:val="center"/>
              <w:rPr>
                <w:rFonts w:eastAsia="宋体"/>
                <w:color w:val="auto"/>
              </w:rPr>
            </w:pPr>
            <w:r>
              <w:rPr>
                <w:rFonts w:eastAsia="宋体"/>
                <w:color w:val="auto"/>
              </w:rPr>
              <w:t>2</w:t>
            </w:r>
          </w:p>
        </w:tc>
        <w:tc>
          <w:tcPr>
            <w:tcW w:w="2783" w:type="dxa"/>
            <w:vAlign w:val="center"/>
          </w:tcPr>
          <w:p w14:paraId="216E6D14">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主导风向</w:t>
            </w:r>
          </w:p>
        </w:tc>
        <w:tc>
          <w:tcPr>
            <w:tcW w:w="2123" w:type="dxa"/>
            <w:vAlign w:val="center"/>
          </w:tcPr>
          <w:p w14:paraId="245B4BF8">
            <w:pPr>
              <w:pStyle w:val="37"/>
              <w:shd w:val="clear"/>
              <w:adjustRightInd/>
              <w:snapToGrid/>
              <w:spacing w:line="360" w:lineRule="auto"/>
              <w:jc w:val="center"/>
              <w:rPr>
                <w:rFonts w:eastAsia="宋体"/>
                <w:color w:val="auto"/>
              </w:rPr>
            </w:pPr>
            <w:r>
              <w:rPr>
                <w:rFonts w:eastAsia="宋体"/>
                <w:color w:val="auto"/>
              </w:rPr>
              <w:t>/</w:t>
            </w:r>
          </w:p>
        </w:tc>
        <w:tc>
          <w:tcPr>
            <w:tcW w:w="2139" w:type="dxa"/>
            <w:tcBorders>
              <w:right w:val="single" w:color="000000" w:sz="10" w:space="0"/>
            </w:tcBorders>
            <w:vAlign w:val="center"/>
          </w:tcPr>
          <w:p w14:paraId="5D7E294E">
            <w:pPr>
              <w:shd w:val="clear"/>
              <w:adjustRightInd/>
              <w:snapToGrid/>
              <w:spacing w:line="360" w:lineRule="auto"/>
              <w:jc w:val="center"/>
              <w:rPr>
                <w:rFonts w:ascii="Times New Roman" w:hAnsi="Times New Roman" w:eastAsia="宋体" w:cs="宋体"/>
                <w:color w:val="auto"/>
                <w:szCs w:val="20"/>
                <w:lang w:eastAsia="zh-CN"/>
              </w:rPr>
            </w:pPr>
            <w:r>
              <w:rPr>
                <w:rFonts w:hint="eastAsia" w:ascii="Times New Roman" w:hAnsi="Times New Roman" w:eastAsia="宋体" w:cs="宋体"/>
                <w:color w:val="auto"/>
                <w:szCs w:val="20"/>
                <w:lang w:eastAsia="zh-CN"/>
              </w:rPr>
              <w:t>SSW</w:t>
            </w:r>
          </w:p>
        </w:tc>
      </w:tr>
      <w:tr w14:paraId="2FFC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479" w:type="dxa"/>
            <w:tcBorders>
              <w:left w:val="single" w:color="000000" w:sz="10" w:space="0"/>
            </w:tcBorders>
            <w:vAlign w:val="center"/>
          </w:tcPr>
          <w:p w14:paraId="3EA116EB">
            <w:pPr>
              <w:pStyle w:val="37"/>
              <w:shd w:val="clear"/>
              <w:adjustRightInd/>
              <w:snapToGrid/>
              <w:spacing w:line="360" w:lineRule="auto"/>
              <w:jc w:val="center"/>
              <w:rPr>
                <w:rFonts w:eastAsia="宋体"/>
                <w:color w:val="auto"/>
              </w:rPr>
            </w:pPr>
            <w:r>
              <w:rPr>
                <w:rFonts w:eastAsia="宋体"/>
                <w:color w:val="auto"/>
              </w:rPr>
              <w:t>3</w:t>
            </w:r>
          </w:p>
        </w:tc>
        <w:tc>
          <w:tcPr>
            <w:tcW w:w="2783" w:type="dxa"/>
            <w:vAlign w:val="center"/>
          </w:tcPr>
          <w:p w14:paraId="44F91CEC">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年平均气温</w:t>
            </w:r>
          </w:p>
        </w:tc>
        <w:tc>
          <w:tcPr>
            <w:tcW w:w="2123" w:type="dxa"/>
            <w:vAlign w:val="center"/>
          </w:tcPr>
          <w:p w14:paraId="23D764A0">
            <w:pPr>
              <w:pStyle w:val="37"/>
              <w:shd w:val="clear"/>
              <w:adjustRightInd/>
              <w:snapToGrid/>
              <w:spacing w:line="360" w:lineRule="auto"/>
              <w:jc w:val="center"/>
              <w:rPr>
                <w:rFonts w:eastAsia="宋体"/>
                <w:color w:val="auto"/>
              </w:rPr>
            </w:pPr>
            <w:r>
              <w:rPr>
                <w:rFonts w:eastAsia="宋体"/>
                <w:color w:val="auto"/>
              </w:rPr>
              <w:t>℃</w:t>
            </w:r>
          </w:p>
        </w:tc>
        <w:tc>
          <w:tcPr>
            <w:tcW w:w="2139" w:type="dxa"/>
            <w:tcBorders>
              <w:right w:val="single" w:color="000000" w:sz="10" w:space="0"/>
            </w:tcBorders>
            <w:vAlign w:val="center"/>
          </w:tcPr>
          <w:p w14:paraId="193C0E44">
            <w:pPr>
              <w:pStyle w:val="37"/>
              <w:shd w:val="clear"/>
              <w:adjustRightInd/>
              <w:snapToGrid/>
              <w:spacing w:line="360" w:lineRule="auto"/>
              <w:jc w:val="center"/>
              <w:rPr>
                <w:rFonts w:eastAsia="宋体"/>
                <w:color w:val="auto"/>
                <w:lang w:eastAsia="zh-CN"/>
              </w:rPr>
            </w:pPr>
            <w:r>
              <w:rPr>
                <w:rFonts w:hint="eastAsia" w:eastAsia="宋体"/>
                <w:color w:val="auto"/>
                <w:lang w:eastAsia="zh-CN"/>
              </w:rPr>
              <w:t>5.3</w:t>
            </w:r>
          </w:p>
        </w:tc>
      </w:tr>
      <w:tr w14:paraId="1FFA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479" w:type="dxa"/>
            <w:tcBorders>
              <w:left w:val="single" w:color="000000" w:sz="10" w:space="0"/>
            </w:tcBorders>
            <w:vAlign w:val="center"/>
          </w:tcPr>
          <w:p w14:paraId="7382684F">
            <w:pPr>
              <w:pStyle w:val="37"/>
              <w:shd w:val="clear"/>
              <w:adjustRightInd/>
              <w:snapToGrid/>
              <w:spacing w:line="360" w:lineRule="auto"/>
              <w:jc w:val="center"/>
              <w:rPr>
                <w:rFonts w:eastAsia="宋体"/>
                <w:color w:val="auto"/>
              </w:rPr>
            </w:pPr>
            <w:r>
              <w:rPr>
                <w:rFonts w:eastAsia="宋体"/>
                <w:color w:val="auto"/>
              </w:rPr>
              <w:t>4</w:t>
            </w:r>
          </w:p>
        </w:tc>
        <w:tc>
          <w:tcPr>
            <w:tcW w:w="2783" w:type="dxa"/>
            <w:vAlign w:val="center"/>
          </w:tcPr>
          <w:p w14:paraId="6CE885E0">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年平均相对湿度</w:t>
            </w:r>
          </w:p>
        </w:tc>
        <w:tc>
          <w:tcPr>
            <w:tcW w:w="2123" w:type="dxa"/>
            <w:vAlign w:val="center"/>
          </w:tcPr>
          <w:p w14:paraId="2F64C0DC">
            <w:pPr>
              <w:pStyle w:val="37"/>
              <w:shd w:val="clear"/>
              <w:adjustRightInd/>
              <w:snapToGrid/>
              <w:spacing w:line="360" w:lineRule="auto"/>
              <w:jc w:val="center"/>
              <w:rPr>
                <w:rFonts w:eastAsia="宋体"/>
                <w:color w:val="auto"/>
              </w:rPr>
            </w:pPr>
            <w:r>
              <w:rPr>
                <w:rFonts w:eastAsia="宋体"/>
                <w:color w:val="auto"/>
              </w:rPr>
              <w:t>%</w:t>
            </w:r>
          </w:p>
        </w:tc>
        <w:tc>
          <w:tcPr>
            <w:tcW w:w="2139" w:type="dxa"/>
            <w:tcBorders>
              <w:right w:val="single" w:color="000000" w:sz="10" w:space="0"/>
            </w:tcBorders>
            <w:vAlign w:val="center"/>
          </w:tcPr>
          <w:p w14:paraId="474793B5">
            <w:pPr>
              <w:pStyle w:val="37"/>
              <w:shd w:val="clear"/>
              <w:adjustRightInd/>
              <w:snapToGrid/>
              <w:spacing w:line="360" w:lineRule="auto"/>
              <w:jc w:val="center"/>
              <w:rPr>
                <w:rFonts w:eastAsia="宋体"/>
                <w:color w:val="auto"/>
                <w:lang w:eastAsia="zh-CN"/>
              </w:rPr>
            </w:pPr>
            <w:r>
              <w:rPr>
                <w:rFonts w:hint="eastAsia" w:eastAsia="宋体"/>
                <w:color w:val="auto"/>
                <w:lang w:eastAsia="zh-CN"/>
              </w:rPr>
              <w:t>55</w:t>
            </w:r>
          </w:p>
        </w:tc>
      </w:tr>
      <w:tr w14:paraId="66A93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79" w:type="dxa"/>
            <w:tcBorders>
              <w:left w:val="single" w:color="000000" w:sz="10" w:space="0"/>
              <w:bottom w:val="single" w:color="000000" w:sz="10" w:space="0"/>
            </w:tcBorders>
            <w:vAlign w:val="center"/>
          </w:tcPr>
          <w:p w14:paraId="6646B722">
            <w:pPr>
              <w:pStyle w:val="37"/>
              <w:shd w:val="clear"/>
              <w:adjustRightInd/>
              <w:snapToGrid/>
              <w:spacing w:line="360" w:lineRule="auto"/>
              <w:jc w:val="center"/>
              <w:rPr>
                <w:rFonts w:eastAsia="宋体"/>
                <w:color w:val="auto"/>
              </w:rPr>
            </w:pPr>
            <w:r>
              <w:rPr>
                <w:rFonts w:eastAsia="宋体"/>
                <w:color w:val="auto"/>
              </w:rPr>
              <w:t>5</w:t>
            </w:r>
          </w:p>
        </w:tc>
        <w:tc>
          <w:tcPr>
            <w:tcW w:w="2783" w:type="dxa"/>
            <w:tcBorders>
              <w:bottom w:val="single" w:color="000000" w:sz="10" w:space="0"/>
            </w:tcBorders>
            <w:vAlign w:val="center"/>
          </w:tcPr>
          <w:p w14:paraId="41EC91AE">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zCs w:val="20"/>
              </w:rPr>
              <w:t>大气压强</w:t>
            </w:r>
          </w:p>
        </w:tc>
        <w:tc>
          <w:tcPr>
            <w:tcW w:w="2123" w:type="dxa"/>
            <w:tcBorders>
              <w:bottom w:val="single" w:color="000000" w:sz="10" w:space="0"/>
            </w:tcBorders>
            <w:vAlign w:val="center"/>
          </w:tcPr>
          <w:p w14:paraId="2B9DA37E">
            <w:pPr>
              <w:pStyle w:val="37"/>
              <w:shd w:val="clear"/>
              <w:adjustRightInd/>
              <w:snapToGrid/>
              <w:spacing w:line="360" w:lineRule="auto"/>
              <w:jc w:val="center"/>
              <w:rPr>
                <w:rFonts w:eastAsia="宋体"/>
                <w:color w:val="auto"/>
              </w:rPr>
            </w:pPr>
            <w:r>
              <w:rPr>
                <w:rFonts w:eastAsia="宋体"/>
                <w:color w:val="auto"/>
              </w:rPr>
              <w:t>atm</w:t>
            </w:r>
          </w:p>
        </w:tc>
        <w:tc>
          <w:tcPr>
            <w:tcW w:w="2139" w:type="dxa"/>
            <w:tcBorders>
              <w:bottom w:val="single" w:color="000000" w:sz="10" w:space="0"/>
              <w:right w:val="single" w:color="000000" w:sz="10" w:space="0"/>
            </w:tcBorders>
            <w:vAlign w:val="center"/>
          </w:tcPr>
          <w:p w14:paraId="5995E619">
            <w:pPr>
              <w:pStyle w:val="37"/>
              <w:shd w:val="clear"/>
              <w:adjustRightInd/>
              <w:snapToGrid/>
              <w:spacing w:line="360" w:lineRule="auto"/>
              <w:jc w:val="center"/>
              <w:rPr>
                <w:rFonts w:eastAsia="宋体"/>
                <w:color w:val="auto"/>
              </w:rPr>
            </w:pPr>
            <w:r>
              <w:rPr>
                <w:rFonts w:eastAsia="宋体"/>
                <w:color w:val="auto"/>
              </w:rPr>
              <w:t>1</w:t>
            </w:r>
          </w:p>
        </w:tc>
      </w:tr>
    </w:tbl>
    <w:p w14:paraId="04E1DF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声源和预测点间的地形、高差、障碍物、树林、灌木等的分布情况以及地面覆盖情况（如草地、水面、水泥地面、土质地面等）根据现场踏勘、项目总平图等，并结合卫星图片地理信息数据确定，数据精度为10m。</w:t>
      </w:r>
    </w:p>
    <w:p w14:paraId="68444ECD">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"file:///C:\\Users\\jobezho\\AppData\\Local\\Temp\\Rar$DIa13476.12779\\5.2.4.2" </w:instrText>
      </w:r>
      <w:r>
        <w:rPr>
          <w:color w:val="auto"/>
        </w:rPr>
        <w:fldChar w:fldCharType="separate"/>
      </w:r>
      <w:r>
        <w:rPr>
          <w:rFonts w:hint="eastAsia" w:ascii="Times New Roman" w:hAnsi="Times New Roman" w:eastAsia="宋体"/>
          <w:snapToGrid/>
          <w:color w:val="auto"/>
          <w:sz w:val="24"/>
          <w:lang w:eastAsia="zh-CN"/>
        </w:rPr>
        <w:t>5.2.4.2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点声源预测模式</w:t>
      </w:r>
      <w:bookmarkEnd w:id="625"/>
    </w:p>
    <w:p w14:paraId="1F900D4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计算采用《环境影响评价技术导则声环境》（HJ2.4-2021）中推荐的点声源</w:t>
      </w:r>
    </w:p>
    <w:p w14:paraId="745936F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衰减模式，计算公式如下：</w:t>
      </w:r>
    </w:p>
    <w:p w14:paraId="1D9EEFC9">
      <w:pPr>
        <w:widowControl w:val="0"/>
        <w:shd w:val="clear"/>
        <w:kinsoku/>
        <w:autoSpaceDE/>
        <w:autoSpaceDN/>
        <w:adjustRightInd/>
        <w:snapToGrid/>
        <w:spacing w:before="143" w:line="369" w:lineRule="exact"/>
        <w:ind w:left="2883"/>
        <w:textAlignment w:val="auto"/>
        <w:rPr>
          <w:rFonts w:ascii="Times New Roman" w:hAnsi="Times New Roman" w:eastAsia="宋体" w:cs="Times New Roman"/>
          <w:snapToGrid/>
          <w:color w:val="auto"/>
          <w:sz w:val="28"/>
          <w:szCs w:val="28"/>
          <w:lang w:eastAsia="zh-CN"/>
        </w:rPr>
      </w:pPr>
      <w:r>
        <w:rPr>
          <w:rFonts w:ascii="Times New Roman" w:hAnsi="Times New Roman" w:eastAsia="宋体" w:cs="Times New Roman"/>
          <w:snapToGrid/>
          <w:color w:val="auto"/>
          <w:sz w:val="28"/>
          <w:szCs w:val="28"/>
          <w:lang w:eastAsia="zh-CN"/>
        </w:rPr>
        <w:t>L</w:t>
      </w:r>
      <w:r>
        <w:rPr>
          <w:rFonts w:hint="eastAsia" w:ascii="Times New Roman" w:hAnsi="Times New Roman" w:eastAsia="宋体" w:cs="Times New Roman"/>
          <w:snapToGrid/>
          <w:color w:val="auto"/>
          <w:sz w:val="28"/>
          <w:szCs w:val="28"/>
          <w:lang w:eastAsia="zh-CN"/>
        </w:rPr>
        <w:t>(</w:t>
      </w:r>
      <w:r>
        <w:rPr>
          <w:rFonts w:ascii="Times New Roman" w:hAnsi="Times New Roman" w:eastAsia="宋体" w:cs="Times New Roman"/>
          <w:snapToGrid/>
          <w:color w:val="auto"/>
          <w:sz w:val="28"/>
          <w:szCs w:val="28"/>
          <w:lang w:eastAsia="zh-CN"/>
        </w:rPr>
        <w:t>r</w:t>
      </w:r>
      <w:r>
        <w:rPr>
          <w:rFonts w:hint="eastAsia" w:ascii="Times New Roman" w:hAnsi="Times New Roman" w:eastAsia="宋体" w:cs="Times New Roman"/>
          <w:snapToGrid/>
          <w:color w:val="auto"/>
          <w:sz w:val="28"/>
          <w:szCs w:val="28"/>
          <w:lang w:eastAsia="zh-CN"/>
        </w:rPr>
        <w:t>)</w:t>
      </w:r>
      <w:r>
        <w:rPr>
          <w:rFonts w:ascii="Times New Roman" w:hAnsi="Times New Roman" w:eastAsia="宋体" w:cs="Times New Roman"/>
          <w:snapToGrid/>
          <w:color w:val="auto"/>
          <w:sz w:val="28"/>
          <w:szCs w:val="28"/>
          <w:lang w:eastAsia="zh-CN"/>
        </w:rPr>
        <w:t>=L</w:t>
      </w:r>
      <w:r>
        <w:rPr>
          <w:rFonts w:hint="eastAsia" w:ascii="Times New Roman" w:hAnsi="Times New Roman" w:eastAsia="宋体" w:cs="Times New Roman"/>
          <w:snapToGrid/>
          <w:color w:val="auto"/>
          <w:sz w:val="28"/>
          <w:szCs w:val="28"/>
          <w:lang w:eastAsia="zh-CN"/>
        </w:rPr>
        <w:t>(</w:t>
      </w:r>
      <w:r>
        <w:rPr>
          <w:rFonts w:ascii="Times New Roman" w:hAnsi="Times New Roman" w:eastAsia="宋体" w:cs="Times New Roman"/>
          <w:snapToGrid/>
          <w:color w:val="auto"/>
          <w:sz w:val="28"/>
          <w:szCs w:val="28"/>
          <w:lang w:eastAsia="zh-CN"/>
        </w:rPr>
        <w:t>r</w:t>
      </w:r>
      <w:r>
        <w:rPr>
          <w:rFonts w:ascii="Times New Roman" w:hAnsi="Times New Roman" w:eastAsia="宋体" w:cs="Times New Roman"/>
          <w:snapToGrid/>
          <w:color w:val="auto"/>
          <w:sz w:val="18"/>
          <w:szCs w:val="18"/>
          <w:lang w:eastAsia="zh-CN"/>
        </w:rPr>
        <w:t>0</w:t>
      </w:r>
      <w:r>
        <w:rPr>
          <w:rFonts w:hint="eastAsia" w:ascii="Times New Roman" w:hAnsi="Times New Roman" w:eastAsia="宋体" w:cs="Times New Roman"/>
          <w:snapToGrid/>
          <w:color w:val="auto"/>
          <w:sz w:val="18"/>
          <w:szCs w:val="18"/>
          <w:lang w:eastAsia="zh-CN"/>
        </w:rPr>
        <w:t>)</w:t>
      </w:r>
      <w:r>
        <w:rPr>
          <w:rFonts w:ascii="Times New Roman" w:hAnsi="Times New Roman" w:eastAsia="宋体" w:cs="Times New Roman"/>
          <w:snapToGrid/>
          <w:color w:val="auto"/>
          <w:sz w:val="28"/>
          <w:szCs w:val="28"/>
          <w:lang w:eastAsia="zh-CN"/>
        </w:rPr>
        <w:t>-20lg</w:t>
      </w:r>
      <w:r>
        <w:rPr>
          <w:rFonts w:hint="eastAsia" w:ascii="Times New Roman" w:hAnsi="Times New Roman" w:eastAsia="宋体" w:cs="Times New Roman"/>
          <w:snapToGrid/>
          <w:color w:val="auto"/>
          <w:sz w:val="28"/>
          <w:szCs w:val="28"/>
          <w:lang w:eastAsia="zh-CN"/>
        </w:rPr>
        <w:t>(</w:t>
      </w:r>
      <w:r>
        <w:rPr>
          <w:rFonts w:ascii="Times New Roman" w:hAnsi="Times New Roman" w:eastAsia="宋体" w:cs="Times New Roman"/>
          <w:snapToGrid/>
          <w:color w:val="auto"/>
          <w:sz w:val="28"/>
          <w:szCs w:val="28"/>
          <w:lang w:eastAsia="zh-CN"/>
        </w:rPr>
        <w:t>r/r</w:t>
      </w:r>
      <w:r>
        <w:rPr>
          <w:rFonts w:ascii="Times New Roman" w:hAnsi="Times New Roman" w:eastAsia="宋体" w:cs="Times New Roman"/>
          <w:snapToGrid/>
          <w:color w:val="auto"/>
          <w:sz w:val="18"/>
          <w:szCs w:val="18"/>
          <w:lang w:eastAsia="zh-CN"/>
        </w:rPr>
        <w:t>0</w:t>
      </w:r>
      <w:r>
        <w:rPr>
          <w:rFonts w:hint="eastAsia" w:ascii="Times New Roman" w:hAnsi="Times New Roman" w:eastAsia="宋体" w:cs="Times New Roman"/>
          <w:snapToGrid/>
          <w:color w:val="auto"/>
          <w:sz w:val="18"/>
          <w:szCs w:val="18"/>
          <w:lang w:eastAsia="zh-CN"/>
        </w:rPr>
        <w:t>)</w:t>
      </w:r>
      <w:r>
        <w:rPr>
          <w:rFonts w:ascii="Times New Roman" w:hAnsi="Times New Roman" w:eastAsia="宋体" w:cs="Times New Roman"/>
          <w:snapToGrid/>
          <w:color w:val="auto"/>
          <w:sz w:val="28"/>
          <w:szCs w:val="28"/>
          <w:lang w:eastAsia="zh-CN"/>
        </w:rPr>
        <w:t>-</w:t>
      </w:r>
      <w:r>
        <w:rPr>
          <w:rFonts w:ascii="Times New Roman" w:hAnsi="Times New Roman" w:eastAsia="宋体" w:cs="Times New Roman"/>
          <w:snapToGrid/>
          <w:color w:val="auto"/>
          <w:sz w:val="28"/>
          <w:szCs w:val="28"/>
        </w:rPr>
        <w:t>Δ</w:t>
      </w:r>
      <w:r>
        <w:rPr>
          <w:rFonts w:ascii="Times New Roman" w:hAnsi="Times New Roman" w:eastAsia="宋体" w:cs="Times New Roman"/>
          <w:snapToGrid/>
          <w:color w:val="auto"/>
          <w:sz w:val="28"/>
          <w:szCs w:val="28"/>
          <w:lang w:eastAsia="zh-CN"/>
        </w:rPr>
        <w:t>L</w:t>
      </w:r>
    </w:p>
    <w:p w14:paraId="7561B94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式中：L</w:t>
      </w:r>
      <w:r>
        <w:rPr>
          <w:rFonts w:hint="eastAsia" w:ascii="Times New Roman" w:hAnsi="Times New Roman"/>
          <w:snapToGrid/>
          <w:color w:val="auto"/>
          <w:sz w:val="24"/>
          <w:szCs w:val="24"/>
          <w:vertAlign w:val="subscript"/>
          <w:lang w:eastAsia="zh-CN"/>
        </w:rPr>
        <w:t>（</w:t>
      </w:r>
      <w:r>
        <w:rPr>
          <w:rFonts w:ascii="Times New Roman" w:hAnsi="Times New Roman"/>
          <w:snapToGrid/>
          <w:color w:val="auto"/>
          <w:sz w:val="24"/>
          <w:szCs w:val="24"/>
          <w:vertAlign w:val="subscript"/>
          <w:lang w:eastAsia="zh-CN"/>
        </w:rPr>
        <w:t>r</w:t>
      </w:r>
      <w:r>
        <w:rPr>
          <w:rFonts w:hint="eastAsia" w:ascii="Times New Roman" w:hAnsi="Times New Roman"/>
          <w:snapToGrid/>
          <w:color w:val="auto"/>
          <w:sz w:val="24"/>
          <w:szCs w:val="24"/>
          <w:vertAlign w:val="subscript"/>
          <w:lang w:eastAsia="zh-CN"/>
        </w:rPr>
        <w:t>）</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距声源r距离上的A声压级；</w:t>
      </w:r>
    </w:p>
    <w:p w14:paraId="410DA8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L</w:t>
      </w:r>
      <w:r>
        <w:rPr>
          <w:rFonts w:hint="eastAsia" w:ascii="Times New Roman" w:hAnsi="Times New Roman"/>
          <w:snapToGrid/>
          <w:color w:val="auto"/>
          <w:sz w:val="24"/>
          <w:szCs w:val="24"/>
          <w:vertAlign w:val="subscript"/>
          <w:lang w:eastAsia="zh-CN"/>
        </w:rPr>
        <w:t>（</w:t>
      </w:r>
      <w:r>
        <w:rPr>
          <w:rFonts w:ascii="Times New Roman" w:hAnsi="Times New Roman"/>
          <w:snapToGrid/>
          <w:color w:val="auto"/>
          <w:sz w:val="24"/>
          <w:szCs w:val="24"/>
          <w:vertAlign w:val="subscript"/>
          <w:lang w:eastAsia="zh-CN"/>
        </w:rPr>
        <w:t>r0</w:t>
      </w:r>
      <w:r>
        <w:rPr>
          <w:rFonts w:hint="eastAsia" w:ascii="Times New Roman" w:hAnsi="Times New Roman"/>
          <w:snapToGrid/>
          <w:color w:val="auto"/>
          <w:sz w:val="24"/>
          <w:szCs w:val="24"/>
          <w:vertAlign w:val="subscript"/>
          <w:lang w:eastAsia="zh-CN"/>
        </w:rPr>
        <w:t>）</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距声源r距离上的A声压级；</w:t>
      </w:r>
    </w:p>
    <w:p w14:paraId="440C73E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rPr>
        <w:t>Δ</w:t>
      </w:r>
      <w:r>
        <w:rPr>
          <w:rFonts w:ascii="Times New Roman" w:hAnsi="Times New Roman"/>
          <w:snapToGrid/>
          <w:color w:val="auto"/>
          <w:sz w:val="24"/>
          <w:szCs w:val="24"/>
          <w:lang w:eastAsia="zh-CN"/>
        </w:rPr>
        <w:t>L</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声屏障、遮挡物、空气吸收地面效应引起的衰减量；</w:t>
      </w:r>
    </w:p>
    <w:p w14:paraId="2CC6245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r、r</w:t>
      </w:r>
      <w:r>
        <w:rPr>
          <w:rFonts w:ascii="Times New Roman" w:hAnsi="Times New Roman"/>
          <w:snapToGrid/>
          <w:color w:val="auto"/>
          <w:sz w:val="24"/>
          <w:szCs w:val="24"/>
          <w:vertAlign w:val="subscript"/>
          <w:lang w:eastAsia="zh-CN"/>
        </w:rPr>
        <w:t>0</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距声源距离（m）。</w:t>
      </w:r>
    </w:p>
    <w:p w14:paraId="486D719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（2）多源叠加计算总声压级</w:t>
      </w:r>
    </w:p>
    <w:p w14:paraId="29AB0F4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各受声点上受到多个声源的影响叠加，计算公式如下：</w:t>
      </w:r>
    </w:p>
    <w:p w14:paraId="2276392A">
      <w:pPr>
        <w:widowControl w:val="0"/>
        <w:shd w:val="clear"/>
        <w:kinsoku/>
        <w:autoSpaceDE/>
        <w:autoSpaceDN/>
        <w:adjustRightInd/>
        <w:snapToGrid/>
        <w:spacing w:before="150" w:line="677" w:lineRule="exact"/>
        <w:ind w:left="3112"/>
        <w:textAlignment w:val="auto"/>
        <w:rPr>
          <w:rFonts w:ascii="Times New Roman" w:hAnsi="Times New Roman" w:eastAsia="宋体"/>
          <w:snapToGrid/>
          <w:color w:val="auto"/>
        </w:rPr>
      </w:pPr>
      <w:r>
        <w:rPr>
          <w:rFonts w:ascii="Times New Roman" w:hAnsi="Times New Roman" w:eastAsia="宋体"/>
          <w:snapToGrid/>
          <w:color w:val="auto"/>
        </w:rPr>
        <w:drawing>
          <wp:inline distT="0" distB="0" distL="0" distR="0">
            <wp:extent cx="1739265" cy="42989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71"/>
                    <a:stretch>
                      <a:fillRect/>
                    </a:stretch>
                  </pic:blipFill>
                  <pic:spPr>
                    <a:xfrm>
                      <a:off x="0" y="0"/>
                      <a:ext cx="1739891" cy="430025"/>
                    </a:xfrm>
                    <a:prstGeom prst="rect">
                      <a:avLst/>
                    </a:prstGeom>
                  </pic:spPr>
                </pic:pic>
              </a:graphicData>
            </a:graphic>
          </wp:inline>
        </w:drawing>
      </w:r>
    </w:p>
    <w:p w14:paraId="2C7BCB5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式中：L</w:t>
      </w:r>
      <w:r>
        <w:rPr>
          <w:rFonts w:ascii="Times New Roman" w:hAnsi="Times New Roman"/>
          <w:snapToGrid/>
          <w:color w:val="auto"/>
          <w:sz w:val="24"/>
          <w:szCs w:val="24"/>
          <w:vertAlign w:val="subscript"/>
          <w:lang w:eastAsia="zh-CN"/>
        </w:rPr>
        <w:t>eq</w:t>
      </w:r>
      <w:r>
        <w:rPr>
          <w:rFonts w:ascii="Times New Roman" w:hAnsi="Times New Roman"/>
          <w:snapToGrid/>
          <w:color w:val="auto"/>
          <w:sz w:val="24"/>
          <w:szCs w:val="24"/>
          <w:lang w:eastAsia="zh-CN"/>
        </w:rPr>
        <w:t>—第i个声源对某点的等效声级</w:t>
      </w:r>
    </w:p>
    <w:p w14:paraId="24347C3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L</w:t>
      </w:r>
      <w:r>
        <w:rPr>
          <w:rFonts w:ascii="Times New Roman" w:hAnsi="Times New Roman"/>
          <w:snapToGrid/>
          <w:color w:val="auto"/>
          <w:sz w:val="24"/>
          <w:szCs w:val="24"/>
          <w:vertAlign w:val="subscript"/>
          <w:lang w:eastAsia="zh-CN"/>
        </w:rPr>
        <w:t>eqi</w:t>
      </w:r>
      <w:r>
        <w:rPr>
          <w:rFonts w:ascii="Times New Roman" w:hAnsi="Times New Roman"/>
          <w:snapToGrid/>
          <w:color w:val="auto"/>
          <w:sz w:val="24"/>
          <w:szCs w:val="24"/>
          <w:lang w:eastAsia="zh-CN"/>
        </w:rPr>
        <w:t>—第i声源对某预测点的等效声级，dB</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；n—声源总数。</w:t>
      </w:r>
    </w:p>
    <w:p w14:paraId="0C8EC30C">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rPr>
      </w:pPr>
      <w:r>
        <w:rPr>
          <w:rFonts w:ascii="Times New Roman" w:hAnsi="Times New Roman"/>
          <w:b/>
          <w:bCs/>
          <w:snapToGrid/>
          <w:color w:val="auto"/>
          <w:sz w:val="24"/>
        </w:rPr>
        <w:t>表5.2-1</w:t>
      </w:r>
      <w:r>
        <w:rPr>
          <w:rFonts w:hint="eastAsia" w:ascii="Times New Roman" w:hAnsi="Times New Roman"/>
          <w:b/>
          <w:bCs/>
          <w:snapToGrid/>
          <w:color w:val="auto"/>
          <w:sz w:val="24"/>
          <w:lang w:val="en-US" w:eastAsia="zh-CN"/>
        </w:rPr>
        <w:t>5</w:t>
      </w:r>
      <w:r>
        <w:rPr>
          <w:rFonts w:ascii="Times New Roman" w:hAnsi="Times New Roman"/>
          <w:b/>
          <w:bCs/>
          <w:snapToGrid/>
          <w:color w:val="auto"/>
          <w:sz w:val="24"/>
        </w:rPr>
        <w:t>厂界噪声预测结果</w:t>
      </w:r>
    </w:p>
    <w:tbl>
      <w:tblPr>
        <w:tblStyle w:val="3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24"/>
        <w:gridCol w:w="1362"/>
        <w:gridCol w:w="1941"/>
        <w:gridCol w:w="1948"/>
        <w:gridCol w:w="1653"/>
      </w:tblGrid>
      <w:tr w14:paraId="02282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04" w:type="pct"/>
            <w:vMerge w:val="restart"/>
            <w:tcBorders>
              <w:top w:val="single" w:color="000000" w:sz="10" w:space="0"/>
              <w:left w:val="single" w:color="000000" w:sz="10" w:space="0"/>
              <w:bottom w:val="nil"/>
            </w:tcBorders>
          </w:tcPr>
          <w:p w14:paraId="5BDD4E24">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6"/>
                <w:szCs w:val="20"/>
              </w:rPr>
              <w:t>预测方位</w:t>
            </w:r>
          </w:p>
        </w:tc>
        <w:tc>
          <w:tcPr>
            <w:tcW w:w="808" w:type="pct"/>
            <w:vMerge w:val="restart"/>
            <w:tcBorders>
              <w:top w:val="single" w:color="000000" w:sz="10" w:space="0"/>
              <w:bottom w:val="nil"/>
            </w:tcBorders>
          </w:tcPr>
          <w:p w14:paraId="540BB06A">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1"/>
                <w:szCs w:val="20"/>
              </w:rPr>
              <w:t>时段</w:t>
            </w:r>
          </w:p>
        </w:tc>
        <w:tc>
          <w:tcPr>
            <w:tcW w:w="1151" w:type="pct"/>
            <w:vMerge w:val="restart"/>
            <w:tcBorders>
              <w:top w:val="single" w:color="000000" w:sz="10" w:space="0"/>
              <w:bottom w:val="nil"/>
            </w:tcBorders>
          </w:tcPr>
          <w:p w14:paraId="5F7BBD94">
            <w:pPr>
              <w:pStyle w:val="37"/>
              <w:shd w:val="clear"/>
              <w:adjustRightInd/>
              <w:snapToGrid/>
              <w:spacing w:line="360" w:lineRule="auto"/>
              <w:jc w:val="center"/>
              <w:rPr>
                <w:rFonts w:eastAsia="宋体" w:cs="宋体"/>
                <w:color w:val="auto"/>
              </w:rPr>
            </w:pPr>
            <w:r>
              <w:rPr>
                <w:rFonts w:eastAsia="宋体" w:cs="宋体"/>
                <w:color w:val="auto"/>
                <w:spacing w:val="6"/>
              </w:rPr>
              <w:t>贡献值</w:t>
            </w:r>
            <w:r>
              <w:rPr>
                <w:rFonts w:eastAsia="宋体" w:cs="宋体"/>
                <w:color w:val="auto"/>
              </w:rPr>
              <w:t xml:space="preserve">  </w:t>
            </w:r>
            <w:r>
              <w:rPr>
                <w:rFonts w:eastAsia="宋体" w:cs="宋体"/>
                <w:color w:val="auto"/>
                <w:spacing w:val="1"/>
              </w:rPr>
              <w:t>（</w:t>
            </w:r>
            <w:r>
              <w:rPr>
                <w:rFonts w:eastAsia="宋体"/>
                <w:color w:val="auto"/>
              </w:rPr>
              <w:t>dB</w:t>
            </w:r>
            <w:r>
              <w:rPr>
                <w:rFonts w:hint="eastAsia" w:eastAsia="宋体"/>
                <w:color w:val="auto"/>
                <w:spacing w:val="1"/>
                <w:lang w:eastAsia="zh-CN"/>
              </w:rPr>
              <w:t>（</w:t>
            </w:r>
            <w:r>
              <w:rPr>
                <w:rFonts w:eastAsia="宋体"/>
                <w:color w:val="auto"/>
                <w:spacing w:val="1"/>
              </w:rPr>
              <w:t>A</w:t>
            </w:r>
            <w:r>
              <w:rPr>
                <w:rFonts w:hint="eastAsia" w:eastAsia="宋体"/>
                <w:color w:val="auto"/>
                <w:spacing w:val="1"/>
                <w:lang w:eastAsia="zh-CN"/>
              </w:rPr>
              <w:t>）</w:t>
            </w:r>
            <w:r>
              <w:rPr>
                <w:rFonts w:eastAsia="宋体" w:cs="宋体"/>
                <w:color w:val="auto"/>
                <w:spacing w:val="1"/>
              </w:rPr>
              <w:t>）</w:t>
            </w:r>
          </w:p>
        </w:tc>
        <w:tc>
          <w:tcPr>
            <w:tcW w:w="1155" w:type="pct"/>
            <w:vMerge w:val="restart"/>
            <w:tcBorders>
              <w:top w:val="single" w:color="000000" w:sz="10" w:space="0"/>
              <w:bottom w:val="nil"/>
            </w:tcBorders>
          </w:tcPr>
          <w:p w14:paraId="2924C643">
            <w:pPr>
              <w:pStyle w:val="37"/>
              <w:shd w:val="clear"/>
              <w:adjustRightInd/>
              <w:snapToGrid/>
              <w:spacing w:line="360" w:lineRule="auto"/>
              <w:jc w:val="center"/>
              <w:rPr>
                <w:rFonts w:eastAsia="宋体" w:cs="宋体"/>
                <w:color w:val="auto"/>
              </w:rPr>
            </w:pPr>
            <w:r>
              <w:rPr>
                <w:rFonts w:eastAsia="宋体" w:cs="宋体"/>
                <w:color w:val="auto"/>
                <w:spacing w:val="7"/>
              </w:rPr>
              <w:t>标准限值</w:t>
            </w:r>
            <w:r>
              <w:rPr>
                <w:rFonts w:eastAsia="宋体" w:cs="宋体"/>
                <w:color w:val="auto"/>
              </w:rPr>
              <w:t xml:space="preserve"> </w:t>
            </w:r>
            <w:r>
              <w:rPr>
                <w:rFonts w:eastAsia="宋体" w:cs="宋体"/>
                <w:color w:val="auto"/>
                <w:spacing w:val="1"/>
              </w:rPr>
              <w:t>（</w:t>
            </w:r>
            <w:r>
              <w:rPr>
                <w:rFonts w:eastAsia="宋体"/>
                <w:color w:val="auto"/>
              </w:rPr>
              <w:t>dB</w:t>
            </w:r>
            <w:r>
              <w:rPr>
                <w:rFonts w:hint="eastAsia" w:eastAsia="宋体"/>
                <w:color w:val="auto"/>
                <w:spacing w:val="1"/>
                <w:lang w:eastAsia="zh-CN"/>
              </w:rPr>
              <w:t>（</w:t>
            </w:r>
            <w:r>
              <w:rPr>
                <w:rFonts w:eastAsia="宋体"/>
                <w:color w:val="auto"/>
                <w:spacing w:val="1"/>
              </w:rPr>
              <w:t>A</w:t>
            </w:r>
            <w:r>
              <w:rPr>
                <w:rFonts w:hint="eastAsia" w:eastAsia="宋体"/>
                <w:color w:val="auto"/>
                <w:spacing w:val="1"/>
                <w:lang w:eastAsia="zh-CN"/>
              </w:rPr>
              <w:t>）</w:t>
            </w:r>
            <w:r>
              <w:rPr>
                <w:rFonts w:eastAsia="宋体" w:cs="宋体"/>
                <w:color w:val="auto"/>
                <w:spacing w:val="1"/>
              </w:rPr>
              <w:t>）</w:t>
            </w:r>
          </w:p>
        </w:tc>
        <w:tc>
          <w:tcPr>
            <w:tcW w:w="980" w:type="pct"/>
            <w:vMerge w:val="restart"/>
            <w:tcBorders>
              <w:top w:val="single" w:color="000000" w:sz="10" w:space="0"/>
              <w:bottom w:val="nil"/>
              <w:right w:val="single" w:color="000000" w:sz="10" w:space="0"/>
            </w:tcBorders>
          </w:tcPr>
          <w:p w14:paraId="02D6B69C">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7"/>
                <w:szCs w:val="20"/>
              </w:rPr>
              <w:t>达标情况</w:t>
            </w:r>
          </w:p>
        </w:tc>
      </w:tr>
      <w:tr w14:paraId="78BCF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04" w:type="pct"/>
            <w:vMerge w:val="continue"/>
            <w:tcBorders>
              <w:top w:val="nil"/>
              <w:left w:val="single" w:color="000000" w:sz="10" w:space="0"/>
            </w:tcBorders>
          </w:tcPr>
          <w:p w14:paraId="5AC5513A">
            <w:pPr>
              <w:shd w:val="clear"/>
              <w:adjustRightInd/>
              <w:snapToGrid/>
              <w:spacing w:line="360" w:lineRule="auto"/>
              <w:jc w:val="center"/>
              <w:rPr>
                <w:rFonts w:ascii="Times New Roman" w:hAnsi="Times New Roman" w:eastAsia="宋体"/>
                <w:color w:val="auto"/>
              </w:rPr>
            </w:pPr>
          </w:p>
        </w:tc>
        <w:tc>
          <w:tcPr>
            <w:tcW w:w="808" w:type="pct"/>
            <w:vMerge w:val="continue"/>
            <w:tcBorders>
              <w:top w:val="nil"/>
            </w:tcBorders>
          </w:tcPr>
          <w:p w14:paraId="5ECA12E1">
            <w:pPr>
              <w:shd w:val="clear"/>
              <w:adjustRightInd/>
              <w:snapToGrid/>
              <w:spacing w:line="360" w:lineRule="auto"/>
              <w:jc w:val="center"/>
              <w:rPr>
                <w:rFonts w:ascii="Times New Roman" w:hAnsi="Times New Roman" w:eastAsia="宋体"/>
                <w:color w:val="auto"/>
              </w:rPr>
            </w:pPr>
          </w:p>
        </w:tc>
        <w:tc>
          <w:tcPr>
            <w:tcW w:w="1151" w:type="pct"/>
            <w:vMerge w:val="continue"/>
            <w:tcBorders>
              <w:top w:val="nil"/>
            </w:tcBorders>
          </w:tcPr>
          <w:p w14:paraId="09431AC2">
            <w:pPr>
              <w:shd w:val="clear"/>
              <w:adjustRightInd/>
              <w:snapToGrid/>
              <w:spacing w:line="360" w:lineRule="auto"/>
              <w:jc w:val="center"/>
              <w:rPr>
                <w:rFonts w:ascii="Times New Roman" w:hAnsi="Times New Roman" w:eastAsia="宋体"/>
                <w:color w:val="auto"/>
              </w:rPr>
            </w:pPr>
          </w:p>
        </w:tc>
        <w:tc>
          <w:tcPr>
            <w:tcW w:w="1155" w:type="pct"/>
            <w:vMerge w:val="continue"/>
            <w:tcBorders>
              <w:top w:val="nil"/>
            </w:tcBorders>
          </w:tcPr>
          <w:p w14:paraId="6E662FDC">
            <w:pPr>
              <w:shd w:val="clear"/>
              <w:adjustRightInd/>
              <w:snapToGrid/>
              <w:spacing w:line="360" w:lineRule="auto"/>
              <w:jc w:val="center"/>
              <w:rPr>
                <w:rFonts w:ascii="Times New Roman" w:hAnsi="Times New Roman" w:eastAsia="宋体"/>
                <w:color w:val="auto"/>
              </w:rPr>
            </w:pPr>
          </w:p>
        </w:tc>
        <w:tc>
          <w:tcPr>
            <w:tcW w:w="980" w:type="pct"/>
            <w:vMerge w:val="continue"/>
            <w:tcBorders>
              <w:top w:val="nil"/>
              <w:right w:val="single" w:color="000000" w:sz="10" w:space="0"/>
            </w:tcBorders>
          </w:tcPr>
          <w:p w14:paraId="6146EB47">
            <w:pPr>
              <w:shd w:val="clear"/>
              <w:adjustRightInd/>
              <w:snapToGrid/>
              <w:spacing w:line="360" w:lineRule="auto"/>
              <w:jc w:val="center"/>
              <w:rPr>
                <w:rFonts w:ascii="Times New Roman" w:hAnsi="Times New Roman" w:eastAsia="宋体"/>
                <w:color w:val="auto"/>
              </w:rPr>
            </w:pPr>
          </w:p>
        </w:tc>
      </w:tr>
      <w:tr w14:paraId="57981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04" w:type="pct"/>
            <w:vMerge w:val="restart"/>
            <w:tcBorders>
              <w:left w:val="single" w:color="000000" w:sz="10" w:space="0"/>
              <w:bottom w:val="nil"/>
            </w:tcBorders>
          </w:tcPr>
          <w:p w14:paraId="03D2DD36">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1"/>
                <w:szCs w:val="20"/>
              </w:rPr>
              <w:t>东侧</w:t>
            </w:r>
          </w:p>
        </w:tc>
        <w:tc>
          <w:tcPr>
            <w:tcW w:w="808" w:type="pct"/>
          </w:tcPr>
          <w:p w14:paraId="4B7D20FB">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昼间</w:t>
            </w:r>
          </w:p>
        </w:tc>
        <w:tc>
          <w:tcPr>
            <w:tcW w:w="1151" w:type="pct"/>
          </w:tcPr>
          <w:p w14:paraId="1A671826">
            <w:pPr>
              <w:pStyle w:val="37"/>
              <w:shd w:val="clear"/>
              <w:adjustRightInd/>
              <w:snapToGrid/>
              <w:spacing w:line="360" w:lineRule="auto"/>
              <w:jc w:val="center"/>
              <w:rPr>
                <w:rFonts w:eastAsia="宋体"/>
                <w:color w:val="auto"/>
              </w:rPr>
            </w:pPr>
            <w:r>
              <w:rPr>
                <w:rFonts w:eastAsia="宋体"/>
                <w:color w:val="auto"/>
                <w:spacing w:val="3"/>
              </w:rPr>
              <w:t>47.6</w:t>
            </w:r>
          </w:p>
        </w:tc>
        <w:tc>
          <w:tcPr>
            <w:tcW w:w="1155" w:type="pct"/>
          </w:tcPr>
          <w:p w14:paraId="001630EA">
            <w:pPr>
              <w:pStyle w:val="37"/>
              <w:shd w:val="clear"/>
              <w:adjustRightInd/>
              <w:snapToGrid/>
              <w:spacing w:line="360" w:lineRule="auto"/>
              <w:jc w:val="center"/>
              <w:rPr>
                <w:rFonts w:eastAsia="宋体"/>
                <w:color w:val="auto"/>
              </w:rPr>
            </w:pPr>
            <w:r>
              <w:rPr>
                <w:rFonts w:eastAsia="宋体"/>
                <w:color w:val="auto"/>
              </w:rPr>
              <w:t>60</w:t>
            </w:r>
          </w:p>
        </w:tc>
        <w:tc>
          <w:tcPr>
            <w:tcW w:w="980" w:type="pct"/>
            <w:tcBorders>
              <w:right w:val="single" w:color="000000" w:sz="10" w:space="0"/>
            </w:tcBorders>
          </w:tcPr>
          <w:p w14:paraId="6E5F42F1">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29235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04" w:type="pct"/>
            <w:vMerge w:val="continue"/>
            <w:tcBorders>
              <w:top w:val="nil"/>
              <w:left w:val="single" w:color="000000" w:sz="10" w:space="0"/>
            </w:tcBorders>
          </w:tcPr>
          <w:p w14:paraId="7FEE30D7">
            <w:pPr>
              <w:shd w:val="clear"/>
              <w:adjustRightInd/>
              <w:snapToGrid/>
              <w:spacing w:line="360" w:lineRule="auto"/>
              <w:jc w:val="center"/>
              <w:rPr>
                <w:rFonts w:ascii="Times New Roman" w:hAnsi="Times New Roman" w:eastAsia="宋体"/>
                <w:color w:val="auto"/>
              </w:rPr>
            </w:pPr>
          </w:p>
        </w:tc>
        <w:tc>
          <w:tcPr>
            <w:tcW w:w="808" w:type="pct"/>
          </w:tcPr>
          <w:p w14:paraId="6FD4A17D">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夜间</w:t>
            </w:r>
          </w:p>
        </w:tc>
        <w:tc>
          <w:tcPr>
            <w:tcW w:w="1151" w:type="pct"/>
          </w:tcPr>
          <w:p w14:paraId="4B441C24">
            <w:pPr>
              <w:pStyle w:val="37"/>
              <w:shd w:val="clear"/>
              <w:adjustRightInd/>
              <w:snapToGrid/>
              <w:spacing w:line="360" w:lineRule="auto"/>
              <w:jc w:val="center"/>
              <w:rPr>
                <w:rFonts w:eastAsia="宋体"/>
                <w:color w:val="auto"/>
              </w:rPr>
            </w:pPr>
            <w:r>
              <w:rPr>
                <w:rFonts w:eastAsia="宋体"/>
                <w:color w:val="auto"/>
                <w:spacing w:val="3"/>
              </w:rPr>
              <w:t>47.6</w:t>
            </w:r>
          </w:p>
        </w:tc>
        <w:tc>
          <w:tcPr>
            <w:tcW w:w="1155" w:type="pct"/>
          </w:tcPr>
          <w:p w14:paraId="0EF861EE">
            <w:pPr>
              <w:pStyle w:val="37"/>
              <w:shd w:val="clear"/>
              <w:adjustRightInd/>
              <w:snapToGrid/>
              <w:spacing w:line="360" w:lineRule="auto"/>
              <w:jc w:val="center"/>
              <w:rPr>
                <w:rFonts w:eastAsia="宋体"/>
                <w:color w:val="auto"/>
              </w:rPr>
            </w:pPr>
            <w:r>
              <w:rPr>
                <w:rFonts w:eastAsia="宋体"/>
                <w:color w:val="auto"/>
              </w:rPr>
              <w:t>50</w:t>
            </w:r>
          </w:p>
        </w:tc>
        <w:tc>
          <w:tcPr>
            <w:tcW w:w="980" w:type="pct"/>
            <w:tcBorders>
              <w:right w:val="single" w:color="000000" w:sz="10" w:space="0"/>
            </w:tcBorders>
          </w:tcPr>
          <w:p w14:paraId="69D19A8F">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27A39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04" w:type="pct"/>
            <w:vMerge w:val="restart"/>
            <w:tcBorders>
              <w:left w:val="single" w:color="000000" w:sz="10" w:space="0"/>
              <w:bottom w:val="nil"/>
            </w:tcBorders>
          </w:tcPr>
          <w:p w14:paraId="4C7A51DC">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南侧</w:t>
            </w:r>
          </w:p>
        </w:tc>
        <w:tc>
          <w:tcPr>
            <w:tcW w:w="808" w:type="pct"/>
          </w:tcPr>
          <w:p w14:paraId="0BA33147">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昼间</w:t>
            </w:r>
          </w:p>
        </w:tc>
        <w:tc>
          <w:tcPr>
            <w:tcW w:w="1151" w:type="pct"/>
          </w:tcPr>
          <w:p w14:paraId="0EA627CB">
            <w:pPr>
              <w:pStyle w:val="37"/>
              <w:shd w:val="clear"/>
              <w:adjustRightInd/>
              <w:snapToGrid/>
              <w:spacing w:line="360" w:lineRule="auto"/>
              <w:jc w:val="center"/>
              <w:rPr>
                <w:rFonts w:eastAsia="宋体"/>
                <w:color w:val="auto"/>
              </w:rPr>
            </w:pPr>
            <w:r>
              <w:rPr>
                <w:rFonts w:eastAsia="宋体"/>
                <w:color w:val="auto"/>
                <w:spacing w:val="3"/>
              </w:rPr>
              <w:t>46.5</w:t>
            </w:r>
          </w:p>
        </w:tc>
        <w:tc>
          <w:tcPr>
            <w:tcW w:w="1155" w:type="pct"/>
          </w:tcPr>
          <w:p w14:paraId="175156AA">
            <w:pPr>
              <w:pStyle w:val="37"/>
              <w:shd w:val="clear"/>
              <w:adjustRightInd/>
              <w:snapToGrid/>
              <w:spacing w:line="360" w:lineRule="auto"/>
              <w:jc w:val="center"/>
              <w:rPr>
                <w:rFonts w:eastAsia="宋体"/>
                <w:color w:val="auto"/>
              </w:rPr>
            </w:pPr>
            <w:r>
              <w:rPr>
                <w:rFonts w:eastAsia="宋体"/>
                <w:color w:val="auto"/>
              </w:rPr>
              <w:t>60</w:t>
            </w:r>
          </w:p>
        </w:tc>
        <w:tc>
          <w:tcPr>
            <w:tcW w:w="980" w:type="pct"/>
            <w:tcBorders>
              <w:right w:val="single" w:color="000000" w:sz="10" w:space="0"/>
            </w:tcBorders>
          </w:tcPr>
          <w:p w14:paraId="267668EA">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2FD88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04" w:type="pct"/>
            <w:vMerge w:val="continue"/>
            <w:tcBorders>
              <w:top w:val="nil"/>
              <w:left w:val="single" w:color="000000" w:sz="10" w:space="0"/>
            </w:tcBorders>
          </w:tcPr>
          <w:p w14:paraId="4937385F">
            <w:pPr>
              <w:shd w:val="clear"/>
              <w:adjustRightInd/>
              <w:snapToGrid/>
              <w:spacing w:line="360" w:lineRule="auto"/>
              <w:jc w:val="center"/>
              <w:rPr>
                <w:rFonts w:ascii="Times New Roman" w:hAnsi="Times New Roman" w:eastAsia="宋体"/>
                <w:color w:val="auto"/>
              </w:rPr>
            </w:pPr>
          </w:p>
        </w:tc>
        <w:tc>
          <w:tcPr>
            <w:tcW w:w="808" w:type="pct"/>
          </w:tcPr>
          <w:p w14:paraId="667A7D7C">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夜间</w:t>
            </w:r>
          </w:p>
        </w:tc>
        <w:tc>
          <w:tcPr>
            <w:tcW w:w="1151" w:type="pct"/>
          </w:tcPr>
          <w:p w14:paraId="042CEA3F">
            <w:pPr>
              <w:pStyle w:val="37"/>
              <w:shd w:val="clear"/>
              <w:adjustRightInd/>
              <w:snapToGrid/>
              <w:spacing w:line="360" w:lineRule="auto"/>
              <w:jc w:val="center"/>
              <w:rPr>
                <w:rFonts w:eastAsia="宋体"/>
                <w:color w:val="auto"/>
              </w:rPr>
            </w:pPr>
            <w:r>
              <w:rPr>
                <w:rFonts w:eastAsia="宋体"/>
                <w:color w:val="auto"/>
                <w:spacing w:val="3"/>
              </w:rPr>
              <w:t>46.5</w:t>
            </w:r>
          </w:p>
        </w:tc>
        <w:tc>
          <w:tcPr>
            <w:tcW w:w="1155" w:type="pct"/>
          </w:tcPr>
          <w:p w14:paraId="4A233174">
            <w:pPr>
              <w:pStyle w:val="37"/>
              <w:shd w:val="clear"/>
              <w:adjustRightInd/>
              <w:snapToGrid/>
              <w:spacing w:line="360" w:lineRule="auto"/>
              <w:jc w:val="center"/>
              <w:rPr>
                <w:rFonts w:eastAsia="宋体"/>
                <w:color w:val="auto"/>
              </w:rPr>
            </w:pPr>
            <w:r>
              <w:rPr>
                <w:rFonts w:eastAsia="宋体"/>
                <w:color w:val="auto"/>
              </w:rPr>
              <w:t>50</w:t>
            </w:r>
          </w:p>
        </w:tc>
        <w:tc>
          <w:tcPr>
            <w:tcW w:w="980" w:type="pct"/>
            <w:tcBorders>
              <w:right w:val="single" w:color="000000" w:sz="10" w:space="0"/>
            </w:tcBorders>
          </w:tcPr>
          <w:p w14:paraId="432CFC51">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658E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04" w:type="pct"/>
            <w:vMerge w:val="restart"/>
            <w:tcBorders>
              <w:left w:val="single" w:color="000000" w:sz="10" w:space="0"/>
              <w:bottom w:val="nil"/>
            </w:tcBorders>
          </w:tcPr>
          <w:p w14:paraId="219B016E">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2"/>
                <w:szCs w:val="20"/>
              </w:rPr>
              <w:t>西侧</w:t>
            </w:r>
          </w:p>
        </w:tc>
        <w:tc>
          <w:tcPr>
            <w:tcW w:w="808" w:type="pct"/>
          </w:tcPr>
          <w:p w14:paraId="52928E3C">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昼间</w:t>
            </w:r>
          </w:p>
        </w:tc>
        <w:tc>
          <w:tcPr>
            <w:tcW w:w="1151" w:type="pct"/>
          </w:tcPr>
          <w:p w14:paraId="5B677341">
            <w:pPr>
              <w:pStyle w:val="37"/>
              <w:shd w:val="clear"/>
              <w:adjustRightInd/>
              <w:snapToGrid/>
              <w:spacing w:line="360" w:lineRule="auto"/>
              <w:jc w:val="center"/>
              <w:rPr>
                <w:rFonts w:eastAsia="宋体"/>
                <w:color w:val="auto"/>
              </w:rPr>
            </w:pPr>
            <w:r>
              <w:rPr>
                <w:rFonts w:eastAsia="宋体"/>
                <w:color w:val="auto"/>
                <w:spacing w:val="2"/>
              </w:rPr>
              <w:t>35.3</w:t>
            </w:r>
          </w:p>
        </w:tc>
        <w:tc>
          <w:tcPr>
            <w:tcW w:w="1155" w:type="pct"/>
          </w:tcPr>
          <w:p w14:paraId="2ABD6E30">
            <w:pPr>
              <w:pStyle w:val="37"/>
              <w:shd w:val="clear"/>
              <w:adjustRightInd/>
              <w:snapToGrid/>
              <w:spacing w:line="360" w:lineRule="auto"/>
              <w:jc w:val="center"/>
              <w:rPr>
                <w:rFonts w:eastAsia="宋体"/>
                <w:color w:val="auto"/>
              </w:rPr>
            </w:pPr>
            <w:r>
              <w:rPr>
                <w:rFonts w:eastAsia="宋体"/>
                <w:color w:val="auto"/>
              </w:rPr>
              <w:t>60</w:t>
            </w:r>
          </w:p>
        </w:tc>
        <w:tc>
          <w:tcPr>
            <w:tcW w:w="980" w:type="pct"/>
            <w:tcBorders>
              <w:right w:val="single" w:color="000000" w:sz="10" w:space="0"/>
            </w:tcBorders>
          </w:tcPr>
          <w:p w14:paraId="4038FEA8">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755D8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04" w:type="pct"/>
            <w:vMerge w:val="continue"/>
            <w:tcBorders>
              <w:top w:val="nil"/>
              <w:left w:val="single" w:color="000000" w:sz="10" w:space="0"/>
            </w:tcBorders>
          </w:tcPr>
          <w:p w14:paraId="1BE07E73">
            <w:pPr>
              <w:shd w:val="clear"/>
              <w:adjustRightInd/>
              <w:snapToGrid/>
              <w:spacing w:line="360" w:lineRule="auto"/>
              <w:jc w:val="center"/>
              <w:rPr>
                <w:rFonts w:ascii="Times New Roman" w:hAnsi="Times New Roman" w:eastAsia="宋体"/>
                <w:color w:val="auto"/>
              </w:rPr>
            </w:pPr>
          </w:p>
        </w:tc>
        <w:tc>
          <w:tcPr>
            <w:tcW w:w="808" w:type="pct"/>
          </w:tcPr>
          <w:p w14:paraId="0E5FC2E5">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夜间</w:t>
            </w:r>
          </w:p>
        </w:tc>
        <w:tc>
          <w:tcPr>
            <w:tcW w:w="1151" w:type="pct"/>
          </w:tcPr>
          <w:p w14:paraId="0AC478C0">
            <w:pPr>
              <w:pStyle w:val="37"/>
              <w:shd w:val="clear"/>
              <w:adjustRightInd/>
              <w:snapToGrid/>
              <w:spacing w:line="360" w:lineRule="auto"/>
              <w:jc w:val="center"/>
              <w:rPr>
                <w:rFonts w:eastAsia="宋体"/>
                <w:color w:val="auto"/>
              </w:rPr>
            </w:pPr>
            <w:r>
              <w:rPr>
                <w:rFonts w:eastAsia="宋体"/>
                <w:color w:val="auto"/>
                <w:spacing w:val="2"/>
              </w:rPr>
              <w:t>35.3</w:t>
            </w:r>
          </w:p>
        </w:tc>
        <w:tc>
          <w:tcPr>
            <w:tcW w:w="1155" w:type="pct"/>
          </w:tcPr>
          <w:p w14:paraId="2E592203">
            <w:pPr>
              <w:pStyle w:val="37"/>
              <w:shd w:val="clear"/>
              <w:adjustRightInd/>
              <w:snapToGrid/>
              <w:spacing w:line="360" w:lineRule="auto"/>
              <w:jc w:val="center"/>
              <w:rPr>
                <w:rFonts w:eastAsia="宋体"/>
                <w:color w:val="auto"/>
              </w:rPr>
            </w:pPr>
            <w:r>
              <w:rPr>
                <w:rFonts w:eastAsia="宋体"/>
                <w:color w:val="auto"/>
              </w:rPr>
              <w:t>50</w:t>
            </w:r>
          </w:p>
        </w:tc>
        <w:tc>
          <w:tcPr>
            <w:tcW w:w="980" w:type="pct"/>
            <w:tcBorders>
              <w:right w:val="single" w:color="000000" w:sz="10" w:space="0"/>
            </w:tcBorders>
          </w:tcPr>
          <w:p w14:paraId="2C7A92C6">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0F0D7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04" w:type="pct"/>
            <w:vMerge w:val="restart"/>
            <w:tcBorders>
              <w:left w:val="single" w:color="000000" w:sz="10" w:space="0"/>
              <w:bottom w:val="nil"/>
            </w:tcBorders>
          </w:tcPr>
          <w:p w14:paraId="20F40F28">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北侧</w:t>
            </w:r>
          </w:p>
        </w:tc>
        <w:tc>
          <w:tcPr>
            <w:tcW w:w="808" w:type="pct"/>
          </w:tcPr>
          <w:p w14:paraId="4DF627B4">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昼间</w:t>
            </w:r>
          </w:p>
        </w:tc>
        <w:tc>
          <w:tcPr>
            <w:tcW w:w="1151" w:type="pct"/>
          </w:tcPr>
          <w:p w14:paraId="775E0ABD">
            <w:pPr>
              <w:pStyle w:val="37"/>
              <w:shd w:val="clear"/>
              <w:adjustRightInd/>
              <w:snapToGrid/>
              <w:spacing w:line="360" w:lineRule="auto"/>
              <w:jc w:val="center"/>
              <w:rPr>
                <w:rFonts w:eastAsia="宋体"/>
                <w:color w:val="auto"/>
              </w:rPr>
            </w:pPr>
            <w:r>
              <w:rPr>
                <w:rFonts w:eastAsia="宋体"/>
                <w:color w:val="auto"/>
                <w:spacing w:val="3"/>
              </w:rPr>
              <w:t>48.8</w:t>
            </w:r>
          </w:p>
        </w:tc>
        <w:tc>
          <w:tcPr>
            <w:tcW w:w="1155" w:type="pct"/>
          </w:tcPr>
          <w:p w14:paraId="6DCEF981">
            <w:pPr>
              <w:pStyle w:val="37"/>
              <w:shd w:val="clear"/>
              <w:adjustRightInd/>
              <w:snapToGrid/>
              <w:spacing w:line="360" w:lineRule="auto"/>
              <w:jc w:val="center"/>
              <w:rPr>
                <w:rFonts w:eastAsia="宋体"/>
                <w:color w:val="auto"/>
              </w:rPr>
            </w:pPr>
            <w:r>
              <w:rPr>
                <w:rFonts w:eastAsia="宋体"/>
                <w:color w:val="auto"/>
              </w:rPr>
              <w:t>60</w:t>
            </w:r>
          </w:p>
        </w:tc>
        <w:tc>
          <w:tcPr>
            <w:tcW w:w="980" w:type="pct"/>
            <w:tcBorders>
              <w:right w:val="single" w:color="000000" w:sz="10" w:space="0"/>
            </w:tcBorders>
          </w:tcPr>
          <w:p w14:paraId="3846CC04">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r w14:paraId="2C464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04" w:type="pct"/>
            <w:vMerge w:val="continue"/>
            <w:tcBorders>
              <w:top w:val="nil"/>
              <w:left w:val="single" w:color="000000" w:sz="10" w:space="0"/>
              <w:bottom w:val="single" w:color="000000" w:sz="10" w:space="0"/>
            </w:tcBorders>
          </w:tcPr>
          <w:p w14:paraId="13706241">
            <w:pPr>
              <w:shd w:val="clear"/>
              <w:adjustRightInd/>
              <w:snapToGrid/>
              <w:spacing w:line="360" w:lineRule="auto"/>
              <w:jc w:val="center"/>
              <w:rPr>
                <w:rFonts w:ascii="Times New Roman" w:hAnsi="Times New Roman" w:eastAsia="宋体"/>
                <w:color w:val="auto"/>
              </w:rPr>
            </w:pPr>
          </w:p>
        </w:tc>
        <w:tc>
          <w:tcPr>
            <w:tcW w:w="808" w:type="pct"/>
            <w:tcBorders>
              <w:bottom w:val="single" w:color="000000" w:sz="10" w:space="0"/>
            </w:tcBorders>
          </w:tcPr>
          <w:p w14:paraId="59760518">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3"/>
                <w:szCs w:val="20"/>
              </w:rPr>
              <w:t>夜间</w:t>
            </w:r>
          </w:p>
        </w:tc>
        <w:tc>
          <w:tcPr>
            <w:tcW w:w="1151" w:type="pct"/>
            <w:tcBorders>
              <w:bottom w:val="single" w:color="000000" w:sz="10" w:space="0"/>
            </w:tcBorders>
          </w:tcPr>
          <w:p w14:paraId="1FAE4D60">
            <w:pPr>
              <w:pStyle w:val="37"/>
              <w:shd w:val="clear"/>
              <w:adjustRightInd/>
              <w:snapToGrid/>
              <w:spacing w:line="360" w:lineRule="auto"/>
              <w:jc w:val="center"/>
              <w:rPr>
                <w:rFonts w:eastAsia="宋体"/>
                <w:color w:val="auto"/>
              </w:rPr>
            </w:pPr>
            <w:r>
              <w:rPr>
                <w:rFonts w:eastAsia="宋体"/>
                <w:color w:val="auto"/>
                <w:spacing w:val="3"/>
              </w:rPr>
              <w:t>48.8</w:t>
            </w:r>
          </w:p>
        </w:tc>
        <w:tc>
          <w:tcPr>
            <w:tcW w:w="1155" w:type="pct"/>
            <w:tcBorders>
              <w:bottom w:val="single" w:color="000000" w:sz="10" w:space="0"/>
            </w:tcBorders>
          </w:tcPr>
          <w:p w14:paraId="7CDB25AD">
            <w:pPr>
              <w:pStyle w:val="37"/>
              <w:shd w:val="clear"/>
              <w:adjustRightInd/>
              <w:snapToGrid/>
              <w:spacing w:line="360" w:lineRule="auto"/>
              <w:jc w:val="center"/>
              <w:rPr>
                <w:rFonts w:eastAsia="宋体"/>
                <w:color w:val="auto"/>
              </w:rPr>
            </w:pPr>
            <w:r>
              <w:rPr>
                <w:rFonts w:eastAsia="宋体"/>
                <w:color w:val="auto"/>
              </w:rPr>
              <w:t>50</w:t>
            </w:r>
          </w:p>
        </w:tc>
        <w:tc>
          <w:tcPr>
            <w:tcW w:w="980" w:type="pct"/>
            <w:tcBorders>
              <w:bottom w:val="single" w:color="000000" w:sz="10" w:space="0"/>
              <w:right w:val="single" w:color="000000" w:sz="10" w:space="0"/>
            </w:tcBorders>
          </w:tcPr>
          <w:p w14:paraId="7E415AD3">
            <w:pPr>
              <w:shd w:val="clear"/>
              <w:adjustRightInd/>
              <w:snapToGrid/>
              <w:spacing w:line="360" w:lineRule="auto"/>
              <w:jc w:val="center"/>
              <w:rPr>
                <w:rFonts w:ascii="Times New Roman" w:hAnsi="Times New Roman" w:eastAsia="宋体" w:cs="宋体"/>
                <w:color w:val="auto"/>
                <w:szCs w:val="20"/>
              </w:rPr>
            </w:pPr>
            <w:r>
              <w:rPr>
                <w:rFonts w:ascii="Times New Roman" w:hAnsi="Times New Roman" w:eastAsia="宋体" w:cs="宋体"/>
                <w:color w:val="auto"/>
                <w:spacing w:val="5"/>
                <w:szCs w:val="20"/>
              </w:rPr>
              <w:t>达标</w:t>
            </w:r>
          </w:p>
        </w:tc>
      </w:tr>
    </w:tbl>
    <w:p w14:paraId="207634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从表5.2-1</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可知，本项目厂界噪声排放最大值为昼间</w:t>
      </w:r>
      <w:r>
        <w:rPr>
          <w:rFonts w:hint="eastAsia" w:ascii="Times New Roman" w:hAnsi="Times New Roman"/>
          <w:snapToGrid/>
          <w:color w:val="auto"/>
          <w:sz w:val="24"/>
          <w:szCs w:val="24"/>
          <w:lang w:val="en-US" w:eastAsia="zh-CN"/>
        </w:rPr>
        <w:t>48.8</w:t>
      </w:r>
      <w:r>
        <w:rPr>
          <w:rFonts w:ascii="Times New Roman" w:hAnsi="Times New Roman"/>
          <w:snapToGrid/>
          <w:color w:val="auto"/>
          <w:sz w:val="24"/>
          <w:szCs w:val="24"/>
          <w:lang w:eastAsia="zh-CN"/>
        </w:rPr>
        <w:t>dB（A），夜间</w:t>
      </w:r>
      <w:r>
        <w:rPr>
          <w:rFonts w:hint="eastAsia" w:ascii="Times New Roman" w:hAnsi="Times New Roman"/>
          <w:snapToGrid/>
          <w:color w:val="auto"/>
          <w:sz w:val="24"/>
          <w:szCs w:val="24"/>
          <w:lang w:eastAsia="zh-CN"/>
        </w:rPr>
        <w:t>48.8</w:t>
      </w:r>
      <w:r>
        <w:rPr>
          <w:rFonts w:ascii="Times New Roman" w:hAnsi="Times New Roman"/>
          <w:snapToGrid/>
          <w:color w:val="auto"/>
          <w:sz w:val="24"/>
          <w:szCs w:val="24"/>
          <w:lang w:eastAsia="zh-CN"/>
        </w:rPr>
        <w:t>dB（A）。为降低项目噪声对周围环境的影响，可采取以下控制措施：</w:t>
      </w:r>
    </w:p>
    <w:p w14:paraId="71D6A10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（1）合理布局，要充分考虑各机械设备及各生产工序的性能特点，高噪声设备尽量放置在厂房中部集中布置。在厂区总体布置上利用建筑物、构筑物等阻隔声波的传播；</w:t>
      </w:r>
    </w:p>
    <w:p w14:paraId="51EB8F5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（2）选用低噪声设备，基础减振、采取厂房隔音等措施降噪。</w:t>
      </w:r>
    </w:p>
    <w:p w14:paraId="54E6A65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采取上述措施后，项目所在地四周厂界噪声满足《工业企业厂界环境噪声排放标准》（GB12348-2008）</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类标准要求，对周围声环境影响不大。</w:t>
      </w:r>
    </w:p>
    <w:p w14:paraId="2F88381D">
      <w:pPr>
        <w:pStyle w:val="2"/>
        <w:widowControl w:val="0"/>
        <w:shd w:val="clear"/>
        <w:kinsoku/>
        <w:autoSpaceDE/>
        <w:autoSpaceDN/>
        <w:adjustRightInd/>
        <w:snapToGrid/>
        <w:spacing w:before="32" w:line="221" w:lineRule="auto"/>
        <w:ind w:left="116"/>
        <w:textAlignment w:val="auto"/>
        <w:outlineLvl w:val="2"/>
        <w:rPr>
          <w:rFonts w:ascii="Times New Roman" w:hAnsi="Times New Roman" w:cs="Times New Roman"/>
          <w:b/>
          <w:bCs/>
          <w:snapToGrid/>
          <w:color w:val="auto"/>
          <w:sz w:val="28"/>
          <w:szCs w:val="32"/>
          <w:lang w:eastAsia="zh-CN"/>
        </w:rPr>
      </w:pPr>
      <w:bookmarkStart w:id="629" w:name="_Toc11304"/>
      <w:bookmarkStart w:id="630" w:name="_Toc20757"/>
      <w:bookmarkStart w:id="631" w:name="_Toc10889"/>
      <w:r>
        <w:rPr>
          <w:rFonts w:hint="eastAsia" w:ascii="Times New Roman" w:hAnsi="Times New Roman" w:cs="Times New Roman"/>
          <w:b/>
          <w:bCs/>
          <w:snapToGrid/>
          <w:color w:val="auto"/>
          <w:sz w:val="28"/>
          <w:szCs w:val="32"/>
          <w:lang w:eastAsia="zh-CN"/>
        </w:rPr>
        <w:t>5.2.5固体废物环境影响分析</w:t>
      </w:r>
      <w:bookmarkEnd w:id="629"/>
      <w:bookmarkEnd w:id="630"/>
      <w:bookmarkEnd w:id="631"/>
    </w:p>
    <w:p w14:paraId="17DD8894">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632" w:name="_Toc14004"/>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 HYPERLINK "file:///C:\\Users\\jobezho\\AppData\\Local\\Temp\\Rar$DIa13476.12779\\5.2.5.1" </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5.2.5.1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固体废弃物影响分析</w:t>
      </w:r>
      <w:bookmarkEnd w:id="632"/>
    </w:p>
    <w:p w14:paraId="28CD59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塑料颗粒加工生产线产生的固体废物为废旧滴灌带清洗产生的废渣及泥沙、造粒工段产生的废滤网；滴灌带生产线产生的不合格产品及边角料；另外还有活性炭吸附装置产生的废活性炭，设备维护产生的废润滑油及工作人员产生的生活垃圾等。</w:t>
      </w:r>
    </w:p>
    <w:p w14:paraId="68F524D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33" w:name="_Toc10999"/>
      <w:bookmarkStart w:id="634" w:name="_Toc16633"/>
      <w:bookmarkStart w:id="635" w:name="_Toc19379"/>
      <w:r>
        <w:rPr>
          <w:rFonts w:ascii="Times New Roman" w:hAnsi="Times New Roman"/>
          <w:snapToGrid/>
          <w:color w:val="auto"/>
          <w:sz w:val="24"/>
          <w:szCs w:val="24"/>
          <w:lang w:eastAsia="zh-CN"/>
        </w:rPr>
        <w:t>1、一般固废</w:t>
      </w:r>
      <w:bookmarkEnd w:id="633"/>
      <w:bookmarkEnd w:id="634"/>
      <w:bookmarkEnd w:id="635"/>
    </w:p>
    <w:p w14:paraId="1F946A9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36" w:name="_Toc20634"/>
      <w:bookmarkStart w:id="637" w:name="_Toc9054"/>
      <w:r>
        <w:rPr>
          <w:rFonts w:ascii="Times New Roman" w:hAnsi="Times New Roman"/>
          <w:snapToGrid/>
          <w:color w:val="auto"/>
          <w:sz w:val="24"/>
          <w:szCs w:val="24"/>
          <w:lang w:eastAsia="zh-CN"/>
        </w:rPr>
        <w:t>（1）分拣废物</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清洗废渣及泥沙</w:t>
      </w:r>
      <w:bookmarkEnd w:id="636"/>
      <w:bookmarkEnd w:id="637"/>
    </w:p>
    <w:p w14:paraId="1BCAB63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废旧滴灌带在田间回收后直接运回厂区进行破碎清洗，因此，清洗过程会产生废渣及泥沙，本项目废旧滴灌带清洗废渣及泥沙产生量约为307.75t/a。根据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，确定清洗废渣及泥沙的一般固废代码为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。本项目废旧滴灌带清洗过程不添加其他化学试剂，使用清水清洗，清洗杂质主要为泥土等，待生产季结束后统一清掏，泥土经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w:t>
      </w:r>
      <w:r>
        <w:rPr>
          <w:rFonts w:hint="eastAsia" w:ascii="Times New Roman" w:hAnsi="Times New Roman"/>
          <w:snapToGrid/>
          <w:color w:val="auto"/>
          <w:sz w:val="24"/>
          <w:szCs w:val="24"/>
          <w:lang w:eastAsia="zh-CN"/>
        </w:rPr>
        <w:t>同分拣废物</w:t>
      </w:r>
      <w:r>
        <w:rPr>
          <w:rFonts w:ascii="Times New Roman" w:hAnsi="Times New Roman"/>
          <w:snapToGrid/>
          <w:color w:val="auto"/>
          <w:sz w:val="24"/>
          <w:szCs w:val="24"/>
          <w:lang w:eastAsia="zh-CN"/>
        </w:rPr>
        <w:t>交由环卫部门外运填埋处理。</w:t>
      </w:r>
    </w:p>
    <w:p w14:paraId="4ABD4A2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38" w:name="_Toc10622"/>
      <w:bookmarkStart w:id="639" w:name="_Toc18409"/>
      <w:r>
        <w:rPr>
          <w:rFonts w:ascii="Times New Roman" w:hAnsi="Times New Roman"/>
          <w:snapToGrid/>
          <w:color w:val="auto"/>
          <w:sz w:val="24"/>
          <w:szCs w:val="24"/>
          <w:lang w:eastAsia="zh-CN"/>
        </w:rPr>
        <w:t>（2）滴灌带残次品及边角料</w:t>
      </w:r>
      <w:bookmarkEnd w:id="638"/>
      <w:bookmarkEnd w:id="639"/>
    </w:p>
    <w:p w14:paraId="5AD187E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滴灌带加工生产定型时会产生残次品及边角料，边角料、残次品产生量为52.05t/a，全部回至破碎工序再次破碎造粒循环利用。根据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，确定滴灌带残次品及边角料的一般固废代码为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w:t>
      </w:r>
    </w:p>
    <w:p w14:paraId="3357F12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40" w:name="_Toc22124"/>
      <w:bookmarkStart w:id="641" w:name="_Toc7222"/>
      <w:r>
        <w:rPr>
          <w:rFonts w:ascii="Times New Roman" w:hAnsi="Times New Roman"/>
          <w:snapToGrid/>
          <w:color w:val="auto"/>
          <w:sz w:val="24"/>
          <w:szCs w:val="24"/>
          <w:lang w:eastAsia="zh-CN"/>
        </w:rPr>
        <w:t>（3）废滤网</w:t>
      </w:r>
      <w:bookmarkEnd w:id="640"/>
      <w:bookmarkEnd w:id="641"/>
    </w:p>
    <w:p w14:paraId="4FCA3FA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废旧滴灌带在造粒工段需要进行加热融化，为保证再生颗粒料的质量，需要对熔融态废料进行过滤后再进行造粒，所使用的滤网随着使用时间的延长，网眼会逐渐变小，直至不能使用，根据同类项目调查，本项目滤网每天更换2次，每次20张，每张过滤网重约0.25kg，则本项目废旧滤网产生量约为2.4t/a，滤网上主要为熔融废塑料的杂质。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，确定废旧滤网的一般固废代码为</w:t>
      </w:r>
      <w:r>
        <w:rPr>
          <w:rFonts w:hint="eastAsia" w:ascii="Times New Roman" w:hAnsi="Times New Roman"/>
          <w:snapToGrid/>
          <w:color w:val="auto"/>
          <w:sz w:val="24"/>
          <w:szCs w:val="24"/>
          <w:lang w:eastAsia="zh-CN"/>
        </w:rPr>
        <w:t>900-099-S59</w:t>
      </w:r>
      <w:r>
        <w:rPr>
          <w:rFonts w:ascii="Times New Roman" w:hAnsi="Times New Roman"/>
          <w:snapToGrid/>
          <w:color w:val="auto"/>
          <w:sz w:val="24"/>
          <w:szCs w:val="24"/>
          <w:lang w:eastAsia="zh-CN"/>
        </w:rPr>
        <w:t>。</w:t>
      </w:r>
    </w:p>
    <w:p w14:paraId="1CF8BA2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根据《废塑料加工利用污染防治管理规定》（</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、发展改革委、商务部联合公告2012年第55号）“废塑料加工利用单位应当以环境无害化方式处理废塑料加工利用过</w:t>
      </w:r>
      <w:r>
        <w:rPr>
          <w:rFonts w:hint="eastAsia" w:ascii="Times New Roman" w:hAnsi="Times New Roman"/>
          <w:snapToGrid/>
          <w:color w:val="auto"/>
          <w:sz w:val="24"/>
          <w:szCs w:val="24"/>
          <w:lang w:eastAsia="zh-CN"/>
        </w:rPr>
        <w:t>程中</w:t>
      </w:r>
      <w:r>
        <w:rPr>
          <w:rFonts w:ascii="Times New Roman" w:hAnsi="Times New Roman"/>
          <w:snapToGrid/>
          <w:color w:val="auto"/>
          <w:sz w:val="24"/>
          <w:szCs w:val="24"/>
          <w:lang w:eastAsia="zh-CN"/>
        </w:rPr>
        <w:t>产生的残余垃圾、滤网；禁止交不符合环保要求的单位或个人处置。禁止露天焚烧废塑料及加工利用过程产生的残余垃圾、滤网”。此类废物为废塑料熔融废物，为一般工业废物，本环评要求建设单位将废滤网集中收集后定期由厂家回收。</w:t>
      </w:r>
    </w:p>
    <w:p w14:paraId="0D09D41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42" w:name="_Toc19609"/>
      <w:bookmarkStart w:id="643" w:name="_Toc16231"/>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4</w:t>
      </w:r>
      <w:r>
        <w:rPr>
          <w:rFonts w:ascii="Times New Roman" w:hAnsi="Times New Roman"/>
          <w:snapToGrid/>
          <w:color w:val="auto"/>
          <w:sz w:val="24"/>
          <w:szCs w:val="24"/>
          <w:lang w:eastAsia="zh-CN"/>
        </w:rPr>
        <w:t>）生活垃圾</w:t>
      </w:r>
      <w:bookmarkEnd w:id="642"/>
      <w:bookmarkEnd w:id="643"/>
    </w:p>
    <w:p w14:paraId="4D19539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本项目工作人员共20人，生活垃圾产生量按每人0.5kg/人·d计，生活垃圾的产生量为2.4t/a。厂区设置垃圾桶，生活垃圾分类经集中收集后，由环卫部门定期拉运统一处置。根据</w:t>
      </w:r>
      <w:r>
        <w:rPr>
          <w:rFonts w:hint="eastAsia" w:ascii="Times New Roman" w:hAnsi="Times New Roman"/>
          <w:snapToGrid/>
          <w:color w:val="auto"/>
          <w:sz w:val="24"/>
          <w:szCs w:val="24"/>
          <w:lang w:eastAsia="zh-CN"/>
        </w:rPr>
        <w:t>《固体废物分类与代码目录》（生态环境部公告2024年第4号）</w:t>
      </w:r>
      <w:r>
        <w:rPr>
          <w:rFonts w:ascii="Times New Roman" w:hAnsi="Times New Roman"/>
          <w:snapToGrid/>
          <w:color w:val="auto"/>
          <w:sz w:val="24"/>
          <w:szCs w:val="24"/>
          <w:lang w:eastAsia="zh-CN"/>
        </w:rPr>
        <w:t>，确定</w:t>
      </w:r>
      <w:r>
        <w:rPr>
          <w:rFonts w:hint="eastAsia" w:ascii="Times New Roman" w:hAnsi="Times New Roman"/>
          <w:snapToGrid/>
          <w:color w:val="auto"/>
          <w:sz w:val="24"/>
          <w:szCs w:val="24"/>
          <w:lang w:val="en-US" w:eastAsia="zh-CN"/>
        </w:rPr>
        <w:t>生活垃圾</w:t>
      </w:r>
      <w:r>
        <w:rPr>
          <w:rFonts w:ascii="Times New Roman" w:hAnsi="Times New Roman"/>
          <w:snapToGrid/>
          <w:color w:val="auto"/>
          <w:sz w:val="24"/>
          <w:szCs w:val="24"/>
          <w:lang w:eastAsia="zh-CN"/>
        </w:rPr>
        <w:t>的一般固废代码为</w:t>
      </w:r>
      <w:r>
        <w:rPr>
          <w:rFonts w:hint="eastAsia" w:ascii="Times New Roman" w:hAnsi="Times New Roman"/>
          <w:snapToGrid/>
          <w:color w:val="auto"/>
          <w:sz w:val="24"/>
          <w:szCs w:val="24"/>
          <w:lang w:val="en-US" w:eastAsia="zh-CN"/>
        </w:rPr>
        <w:t>900-002-S61</w:t>
      </w:r>
      <w:r>
        <w:rPr>
          <w:rFonts w:ascii="Times New Roman" w:hAnsi="Times New Roman"/>
          <w:snapToGrid/>
          <w:color w:val="auto"/>
          <w:sz w:val="24"/>
          <w:szCs w:val="24"/>
          <w:lang w:eastAsia="zh-CN"/>
        </w:rPr>
        <w:t>。</w:t>
      </w:r>
    </w:p>
    <w:p w14:paraId="5FA973C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44" w:name="_Toc15268"/>
      <w:bookmarkStart w:id="645" w:name="_Toc10988"/>
      <w:bookmarkStart w:id="646" w:name="_Toc900"/>
      <w:r>
        <w:rPr>
          <w:rFonts w:ascii="Times New Roman" w:hAnsi="Times New Roman"/>
          <w:snapToGrid/>
          <w:color w:val="auto"/>
          <w:sz w:val="24"/>
          <w:szCs w:val="24"/>
          <w:lang w:eastAsia="zh-CN"/>
        </w:rPr>
        <w:t>2、危险废物</w:t>
      </w:r>
      <w:bookmarkEnd w:id="644"/>
      <w:bookmarkEnd w:id="645"/>
      <w:bookmarkEnd w:id="646"/>
    </w:p>
    <w:p w14:paraId="02CC10B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647" w:name="_Toc27919"/>
      <w:bookmarkStart w:id="648" w:name="_Toc24209"/>
      <w:r>
        <w:rPr>
          <w:rFonts w:ascii="Times New Roman" w:hAnsi="Times New Roman"/>
          <w:snapToGrid/>
          <w:color w:val="auto"/>
          <w:sz w:val="24"/>
          <w:szCs w:val="24"/>
          <w:lang w:eastAsia="zh-CN"/>
        </w:rPr>
        <w:t>（1）废润滑油</w:t>
      </w:r>
      <w:bookmarkEnd w:id="647"/>
      <w:bookmarkEnd w:id="648"/>
    </w:p>
    <w:p w14:paraId="69A9C10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本项目生产过程中使用的机械设备需定期更换润滑油以保证设备正常运转，预计每年需更换润滑油500kg。根据《国家危险废物名录》</w:t>
      </w:r>
      <w:r>
        <w:rPr>
          <w:rFonts w:hint="eastAsia" w:ascii="Times New Roman" w:hAnsi="Times New Roman"/>
          <w:snapToGrid/>
          <w:color w:val="auto"/>
          <w:sz w:val="24"/>
          <w:szCs w:val="24"/>
          <w:lang w:eastAsia="zh-CN"/>
        </w:rPr>
        <w:t>（2025年版）</w:t>
      </w:r>
      <w:r>
        <w:rPr>
          <w:rFonts w:hint="default" w:ascii="Times New Roman" w:hAnsi="Times New Roman"/>
          <w:snapToGrid/>
          <w:color w:val="auto"/>
          <w:sz w:val="24"/>
          <w:szCs w:val="24"/>
          <w:lang w:val="en-US" w:eastAsia="zh-CN"/>
        </w:rPr>
        <w:t>本项目产生的废润滑油、废润滑油桶属于HW08废矿物油与含矿物油废物，废物代码分别为900-217-08、900-249-08。</w:t>
      </w:r>
      <w:r>
        <w:rPr>
          <w:rFonts w:hint="default" w:ascii="Times New Roman" w:hAnsi="Times New Roman"/>
          <w:snapToGrid/>
          <w:color w:val="auto"/>
          <w:sz w:val="24"/>
          <w:szCs w:val="24"/>
          <w:lang w:eastAsia="zh-CN"/>
        </w:rPr>
        <w:t>厂区设危废暂存间，项目产生的</w:t>
      </w:r>
      <w:r>
        <w:rPr>
          <w:rFonts w:hint="default" w:ascii="Times New Roman" w:hAnsi="Times New Roman"/>
          <w:snapToGrid/>
          <w:color w:val="auto"/>
          <w:sz w:val="24"/>
          <w:szCs w:val="24"/>
          <w:lang w:val="en-US" w:eastAsia="zh-CN"/>
        </w:rPr>
        <w:t>废润滑油采用桶装收集储存，同废润滑油桶分类暂存于</w:t>
      </w:r>
      <w:r>
        <w:rPr>
          <w:rFonts w:hint="default" w:ascii="Times New Roman" w:hAnsi="Times New Roman"/>
          <w:snapToGrid/>
          <w:color w:val="auto"/>
          <w:sz w:val="24"/>
          <w:szCs w:val="24"/>
          <w:lang w:eastAsia="zh-CN"/>
        </w:rPr>
        <w:t>危废暂存间，</w:t>
      </w:r>
      <w:r>
        <w:rPr>
          <w:rFonts w:hint="default" w:ascii="Times New Roman" w:hAnsi="Times New Roman"/>
          <w:snapToGrid/>
          <w:color w:val="auto"/>
          <w:sz w:val="24"/>
          <w:szCs w:val="24"/>
          <w:lang w:val="en-US" w:eastAsia="zh-CN"/>
        </w:rPr>
        <w:t>定期</w:t>
      </w:r>
      <w:r>
        <w:rPr>
          <w:rFonts w:hint="default" w:ascii="Times New Roman" w:hAnsi="Times New Roman"/>
          <w:snapToGrid/>
          <w:color w:val="auto"/>
          <w:sz w:val="24"/>
          <w:szCs w:val="24"/>
          <w:lang w:eastAsia="zh-CN"/>
        </w:rPr>
        <w:t>委托有资质单位进行处置。</w:t>
      </w:r>
    </w:p>
    <w:p w14:paraId="305FECA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49" w:name="_Toc8237"/>
      <w:bookmarkStart w:id="650" w:name="_Toc6657"/>
      <w:r>
        <w:rPr>
          <w:rFonts w:ascii="Times New Roman" w:hAnsi="Times New Roman"/>
          <w:snapToGrid/>
          <w:color w:val="auto"/>
          <w:sz w:val="24"/>
          <w:szCs w:val="24"/>
          <w:lang w:eastAsia="zh-CN"/>
        </w:rPr>
        <w:t>（2）废活性炭</w:t>
      </w:r>
      <w:bookmarkEnd w:id="649"/>
      <w:bookmarkEnd w:id="650"/>
    </w:p>
    <w:p w14:paraId="6B05FCA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项目生产过程产生的非甲烷总烃采用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进行处置，</w:t>
      </w:r>
      <w:r>
        <w:rPr>
          <w:rFonts w:hint="eastAsia" w:ascii="Times New Roman" w:hAnsi="Times New Roman"/>
          <w:snapToGrid/>
          <w:color w:val="auto"/>
          <w:sz w:val="24"/>
          <w:szCs w:val="24"/>
          <w:lang w:eastAsia="zh-CN"/>
        </w:rPr>
        <w:t>活性炭</w:t>
      </w:r>
      <w:r>
        <w:rPr>
          <w:rFonts w:ascii="Times New Roman" w:hAnsi="Times New Roman"/>
          <w:snapToGrid/>
          <w:color w:val="auto"/>
          <w:sz w:val="24"/>
          <w:szCs w:val="24"/>
          <w:lang w:eastAsia="zh-CN"/>
        </w:rPr>
        <w:t>在运行再生一段时间后处置效率会有所降低，因此需要更换新的</w:t>
      </w:r>
      <w:r>
        <w:rPr>
          <w:rFonts w:hint="eastAsia" w:ascii="Times New Roman" w:hAnsi="Times New Roman"/>
          <w:snapToGrid/>
          <w:color w:val="auto"/>
          <w:sz w:val="24"/>
          <w:szCs w:val="24"/>
          <w:lang w:eastAsia="zh-CN"/>
        </w:rPr>
        <w:t>活性炭</w:t>
      </w:r>
      <w:r>
        <w:rPr>
          <w:rFonts w:ascii="Times New Roman" w:hAnsi="Times New Roman"/>
          <w:snapToGrid/>
          <w:color w:val="auto"/>
          <w:sz w:val="24"/>
          <w:szCs w:val="24"/>
          <w:lang w:eastAsia="zh-CN"/>
        </w:rPr>
        <w:t>。项目运营期产生废活性炭</w:t>
      </w:r>
      <w:r>
        <w:rPr>
          <w:rFonts w:hint="eastAsia" w:ascii="Times New Roman" w:hAnsi="Times New Roman"/>
          <w:snapToGrid/>
          <w:color w:val="auto"/>
          <w:sz w:val="24"/>
          <w:szCs w:val="24"/>
          <w:lang w:eastAsia="zh-CN"/>
        </w:rPr>
        <w:t>6.48</w:t>
      </w:r>
      <w:r>
        <w:rPr>
          <w:rFonts w:ascii="Times New Roman" w:hAnsi="Times New Roman"/>
          <w:snapToGrid/>
          <w:color w:val="auto"/>
          <w:sz w:val="24"/>
          <w:szCs w:val="24"/>
          <w:lang w:eastAsia="zh-CN"/>
        </w:rPr>
        <w:t>t/a。根据《国家危险废物名录》</w:t>
      </w:r>
      <w:r>
        <w:rPr>
          <w:rFonts w:hint="eastAsia" w:ascii="Times New Roman" w:hAnsi="Times New Roman"/>
          <w:snapToGrid/>
          <w:color w:val="auto"/>
          <w:sz w:val="24"/>
          <w:szCs w:val="24"/>
          <w:lang w:eastAsia="zh-CN"/>
        </w:rPr>
        <w:t>（2025年版）</w:t>
      </w:r>
      <w:r>
        <w:rPr>
          <w:rFonts w:ascii="Times New Roman" w:hAnsi="Times New Roman"/>
          <w:snapToGrid/>
          <w:color w:val="auto"/>
          <w:sz w:val="24"/>
          <w:szCs w:val="24"/>
          <w:lang w:eastAsia="zh-CN"/>
        </w:rPr>
        <w:t>，危险废物类别为HW49，废物代码为900-039-49。</w:t>
      </w:r>
    </w:p>
    <w:p w14:paraId="47D47A02">
      <w:pPr>
        <w:pStyle w:val="2"/>
        <w:widowControl w:val="0"/>
        <w:shd w:val="clear"/>
        <w:kinsoku/>
        <w:autoSpaceDE/>
        <w:autoSpaceDN/>
        <w:adjustRightInd/>
        <w:snapToGrid/>
        <w:spacing w:line="360" w:lineRule="auto"/>
        <w:ind w:firstLine="480" w:firstLineChars="200"/>
        <w:jc w:val="both"/>
        <w:textAlignment w:val="auto"/>
        <w:rPr>
          <w:rFonts w:hint="default" w:ascii="Times New Roman" w:hAnsi="Times New Roman"/>
          <w:snapToGrid/>
          <w:color w:val="auto"/>
          <w:sz w:val="24"/>
          <w:szCs w:val="24"/>
          <w:lang w:val="en-US" w:eastAsia="zh-CN"/>
        </w:rPr>
      </w:pPr>
      <w:r>
        <w:rPr>
          <w:rFonts w:hint="eastAsia" w:ascii="Times New Roman" w:hAnsi="Times New Roman"/>
          <w:snapToGrid/>
          <w:color w:val="auto"/>
          <w:sz w:val="24"/>
          <w:szCs w:val="24"/>
          <w:lang w:val="en-US" w:eastAsia="zh-CN"/>
        </w:rPr>
        <w:t>（3）废催化剂</w:t>
      </w:r>
    </w:p>
    <w:p w14:paraId="08FE469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本项目挥发性有机物采用“活性炭吸附脱附+蓄热催化燃烧（RCO）一体化装置”处置，根据催化剂的使用寿命，一般2年更换1次，每次更换产生废催化剂0.24吨，折算到年均则废催化剂产生量约为0.12吨/年。根据《国家危险废物名录》（2025版）规定，废催化剂属于危险废物，危废类别为HW49其他废物，废物代码：900-041-49，集中收集在危废暂存间内，定期交由具有相关资质的单位进行清运处置。</w:t>
      </w:r>
    </w:p>
    <w:p w14:paraId="5FBBACC0">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651" w:name="_Toc29896"/>
      <w:bookmarkStart w:id="652" w:name="_Toc11391"/>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"C:\\Users\\jobezho\\AppData\\Local\\Temp\\Rar$DIa13476.12779\\5.2.5.2"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5.2.5.2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贮存要求</w:t>
      </w:r>
      <w:bookmarkEnd w:id="651"/>
      <w:bookmarkEnd w:id="652"/>
    </w:p>
    <w:p w14:paraId="3DDF203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53" w:name="_Toc30666"/>
      <w:bookmarkStart w:id="654" w:name="_Toc9788"/>
      <w:r>
        <w:rPr>
          <w:rFonts w:ascii="Times New Roman" w:hAnsi="Times New Roman"/>
          <w:snapToGrid/>
          <w:color w:val="auto"/>
          <w:sz w:val="24"/>
          <w:szCs w:val="24"/>
          <w:lang w:eastAsia="zh-CN"/>
        </w:rPr>
        <w:t>（1）一般固废暂存间</w:t>
      </w:r>
      <w:bookmarkEnd w:id="653"/>
      <w:bookmarkEnd w:id="654"/>
    </w:p>
    <w:p w14:paraId="33E479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本次评价要求建设单位在车间内设置一般固体废弃物暂存间。项目产生的一般固体废弃物临时贮存时应符合以下要求：</w:t>
      </w:r>
    </w:p>
    <w:p w14:paraId="5F1656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①贮存的建设类型必须与将要堆放的一般工业固体废物的类别相一致。</w:t>
      </w:r>
    </w:p>
    <w:p w14:paraId="77072A1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②贮存场应采取防治粉尘污染的措施。</w:t>
      </w:r>
    </w:p>
    <w:p w14:paraId="68E7BED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③贮存场所应做好防晒、防雨淋措施。</w:t>
      </w:r>
    </w:p>
    <w:p w14:paraId="1D91981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④一般工业固体废弃物贮存场禁止危险废物和生活垃圾的混入。</w:t>
      </w:r>
    </w:p>
    <w:p w14:paraId="7583D37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⑤应建立检查维修制度、档案制度，应将入场的一般工业固体废物的种类和数量记录在案，长期保存。</w:t>
      </w:r>
    </w:p>
    <w:p w14:paraId="5D5354E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⑥贮存场所设置环境保护图形标志，按GB15562.2规定进行检查和维护。</w:t>
      </w:r>
    </w:p>
    <w:p w14:paraId="60ED7E2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55" w:name="_Toc23063"/>
      <w:bookmarkStart w:id="656" w:name="_Toc27321"/>
      <w:r>
        <w:rPr>
          <w:rFonts w:ascii="Times New Roman" w:hAnsi="Times New Roman"/>
          <w:snapToGrid/>
          <w:color w:val="auto"/>
          <w:sz w:val="24"/>
          <w:szCs w:val="24"/>
          <w:lang w:eastAsia="zh-CN"/>
        </w:rPr>
        <w:t>（2）危险废物暂存间</w:t>
      </w:r>
      <w:bookmarkEnd w:id="655"/>
      <w:bookmarkEnd w:id="656"/>
    </w:p>
    <w:p w14:paraId="120CB22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要求建设单位设置危废暂存间，用于暂存废润滑油和废活性炭，定期交由有资质单位处置。由于项目日常产生的废活性炭、废润滑油量较小，产生后会尽快委托处置，不在危废暂存间长时间贮存，因此可满足全厂危废暂存要求。危废暂存间的设置严格按照《危险废物贮存污染控制标准》（GB18957-2023）中有关规定，危险废物存放期间，使用完好无损容器盛装；用于存放装置危险废物容器的地方必须有耐腐蚀的硬化地面，且表面无裂痕。储存容器上必须粘贴该标准中规定的危险废物标签；容器材质与危险废物本身相容（不相互反应）；基础做防渗，防渗层为至少1m</w:t>
      </w:r>
      <w:r>
        <w:rPr>
          <w:rFonts w:hint="eastAsia" w:ascii="Times New Roman" w:hAnsi="Times New Roman"/>
          <w:snapToGrid/>
          <w:color w:val="auto"/>
          <w:sz w:val="24"/>
          <w:szCs w:val="24"/>
          <w:lang w:eastAsia="zh-CN"/>
        </w:rPr>
        <w:t>黏土</w:t>
      </w:r>
      <w:r>
        <w:rPr>
          <w:rFonts w:ascii="Times New Roman" w:hAnsi="Times New Roman"/>
          <w:snapToGrid/>
          <w:color w:val="auto"/>
          <w:sz w:val="24"/>
          <w:szCs w:val="24"/>
          <w:lang w:eastAsia="zh-CN"/>
        </w:rPr>
        <w:t>层（渗透系数小于等于1×10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cm/s）。废润滑油储存周围设置围堰，防止废液溢流。危废暂存间设置危险废物识别标志，并设置“双人双锁”制度管理。设有专人管理危险废物，并在产生、贮存、利用、处置等环节建立危险废物</w:t>
      </w:r>
      <w:r>
        <w:rPr>
          <w:rFonts w:hint="eastAsia" w:ascii="Times New Roman" w:hAnsi="Times New Roman"/>
          <w:snapToGrid/>
          <w:color w:val="auto"/>
          <w:sz w:val="24"/>
          <w:szCs w:val="24"/>
          <w:lang w:eastAsia="zh-CN"/>
        </w:rPr>
        <w:t>管理</w:t>
      </w:r>
      <w:r>
        <w:rPr>
          <w:rFonts w:ascii="Times New Roman" w:hAnsi="Times New Roman"/>
          <w:snapToGrid/>
          <w:color w:val="auto"/>
          <w:sz w:val="24"/>
          <w:szCs w:val="24"/>
          <w:lang w:eastAsia="zh-CN"/>
        </w:rPr>
        <w:t>台账。危险废物贮存容器应满足：</w:t>
      </w:r>
    </w:p>
    <w:p w14:paraId="0C1A2BF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①使用符合标准的容器盛装危险废物；应定期对暂时贮存危险废物包装及设施进行检查，发现破损，及时采取措施清理更换；</w:t>
      </w:r>
    </w:p>
    <w:p w14:paraId="6314D73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②装载危险废物的容器及材质要满足相应的强度要求；</w:t>
      </w:r>
    </w:p>
    <w:p w14:paraId="3190BC2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③装载危险废物的容器必须完好无损；</w:t>
      </w:r>
    </w:p>
    <w:p w14:paraId="188E40D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盛装危险废物的容器材质和衬里要与危险废物相容，不相互反应。危险废物堆放场所选址、平面布置、设计原则及危险废物的堆放要求等，必须满足《危险废物储存污染控制标准》（GB18597-2023）的相关要求。危险废物贮存间必须按（GB15562.2）的规定设置警示标志，周围应设置围墙或</w:t>
      </w:r>
      <w:r>
        <w:rPr>
          <w:rFonts w:hint="eastAsia" w:ascii="Times New Roman" w:hAnsi="Times New Roman"/>
          <w:snapToGrid/>
          <w:color w:val="auto"/>
          <w:sz w:val="24"/>
          <w:szCs w:val="24"/>
          <w:lang w:eastAsia="zh-CN"/>
        </w:rPr>
        <w:t>其他</w:t>
      </w:r>
      <w:r>
        <w:rPr>
          <w:rFonts w:ascii="Times New Roman" w:hAnsi="Times New Roman"/>
          <w:snapToGrid/>
          <w:color w:val="auto"/>
          <w:sz w:val="24"/>
          <w:szCs w:val="24"/>
          <w:lang w:eastAsia="zh-CN"/>
        </w:rPr>
        <w:t>防护栅栏，配备通讯设备、照明设施、安全防护服装及工具，并设有应急防护设施。</w:t>
      </w:r>
    </w:p>
    <w:p w14:paraId="24594AF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14:paraId="109D088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根据《危险废物识别标志设置技术规范》（HJ1276-2022）要求，危废暂存间应设置危险废物识别标志。</w:t>
      </w:r>
    </w:p>
    <w:p w14:paraId="735CB1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（1）危险废物贮存、利用、处置设施标志应包含三角形警告性图形标志和文字性辅助标志，其中三角形警告性图形标志应符合GB15562.2中的要求。</w:t>
      </w:r>
    </w:p>
    <w:p w14:paraId="46183D9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（2）危险废物贮存、利用、处置设施标志应以醒目的文字标注危险废物设施的类型。</w:t>
      </w:r>
    </w:p>
    <w:p w14:paraId="2B00AA3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（3）危险废物贮存、利用、处置设施标志还应包含危险废物设施所属的单位名称、设施编码、负责人及联系方式。</w:t>
      </w:r>
    </w:p>
    <w:p w14:paraId="538FF02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（4）危险废物贮存、利用、处置设施标志宜设置二维码，对设施使用情况进行信息化管理。</w:t>
      </w:r>
    </w:p>
    <w:p w14:paraId="53FDDE84">
      <w:pPr>
        <w:pStyle w:val="2"/>
        <w:widowControl w:val="0"/>
        <w:shd w:val="clear"/>
        <w:kinsoku/>
        <w:autoSpaceDE/>
        <w:autoSpaceDN/>
        <w:adjustRightInd/>
        <w:snapToGrid/>
        <w:spacing w:before="175" w:line="221" w:lineRule="auto"/>
        <w:ind w:left="36"/>
        <w:textAlignment w:val="auto"/>
        <w:outlineLvl w:val="2"/>
        <w:rPr>
          <w:rFonts w:ascii="Times New Roman" w:hAnsi="Times New Roman" w:cs="Times New Roman"/>
          <w:b/>
          <w:bCs/>
          <w:snapToGrid/>
          <w:color w:val="auto"/>
          <w:sz w:val="28"/>
          <w:szCs w:val="32"/>
          <w:lang w:eastAsia="zh-CN"/>
        </w:rPr>
      </w:pPr>
      <w:bookmarkStart w:id="657" w:name="_Toc26581"/>
      <w:bookmarkStart w:id="658" w:name="_Toc2854"/>
      <w:bookmarkStart w:id="659" w:name="_Toc3251"/>
      <w:r>
        <w:rPr>
          <w:rFonts w:hint="eastAsia" w:ascii="Times New Roman" w:hAnsi="Times New Roman" w:cs="Times New Roman"/>
          <w:b/>
          <w:bCs/>
          <w:snapToGrid/>
          <w:color w:val="auto"/>
          <w:sz w:val="28"/>
          <w:szCs w:val="32"/>
          <w:lang w:eastAsia="zh-CN"/>
        </w:rPr>
        <w:t>5.2.6土壤环境影响</w:t>
      </w:r>
      <w:bookmarkEnd w:id="657"/>
      <w:bookmarkEnd w:id="658"/>
      <w:bookmarkEnd w:id="659"/>
    </w:p>
    <w:p w14:paraId="6BBE4A6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（1）预测评价范围</w:t>
      </w:r>
    </w:p>
    <w:p w14:paraId="6F643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本项目土壤环境影响评价工作等级为三级，根据《环境影响评价技术导则  土壤环境（试行）》（HJ964-2018），项目土壤环境影响现状调查评价范围为本项目占地范围内及厂界外0.05km范围内的区域。</w:t>
      </w:r>
    </w:p>
    <w:p w14:paraId="162CD6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（2）土地利用情况及评价时段</w:t>
      </w:r>
    </w:p>
    <w:p w14:paraId="43E1DC1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项目场地现状为空地，本项目施工期主要内容为厂房的建设、防渗工程和生产设备的安装，施工期对土壤的影响仅局限于土壤结构的破坏，不涉及污染物的排放，因此重点预测时段为项目运行期。</w:t>
      </w:r>
    </w:p>
    <w:p w14:paraId="2EF1853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（3）土壤污染途径分析</w:t>
      </w:r>
    </w:p>
    <w:p w14:paraId="526D125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本项目为污染型建设项目，不涉及施工期土壤环境影响。重点分析运营期对项目及周边区域土壤环境的影响。根据工程分析，本项目不涉及重金属的使用，运营期无有毒有害物质的大量排放，主要生产废气为颗粒物、非甲烷总烃，根据</w:t>
      </w:r>
      <w:r>
        <w:rPr>
          <w:rFonts w:ascii="Times New Roman" w:hAnsi="Times New Roman" w:eastAsia="宋体"/>
          <w:bCs/>
          <w:color w:val="auto"/>
          <w:sz w:val="24"/>
        </w:rPr>
        <w:t>估算模式</w:t>
      </w:r>
      <w:r>
        <w:rPr>
          <w:rFonts w:hint="eastAsia" w:ascii="Times New Roman" w:hAnsi="Times New Roman" w:eastAsia="宋体"/>
          <w:bCs/>
          <w:color w:val="auto"/>
          <w:sz w:val="24"/>
          <w:lang w:val="en-US" w:eastAsia="zh-CN"/>
        </w:rPr>
        <w:t>AERSCREEN</w:t>
      </w:r>
      <w:r>
        <w:rPr>
          <w:rFonts w:ascii="Times New Roman" w:hAnsi="Times New Roman" w:eastAsia="宋体"/>
          <w:bCs/>
          <w:color w:val="auto"/>
          <w:sz w:val="24"/>
        </w:rPr>
        <w:t>计算结果表明，</w:t>
      </w:r>
      <w:r>
        <w:rPr>
          <w:rFonts w:hint="eastAsia" w:ascii="Times New Roman" w:hAnsi="Times New Roman" w:eastAsia="宋体"/>
          <w:bCs/>
          <w:color w:val="auto"/>
          <w:sz w:val="24"/>
        </w:rPr>
        <w:t>本项目Pmax最大值出现为</w:t>
      </w:r>
      <w:r>
        <w:rPr>
          <w:rFonts w:hint="eastAsia" w:ascii="Times New Roman" w:hAnsi="Times New Roman" w:eastAsia="宋体" w:cs="Times New Roman"/>
          <w:color w:val="auto"/>
          <w:sz w:val="24"/>
          <w:highlight w:val="none"/>
          <w:lang w:val="en-US" w:eastAsia="zh-CN"/>
        </w:rPr>
        <w:t>堆场TSP下风向最</w:t>
      </w:r>
      <w:r>
        <w:rPr>
          <w:rFonts w:hint="default" w:ascii="Times New Roman" w:hAnsi="Times New Roman" w:eastAsia="宋体" w:cs="Times New Roman"/>
          <w:color w:val="auto"/>
          <w:sz w:val="24"/>
          <w:highlight w:val="none"/>
          <w:lang w:val="en-US" w:eastAsia="zh-CN"/>
        </w:rPr>
        <w:t>大落地浓度为</w:t>
      </w:r>
      <w:r>
        <w:rPr>
          <w:rFonts w:hint="eastAsia" w:ascii="Times New Roman" w:hAnsi="Times New Roman" w:eastAsia="宋体" w:cs="Times New Roman"/>
          <w:color w:val="auto"/>
          <w:sz w:val="24"/>
          <w:highlight w:val="none"/>
          <w:lang w:val="en-US" w:eastAsia="zh-CN"/>
        </w:rPr>
        <w:t>29.719999</w:t>
      </w:r>
      <w:r>
        <w:rPr>
          <w:rFonts w:hint="default" w:ascii="Times New Roman" w:hAnsi="Times New Roman" w:eastAsia="宋体" w:cs="Times New Roman"/>
          <w:color w:val="auto"/>
          <w:sz w:val="24"/>
          <w:highlight w:val="none"/>
          <w:lang w:val="en-US" w:eastAsia="zh-CN"/>
        </w:rPr>
        <w:t>μ</w:t>
      </w:r>
      <w:r>
        <w:rPr>
          <w:rFonts w:hint="eastAsia" w:ascii="Times New Roman" w:hAnsi="Times New Roman" w:eastAsia="宋体" w:cs="Times New Roman"/>
          <w:color w:val="auto"/>
          <w:sz w:val="24"/>
          <w:highlight w:val="none"/>
          <w:lang w:val="en-US" w:eastAsia="zh-CN"/>
        </w:rPr>
        <w:t>g</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、占标率为3.3022221%、对应</w:t>
      </w:r>
      <w:r>
        <w:rPr>
          <w:rFonts w:hint="default" w:ascii="Times New Roman" w:hAnsi="Times New Roman" w:eastAsia="宋体" w:cs="Times New Roman"/>
          <w:color w:val="auto"/>
          <w:sz w:val="24"/>
          <w:highlight w:val="none"/>
          <w:lang w:val="en-US" w:eastAsia="zh-CN"/>
        </w:rPr>
        <w:t>下风向最大浓度出现距离</w:t>
      </w:r>
      <w:r>
        <w:rPr>
          <w:rFonts w:hint="eastAsia" w:ascii="Times New Roman" w:hAnsi="Times New Roman" w:eastAsia="宋体" w:cs="Times New Roman"/>
          <w:color w:val="auto"/>
          <w:sz w:val="24"/>
          <w:highlight w:val="none"/>
          <w:lang w:val="en-US" w:eastAsia="zh-CN"/>
        </w:rPr>
        <w:t>为50m</w:t>
      </w:r>
      <w:r>
        <w:rPr>
          <w:rFonts w:hint="eastAsia" w:ascii="Times New Roman" w:hAnsi="Times New Roman" w:eastAsia="宋体"/>
          <w:bCs/>
          <w:color w:val="auto"/>
          <w:sz w:val="24"/>
          <w:lang w:val="en-US" w:eastAsia="zh-CN"/>
        </w:rPr>
        <w:t>。</w:t>
      </w:r>
      <w:r>
        <w:rPr>
          <w:rFonts w:hint="eastAsia" w:ascii="Times New Roman" w:hAnsi="Times New Roman" w:eastAsia="宋体" w:cs="Times New Roman"/>
          <w:bCs/>
          <w:color w:val="auto"/>
          <w:sz w:val="24"/>
          <w:lang w:val="en-US" w:eastAsia="zh-CN"/>
        </w:rPr>
        <w:t>因此本次预测评价不再考虑大气污染物沉降污染。重点考虑生产废水、废润滑油通过垂直下渗的形式渗入项目区土壤的污染途径。</w:t>
      </w:r>
    </w:p>
    <w:p w14:paraId="654B4FB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Style w:val="58"/>
          <w:rFonts w:hint="eastAsia" w:ascii="Times New Roman" w:hAnsi="Times New Roman" w:eastAsia="宋体"/>
          <w:color w:val="auto"/>
          <w:sz w:val="24"/>
          <w:lang w:val="en-US" w:eastAsia="zh-CN"/>
        </w:rPr>
      </w:pPr>
      <w:r>
        <w:rPr>
          <w:rStyle w:val="58"/>
          <w:rFonts w:hint="eastAsia" w:ascii="Times New Roman" w:hAnsi="Times New Roman" w:eastAsia="宋体"/>
          <w:color w:val="auto"/>
          <w:sz w:val="24"/>
          <w:lang w:val="en-US" w:eastAsia="zh-CN"/>
        </w:rPr>
        <w:t>本项目生产废水主要为原料清洗废水、冷却废水。清洗废水经厂区循环沉淀池处理后循环使用，冷却水经冷却水池循环利用，无生产外排废水。生活污水经防渗化粪池集中收集定期清运至木垒哈萨克自治县污水处理厂处理，能够满足《污水综合排放标准》（GB 8978-1996）三级排放标准。</w:t>
      </w:r>
    </w:p>
    <w:p w14:paraId="123FA26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）影响因子识别</w:t>
      </w:r>
    </w:p>
    <w:p w14:paraId="6170305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正常工况下，本项目潜在土壤环境污染源均达到设计要求，防渗性能完好，对土壤影响较小；非正常工况下，项目土壤环境影响源及影响因子识别见表</w:t>
      </w:r>
      <w:r>
        <w:rPr>
          <w:rFonts w:hint="eastAsia" w:ascii="Times New Roman" w:hAnsi="Times New Roman" w:eastAsia="宋体" w:cs="Times New Roman"/>
          <w:color w:val="auto"/>
          <w:sz w:val="24"/>
          <w:lang w:val="en-US" w:eastAsia="zh-CN"/>
        </w:rPr>
        <w:t>5.2-17</w:t>
      </w:r>
      <w:r>
        <w:rPr>
          <w:rFonts w:hint="default" w:ascii="Times New Roman" w:hAnsi="Times New Roman" w:eastAsia="宋体" w:cs="Times New Roman"/>
          <w:color w:val="auto"/>
          <w:sz w:val="24"/>
          <w:lang w:val="en-US" w:eastAsia="zh-CN"/>
        </w:rPr>
        <w:t>。</w:t>
      </w:r>
    </w:p>
    <w:p w14:paraId="73D273AA">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1"/>
          <w:lang w:val="en-US" w:eastAsia="zh-CN"/>
        </w:rPr>
      </w:pPr>
      <w:r>
        <w:rPr>
          <w:rFonts w:hint="default" w:ascii="Times New Roman" w:hAnsi="Times New Roman" w:eastAsia="宋体" w:cs="Times New Roman"/>
          <w:b/>
          <w:bCs/>
          <w:color w:val="auto"/>
          <w:sz w:val="24"/>
          <w:szCs w:val="21"/>
          <w:lang w:val="en-US" w:eastAsia="zh-CN"/>
        </w:rPr>
        <w:t>表</w:t>
      </w:r>
      <w:r>
        <w:rPr>
          <w:rFonts w:hint="eastAsia" w:ascii="Times New Roman" w:hAnsi="Times New Roman" w:eastAsia="宋体" w:cs="Times New Roman"/>
          <w:b/>
          <w:bCs/>
          <w:color w:val="auto"/>
          <w:sz w:val="24"/>
          <w:szCs w:val="21"/>
          <w:lang w:val="en-US" w:eastAsia="zh-CN"/>
        </w:rPr>
        <w:t>5.2-17</w:t>
      </w:r>
      <w:r>
        <w:rPr>
          <w:rFonts w:hint="default" w:ascii="Times New Roman" w:hAnsi="Times New Roman" w:eastAsia="宋体" w:cs="Times New Roman"/>
          <w:b/>
          <w:bCs/>
          <w:color w:val="auto"/>
          <w:sz w:val="24"/>
          <w:szCs w:val="21"/>
          <w:lang w:val="en-US" w:eastAsia="zh-CN"/>
        </w:rPr>
        <w:t>土壤环境影响源及影响因子识别表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2644"/>
        <w:gridCol w:w="1766"/>
        <w:gridCol w:w="1674"/>
      </w:tblGrid>
      <w:tr w14:paraId="112A3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14:paraId="085516B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污染源</w:t>
            </w:r>
          </w:p>
        </w:tc>
        <w:tc>
          <w:tcPr>
            <w:tcW w:w="1535" w:type="pct"/>
            <w:tcBorders>
              <w:tl2br w:val="nil"/>
              <w:tr2bl w:val="nil"/>
            </w:tcBorders>
            <w:noWrap w:val="0"/>
            <w:vAlign w:val="center"/>
          </w:tcPr>
          <w:p w14:paraId="73FDA31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非正常工况</w:t>
            </w:r>
          </w:p>
        </w:tc>
        <w:tc>
          <w:tcPr>
            <w:tcW w:w="1025" w:type="pct"/>
            <w:tcBorders>
              <w:tl2br w:val="nil"/>
              <w:tr2bl w:val="nil"/>
            </w:tcBorders>
            <w:noWrap w:val="0"/>
            <w:vAlign w:val="center"/>
          </w:tcPr>
          <w:p w14:paraId="4DF68CB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潜在污染途径</w:t>
            </w:r>
          </w:p>
        </w:tc>
        <w:tc>
          <w:tcPr>
            <w:tcW w:w="972" w:type="pct"/>
            <w:tcBorders>
              <w:tl2br w:val="nil"/>
              <w:tr2bl w:val="nil"/>
            </w:tcBorders>
            <w:noWrap w:val="0"/>
            <w:vAlign w:val="center"/>
          </w:tcPr>
          <w:p w14:paraId="62E8AC3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主要污染物</w:t>
            </w:r>
          </w:p>
        </w:tc>
      </w:tr>
      <w:tr w14:paraId="07EE0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467" w:type="pct"/>
            <w:tcBorders>
              <w:tl2br w:val="nil"/>
              <w:tr2bl w:val="nil"/>
            </w:tcBorders>
            <w:noWrap w:val="0"/>
            <w:vAlign w:val="center"/>
          </w:tcPr>
          <w:p w14:paraId="1D7A55E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循环水池</w:t>
            </w:r>
          </w:p>
        </w:tc>
        <w:tc>
          <w:tcPr>
            <w:tcW w:w="1535" w:type="pct"/>
            <w:tcBorders>
              <w:tl2br w:val="nil"/>
              <w:tr2bl w:val="nil"/>
            </w:tcBorders>
            <w:noWrap w:val="0"/>
            <w:vAlign w:val="center"/>
          </w:tcPr>
          <w:p w14:paraId="5E29F87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地面、池体产生裂缝</w:t>
            </w:r>
          </w:p>
        </w:tc>
        <w:tc>
          <w:tcPr>
            <w:tcW w:w="1025" w:type="pct"/>
            <w:vMerge w:val="restart"/>
            <w:tcBorders>
              <w:tl2br w:val="nil"/>
              <w:tr2bl w:val="nil"/>
            </w:tcBorders>
            <w:noWrap w:val="0"/>
            <w:vAlign w:val="center"/>
          </w:tcPr>
          <w:p w14:paraId="16C1AF7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污染物经产生裂缝的地面垂直下渗，从而污染土壤环境</w:t>
            </w:r>
          </w:p>
        </w:tc>
        <w:tc>
          <w:tcPr>
            <w:tcW w:w="972" w:type="pct"/>
            <w:tcBorders>
              <w:tl2br w:val="nil"/>
              <w:tr2bl w:val="nil"/>
            </w:tcBorders>
            <w:noWrap w:val="0"/>
            <w:vAlign w:val="center"/>
          </w:tcPr>
          <w:p w14:paraId="3249552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石油类、COD、氨氮</w:t>
            </w:r>
          </w:p>
        </w:tc>
      </w:tr>
      <w:tr w14:paraId="669A4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7" w:type="pct"/>
            <w:tcBorders>
              <w:tl2br w:val="nil"/>
              <w:tr2bl w:val="nil"/>
            </w:tcBorders>
            <w:noWrap w:val="0"/>
            <w:vAlign w:val="center"/>
          </w:tcPr>
          <w:p w14:paraId="0D269AE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冷却水池</w:t>
            </w:r>
          </w:p>
        </w:tc>
        <w:tc>
          <w:tcPr>
            <w:tcW w:w="1535" w:type="pct"/>
            <w:tcBorders>
              <w:tl2br w:val="nil"/>
              <w:tr2bl w:val="nil"/>
            </w:tcBorders>
            <w:noWrap w:val="0"/>
            <w:vAlign w:val="center"/>
          </w:tcPr>
          <w:p w14:paraId="31F7B3B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冷却水池破裂</w:t>
            </w:r>
          </w:p>
        </w:tc>
        <w:tc>
          <w:tcPr>
            <w:tcW w:w="1025" w:type="pct"/>
            <w:vMerge w:val="continue"/>
            <w:tcBorders>
              <w:tl2br w:val="nil"/>
              <w:tr2bl w:val="nil"/>
            </w:tcBorders>
            <w:noWrap w:val="0"/>
            <w:vAlign w:val="center"/>
          </w:tcPr>
          <w:p w14:paraId="325FA17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p>
        </w:tc>
        <w:tc>
          <w:tcPr>
            <w:tcW w:w="972" w:type="pct"/>
            <w:tcBorders>
              <w:tl2br w:val="nil"/>
              <w:tr2bl w:val="nil"/>
            </w:tcBorders>
            <w:noWrap w:val="0"/>
            <w:vAlign w:val="center"/>
          </w:tcPr>
          <w:p w14:paraId="099A0F3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COD、氨氮</w:t>
            </w:r>
          </w:p>
        </w:tc>
      </w:tr>
      <w:tr w14:paraId="16F20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14:paraId="43A49C0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危废暂存间</w:t>
            </w:r>
          </w:p>
        </w:tc>
        <w:tc>
          <w:tcPr>
            <w:tcW w:w="1535" w:type="pct"/>
            <w:tcBorders>
              <w:tl2br w:val="nil"/>
              <w:tr2bl w:val="nil"/>
            </w:tcBorders>
            <w:noWrap w:val="0"/>
            <w:vAlign w:val="center"/>
          </w:tcPr>
          <w:p w14:paraId="601AA66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地面防渗设施、贮存设施破裂</w:t>
            </w:r>
          </w:p>
        </w:tc>
        <w:tc>
          <w:tcPr>
            <w:tcW w:w="1025" w:type="pct"/>
            <w:vMerge w:val="continue"/>
            <w:tcBorders>
              <w:tl2br w:val="nil"/>
              <w:tr2bl w:val="nil"/>
            </w:tcBorders>
            <w:noWrap w:val="0"/>
            <w:vAlign w:val="center"/>
          </w:tcPr>
          <w:p w14:paraId="65CA1D8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p>
        </w:tc>
        <w:tc>
          <w:tcPr>
            <w:tcW w:w="972" w:type="pct"/>
            <w:tcBorders>
              <w:tl2br w:val="nil"/>
              <w:tr2bl w:val="nil"/>
            </w:tcBorders>
            <w:noWrap w:val="0"/>
            <w:vAlign w:val="center"/>
          </w:tcPr>
          <w:p w14:paraId="3ACF955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废润滑油</w:t>
            </w:r>
          </w:p>
        </w:tc>
      </w:tr>
    </w:tbl>
    <w:p w14:paraId="50335197">
      <w:pPr>
        <w:keepNext w:val="0"/>
        <w:keepLines w:val="0"/>
        <w:pageBreakBefore w:val="0"/>
        <w:widowControl w:val="0"/>
        <w:shd w:val="clear"/>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（5）预测与评价方法</w:t>
      </w:r>
    </w:p>
    <w:p w14:paraId="501B82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根据《环境影响评价技术导则  土壤环境（试行）》（HJ964-2018）土壤环境影响评价工作等级划分原则，本项目土壤环境评价工作等级为三级，可采用定性描述或类比分析法进行预测，本次土壤环境影响预测评价采用定性描述。</w:t>
      </w:r>
    </w:p>
    <w:p w14:paraId="12A6952F">
      <w:pPr>
        <w:keepNext w:val="0"/>
        <w:keepLines w:val="0"/>
        <w:pageBreakBefore w:val="0"/>
        <w:widowControl w:val="0"/>
        <w:shd w:val="clear"/>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①废水影响分析</w:t>
      </w:r>
    </w:p>
    <w:p w14:paraId="258385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项目</w:t>
      </w:r>
      <w:r>
        <w:rPr>
          <w:rStyle w:val="58"/>
          <w:rFonts w:hint="eastAsia" w:ascii="Times New Roman" w:hAnsi="Times New Roman" w:eastAsia="宋体"/>
          <w:b w:val="0"/>
          <w:color w:val="auto"/>
          <w:spacing w:val="0"/>
          <w:sz w:val="24"/>
          <w:lang w:val="en-US" w:eastAsia="zh-CN"/>
        </w:rPr>
        <w:t>喷淋除尘废水、清洗废水经厂区循环沉淀池处理后循环使用，冷却水经冷却水池循环利用，无生产外排废水；生活污水经防渗化粪池集中收集定期清运至木垒哈萨克自治县污水处理厂处理。</w:t>
      </w:r>
      <w:r>
        <w:rPr>
          <w:rStyle w:val="58"/>
          <w:rFonts w:hint="default" w:ascii="Times New Roman" w:hAnsi="Times New Roman" w:eastAsia="宋体" w:cs="Times New Roman"/>
          <w:b w:val="0"/>
          <w:color w:val="auto"/>
          <w:spacing w:val="0"/>
          <w:sz w:val="24"/>
          <w:lang w:val="en-US" w:eastAsia="zh-CN"/>
        </w:rPr>
        <w:t>循环水池</w:t>
      </w:r>
      <w:r>
        <w:rPr>
          <w:rStyle w:val="58"/>
          <w:rFonts w:hint="eastAsia" w:ascii="Times New Roman" w:hAnsi="Times New Roman" w:eastAsia="宋体" w:cs="Times New Roman"/>
          <w:b w:val="0"/>
          <w:color w:val="auto"/>
          <w:spacing w:val="0"/>
          <w:sz w:val="24"/>
          <w:lang w:val="en-US" w:eastAsia="zh-CN"/>
        </w:rPr>
        <w:t>、冷却水池</w:t>
      </w:r>
      <w:r>
        <w:rPr>
          <w:rStyle w:val="58"/>
          <w:rFonts w:hint="default" w:ascii="Times New Roman" w:hAnsi="Times New Roman" w:eastAsia="宋体" w:cs="Times New Roman"/>
          <w:b w:val="0"/>
          <w:color w:val="auto"/>
          <w:spacing w:val="0"/>
          <w:sz w:val="24"/>
          <w:lang w:val="en-US" w:eastAsia="zh-CN"/>
        </w:rPr>
        <w:t>均采取防渗措施，生产废水不</w:t>
      </w:r>
      <w:r>
        <w:rPr>
          <w:rStyle w:val="58"/>
          <w:rFonts w:hint="eastAsia" w:ascii="Times New Roman" w:hAnsi="Times New Roman" w:eastAsia="宋体" w:cs="Times New Roman"/>
          <w:b w:val="0"/>
          <w:color w:val="auto"/>
          <w:spacing w:val="0"/>
          <w:sz w:val="24"/>
          <w:lang w:val="en-US" w:eastAsia="zh-CN"/>
        </w:rPr>
        <w:t>直接</w:t>
      </w:r>
      <w:r>
        <w:rPr>
          <w:rStyle w:val="58"/>
          <w:rFonts w:hint="default" w:ascii="Times New Roman" w:hAnsi="Times New Roman" w:eastAsia="宋体" w:cs="Times New Roman"/>
          <w:b w:val="0"/>
          <w:color w:val="auto"/>
          <w:spacing w:val="0"/>
          <w:sz w:val="24"/>
          <w:lang w:val="en-US" w:eastAsia="zh-CN"/>
        </w:rPr>
        <w:t>接触项目区及周围土壤环境</w:t>
      </w:r>
      <w:r>
        <w:rPr>
          <w:rStyle w:val="58"/>
          <w:rFonts w:hint="eastAsia" w:ascii="Times New Roman" w:hAnsi="Times New Roman" w:eastAsia="宋体" w:cs="Times New Roman"/>
          <w:b w:val="0"/>
          <w:color w:val="auto"/>
          <w:spacing w:val="0"/>
          <w:sz w:val="24"/>
          <w:lang w:val="en-US" w:eastAsia="zh-CN"/>
        </w:rPr>
        <w:t>，</w:t>
      </w:r>
      <w:bookmarkStart w:id="660" w:name="OLE_LINK28"/>
      <w:r>
        <w:rPr>
          <w:rStyle w:val="58"/>
          <w:rFonts w:hint="eastAsia" w:ascii="Times New Roman" w:hAnsi="Times New Roman" w:eastAsia="宋体" w:cs="Times New Roman"/>
          <w:b w:val="0"/>
          <w:color w:val="auto"/>
          <w:spacing w:val="0"/>
          <w:sz w:val="24"/>
          <w:lang w:val="en-US" w:eastAsia="zh-CN"/>
        </w:rPr>
        <w:t>事故状态下将废水转移至循环池其他池体或冷却水池中，及时维修，渗漏量较小，</w:t>
      </w:r>
      <w:r>
        <w:rPr>
          <w:rFonts w:hint="default" w:ascii="Times New Roman" w:hAnsi="Times New Roman" w:eastAsia="宋体" w:cs="Times New Roman"/>
          <w:b w:val="0"/>
          <w:color w:val="auto"/>
          <w:spacing w:val="0"/>
          <w:sz w:val="24"/>
          <w:lang w:val="en-US" w:eastAsia="zh-CN"/>
        </w:rPr>
        <w:t>因此生产废水中的污染物</w:t>
      </w:r>
      <w:r>
        <w:rPr>
          <w:rStyle w:val="58"/>
          <w:rFonts w:hint="eastAsia" w:ascii="Times New Roman" w:hAnsi="Times New Roman" w:eastAsia="宋体" w:cs="Times New Roman"/>
          <w:b w:val="0"/>
          <w:color w:val="auto"/>
          <w:spacing w:val="0"/>
          <w:sz w:val="24"/>
          <w:lang w:val="en-US" w:eastAsia="zh-CN"/>
        </w:rPr>
        <w:t>对</w:t>
      </w:r>
      <w:r>
        <w:rPr>
          <w:rFonts w:hint="default" w:ascii="Times New Roman" w:hAnsi="Times New Roman" w:eastAsia="宋体" w:cs="Times New Roman"/>
          <w:b w:val="0"/>
          <w:color w:val="auto"/>
          <w:spacing w:val="0"/>
          <w:sz w:val="24"/>
          <w:lang w:val="en-US" w:eastAsia="zh-CN"/>
        </w:rPr>
        <w:t>项目区及周围土壤环境质量影响不大</w:t>
      </w:r>
      <w:r>
        <w:rPr>
          <w:rFonts w:hint="eastAsia" w:ascii="Times New Roman" w:hAnsi="Times New Roman" w:eastAsia="宋体" w:cs="Times New Roman"/>
          <w:b w:val="0"/>
          <w:color w:val="auto"/>
          <w:spacing w:val="0"/>
          <w:sz w:val="24"/>
          <w:lang w:val="en-US" w:eastAsia="zh-CN"/>
        </w:rPr>
        <w:t>。</w:t>
      </w:r>
      <w:bookmarkEnd w:id="660"/>
      <w:r>
        <w:rPr>
          <w:rFonts w:hint="eastAsia" w:ascii="Times New Roman" w:hAnsi="Times New Roman" w:eastAsia="宋体" w:cs="Times New Roman"/>
          <w:b w:val="0"/>
          <w:color w:val="auto"/>
          <w:spacing w:val="0"/>
          <w:sz w:val="24"/>
          <w:lang w:val="en-US" w:eastAsia="zh-CN"/>
        </w:rPr>
        <w:t>危废暂存间严格按照</w:t>
      </w:r>
      <w:r>
        <w:rPr>
          <w:rFonts w:hint="default" w:ascii="Times New Roman" w:hAnsi="Times New Roman" w:eastAsia="宋体" w:cs="Times New Roman"/>
          <w:b w:val="0"/>
          <w:color w:val="auto"/>
          <w:spacing w:val="0"/>
          <w:sz w:val="24"/>
        </w:rPr>
        <w:t>《危险废物贮存污染控制标准》</w:t>
      </w:r>
      <w:r>
        <w:rPr>
          <w:rFonts w:hint="eastAsia" w:ascii="Times New Roman" w:hAnsi="Times New Roman" w:eastAsia="宋体" w:cs="Times New Roman"/>
          <w:b w:val="0"/>
          <w:color w:val="auto"/>
          <w:spacing w:val="0"/>
          <w:sz w:val="24"/>
          <w:lang w:eastAsia="zh-CN"/>
        </w:rPr>
        <w:t>（</w:t>
      </w:r>
      <w:r>
        <w:rPr>
          <w:rFonts w:hint="default" w:ascii="Times New Roman" w:hAnsi="Times New Roman" w:eastAsia="宋体" w:cs="Times New Roman"/>
          <w:b w:val="0"/>
          <w:color w:val="auto"/>
          <w:spacing w:val="0"/>
          <w:sz w:val="24"/>
        </w:rPr>
        <w:t>GB18597-20</w:t>
      </w:r>
      <w:r>
        <w:rPr>
          <w:rFonts w:hint="eastAsia" w:ascii="Times New Roman" w:hAnsi="Times New Roman" w:eastAsia="宋体" w:cs="Times New Roman"/>
          <w:b w:val="0"/>
          <w:color w:val="auto"/>
          <w:spacing w:val="0"/>
          <w:sz w:val="24"/>
          <w:lang w:val="en-US" w:eastAsia="zh-CN"/>
        </w:rPr>
        <w:t>23</w:t>
      </w:r>
      <w:r>
        <w:rPr>
          <w:rFonts w:hint="eastAsia" w:ascii="Times New Roman" w:hAnsi="Times New Roman" w:eastAsia="宋体" w:cs="Times New Roman"/>
          <w:b w:val="0"/>
          <w:color w:val="auto"/>
          <w:spacing w:val="0"/>
          <w:sz w:val="24"/>
          <w:lang w:eastAsia="zh-CN"/>
        </w:rPr>
        <w:t>）</w:t>
      </w:r>
      <w:r>
        <w:rPr>
          <w:rFonts w:hint="default" w:ascii="Times New Roman" w:hAnsi="Times New Roman" w:eastAsia="宋体" w:cs="Times New Roman"/>
          <w:b w:val="0"/>
          <w:color w:val="auto"/>
          <w:spacing w:val="0"/>
          <w:sz w:val="24"/>
        </w:rPr>
        <w:t>的要求</w:t>
      </w:r>
      <w:r>
        <w:rPr>
          <w:rFonts w:hint="eastAsia" w:ascii="Times New Roman" w:hAnsi="Times New Roman" w:eastAsia="宋体" w:cs="Times New Roman"/>
          <w:b w:val="0"/>
          <w:color w:val="auto"/>
          <w:spacing w:val="0"/>
          <w:sz w:val="24"/>
          <w:lang w:val="en-US" w:eastAsia="zh-CN"/>
        </w:rPr>
        <w:t>建设，采取</w:t>
      </w:r>
      <w:r>
        <w:rPr>
          <w:rFonts w:hint="default" w:ascii="Times New Roman" w:hAnsi="Times New Roman" w:eastAsia="宋体" w:cs="Times New Roman"/>
          <w:b w:val="0"/>
          <w:color w:val="auto"/>
          <w:spacing w:val="0"/>
          <w:sz w:val="24"/>
        </w:rPr>
        <w:t>相应的</w:t>
      </w:r>
      <w:r>
        <w:rPr>
          <w:rFonts w:hint="eastAsia" w:ascii="Times New Roman" w:hAnsi="Times New Roman" w:eastAsia="宋体" w:cs="Times New Roman"/>
          <w:b w:val="0"/>
          <w:color w:val="auto"/>
          <w:spacing w:val="0"/>
          <w:sz w:val="24"/>
          <w:lang w:val="en-US" w:eastAsia="zh-CN"/>
        </w:rPr>
        <w:t>防渗、围堰</w:t>
      </w:r>
      <w:r>
        <w:rPr>
          <w:rFonts w:hint="default" w:ascii="Times New Roman" w:hAnsi="Times New Roman" w:eastAsia="宋体" w:cs="Times New Roman"/>
          <w:b w:val="0"/>
          <w:color w:val="auto"/>
          <w:spacing w:val="0"/>
          <w:sz w:val="24"/>
        </w:rPr>
        <w:t>措施，</w:t>
      </w:r>
      <w:r>
        <w:rPr>
          <w:rFonts w:hint="eastAsia" w:ascii="Times New Roman" w:hAnsi="Times New Roman" w:eastAsia="宋体" w:cs="Times New Roman"/>
          <w:b w:val="0"/>
          <w:color w:val="auto"/>
          <w:spacing w:val="0"/>
          <w:sz w:val="24"/>
          <w:lang w:val="en-US" w:eastAsia="zh-CN"/>
        </w:rPr>
        <w:t>定期巡检，</w:t>
      </w:r>
      <w:r>
        <w:rPr>
          <w:rStyle w:val="58"/>
          <w:rFonts w:hint="eastAsia" w:ascii="Times New Roman" w:hAnsi="Times New Roman" w:eastAsia="宋体" w:cs="Times New Roman"/>
          <w:b w:val="0"/>
          <w:color w:val="auto"/>
          <w:spacing w:val="0"/>
          <w:sz w:val="24"/>
          <w:lang w:val="en-US" w:eastAsia="zh-CN"/>
        </w:rPr>
        <w:t>事故状态下及时将泄漏至围堰废润滑油收集至专用容器中，及时维修或更换存储设施，渗漏量较小，</w:t>
      </w:r>
      <w:r>
        <w:rPr>
          <w:rFonts w:hint="default" w:ascii="Times New Roman" w:hAnsi="Times New Roman" w:eastAsia="宋体" w:cs="Times New Roman"/>
          <w:b w:val="0"/>
          <w:color w:val="auto"/>
          <w:spacing w:val="0"/>
          <w:sz w:val="24"/>
          <w:lang w:val="en-US" w:eastAsia="zh-CN"/>
        </w:rPr>
        <w:t>因此</w:t>
      </w:r>
      <w:r>
        <w:rPr>
          <w:rFonts w:hint="eastAsia" w:ascii="Times New Roman" w:hAnsi="Times New Roman" w:eastAsia="宋体" w:cs="Times New Roman"/>
          <w:b w:val="0"/>
          <w:color w:val="auto"/>
          <w:spacing w:val="0"/>
          <w:sz w:val="24"/>
          <w:lang w:val="en-US" w:eastAsia="zh-CN"/>
        </w:rPr>
        <w:t>废润滑油泄漏</w:t>
      </w:r>
      <w:r>
        <w:rPr>
          <w:rStyle w:val="58"/>
          <w:rFonts w:hint="eastAsia" w:ascii="Times New Roman" w:hAnsi="Times New Roman" w:eastAsia="宋体" w:cs="Times New Roman"/>
          <w:b w:val="0"/>
          <w:color w:val="auto"/>
          <w:spacing w:val="0"/>
          <w:sz w:val="24"/>
          <w:lang w:val="en-US" w:eastAsia="zh-CN"/>
        </w:rPr>
        <w:t>对</w:t>
      </w:r>
      <w:r>
        <w:rPr>
          <w:rFonts w:hint="default" w:ascii="Times New Roman" w:hAnsi="Times New Roman" w:eastAsia="宋体" w:cs="Times New Roman"/>
          <w:b w:val="0"/>
          <w:color w:val="auto"/>
          <w:spacing w:val="0"/>
          <w:sz w:val="24"/>
          <w:lang w:val="en-US" w:eastAsia="zh-CN"/>
        </w:rPr>
        <w:t>项目区及周围土壤环境质量影响不大</w:t>
      </w:r>
      <w:r>
        <w:rPr>
          <w:rFonts w:hint="eastAsia" w:ascii="Times New Roman" w:hAnsi="Times New Roman" w:eastAsia="宋体" w:cs="Times New Roman"/>
          <w:b w:val="0"/>
          <w:color w:val="auto"/>
          <w:spacing w:val="0"/>
          <w:sz w:val="24"/>
          <w:lang w:val="en-US" w:eastAsia="zh-CN"/>
        </w:rPr>
        <w:t>。</w:t>
      </w:r>
    </w:p>
    <w:p w14:paraId="3CE928D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②</w:t>
      </w:r>
      <w:r>
        <w:rPr>
          <w:rFonts w:hint="default" w:ascii="Times New Roman" w:hAnsi="Times New Roman" w:eastAsia="宋体" w:cs="Times New Roman"/>
          <w:b w:val="0"/>
          <w:color w:val="auto"/>
          <w:spacing w:val="0"/>
          <w:sz w:val="24"/>
          <w:lang w:val="en-US" w:eastAsia="zh-CN"/>
        </w:rPr>
        <w:t>对</w:t>
      </w:r>
      <w:r>
        <w:rPr>
          <w:rFonts w:hint="eastAsia" w:ascii="Times New Roman" w:hAnsi="Times New Roman" w:eastAsia="宋体" w:cs="Times New Roman"/>
          <w:b w:val="0"/>
          <w:color w:val="auto"/>
          <w:spacing w:val="0"/>
          <w:sz w:val="24"/>
          <w:lang w:val="en-US" w:eastAsia="zh-CN"/>
        </w:rPr>
        <w:t>周围</w:t>
      </w:r>
      <w:r>
        <w:rPr>
          <w:rFonts w:hint="default" w:ascii="Times New Roman" w:hAnsi="Times New Roman" w:eastAsia="宋体" w:cs="Times New Roman"/>
          <w:b w:val="0"/>
          <w:color w:val="auto"/>
          <w:spacing w:val="0"/>
          <w:sz w:val="24"/>
          <w:lang w:val="en-US" w:eastAsia="zh-CN"/>
        </w:rPr>
        <w:t>农田影响</w:t>
      </w:r>
      <w:r>
        <w:rPr>
          <w:rFonts w:hint="eastAsia" w:ascii="Times New Roman" w:hAnsi="Times New Roman" w:eastAsia="宋体" w:cs="Times New Roman"/>
          <w:b w:val="0"/>
          <w:color w:val="auto"/>
          <w:spacing w:val="0"/>
          <w:sz w:val="24"/>
          <w:lang w:val="en-US" w:eastAsia="zh-CN"/>
        </w:rPr>
        <w:t>分析</w:t>
      </w:r>
    </w:p>
    <w:p w14:paraId="348810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color w:val="auto"/>
          <w:spacing w:val="0"/>
          <w:sz w:val="24"/>
          <w:lang w:val="en-US" w:eastAsia="zh-CN"/>
        </w:rPr>
      </w:pPr>
      <w:r>
        <w:rPr>
          <w:rFonts w:hint="eastAsia" w:ascii="Times New Roman" w:hAnsi="Times New Roman" w:eastAsia="宋体"/>
          <w:b w:val="0"/>
          <w:color w:val="auto"/>
          <w:spacing w:val="0"/>
          <w:sz w:val="24"/>
          <w:lang w:val="en-US" w:eastAsia="zh-CN"/>
        </w:rPr>
        <w:t>项目</w:t>
      </w:r>
      <w:r>
        <w:rPr>
          <w:rFonts w:hint="eastAsia" w:ascii="Times New Roman" w:hAnsi="Times New Roman" w:eastAsia="宋体"/>
          <w:b w:val="0"/>
          <w:color w:val="auto"/>
          <w:spacing w:val="0"/>
          <w:sz w:val="24"/>
          <w:lang w:eastAsia="zh-CN"/>
        </w:rPr>
        <w:t>南侧</w:t>
      </w:r>
      <w:r>
        <w:rPr>
          <w:rFonts w:hint="eastAsia" w:ascii="Times New Roman" w:hAnsi="Times New Roman" w:eastAsia="宋体"/>
          <w:b w:val="0"/>
          <w:color w:val="auto"/>
          <w:spacing w:val="0"/>
          <w:sz w:val="24"/>
          <w:lang w:val="en-US" w:eastAsia="zh-CN"/>
        </w:rPr>
        <w:t>约70m处为农田</w:t>
      </w:r>
      <w:r>
        <w:rPr>
          <w:rFonts w:hint="eastAsia" w:ascii="Times New Roman" w:hAnsi="Times New Roman" w:eastAsia="宋体"/>
          <w:b w:val="0"/>
          <w:color w:val="auto"/>
          <w:spacing w:val="0"/>
          <w:sz w:val="24"/>
          <w:lang w:eastAsia="zh-CN"/>
        </w:rPr>
        <w:t>，</w:t>
      </w:r>
      <w:r>
        <w:rPr>
          <w:rFonts w:hint="default" w:ascii="Times New Roman" w:hAnsi="Times New Roman" w:eastAsia="宋体" w:cs="Times New Roman"/>
          <w:b w:val="0"/>
          <w:color w:val="auto"/>
          <w:spacing w:val="0"/>
          <w:sz w:val="24"/>
          <w:lang w:val="en-US" w:eastAsia="zh-CN"/>
        </w:rPr>
        <w:t>项目区地下水</w:t>
      </w:r>
      <w:r>
        <w:rPr>
          <w:rFonts w:hint="eastAsia" w:ascii="Times New Roman" w:hAnsi="Times New Roman" w:eastAsia="宋体" w:cs="Times New Roman"/>
          <w:b w:val="0"/>
          <w:color w:val="auto"/>
          <w:spacing w:val="0"/>
          <w:sz w:val="24"/>
          <w:lang w:val="en-US" w:eastAsia="zh-CN"/>
        </w:rPr>
        <w:t>径流</w:t>
      </w:r>
      <w:r>
        <w:rPr>
          <w:rFonts w:hint="default" w:ascii="Times New Roman" w:hAnsi="Times New Roman" w:eastAsia="宋体" w:cs="Times New Roman"/>
          <w:b w:val="0"/>
          <w:color w:val="auto"/>
          <w:spacing w:val="0"/>
          <w:sz w:val="24"/>
          <w:lang w:val="en-US" w:eastAsia="zh-CN"/>
        </w:rPr>
        <w:t>方向自</w:t>
      </w:r>
      <w:r>
        <w:rPr>
          <w:rFonts w:hint="eastAsia" w:ascii="Times New Roman" w:hAnsi="Times New Roman" w:eastAsia="宋体" w:cs="Times New Roman"/>
          <w:b w:val="0"/>
          <w:color w:val="auto"/>
          <w:spacing w:val="0"/>
          <w:sz w:val="24"/>
          <w:lang w:val="en-US" w:eastAsia="zh-CN"/>
        </w:rPr>
        <w:t>南</w:t>
      </w:r>
      <w:r>
        <w:rPr>
          <w:rFonts w:hint="default" w:ascii="Times New Roman" w:hAnsi="Times New Roman" w:eastAsia="宋体" w:cs="Times New Roman"/>
          <w:b w:val="0"/>
          <w:color w:val="auto"/>
          <w:spacing w:val="0"/>
          <w:sz w:val="24"/>
          <w:lang w:val="en-US" w:eastAsia="zh-CN"/>
        </w:rPr>
        <w:t>向</w:t>
      </w:r>
      <w:r>
        <w:rPr>
          <w:rFonts w:hint="eastAsia" w:ascii="Times New Roman" w:hAnsi="Times New Roman" w:eastAsia="宋体" w:cs="Times New Roman"/>
          <w:b w:val="0"/>
          <w:color w:val="auto"/>
          <w:spacing w:val="0"/>
          <w:sz w:val="24"/>
          <w:lang w:val="en-US" w:eastAsia="zh-CN"/>
        </w:rPr>
        <w:t>北</w:t>
      </w:r>
      <w:r>
        <w:rPr>
          <w:rFonts w:hint="default" w:ascii="Times New Roman" w:hAnsi="Times New Roman" w:eastAsia="宋体" w:cs="Times New Roman"/>
          <w:b w:val="0"/>
          <w:color w:val="auto"/>
          <w:spacing w:val="0"/>
          <w:sz w:val="24"/>
          <w:lang w:val="en-US" w:eastAsia="zh-CN"/>
        </w:rPr>
        <w:t>，</w:t>
      </w:r>
      <w:r>
        <w:rPr>
          <w:rFonts w:hint="eastAsia" w:ascii="Times New Roman" w:hAnsi="Times New Roman" w:eastAsia="宋体" w:cs="Times New Roman"/>
          <w:b w:val="0"/>
          <w:color w:val="auto"/>
          <w:spacing w:val="0"/>
          <w:sz w:val="24"/>
          <w:lang w:val="en-US" w:eastAsia="zh-CN"/>
        </w:rPr>
        <w:t>农田均在地下水流向上游，</w:t>
      </w:r>
      <w:r>
        <w:rPr>
          <w:rFonts w:hint="default" w:ascii="Times New Roman" w:hAnsi="Times New Roman" w:eastAsia="宋体" w:cs="Times New Roman"/>
          <w:b w:val="0"/>
          <w:color w:val="auto"/>
          <w:spacing w:val="0"/>
          <w:sz w:val="24"/>
          <w:lang w:val="en-US" w:eastAsia="zh-CN"/>
        </w:rPr>
        <w:t>不会因项目区地下水的污染间接导致</w:t>
      </w:r>
      <w:r>
        <w:rPr>
          <w:rFonts w:hint="eastAsia" w:ascii="Times New Roman" w:hAnsi="Times New Roman" w:eastAsia="宋体" w:cs="Times New Roman"/>
          <w:b w:val="0"/>
          <w:color w:val="auto"/>
          <w:spacing w:val="0"/>
          <w:sz w:val="24"/>
          <w:lang w:val="en-US" w:eastAsia="zh-CN"/>
        </w:rPr>
        <w:t>南侧农田</w:t>
      </w:r>
      <w:r>
        <w:rPr>
          <w:rFonts w:hint="default" w:ascii="Times New Roman" w:hAnsi="Times New Roman" w:eastAsia="宋体" w:cs="Times New Roman"/>
          <w:b w:val="0"/>
          <w:color w:val="auto"/>
          <w:spacing w:val="0"/>
          <w:sz w:val="24"/>
          <w:lang w:val="en-US" w:eastAsia="zh-CN"/>
        </w:rPr>
        <w:t>土壤污染。</w:t>
      </w:r>
    </w:p>
    <w:p w14:paraId="4FDC22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color w:val="auto"/>
          <w:spacing w:val="0"/>
          <w:sz w:val="24"/>
          <w:lang w:val="en-US" w:eastAsia="zh-CN"/>
        </w:rPr>
      </w:pPr>
      <w:r>
        <w:rPr>
          <w:rFonts w:hint="eastAsia" w:ascii="Times New Roman" w:hAnsi="Times New Roman" w:eastAsia="宋体" w:cs="Times New Roman"/>
          <w:b w:val="0"/>
          <w:color w:val="auto"/>
          <w:spacing w:val="0"/>
          <w:sz w:val="24"/>
          <w:lang w:val="en-US" w:eastAsia="zh-CN"/>
        </w:rPr>
        <w:t>③防治措施</w:t>
      </w:r>
    </w:p>
    <w:p w14:paraId="3AA070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pacing w:val="0"/>
          <w:sz w:val="24"/>
          <w:lang w:val="en-US" w:eastAsia="zh-CN"/>
        </w:rPr>
      </w:pPr>
      <w:r>
        <w:rPr>
          <w:rFonts w:hint="default" w:ascii="Times New Roman" w:hAnsi="Times New Roman" w:eastAsia="宋体" w:cs="Times New Roman"/>
          <w:b w:val="0"/>
          <w:color w:val="auto"/>
          <w:spacing w:val="0"/>
          <w:sz w:val="24"/>
          <w:lang w:val="en-US" w:eastAsia="zh-CN"/>
        </w:rPr>
        <w:t>建设单位应建立环境管理制度，对原辅料</w:t>
      </w:r>
      <w:r>
        <w:rPr>
          <w:rFonts w:hint="eastAsia" w:ascii="Times New Roman" w:hAnsi="Times New Roman" w:eastAsia="宋体" w:cs="Times New Roman"/>
          <w:b w:val="0"/>
          <w:color w:val="auto"/>
          <w:spacing w:val="0"/>
          <w:sz w:val="24"/>
          <w:lang w:val="en-US" w:eastAsia="zh-CN"/>
        </w:rPr>
        <w:t>贮存</w:t>
      </w:r>
      <w:r>
        <w:rPr>
          <w:rFonts w:hint="default" w:ascii="Times New Roman" w:hAnsi="Times New Roman" w:eastAsia="宋体" w:cs="Times New Roman"/>
          <w:b w:val="0"/>
          <w:color w:val="auto"/>
          <w:spacing w:val="0"/>
          <w:sz w:val="24"/>
          <w:lang w:val="en-US" w:eastAsia="zh-CN"/>
        </w:rPr>
        <w:t>严格管理</w:t>
      </w:r>
      <w:r>
        <w:rPr>
          <w:rFonts w:hint="eastAsia" w:ascii="Times New Roman" w:hAnsi="Times New Roman" w:eastAsia="宋体" w:cs="Times New Roman"/>
          <w:b w:val="0"/>
          <w:color w:val="auto"/>
          <w:spacing w:val="0"/>
          <w:sz w:val="24"/>
          <w:lang w:val="en-US" w:eastAsia="zh-CN"/>
        </w:rPr>
        <w:t>；</w:t>
      </w:r>
      <w:r>
        <w:rPr>
          <w:rFonts w:hint="default" w:ascii="Times New Roman" w:hAnsi="Times New Roman" w:eastAsia="宋体" w:cs="Times New Roman"/>
          <w:b w:val="0"/>
          <w:color w:val="auto"/>
          <w:spacing w:val="0"/>
          <w:sz w:val="24"/>
          <w:lang w:val="en-US" w:eastAsia="zh-CN"/>
        </w:rPr>
        <w:t>定期巡检，</w:t>
      </w:r>
      <w:r>
        <w:rPr>
          <w:rFonts w:hint="eastAsia" w:ascii="Times New Roman" w:hAnsi="Times New Roman" w:eastAsia="宋体" w:cs="Times New Roman"/>
          <w:b w:val="0"/>
          <w:color w:val="auto"/>
          <w:spacing w:val="0"/>
          <w:sz w:val="24"/>
          <w:lang w:val="en-US" w:eastAsia="zh-CN"/>
        </w:rPr>
        <w:t>及</w:t>
      </w:r>
      <w:r>
        <w:rPr>
          <w:rFonts w:hint="default" w:ascii="Times New Roman" w:hAnsi="Times New Roman" w:eastAsia="宋体" w:cs="Times New Roman"/>
          <w:b w:val="0"/>
          <w:color w:val="auto"/>
          <w:spacing w:val="0"/>
          <w:sz w:val="24"/>
          <w:lang w:val="en-US" w:eastAsia="zh-CN"/>
        </w:rPr>
        <w:t>时</w:t>
      </w:r>
      <w:r>
        <w:rPr>
          <w:rFonts w:hint="eastAsia" w:ascii="Times New Roman" w:hAnsi="Times New Roman" w:eastAsia="宋体" w:cs="Times New Roman"/>
          <w:b w:val="0"/>
          <w:color w:val="auto"/>
          <w:spacing w:val="0"/>
          <w:sz w:val="24"/>
          <w:lang w:val="en-US" w:eastAsia="zh-CN"/>
        </w:rPr>
        <w:t>发现</w:t>
      </w:r>
      <w:r>
        <w:rPr>
          <w:rFonts w:hint="default" w:ascii="Times New Roman" w:hAnsi="Times New Roman" w:eastAsia="宋体" w:cs="Times New Roman"/>
          <w:b w:val="0"/>
          <w:color w:val="auto"/>
          <w:spacing w:val="0"/>
          <w:sz w:val="24"/>
          <w:lang w:val="en-US" w:eastAsia="zh-CN"/>
        </w:rPr>
        <w:t>循环水池</w:t>
      </w:r>
      <w:r>
        <w:rPr>
          <w:rFonts w:hint="eastAsia" w:ascii="Times New Roman" w:hAnsi="Times New Roman" w:eastAsia="宋体" w:cs="Times New Roman"/>
          <w:b w:val="0"/>
          <w:color w:val="auto"/>
          <w:spacing w:val="0"/>
          <w:sz w:val="24"/>
          <w:lang w:val="en-US" w:eastAsia="zh-CN"/>
        </w:rPr>
        <w:t>的</w:t>
      </w:r>
      <w:r>
        <w:rPr>
          <w:rFonts w:hint="default" w:ascii="Times New Roman" w:hAnsi="Times New Roman" w:eastAsia="宋体" w:cs="Times New Roman"/>
          <w:b w:val="0"/>
          <w:color w:val="auto"/>
          <w:spacing w:val="0"/>
          <w:sz w:val="24"/>
          <w:lang w:val="en-US" w:eastAsia="zh-CN"/>
        </w:rPr>
        <w:t>跑、冒、滴漏现象</w:t>
      </w:r>
      <w:r>
        <w:rPr>
          <w:rFonts w:hint="eastAsia" w:ascii="Times New Roman" w:hAnsi="Times New Roman" w:eastAsia="宋体" w:cs="Times New Roman"/>
          <w:b w:val="0"/>
          <w:color w:val="auto"/>
          <w:spacing w:val="0"/>
          <w:sz w:val="24"/>
          <w:lang w:val="en-US" w:eastAsia="zh-CN"/>
        </w:rPr>
        <w:t>并</w:t>
      </w:r>
      <w:r>
        <w:rPr>
          <w:rFonts w:hint="default" w:ascii="Times New Roman" w:hAnsi="Times New Roman" w:eastAsia="宋体" w:cs="Times New Roman"/>
          <w:b w:val="0"/>
          <w:color w:val="auto"/>
          <w:spacing w:val="0"/>
          <w:sz w:val="24"/>
          <w:lang w:val="en-US" w:eastAsia="zh-CN"/>
        </w:rPr>
        <w:t>采取防治措施；定期对循环水池进行维护；严格按照相关要求对简单防渗区、一般防渗区、重点防渗区采取防渗措施。在采取上述措施后，可降低项目区及周围土壤环境遭受污染的风险。</w:t>
      </w:r>
    </w:p>
    <w:p w14:paraId="36C7B46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综上，对本项目土壤环境影响进行自查，具体见表5.2-1</w:t>
      </w:r>
      <w:r>
        <w:rPr>
          <w:rFonts w:hint="eastAsia" w:ascii="Times New Roman" w:hAnsi="Times New Roman"/>
          <w:snapToGrid/>
          <w:color w:val="auto"/>
          <w:sz w:val="24"/>
          <w:szCs w:val="24"/>
          <w:lang w:val="en-US" w:eastAsia="zh-CN"/>
        </w:rPr>
        <w:t>8</w:t>
      </w:r>
      <w:r>
        <w:rPr>
          <w:rFonts w:ascii="Times New Roman" w:hAnsi="Times New Roman"/>
          <w:snapToGrid/>
          <w:color w:val="auto"/>
          <w:sz w:val="24"/>
          <w:szCs w:val="24"/>
          <w:lang w:eastAsia="zh-CN"/>
        </w:rPr>
        <w:t>。</w:t>
      </w:r>
    </w:p>
    <w:p w14:paraId="2661AA5E">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rPr>
      </w:pPr>
      <w:r>
        <w:rPr>
          <w:rFonts w:ascii="Times New Roman" w:hAnsi="Times New Roman"/>
          <w:b/>
          <w:bCs/>
          <w:snapToGrid/>
          <w:color w:val="auto"/>
          <w:sz w:val="24"/>
        </w:rPr>
        <w:t>表5.2-1</w:t>
      </w:r>
      <w:r>
        <w:rPr>
          <w:rFonts w:hint="eastAsia" w:ascii="Times New Roman" w:hAnsi="Times New Roman"/>
          <w:b/>
          <w:bCs/>
          <w:snapToGrid/>
          <w:color w:val="auto"/>
          <w:sz w:val="24"/>
          <w:lang w:val="en-US" w:eastAsia="zh-CN"/>
        </w:rPr>
        <w:t>8</w:t>
      </w:r>
      <w:r>
        <w:rPr>
          <w:rFonts w:ascii="Times New Roman" w:hAnsi="Times New Roman"/>
          <w:b/>
          <w:bCs/>
          <w:snapToGrid/>
          <w:color w:val="auto"/>
          <w:sz w:val="24"/>
        </w:rPr>
        <w:t>土壤环境影响自查表</w:t>
      </w:r>
    </w:p>
    <w:p w14:paraId="0BD199CA">
      <w:pPr>
        <w:widowControl w:val="0"/>
        <w:shd w:val="clear"/>
        <w:kinsoku/>
        <w:autoSpaceDE/>
        <w:autoSpaceDN/>
        <w:adjustRightInd/>
        <w:snapToGrid/>
        <w:spacing w:line="23" w:lineRule="exact"/>
        <w:textAlignment w:val="auto"/>
        <w:rPr>
          <w:rFonts w:ascii="Times New Roman" w:hAnsi="Times New Roman" w:eastAsia="宋体"/>
          <w:snapToGrid/>
          <w:color w:val="auto"/>
        </w:rPr>
      </w:pPr>
    </w:p>
    <w:tbl>
      <w:tblPr>
        <w:tblStyle w:val="36"/>
        <w:tblW w:w="508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
        <w:gridCol w:w="415"/>
        <w:gridCol w:w="9"/>
        <w:gridCol w:w="1560"/>
        <w:gridCol w:w="10"/>
        <w:gridCol w:w="1395"/>
        <w:gridCol w:w="1135"/>
        <w:gridCol w:w="1316"/>
        <w:gridCol w:w="208"/>
        <w:gridCol w:w="1347"/>
        <w:gridCol w:w="10"/>
        <w:gridCol w:w="1153"/>
        <w:gridCol w:w="15"/>
      </w:tblGrid>
      <w:tr w14:paraId="3E53C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61" w:hRule="atLeast"/>
          <w:jc w:val="center"/>
        </w:trPr>
        <w:tc>
          <w:tcPr>
            <w:tcW w:w="1160" w:type="pct"/>
            <w:gridSpan w:val="4"/>
            <w:tcBorders>
              <w:tl2br w:val="nil"/>
              <w:tr2bl w:val="nil"/>
            </w:tcBorders>
            <w:vAlign w:val="center"/>
          </w:tcPr>
          <w:p w14:paraId="0305925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工作内容</w:t>
            </w:r>
          </w:p>
        </w:tc>
        <w:tc>
          <w:tcPr>
            <w:tcW w:w="3153" w:type="pct"/>
            <w:gridSpan w:val="6"/>
            <w:tcBorders>
              <w:tl2br w:val="nil"/>
              <w:tr2bl w:val="nil"/>
            </w:tcBorders>
            <w:vAlign w:val="center"/>
          </w:tcPr>
          <w:p w14:paraId="07CC7A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完成情况</w:t>
            </w:r>
          </w:p>
        </w:tc>
        <w:tc>
          <w:tcPr>
            <w:tcW w:w="678" w:type="pct"/>
            <w:gridSpan w:val="2"/>
            <w:tcBorders>
              <w:tl2br w:val="nil"/>
              <w:tr2bl w:val="nil"/>
            </w:tcBorders>
            <w:vAlign w:val="center"/>
          </w:tcPr>
          <w:p w14:paraId="4A912C0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备注</w:t>
            </w:r>
          </w:p>
        </w:tc>
      </w:tr>
      <w:tr w14:paraId="2460A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37" w:hRule="atLeast"/>
          <w:jc w:val="center"/>
        </w:trPr>
        <w:tc>
          <w:tcPr>
            <w:tcW w:w="246" w:type="pct"/>
            <w:gridSpan w:val="2"/>
            <w:vMerge w:val="restart"/>
            <w:tcBorders>
              <w:tl2br w:val="nil"/>
              <w:tr2bl w:val="nil"/>
            </w:tcBorders>
            <w:vAlign w:val="center"/>
          </w:tcPr>
          <w:p w14:paraId="2E9539B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影响识</w:t>
            </w:r>
          </w:p>
          <w:p w14:paraId="2DD4A34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别</w:t>
            </w:r>
          </w:p>
        </w:tc>
        <w:tc>
          <w:tcPr>
            <w:tcW w:w="913" w:type="pct"/>
            <w:gridSpan w:val="2"/>
            <w:tcBorders>
              <w:tl2br w:val="nil"/>
              <w:tr2bl w:val="nil"/>
            </w:tcBorders>
            <w:vAlign w:val="center"/>
          </w:tcPr>
          <w:p w14:paraId="5189E8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影响类型</w:t>
            </w:r>
          </w:p>
        </w:tc>
        <w:tc>
          <w:tcPr>
            <w:tcW w:w="3153" w:type="pct"/>
            <w:gridSpan w:val="6"/>
            <w:tcBorders>
              <w:tl2br w:val="nil"/>
              <w:tr2bl w:val="nil"/>
            </w:tcBorders>
            <w:vAlign w:val="center"/>
          </w:tcPr>
          <w:p w14:paraId="32A9C920">
            <w:pPr>
              <w:widowControl w:val="0"/>
              <w:shd w:val="clear"/>
              <w:kinsoku/>
              <w:autoSpaceDE/>
              <w:autoSpaceDN/>
              <w:adjustRightInd/>
              <w:snapToGrid/>
              <w:spacing w:line="360" w:lineRule="auto"/>
              <w:jc w:val="center"/>
              <w:textAlignment w:val="auto"/>
              <w:rPr>
                <w:rFonts w:ascii="Times New Roman" w:hAnsi="Times New Roman" w:eastAsia="宋体" w:cs="Wingdings"/>
                <w:snapToGrid/>
                <w:color w:val="auto"/>
                <w:lang w:eastAsia="zh-CN"/>
              </w:rPr>
            </w:pPr>
            <w:r>
              <w:rPr>
                <w:rFonts w:ascii="Times New Roman" w:hAnsi="Times New Roman" w:eastAsia="宋体" w:cs="宋体"/>
                <w:snapToGrid/>
                <w:color w:val="auto"/>
                <w:lang w:eastAsia="zh-CN"/>
              </w:rPr>
              <w:t>污染影响型</w:t>
            </w:r>
            <w:r>
              <w:rPr>
                <w:rFonts w:ascii="Times New Roman" w:hAnsi="Times New Roman" w:eastAsia="宋体"/>
                <w:snapToGrid/>
                <w:color w:val="auto"/>
              </w:rPr>
              <w:drawing>
                <wp:inline distT="0" distB="0" distL="0" distR="0">
                  <wp:extent cx="107950" cy="10350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72"/>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；生态影响型</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两种兼有</w:t>
            </w:r>
            <w:r>
              <w:rPr>
                <w:rFonts w:ascii="Times New Roman" w:hAnsi="Times New Roman" w:eastAsia="宋体" w:cs="Wingdings"/>
                <w:snapToGrid/>
                <w:color w:val="auto"/>
                <w:lang w:eastAsia="zh-CN"/>
              </w:rPr>
              <w:t>o</w:t>
            </w:r>
          </w:p>
        </w:tc>
        <w:tc>
          <w:tcPr>
            <w:tcW w:w="678" w:type="pct"/>
            <w:gridSpan w:val="2"/>
            <w:tcBorders>
              <w:tl2br w:val="nil"/>
              <w:tr2bl w:val="nil"/>
            </w:tcBorders>
            <w:vAlign w:val="center"/>
          </w:tcPr>
          <w:p w14:paraId="36959AC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02D37D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8" w:hRule="atLeast"/>
          <w:jc w:val="center"/>
        </w:trPr>
        <w:tc>
          <w:tcPr>
            <w:tcW w:w="246" w:type="pct"/>
            <w:gridSpan w:val="2"/>
            <w:vMerge w:val="continue"/>
            <w:tcBorders>
              <w:tl2br w:val="nil"/>
              <w:tr2bl w:val="nil"/>
            </w:tcBorders>
            <w:vAlign w:val="center"/>
          </w:tcPr>
          <w:p w14:paraId="2A7DCC29">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13" w:type="pct"/>
            <w:gridSpan w:val="2"/>
            <w:tcBorders>
              <w:tl2br w:val="nil"/>
              <w:tr2bl w:val="nil"/>
            </w:tcBorders>
            <w:vAlign w:val="center"/>
          </w:tcPr>
          <w:p w14:paraId="370E0D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土地利用类型</w:t>
            </w:r>
          </w:p>
        </w:tc>
        <w:tc>
          <w:tcPr>
            <w:tcW w:w="3153" w:type="pct"/>
            <w:gridSpan w:val="6"/>
            <w:tcBorders>
              <w:tl2br w:val="nil"/>
              <w:tr2bl w:val="nil"/>
            </w:tcBorders>
            <w:vAlign w:val="center"/>
          </w:tcPr>
          <w:p w14:paraId="312A86BB">
            <w:pPr>
              <w:widowControl w:val="0"/>
              <w:shd w:val="clear"/>
              <w:kinsoku/>
              <w:autoSpaceDE/>
              <w:autoSpaceDN/>
              <w:adjustRightInd/>
              <w:snapToGrid/>
              <w:spacing w:line="360" w:lineRule="auto"/>
              <w:jc w:val="center"/>
              <w:textAlignment w:val="auto"/>
              <w:rPr>
                <w:rFonts w:ascii="Times New Roman" w:hAnsi="Times New Roman" w:eastAsia="宋体" w:cs="Wingdings"/>
                <w:snapToGrid/>
                <w:color w:val="auto"/>
                <w:lang w:eastAsia="zh-CN"/>
              </w:rPr>
            </w:pPr>
            <w:r>
              <w:rPr>
                <w:rFonts w:ascii="Times New Roman" w:hAnsi="Times New Roman" w:eastAsia="宋体" w:cs="宋体"/>
                <w:snapToGrid/>
                <w:color w:val="auto"/>
                <w:lang w:eastAsia="zh-CN"/>
              </w:rPr>
              <w:t>建设用地</w:t>
            </w:r>
            <w:r>
              <w:rPr>
                <w:rFonts w:ascii="Times New Roman" w:hAnsi="Times New Roman" w:eastAsia="宋体"/>
                <w:snapToGrid/>
                <w:color w:val="auto"/>
              </w:rPr>
              <w:drawing>
                <wp:inline distT="0" distB="0" distL="0" distR="0">
                  <wp:extent cx="107950" cy="10350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73"/>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；农用地</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未利用地</w:t>
            </w:r>
            <w:r>
              <w:rPr>
                <w:rFonts w:ascii="Times New Roman" w:hAnsi="Times New Roman" w:eastAsia="宋体" w:cs="Wingdings"/>
                <w:snapToGrid/>
                <w:color w:val="auto"/>
                <w:lang w:eastAsia="zh-CN"/>
              </w:rPr>
              <w:t>o</w:t>
            </w:r>
          </w:p>
        </w:tc>
        <w:tc>
          <w:tcPr>
            <w:tcW w:w="678" w:type="pct"/>
            <w:gridSpan w:val="2"/>
            <w:tcBorders>
              <w:tl2br w:val="nil"/>
              <w:tr2bl w:val="nil"/>
            </w:tcBorders>
            <w:vAlign w:val="center"/>
          </w:tcPr>
          <w:p w14:paraId="477F89BA">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749D53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6" w:hRule="atLeast"/>
          <w:jc w:val="center"/>
        </w:trPr>
        <w:tc>
          <w:tcPr>
            <w:tcW w:w="246" w:type="pct"/>
            <w:gridSpan w:val="2"/>
            <w:vMerge w:val="continue"/>
            <w:tcBorders>
              <w:tl2br w:val="nil"/>
              <w:tr2bl w:val="nil"/>
            </w:tcBorders>
            <w:vAlign w:val="center"/>
          </w:tcPr>
          <w:p w14:paraId="0685B53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13" w:type="pct"/>
            <w:gridSpan w:val="2"/>
            <w:tcBorders>
              <w:tl2br w:val="nil"/>
              <w:tr2bl w:val="nil"/>
            </w:tcBorders>
            <w:vAlign w:val="center"/>
          </w:tcPr>
          <w:p w14:paraId="5286C58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占地规模</w:t>
            </w:r>
          </w:p>
        </w:tc>
        <w:tc>
          <w:tcPr>
            <w:tcW w:w="3153" w:type="pct"/>
            <w:gridSpan w:val="6"/>
            <w:tcBorders>
              <w:tl2br w:val="nil"/>
              <w:tr2bl w:val="nil"/>
            </w:tcBorders>
            <w:vAlign w:val="center"/>
          </w:tcPr>
          <w:p w14:paraId="1754606B">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cs="宋体"/>
                <w:snapToGrid/>
                <w:color w:val="auto"/>
                <w:lang w:eastAsia="zh-CN"/>
              </w:rPr>
              <w:t>(</w:t>
            </w:r>
            <w:r>
              <w:rPr>
                <w:rFonts w:eastAsia="宋体"/>
                <w:snapToGrid/>
                <w:color w:val="auto"/>
              </w:rPr>
              <w:t>0.33</w:t>
            </w:r>
            <w:r>
              <w:rPr>
                <w:rFonts w:hint="eastAsia" w:eastAsia="宋体"/>
                <w:snapToGrid/>
                <w:color w:val="auto"/>
                <w:lang w:eastAsia="zh-CN"/>
              </w:rPr>
              <w:t>)</w:t>
            </w:r>
            <w:r>
              <w:rPr>
                <w:rFonts w:eastAsia="宋体"/>
                <w:snapToGrid/>
                <w:color w:val="auto"/>
              </w:rPr>
              <w:t>hm</w:t>
            </w:r>
            <w:r>
              <w:rPr>
                <w:rFonts w:eastAsia="宋体" w:cs="宋体"/>
                <w:snapToGrid/>
                <w:color w:val="auto"/>
              </w:rPr>
              <w:t>²</w:t>
            </w:r>
          </w:p>
        </w:tc>
        <w:tc>
          <w:tcPr>
            <w:tcW w:w="678" w:type="pct"/>
            <w:gridSpan w:val="2"/>
            <w:tcBorders>
              <w:tl2br w:val="nil"/>
              <w:tr2bl w:val="nil"/>
            </w:tcBorders>
            <w:vAlign w:val="center"/>
          </w:tcPr>
          <w:p w14:paraId="1B039CA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411E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8" w:hRule="atLeast"/>
          <w:jc w:val="center"/>
        </w:trPr>
        <w:tc>
          <w:tcPr>
            <w:tcW w:w="246" w:type="pct"/>
            <w:gridSpan w:val="2"/>
            <w:vMerge w:val="continue"/>
            <w:tcBorders>
              <w:tl2br w:val="nil"/>
              <w:tr2bl w:val="nil"/>
            </w:tcBorders>
            <w:vAlign w:val="center"/>
          </w:tcPr>
          <w:p w14:paraId="5298AB5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3" w:type="pct"/>
            <w:gridSpan w:val="2"/>
            <w:tcBorders>
              <w:tl2br w:val="nil"/>
              <w:tr2bl w:val="nil"/>
            </w:tcBorders>
            <w:vAlign w:val="center"/>
          </w:tcPr>
          <w:p w14:paraId="45F1123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敏感目标信息</w:t>
            </w:r>
          </w:p>
        </w:tc>
        <w:tc>
          <w:tcPr>
            <w:tcW w:w="3153" w:type="pct"/>
            <w:gridSpan w:val="6"/>
            <w:tcBorders>
              <w:tl2br w:val="nil"/>
              <w:tr2bl w:val="nil"/>
            </w:tcBorders>
            <w:vAlign w:val="center"/>
          </w:tcPr>
          <w:p w14:paraId="4C54FF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敏感目标（</w:t>
            </w:r>
            <w:r>
              <w:rPr>
                <w:rFonts w:hint="eastAsia" w:ascii="Times New Roman" w:hAnsi="Times New Roman" w:eastAsia="宋体" w:cs="宋体"/>
                <w:snapToGrid/>
                <w:color w:val="auto"/>
                <w:lang w:val="en-US" w:eastAsia="zh-CN"/>
              </w:rPr>
              <w:t>农田</w:t>
            </w:r>
            <w:r>
              <w:rPr>
                <w:rFonts w:ascii="Times New Roman" w:hAnsi="Times New Roman" w:eastAsia="宋体" w:cs="宋体"/>
                <w:snapToGrid/>
                <w:color w:val="auto"/>
                <w:lang w:eastAsia="zh-CN"/>
              </w:rPr>
              <w:t>）、方位（</w:t>
            </w:r>
            <w:r>
              <w:rPr>
                <w:rFonts w:hint="eastAsia" w:ascii="Times New Roman" w:hAnsi="Times New Roman" w:eastAsia="宋体" w:cs="宋体"/>
                <w:snapToGrid/>
                <w:color w:val="auto"/>
                <w:lang w:val="en-US" w:eastAsia="zh-CN"/>
              </w:rPr>
              <w:t>南侧</w:t>
            </w:r>
            <w:r>
              <w:rPr>
                <w:rFonts w:ascii="Times New Roman" w:hAnsi="Times New Roman" w:eastAsia="宋体" w:cs="宋体"/>
                <w:snapToGrid/>
                <w:color w:val="auto"/>
                <w:lang w:eastAsia="zh-CN"/>
              </w:rPr>
              <w:t>）、距离</w:t>
            </w:r>
            <w:r>
              <w:rPr>
                <w:rFonts w:hint="eastAsia" w:ascii="Times New Roman" w:hAnsi="Times New Roman" w:eastAsia="宋体" w:cs="宋体"/>
                <w:snapToGrid/>
                <w:color w:val="auto"/>
                <w:lang w:eastAsia="zh-CN"/>
              </w:rPr>
              <w:t>（</w:t>
            </w:r>
            <w:r>
              <w:rPr>
                <w:rFonts w:hint="eastAsia" w:ascii="Times New Roman" w:hAnsi="Times New Roman" w:eastAsia="宋体" w:cs="宋体"/>
                <w:snapToGrid/>
                <w:color w:val="auto"/>
                <w:lang w:val="en-US" w:eastAsia="zh-CN"/>
              </w:rPr>
              <w:t>70m</w:t>
            </w:r>
            <w:r>
              <w:rPr>
                <w:rFonts w:hint="eastAsia" w:ascii="Times New Roman" w:hAnsi="Times New Roman" w:eastAsia="宋体" w:cs="宋体"/>
                <w:snapToGrid/>
                <w:color w:val="auto"/>
                <w:lang w:eastAsia="zh-CN"/>
              </w:rPr>
              <w:t>）</w:t>
            </w:r>
          </w:p>
        </w:tc>
        <w:tc>
          <w:tcPr>
            <w:tcW w:w="678" w:type="pct"/>
            <w:gridSpan w:val="2"/>
            <w:tcBorders>
              <w:tl2br w:val="nil"/>
              <w:tr2bl w:val="nil"/>
            </w:tcBorders>
            <w:vAlign w:val="center"/>
          </w:tcPr>
          <w:p w14:paraId="73E284EA">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36CC51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618" w:hRule="atLeast"/>
          <w:jc w:val="center"/>
        </w:trPr>
        <w:tc>
          <w:tcPr>
            <w:tcW w:w="246" w:type="pct"/>
            <w:gridSpan w:val="2"/>
            <w:vMerge w:val="continue"/>
            <w:tcBorders>
              <w:tl2br w:val="nil"/>
              <w:tr2bl w:val="nil"/>
            </w:tcBorders>
            <w:vAlign w:val="center"/>
          </w:tcPr>
          <w:p w14:paraId="4EDB02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913" w:type="pct"/>
            <w:gridSpan w:val="2"/>
            <w:tcBorders>
              <w:tl2br w:val="nil"/>
              <w:tr2bl w:val="nil"/>
            </w:tcBorders>
            <w:vAlign w:val="center"/>
          </w:tcPr>
          <w:p w14:paraId="430BCA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影响途径</w:t>
            </w:r>
          </w:p>
        </w:tc>
        <w:tc>
          <w:tcPr>
            <w:tcW w:w="3153" w:type="pct"/>
            <w:gridSpan w:val="6"/>
            <w:tcBorders>
              <w:tl2br w:val="nil"/>
              <w:tr2bl w:val="nil"/>
            </w:tcBorders>
            <w:vAlign w:val="center"/>
          </w:tcPr>
          <w:p w14:paraId="365A49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大气沉降</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地面漫流</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垂直入渗</w:t>
            </w:r>
            <w:r>
              <w:rPr>
                <w:rFonts w:ascii="Times New Roman" w:hAnsi="Times New Roman" w:eastAsia="宋体"/>
                <w:snapToGrid/>
                <w:color w:val="auto"/>
              </w:rPr>
              <w:drawing>
                <wp:inline distT="0" distB="0" distL="0" distR="0">
                  <wp:extent cx="107950" cy="10350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74"/>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；地下水位□</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其他</w:t>
            </w:r>
            <w:r>
              <w:rPr>
                <w:rFonts w:hint="eastAsia" w:ascii="Times New Roman" w:hAnsi="Times New Roman" w:eastAsia="宋体" w:cs="宋体"/>
                <w:snapToGrid/>
                <w:color w:val="auto"/>
                <w:lang w:eastAsia="zh-CN"/>
              </w:rPr>
              <w:t>（）</w:t>
            </w:r>
          </w:p>
        </w:tc>
        <w:tc>
          <w:tcPr>
            <w:tcW w:w="678" w:type="pct"/>
            <w:gridSpan w:val="2"/>
            <w:tcBorders>
              <w:tl2br w:val="nil"/>
              <w:tr2bl w:val="nil"/>
            </w:tcBorders>
            <w:vAlign w:val="center"/>
          </w:tcPr>
          <w:p w14:paraId="40D497B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7EF97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8" w:hRule="atLeast"/>
          <w:jc w:val="center"/>
        </w:trPr>
        <w:tc>
          <w:tcPr>
            <w:tcW w:w="246" w:type="pct"/>
            <w:gridSpan w:val="2"/>
            <w:vMerge w:val="continue"/>
            <w:tcBorders>
              <w:tl2br w:val="nil"/>
              <w:tr2bl w:val="nil"/>
            </w:tcBorders>
            <w:vAlign w:val="center"/>
          </w:tcPr>
          <w:p w14:paraId="574CFFF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913" w:type="pct"/>
            <w:gridSpan w:val="2"/>
            <w:tcBorders>
              <w:tl2br w:val="nil"/>
              <w:tr2bl w:val="nil"/>
            </w:tcBorders>
            <w:vAlign w:val="center"/>
          </w:tcPr>
          <w:p w14:paraId="4005583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全部污染物</w:t>
            </w:r>
          </w:p>
        </w:tc>
        <w:tc>
          <w:tcPr>
            <w:tcW w:w="3153" w:type="pct"/>
            <w:gridSpan w:val="6"/>
            <w:tcBorders>
              <w:tl2br w:val="nil"/>
              <w:tr2bl w:val="nil"/>
            </w:tcBorders>
            <w:vAlign w:val="center"/>
          </w:tcPr>
          <w:p w14:paraId="2815FE8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bookmarkStart w:id="661" w:name="OLE_LINK29"/>
            <w:r>
              <w:rPr>
                <w:rFonts w:hint="eastAsia" w:ascii="Times New Roman" w:hAnsi="Times New Roman" w:eastAsia="宋体" w:cs="宋体"/>
                <w:snapToGrid/>
                <w:color w:val="auto"/>
                <w:lang w:val="en-US" w:eastAsia="zh-CN"/>
              </w:rPr>
              <w:t>石油类、废润滑油</w:t>
            </w:r>
            <w:bookmarkEnd w:id="661"/>
          </w:p>
        </w:tc>
        <w:tc>
          <w:tcPr>
            <w:tcW w:w="678" w:type="pct"/>
            <w:gridSpan w:val="2"/>
            <w:tcBorders>
              <w:tl2br w:val="nil"/>
              <w:tr2bl w:val="nil"/>
            </w:tcBorders>
            <w:vAlign w:val="center"/>
          </w:tcPr>
          <w:p w14:paraId="6ED1BA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530A3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6" w:hRule="atLeast"/>
          <w:jc w:val="center"/>
        </w:trPr>
        <w:tc>
          <w:tcPr>
            <w:tcW w:w="246" w:type="pct"/>
            <w:gridSpan w:val="2"/>
            <w:vMerge w:val="continue"/>
            <w:tcBorders>
              <w:tl2br w:val="nil"/>
              <w:tr2bl w:val="nil"/>
            </w:tcBorders>
            <w:vAlign w:val="center"/>
          </w:tcPr>
          <w:p w14:paraId="43313C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3" w:type="pct"/>
            <w:gridSpan w:val="2"/>
            <w:tcBorders>
              <w:tl2br w:val="nil"/>
              <w:tr2bl w:val="nil"/>
            </w:tcBorders>
            <w:vAlign w:val="center"/>
          </w:tcPr>
          <w:p w14:paraId="52D820B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特征因子</w:t>
            </w:r>
          </w:p>
        </w:tc>
        <w:tc>
          <w:tcPr>
            <w:tcW w:w="3153" w:type="pct"/>
            <w:gridSpan w:val="6"/>
            <w:tcBorders>
              <w:tl2br w:val="nil"/>
              <w:tr2bl w:val="nil"/>
            </w:tcBorders>
            <w:vAlign w:val="center"/>
          </w:tcPr>
          <w:p w14:paraId="486C26A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78" w:type="pct"/>
            <w:gridSpan w:val="2"/>
            <w:tcBorders>
              <w:tl2br w:val="nil"/>
              <w:tr2bl w:val="nil"/>
            </w:tcBorders>
            <w:vAlign w:val="center"/>
          </w:tcPr>
          <w:p w14:paraId="7814DA5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3F769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618" w:hRule="atLeast"/>
          <w:jc w:val="center"/>
        </w:trPr>
        <w:tc>
          <w:tcPr>
            <w:tcW w:w="246" w:type="pct"/>
            <w:gridSpan w:val="2"/>
            <w:vMerge w:val="continue"/>
            <w:tcBorders>
              <w:tl2br w:val="nil"/>
              <w:tr2bl w:val="nil"/>
            </w:tcBorders>
            <w:vAlign w:val="center"/>
          </w:tcPr>
          <w:p w14:paraId="4ADFE96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3" w:type="pct"/>
            <w:gridSpan w:val="2"/>
            <w:tcBorders>
              <w:tl2br w:val="nil"/>
              <w:tr2bl w:val="nil"/>
            </w:tcBorders>
            <w:vAlign w:val="center"/>
          </w:tcPr>
          <w:p w14:paraId="0B08FF9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所属土壤环境影响评价项目类别</w:t>
            </w:r>
          </w:p>
        </w:tc>
        <w:tc>
          <w:tcPr>
            <w:tcW w:w="3153" w:type="pct"/>
            <w:gridSpan w:val="6"/>
            <w:tcBorders>
              <w:tl2br w:val="nil"/>
              <w:tr2bl w:val="nil"/>
            </w:tcBorders>
            <w:vAlign w:val="center"/>
          </w:tcPr>
          <w:p w14:paraId="7342E78C">
            <w:pPr>
              <w:widowControl w:val="0"/>
              <w:shd w:val="clear"/>
              <w:kinsoku/>
              <w:autoSpaceDE/>
              <w:autoSpaceDN/>
              <w:adjustRightInd/>
              <w:snapToGrid/>
              <w:spacing w:line="360" w:lineRule="auto"/>
              <w:jc w:val="center"/>
              <w:textAlignment w:val="auto"/>
              <w:rPr>
                <w:rFonts w:ascii="Times New Roman" w:hAnsi="Times New Roman" w:eastAsia="宋体" w:cs="Wingdings"/>
                <w:snapToGrid/>
                <w:color w:val="auto"/>
                <w:lang w:eastAsia="zh-CN"/>
              </w:rPr>
            </w:pPr>
            <w:r>
              <w:rPr>
                <w:rFonts w:ascii="Times New Roman" w:hAnsi="Times New Roman" w:eastAsia="宋体" w:cs="宋体"/>
                <w:snapToGrid/>
                <w:color w:val="auto"/>
                <w:lang w:eastAsia="zh-CN"/>
              </w:rPr>
              <w:t>Ⅰ类</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Ⅱ类</w:t>
            </w:r>
            <w:r>
              <w:rPr>
                <w:rFonts w:ascii="Times New Roman" w:hAnsi="Times New Roman" w:eastAsia="宋体" w:cs="Wingdings"/>
                <w:snapToGrid/>
                <w:color w:val="auto"/>
                <w:lang w:eastAsia="zh-CN"/>
              </w:rPr>
              <w:t>o</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Ⅲ类</w:t>
            </w:r>
            <w:r>
              <w:rPr>
                <w:rFonts w:ascii="Times New Roman" w:hAnsi="Times New Roman" w:eastAsia="宋体"/>
                <w:snapToGrid/>
                <w:color w:val="auto"/>
              </w:rPr>
              <w:drawing>
                <wp:inline distT="0" distB="0" distL="0" distR="0">
                  <wp:extent cx="107950" cy="10350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74"/>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；Ⅳ类</w:t>
            </w:r>
            <w:r>
              <w:rPr>
                <w:rFonts w:ascii="Times New Roman" w:hAnsi="Times New Roman" w:eastAsia="宋体" w:cs="Wingdings"/>
                <w:snapToGrid/>
                <w:color w:val="auto"/>
                <w:lang w:eastAsia="zh-CN"/>
              </w:rPr>
              <w:t>o</w:t>
            </w:r>
          </w:p>
        </w:tc>
        <w:tc>
          <w:tcPr>
            <w:tcW w:w="678" w:type="pct"/>
            <w:gridSpan w:val="2"/>
            <w:tcBorders>
              <w:tl2br w:val="nil"/>
              <w:tr2bl w:val="nil"/>
            </w:tcBorders>
            <w:vAlign w:val="center"/>
          </w:tcPr>
          <w:p w14:paraId="68B9EAE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777C49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74" w:hRule="atLeast"/>
          <w:jc w:val="center"/>
        </w:trPr>
        <w:tc>
          <w:tcPr>
            <w:tcW w:w="246" w:type="pct"/>
            <w:gridSpan w:val="2"/>
            <w:vMerge w:val="continue"/>
            <w:tcBorders>
              <w:tl2br w:val="nil"/>
              <w:tr2bl w:val="nil"/>
            </w:tcBorders>
            <w:vAlign w:val="center"/>
          </w:tcPr>
          <w:p w14:paraId="4474E25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913" w:type="pct"/>
            <w:gridSpan w:val="2"/>
            <w:tcBorders>
              <w:tl2br w:val="nil"/>
              <w:tr2bl w:val="nil"/>
            </w:tcBorders>
            <w:vAlign w:val="center"/>
          </w:tcPr>
          <w:p w14:paraId="531B971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敏感程度</w:t>
            </w:r>
          </w:p>
        </w:tc>
        <w:tc>
          <w:tcPr>
            <w:tcW w:w="3153" w:type="pct"/>
            <w:gridSpan w:val="6"/>
            <w:tcBorders>
              <w:tl2br w:val="nil"/>
              <w:tr2bl w:val="nil"/>
            </w:tcBorders>
            <w:vAlign w:val="center"/>
          </w:tcPr>
          <w:p w14:paraId="648040B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eastAsia="宋体" w:cs="宋体"/>
                <w:snapToGrid/>
                <w:color w:val="auto"/>
                <w:lang w:eastAsia="zh-CN"/>
              </w:rPr>
              <w:t>敏感</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较敏感□</w:t>
            </w: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不敏感□</w:t>
            </w:r>
          </w:p>
        </w:tc>
        <w:tc>
          <w:tcPr>
            <w:tcW w:w="678" w:type="pct"/>
            <w:gridSpan w:val="2"/>
            <w:tcBorders>
              <w:tl2br w:val="nil"/>
              <w:tr2bl w:val="nil"/>
            </w:tcBorders>
            <w:vAlign w:val="center"/>
          </w:tcPr>
          <w:p w14:paraId="2740AEBD">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3216B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4" w:hRule="atLeast"/>
          <w:jc w:val="center"/>
        </w:trPr>
        <w:tc>
          <w:tcPr>
            <w:tcW w:w="1162" w:type="pct"/>
            <w:gridSpan w:val="4"/>
            <w:tcBorders>
              <w:tl2br w:val="nil"/>
              <w:tr2bl w:val="nil"/>
            </w:tcBorders>
            <w:vAlign w:val="center"/>
          </w:tcPr>
          <w:p w14:paraId="7629E4B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评价工作等级</w:t>
            </w:r>
          </w:p>
        </w:tc>
        <w:tc>
          <w:tcPr>
            <w:tcW w:w="3153" w:type="pct"/>
            <w:gridSpan w:val="6"/>
            <w:tcBorders>
              <w:tl2br w:val="nil"/>
              <w:tr2bl w:val="nil"/>
            </w:tcBorders>
            <w:vAlign w:val="center"/>
          </w:tcPr>
          <w:p w14:paraId="40384D6C">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r>
              <w:rPr>
                <w:rFonts w:ascii="Times New Roman" w:hAnsi="Times New Roman" w:eastAsia="宋体" w:cs="宋体"/>
                <w:snapToGrid/>
                <w:color w:val="auto"/>
                <w:lang w:eastAsia="zh-CN"/>
              </w:rPr>
              <w:t>一级</w:t>
            </w:r>
            <w:r>
              <w:rPr>
                <w:rFonts w:ascii="Times New Roman" w:hAnsi="Times New Roman" w:eastAsia="宋体" w:cs="Wingdings"/>
                <w:snapToGrid/>
                <w:color w:val="auto"/>
                <w:lang w:eastAsia="zh-CN"/>
              </w:rPr>
              <w:t>o</w:t>
            </w:r>
            <w:r>
              <w:rPr>
                <w:rFonts w:ascii="Times New Roman" w:hAnsi="Times New Roman" w:eastAsia="宋体" w:cs="宋体"/>
                <w:snapToGrid/>
                <w:color w:val="auto"/>
                <w:lang w:eastAsia="zh-CN"/>
              </w:rPr>
              <w:t>；二级</w:t>
            </w:r>
            <w:r>
              <w:rPr>
                <w:rFonts w:ascii="Times New Roman" w:hAnsi="Times New Roman" w:eastAsia="宋体" w:cs="Wingdings"/>
                <w:snapToGrid/>
                <w:color w:val="auto"/>
                <w:lang w:eastAsia="zh-CN"/>
              </w:rPr>
              <w:t>o</w:t>
            </w:r>
            <w:r>
              <w:rPr>
                <w:rFonts w:ascii="Times New Roman" w:hAnsi="Times New Roman" w:eastAsia="宋体" w:cs="宋体"/>
                <w:snapToGrid/>
                <w:color w:val="auto"/>
                <w:lang w:eastAsia="zh-CN"/>
              </w:rPr>
              <w:t>；三级</w:t>
            </w:r>
            <w:r>
              <w:rPr>
                <w:rFonts w:ascii="Times New Roman" w:hAnsi="Times New Roman" w:eastAsia="宋体"/>
                <w:snapToGrid/>
                <w:color w:val="auto"/>
              </w:rPr>
              <w:drawing>
                <wp:inline distT="0" distB="0" distL="0" distR="0">
                  <wp:extent cx="107950" cy="10350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72"/>
                          <a:stretch>
                            <a:fillRect/>
                          </a:stretch>
                        </pic:blipFill>
                        <pic:spPr>
                          <a:xfrm>
                            <a:off x="0" y="0"/>
                            <a:ext cx="108362" cy="103668"/>
                          </a:xfrm>
                          <a:prstGeom prst="rect">
                            <a:avLst/>
                          </a:prstGeom>
                        </pic:spPr>
                      </pic:pic>
                    </a:graphicData>
                  </a:graphic>
                </wp:inline>
              </w:drawing>
            </w:r>
          </w:p>
        </w:tc>
        <w:tc>
          <w:tcPr>
            <w:tcW w:w="679" w:type="pct"/>
            <w:gridSpan w:val="2"/>
            <w:tcBorders>
              <w:tl2br w:val="nil"/>
              <w:tr2bl w:val="nil"/>
            </w:tcBorders>
            <w:vAlign w:val="center"/>
          </w:tcPr>
          <w:p w14:paraId="4AFEF556">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2C83F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restart"/>
            <w:tcBorders>
              <w:tl2br w:val="nil"/>
              <w:tr2bl w:val="nil"/>
            </w:tcBorders>
            <w:vAlign w:val="center"/>
          </w:tcPr>
          <w:p w14:paraId="2CFFE36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r>
              <w:rPr>
                <w:rFonts w:ascii="Times New Roman" w:hAnsi="Times New Roman" w:eastAsia="宋体" w:cs="宋体"/>
                <w:snapToGrid/>
                <w:color w:val="auto"/>
              </w:rPr>
              <w:t>现状调查</w:t>
            </w:r>
            <w:r>
              <w:rPr>
                <w:rFonts w:hint="eastAsia" w:ascii="Times New Roman" w:hAnsi="Times New Roman" w:eastAsia="宋体" w:cs="宋体"/>
                <w:snapToGrid/>
                <w:color w:val="auto"/>
                <w:lang w:eastAsia="zh-CN"/>
              </w:rPr>
              <w:t>内容</w:t>
            </w:r>
          </w:p>
        </w:tc>
        <w:tc>
          <w:tcPr>
            <w:tcW w:w="914" w:type="pct"/>
            <w:gridSpan w:val="2"/>
            <w:tcBorders>
              <w:tl2br w:val="nil"/>
              <w:tr2bl w:val="nil"/>
            </w:tcBorders>
            <w:vAlign w:val="center"/>
          </w:tcPr>
          <w:p w14:paraId="6FC2DB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资料收集</w:t>
            </w:r>
          </w:p>
        </w:tc>
        <w:tc>
          <w:tcPr>
            <w:tcW w:w="3153" w:type="pct"/>
            <w:gridSpan w:val="6"/>
            <w:tcBorders>
              <w:tl2br w:val="nil"/>
              <w:tr2bl w:val="nil"/>
            </w:tcBorders>
            <w:vAlign w:val="center"/>
          </w:tcPr>
          <w:p w14:paraId="216BA07C">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a</w:t>
            </w:r>
            <w:r>
              <w:rPr>
                <w:rFonts w:hint="eastAsia" w:eastAsia="宋体"/>
                <w:snapToGrid/>
                <w:color w:val="auto"/>
                <w:lang w:eastAsia="zh-CN"/>
              </w:rPr>
              <w:t>)</w:t>
            </w:r>
            <w:r>
              <w:rPr>
                <w:rFonts w:eastAsia="宋体" w:cs="Wingdings"/>
                <w:snapToGrid/>
                <w:color w:val="auto"/>
              </w:rPr>
              <w:t>o</w:t>
            </w:r>
            <w:r>
              <w:rPr>
                <w:rFonts w:hint="eastAsia" w:eastAsia="宋体" w:cs="Wingdings"/>
                <w:snapToGrid/>
                <w:color w:val="auto"/>
                <w:lang w:eastAsia="zh-CN"/>
              </w:rPr>
              <w:t>;</w:t>
            </w:r>
            <w:r>
              <w:rPr>
                <w:rFonts w:eastAsia="宋体"/>
                <w:snapToGrid/>
                <w:color w:val="auto"/>
              </w:rPr>
              <w:t>b</w:t>
            </w:r>
            <w:r>
              <w:rPr>
                <w:rFonts w:hint="eastAsia" w:eastAsia="宋体"/>
                <w:snapToGrid/>
                <w:color w:val="auto"/>
                <w:lang w:eastAsia="zh-CN"/>
              </w:rPr>
              <w:t>)</w:t>
            </w:r>
            <w:r>
              <w:rPr>
                <w:rFonts w:eastAsia="宋体" w:cs="Wingdings"/>
                <w:snapToGrid/>
                <w:color w:val="auto"/>
              </w:rPr>
              <w:t>o</w:t>
            </w:r>
            <w:r>
              <w:rPr>
                <w:rFonts w:hint="eastAsia" w:eastAsia="宋体" w:cs="Wingdings"/>
                <w:snapToGrid/>
                <w:color w:val="auto"/>
                <w:lang w:eastAsia="zh-CN"/>
              </w:rPr>
              <w:t>;</w:t>
            </w:r>
            <w:r>
              <w:rPr>
                <w:rFonts w:eastAsia="宋体"/>
                <w:snapToGrid/>
                <w:color w:val="auto"/>
              </w:rPr>
              <w:t>c</w:t>
            </w:r>
            <w:r>
              <w:rPr>
                <w:rFonts w:hint="eastAsia" w:eastAsia="宋体"/>
                <w:snapToGrid/>
                <w:color w:val="auto"/>
                <w:lang w:eastAsia="zh-CN"/>
              </w:rPr>
              <w:t>)</w:t>
            </w:r>
            <w:r>
              <w:rPr>
                <w:rFonts w:eastAsia="宋体" w:cs="Wingdings"/>
                <w:snapToGrid/>
                <w:color w:val="auto"/>
              </w:rPr>
              <w:t>o</w:t>
            </w:r>
            <w:r>
              <w:rPr>
                <w:rFonts w:hint="eastAsia" w:eastAsia="宋体" w:cs="Wingdings"/>
                <w:snapToGrid/>
                <w:color w:val="auto"/>
                <w:lang w:eastAsia="zh-CN"/>
              </w:rPr>
              <w:t>;</w:t>
            </w:r>
            <w:r>
              <w:rPr>
                <w:rFonts w:eastAsia="宋体"/>
                <w:snapToGrid/>
                <w:color w:val="auto"/>
              </w:rPr>
              <w:t>d</w:t>
            </w:r>
            <w:r>
              <w:rPr>
                <w:rFonts w:hint="eastAsia" w:eastAsia="宋体"/>
                <w:snapToGrid/>
                <w:color w:val="auto"/>
                <w:lang w:eastAsia="zh-CN"/>
              </w:rPr>
              <w:t>)</w:t>
            </w:r>
            <w:r>
              <w:rPr>
                <w:rFonts w:eastAsia="宋体"/>
                <w:snapToGrid/>
                <w:color w:val="auto"/>
              </w:rPr>
              <w:drawing>
                <wp:inline distT="0" distB="0" distL="0" distR="0">
                  <wp:extent cx="107950" cy="10033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75"/>
                          <a:stretch>
                            <a:fillRect/>
                          </a:stretch>
                        </pic:blipFill>
                        <pic:spPr>
                          <a:xfrm>
                            <a:off x="0" y="0"/>
                            <a:ext cx="108362" cy="100731"/>
                          </a:xfrm>
                          <a:prstGeom prst="rect">
                            <a:avLst/>
                          </a:prstGeom>
                        </pic:spPr>
                      </pic:pic>
                    </a:graphicData>
                  </a:graphic>
                </wp:inline>
              </w:drawing>
            </w:r>
          </w:p>
        </w:tc>
        <w:tc>
          <w:tcPr>
            <w:tcW w:w="679" w:type="pct"/>
            <w:gridSpan w:val="2"/>
            <w:tcBorders>
              <w:tl2br w:val="nil"/>
              <w:tr2bl w:val="nil"/>
            </w:tcBorders>
            <w:vAlign w:val="center"/>
          </w:tcPr>
          <w:p w14:paraId="38F8669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268499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7" w:hRule="atLeast"/>
          <w:jc w:val="center"/>
        </w:trPr>
        <w:tc>
          <w:tcPr>
            <w:tcW w:w="247" w:type="pct"/>
            <w:gridSpan w:val="2"/>
            <w:vMerge w:val="continue"/>
            <w:tcBorders>
              <w:tl2br w:val="nil"/>
              <w:tr2bl w:val="nil"/>
            </w:tcBorders>
            <w:vAlign w:val="center"/>
          </w:tcPr>
          <w:p w14:paraId="5CDCCAE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914" w:type="pct"/>
            <w:gridSpan w:val="2"/>
            <w:tcBorders>
              <w:tl2br w:val="nil"/>
              <w:tr2bl w:val="nil"/>
            </w:tcBorders>
            <w:vAlign w:val="center"/>
          </w:tcPr>
          <w:p w14:paraId="1D61D0F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理化特性</w:t>
            </w:r>
          </w:p>
        </w:tc>
        <w:tc>
          <w:tcPr>
            <w:tcW w:w="3153" w:type="pct"/>
            <w:gridSpan w:val="6"/>
            <w:tcBorders>
              <w:tl2br w:val="nil"/>
              <w:tr2bl w:val="nil"/>
            </w:tcBorders>
            <w:vAlign w:val="center"/>
          </w:tcPr>
          <w:p w14:paraId="4C99AE8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9" w:type="pct"/>
            <w:gridSpan w:val="2"/>
            <w:tcBorders>
              <w:tl2br w:val="nil"/>
              <w:tr2bl w:val="nil"/>
            </w:tcBorders>
            <w:vAlign w:val="center"/>
          </w:tcPr>
          <w:p w14:paraId="3EC8557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同附录</w:t>
            </w:r>
            <w:r>
              <w:rPr>
                <w:rFonts w:eastAsia="宋体"/>
                <w:snapToGrid/>
                <w:color w:val="auto"/>
              </w:rPr>
              <w:t>C</w:t>
            </w:r>
          </w:p>
        </w:tc>
      </w:tr>
      <w:tr w14:paraId="51333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continue"/>
            <w:tcBorders>
              <w:tl2br w:val="nil"/>
              <w:tr2bl w:val="nil"/>
            </w:tcBorders>
            <w:vAlign w:val="center"/>
          </w:tcPr>
          <w:p w14:paraId="47FA8A6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914" w:type="pct"/>
            <w:gridSpan w:val="2"/>
            <w:vMerge w:val="restart"/>
            <w:tcBorders>
              <w:tl2br w:val="nil"/>
              <w:tr2bl w:val="nil"/>
            </w:tcBorders>
            <w:vAlign w:val="center"/>
          </w:tcPr>
          <w:p w14:paraId="719C39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现状监测点位</w:t>
            </w:r>
          </w:p>
        </w:tc>
        <w:tc>
          <w:tcPr>
            <w:tcW w:w="813" w:type="pct"/>
            <w:tcBorders>
              <w:tl2br w:val="nil"/>
              <w:tr2bl w:val="nil"/>
            </w:tcBorders>
            <w:vAlign w:val="center"/>
          </w:tcPr>
          <w:p w14:paraId="116829B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61" w:type="pct"/>
            <w:tcBorders>
              <w:tl2br w:val="nil"/>
              <w:tr2bl w:val="nil"/>
            </w:tcBorders>
            <w:vAlign w:val="center"/>
          </w:tcPr>
          <w:p w14:paraId="641651A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占地范围内</w:t>
            </w:r>
          </w:p>
        </w:tc>
        <w:tc>
          <w:tcPr>
            <w:tcW w:w="767" w:type="pct"/>
            <w:tcBorders>
              <w:tl2br w:val="nil"/>
              <w:tr2bl w:val="nil"/>
            </w:tcBorders>
            <w:vAlign w:val="center"/>
          </w:tcPr>
          <w:p w14:paraId="4746BE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占地范围外</w:t>
            </w:r>
          </w:p>
        </w:tc>
        <w:tc>
          <w:tcPr>
            <w:tcW w:w="911" w:type="pct"/>
            <w:gridSpan w:val="3"/>
            <w:tcBorders>
              <w:tl2br w:val="nil"/>
              <w:tr2bl w:val="nil"/>
            </w:tcBorders>
            <w:vAlign w:val="center"/>
          </w:tcPr>
          <w:p w14:paraId="0005DCC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深度</w:t>
            </w:r>
          </w:p>
        </w:tc>
        <w:tc>
          <w:tcPr>
            <w:tcW w:w="679" w:type="pct"/>
            <w:gridSpan w:val="2"/>
            <w:vMerge w:val="restart"/>
            <w:tcBorders>
              <w:tl2br w:val="nil"/>
              <w:tr2bl w:val="nil"/>
            </w:tcBorders>
            <w:vAlign w:val="center"/>
          </w:tcPr>
          <w:p w14:paraId="7BF3C0A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点位布置图</w:t>
            </w:r>
          </w:p>
        </w:tc>
      </w:tr>
      <w:tr w14:paraId="7F734B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continue"/>
            <w:tcBorders>
              <w:tl2br w:val="nil"/>
              <w:tr2bl w:val="nil"/>
            </w:tcBorders>
            <w:textDirection w:val="tbRlV"/>
            <w:vAlign w:val="center"/>
          </w:tcPr>
          <w:p w14:paraId="3593EE4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vMerge w:val="continue"/>
            <w:tcBorders>
              <w:tl2br w:val="nil"/>
              <w:tr2bl w:val="nil"/>
            </w:tcBorders>
            <w:vAlign w:val="center"/>
          </w:tcPr>
          <w:p w14:paraId="07290A0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13" w:type="pct"/>
            <w:tcBorders>
              <w:tl2br w:val="nil"/>
              <w:tr2bl w:val="nil"/>
            </w:tcBorders>
            <w:vAlign w:val="center"/>
          </w:tcPr>
          <w:p w14:paraId="4C72D8D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表层样点数</w:t>
            </w:r>
          </w:p>
        </w:tc>
        <w:tc>
          <w:tcPr>
            <w:tcW w:w="661" w:type="pct"/>
            <w:tcBorders>
              <w:tl2br w:val="nil"/>
              <w:tr2bl w:val="nil"/>
            </w:tcBorders>
            <w:vAlign w:val="center"/>
          </w:tcPr>
          <w:p w14:paraId="6CF61E6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3</w:t>
            </w:r>
          </w:p>
        </w:tc>
        <w:tc>
          <w:tcPr>
            <w:tcW w:w="767" w:type="pct"/>
            <w:tcBorders>
              <w:tl2br w:val="nil"/>
              <w:tr2bl w:val="nil"/>
            </w:tcBorders>
            <w:vAlign w:val="center"/>
          </w:tcPr>
          <w:p w14:paraId="38F83A6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w:t>
            </w:r>
          </w:p>
        </w:tc>
        <w:tc>
          <w:tcPr>
            <w:tcW w:w="911" w:type="pct"/>
            <w:gridSpan w:val="3"/>
            <w:tcBorders>
              <w:tl2br w:val="nil"/>
              <w:tr2bl w:val="nil"/>
            </w:tcBorders>
            <w:vAlign w:val="center"/>
          </w:tcPr>
          <w:p w14:paraId="25E4EF5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0-20cm</w:t>
            </w:r>
          </w:p>
        </w:tc>
        <w:tc>
          <w:tcPr>
            <w:tcW w:w="679" w:type="pct"/>
            <w:gridSpan w:val="2"/>
            <w:vMerge w:val="continue"/>
            <w:tcBorders>
              <w:tl2br w:val="nil"/>
              <w:tr2bl w:val="nil"/>
            </w:tcBorders>
            <w:vAlign w:val="center"/>
          </w:tcPr>
          <w:p w14:paraId="5ABF7EE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CFD06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7" w:hRule="atLeast"/>
          <w:jc w:val="center"/>
        </w:trPr>
        <w:tc>
          <w:tcPr>
            <w:tcW w:w="247" w:type="pct"/>
            <w:gridSpan w:val="2"/>
            <w:vMerge w:val="continue"/>
            <w:tcBorders>
              <w:tl2br w:val="nil"/>
              <w:tr2bl w:val="nil"/>
            </w:tcBorders>
            <w:textDirection w:val="tbRlV"/>
            <w:vAlign w:val="center"/>
          </w:tcPr>
          <w:p w14:paraId="05166FE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vMerge w:val="continue"/>
            <w:tcBorders>
              <w:tl2br w:val="nil"/>
              <w:tr2bl w:val="nil"/>
            </w:tcBorders>
            <w:vAlign w:val="center"/>
          </w:tcPr>
          <w:p w14:paraId="48CFEA3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13" w:type="pct"/>
            <w:tcBorders>
              <w:tl2br w:val="nil"/>
              <w:tr2bl w:val="nil"/>
            </w:tcBorders>
            <w:vAlign w:val="center"/>
          </w:tcPr>
          <w:p w14:paraId="6B598F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柱状样点数</w:t>
            </w:r>
          </w:p>
        </w:tc>
        <w:tc>
          <w:tcPr>
            <w:tcW w:w="661" w:type="pct"/>
            <w:tcBorders>
              <w:tl2br w:val="nil"/>
              <w:tr2bl w:val="nil"/>
            </w:tcBorders>
            <w:vAlign w:val="center"/>
          </w:tcPr>
          <w:p w14:paraId="65EFB345">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767" w:type="pct"/>
            <w:tcBorders>
              <w:tl2br w:val="nil"/>
              <w:tr2bl w:val="nil"/>
            </w:tcBorders>
            <w:vAlign w:val="center"/>
          </w:tcPr>
          <w:p w14:paraId="37BD56A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911" w:type="pct"/>
            <w:gridSpan w:val="3"/>
            <w:tcBorders>
              <w:tl2br w:val="nil"/>
              <w:tr2bl w:val="nil"/>
            </w:tcBorders>
            <w:vAlign w:val="center"/>
          </w:tcPr>
          <w:p w14:paraId="75B11BE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679" w:type="pct"/>
            <w:gridSpan w:val="2"/>
            <w:vMerge w:val="continue"/>
            <w:tcBorders>
              <w:tl2br w:val="nil"/>
              <w:tr2bl w:val="nil"/>
            </w:tcBorders>
            <w:vAlign w:val="center"/>
          </w:tcPr>
          <w:p w14:paraId="2689513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EA59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continue"/>
            <w:tcBorders>
              <w:tl2br w:val="nil"/>
              <w:tr2bl w:val="nil"/>
            </w:tcBorders>
            <w:vAlign w:val="center"/>
          </w:tcPr>
          <w:p w14:paraId="11E9184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tcBorders>
              <w:tl2br w:val="nil"/>
              <w:tr2bl w:val="nil"/>
            </w:tcBorders>
            <w:vAlign w:val="center"/>
          </w:tcPr>
          <w:p w14:paraId="3654A8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现状监测因子</w:t>
            </w:r>
          </w:p>
        </w:tc>
        <w:tc>
          <w:tcPr>
            <w:tcW w:w="3153" w:type="pct"/>
            <w:gridSpan w:val="6"/>
            <w:tcBorders>
              <w:tl2br w:val="nil"/>
              <w:tr2bl w:val="nil"/>
            </w:tcBorders>
            <w:vAlign w:val="center"/>
          </w:tcPr>
          <w:p w14:paraId="68CFCD2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基本项目</w:t>
            </w:r>
          </w:p>
        </w:tc>
        <w:tc>
          <w:tcPr>
            <w:tcW w:w="679" w:type="pct"/>
            <w:gridSpan w:val="2"/>
            <w:tcBorders>
              <w:tl2br w:val="nil"/>
              <w:tr2bl w:val="nil"/>
            </w:tcBorders>
            <w:vAlign w:val="center"/>
          </w:tcPr>
          <w:p w14:paraId="06FEF91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9D56B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7" w:hRule="atLeast"/>
          <w:jc w:val="center"/>
        </w:trPr>
        <w:tc>
          <w:tcPr>
            <w:tcW w:w="247" w:type="pct"/>
            <w:gridSpan w:val="2"/>
            <w:vMerge w:val="continue"/>
            <w:tcBorders>
              <w:tl2br w:val="nil"/>
              <w:tr2bl w:val="nil"/>
            </w:tcBorders>
            <w:vAlign w:val="center"/>
          </w:tcPr>
          <w:p w14:paraId="32084AC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tcBorders>
              <w:tl2br w:val="nil"/>
              <w:tr2bl w:val="nil"/>
            </w:tcBorders>
            <w:vAlign w:val="center"/>
          </w:tcPr>
          <w:p w14:paraId="0329305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评价因子</w:t>
            </w:r>
          </w:p>
        </w:tc>
        <w:tc>
          <w:tcPr>
            <w:tcW w:w="3153" w:type="pct"/>
            <w:gridSpan w:val="6"/>
            <w:tcBorders>
              <w:tl2br w:val="nil"/>
              <w:tr2bl w:val="nil"/>
            </w:tcBorders>
            <w:vAlign w:val="center"/>
          </w:tcPr>
          <w:p w14:paraId="5E2FA1F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废润滑油</w:t>
            </w:r>
          </w:p>
        </w:tc>
        <w:tc>
          <w:tcPr>
            <w:tcW w:w="679" w:type="pct"/>
            <w:gridSpan w:val="2"/>
            <w:tcBorders>
              <w:tl2br w:val="nil"/>
              <w:tr2bl w:val="nil"/>
            </w:tcBorders>
            <w:vAlign w:val="center"/>
          </w:tcPr>
          <w:p w14:paraId="6464607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35D2D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restart"/>
            <w:tcBorders>
              <w:tl2br w:val="nil"/>
              <w:tr2bl w:val="nil"/>
            </w:tcBorders>
            <w:vAlign w:val="center"/>
          </w:tcPr>
          <w:p w14:paraId="0B8634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现状评价</w:t>
            </w:r>
          </w:p>
        </w:tc>
        <w:tc>
          <w:tcPr>
            <w:tcW w:w="914" w:type="pct"/>
            <w:gridSpan w:val="2"/>
            <w:tcBorders>
              <w:tl2br w:val="nil"/>
              <w:tr2bl w:val="nil"/>
            </w:tcBorders>
            <w:vAlign w:val="center"/>
          </w:tcPr>
          <w:p w14:paraId="36A348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评价标准</w:t>
            </w:r>
          </w:p>
        </w:tc>
        <w:tc>
          <w:tcPr>
            <w:tcW w:w="3153" w:type="pct"/>
            <w:gridSpan w:val="6"/>
            <w:tcBorders>
              <w:tl2br w:val="nil"/>
              <w:tr2bl w:val="nil"/>
            </w:tcBorders>
            <w:vAlign w:val="center"/>
          </w:tcPr>
          <w:p w14:paraId="3115B62D">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GB15618</w:t>
            </w:r>
            <w:r>
              <w:rPr>
                <w:rFonts w:eastAsia="宋体"/>
                <w:snapToGrid/>
                <w:color w:val="auto"/>
              </w:rPr>
              <w:drawing>
                <wp:inline distT="0" distB="0" distL="0" distR="0">
                  <wp:extent cx="119380" cy="10350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72"/>
                          <a:stretch>
                            <a:fillRect/>
                          </a:stretch>
                        </pic:blipFill>
                        <pic:spPr>
                          <a:xfrm>
                            <a:off x="0" y="0"/>
                            <a:ext cx="119687" cy="103668"/>
                          </a:xfrm>
                          <a:prstGeom prst="rect">
                            <a:avLst/>
                          </a:prstGeom>
                        </pic:spPr>
                      </pic:pic>
                    </a:graphicData>
                  </a:graphic>
                </wp:inline>
              </w:drawing>
            </w:r>
            <w:r>
              <w:rPr>
                <w:rFonts w:eastAsia="宋体" w:cs="宋体"/>
                <w:snapToGrid/>
                <w:color w:val="auto"/>
              </w:rPr>
              <w:t>；</w:t>
            </w:r>
            <w:r>
              <w:rPr>
                <w:rFonts w:eastAsia="宋体"/>
                <w:snapToGrid/>
                <w:color w:val="auto"/>
              </w:rPr>
              <w:t>GB36600</w:t>
            </w:r>
            <w:r>
              <w:rPr>
                <w:rFonts w:eastAsia="宋体"/>
                <w:snapToGrid/>
                <w:color w:val="auto"/>
              </w:rPr>
              <w:drawing>
                <wp:inline distT="0" distB="0" distL="0" distR="0">
                  <wp:extent cx="119380" cy="10350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76"/>
                          <a:stretch>
                            <a:fillRect/>
                          </a:stretch>
                        </pic:blipFill>
                        <pic:spPr>
                          <a:xfrm>
                            <a:off x="0" y="0"/>
                            <a:ext cx="119687" cy="103668"/>
                          </a:xfrm>
                          <a:prstGeom prst="rect">
                            <a:avLst/>
                          </a:prstGeom>
                        </pic:spPr>
                      </pic:pic>
                    </a:graphicData>
                  </a:graphic>
                </wp:inline>
              </w:drawing>
            </w:r>
            <w:r>
              <w:rPr>
                <w:rFonts w:eastAsia="宋体" w:cs="宋体"/>
                <w:snapToGrid/>
                <w:color w:val="auto"/>
              </w:rPr>
              <w:t>；表</w:t>
            </w:r>
            <w:r>
              <w:rPr>
                <w:rFonts w:eastAsia="宋体"/>
                <w:snapToGrid/>
                <w:color w:val="auto"/>
              </w:rPr>
              <w:t>D.1</w:t>
            </w:r>
            <w:r>
              <w:rPr>
                <w:rFonts w:eastAsia="宋体" w:cs="Wingdings"/>
                <w:snapToGrid/>
                <w:color w:val="auto"/>
              </w:rPr>
              <w:t>o</w:t>
            </w:r>
            <w:r>
              <w:rPr>
                <w:rFonts w:eastAsia="宋体" w:cs="宋体"/>
                <w:snapToGrid/>
                <w:color w:val="auto"/>
              </w:rPr>
              <w:t>；表</w:t>
            </w:r>
            <w:r>
              <w:rPr>
                <w:rFonts w:eastAsia="宋体"/>
                <w:snapToGrid/>
                <w:color w:val="auto"/>
              </w:rPr>
              <w:t>D.2</w:t>
            </w:r>
            <w:r>
              <w:rPr>
                <w:rFonts w:eastAsia="宋体" w:cs="Wingdings"/>
                <w:snapToGrid/>
                <w:color w:val="auto"/>
              </w:rPr>
              <w:t>o</w:t>
            </w:r>
            <w:r>
              <w:rPr>
                <w:rFonts w:eastAsia="宋体" w:cs="宋体"/>
                <w:snapToGrid/>
                <w:color w:val="auto"/>
              </w:rPr>
              <w:t>；其他（）</w:t>
            </w:r>
          </w:p>
        </w:tc>
        <w:tc>
          <w:tcPr>
            <w:tcW w:w="679" w:type="pct"/>
            <w:gridSpan w:val="2"/>
            <w:tcBorders>
              <w:tl2br w:val="nil"/>
              <w:tr2bl w:val="nil"/>
            </w:tcBorders>
            <w:vAlign w:val="center"/>
          </w:tcPr>
          <w:p w14:paraId="28FABA8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64DFBD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894" w:hRule="atLeast"/>
          <w:jc w:val="center"/>
        </w:trPr>
        <w:tc>
          <w:tcPr>
            <w:tcW w:w="247" w:type="pct"/>
            <w:gridSpan w:val="2"/>
            <w:vMerge w:val="continue"/>
            <w:tcBorders>
              <w:tl2br w:val="nil"/>
              <w:tr2bl w:val="nil"/>
            </w:tcBorders>
            <w:vAlign w:val="center"/>
          </w:tcPr>
          <w:p w14:paraId="74F3063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914" w:type="pct"/>
            <w:gridSpan w:val="2"/>
            <w:tcBorders>
              <w:tl2br w:val="nil"/>
              <w:tr2bl w:val="nil"/>
            </w:tcBorders>
            <w:vAlign w:val="center"/>
          </w:tcPr>
          <w:p w14:paraId="2A42764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现状评价结论</w:t>
            </w:r>
          </w:p>
        </w:tc>
        <w:tc>
          <w:tcPr>
            <w:tcW w:w="3153" w:type="pct"/>
            <w:gridSpan w:val="6"/>
            <w:tcBorders>
              <w:tl2br w:val="nil"/>
              <w:tr2bl w:val="nil"/>
            </w:tcBorders>
            <w:vAlign w:val="center"/>
          </w:tcPr>
          <w:p w14:paraId="52C1277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本项目各监测点位各项污染因子均符合《土壤环境质量</w:t>
            </w:r>
          </w:p>
          <w:p w14:paraId="5712C7C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建设用地土壤污染风险管控标准》（</w:t>
            </w:r>
            <w:r>
              <w:rPr>
                <w:rFonts w:eastAsia="宋体"/>
                <w:snapToGrid/>
                <w:color w:val="auto"/>
                <w:lang w:eastAsia="zh-CN"/>
              </w:rPr>
              <w:t>GB36600-2018</w:t>
            </w:r>
            <w:r>
              <w:rPr>
                <w:rFonts w:eastAsia="宋体" w:cs="宋体"/>
                <w:snapToGrid/>
                <w:color w:val="auto"/>
                <w:lang w:eastAsia="zh-CN"/>
              </w:rPr>
              <w:t>）中第二类用地筛选值。</w:t>
            </w:r>
          </w:p>
        </w:tc>
        <w:tc>
          <w:tcPr>
            <w:tcW w:w="679" w:type="pct"/>
            <w:gridSpan w:val="2"/>
            <w:tcBorders>
              <w:tl2br w:val="nil"/>
              <w:tr2bl w:val="nil"/>
            </w:tcBorders>
            <w:vAlign w:val="center"/>
          </w:tcPr>
          <w:p w14:paraId="06862FAD">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773D8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8" w:hRule="atLeast"/>
          <w:jc w:val="center"/>
        </w:trPr>
        <w:tc>
          <w:tcPr>
            <w:tcW w:w="247" w:type="pct"/>
            <w:gridSpan w:val="2"/>
            <w:vMerge w:val="restart"/>
            <w:tcBorders>
              <w:tl2br w:val="nil"/>
              <w:tr2bl w:val="nil"/>
            </w:tcBorders>
            <w:vAlign w:val="center"/>
          </w:tcPr>
          <w:p w14:paraId="766D979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影响预测</w:t>
            </w:r>
          </w:p>
        </w:tc>
        <w:tc>
          <w:tcPr>
            <w:tcW w:w="914" w:type="pct"/>
            <w:gridSpan w:val="2"/>
            <w:tcBorders>
              <w:tl2br w:val="nil"/>
              <w:tr2bl w:val="nil"/>
            </w:tcBorders>
            <w:vAlign w:val="center"/>
          </w:tcPr>
          <w:p w14:paraId="655EA38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预测因子</w:t>
            </w:r>
          </w:p>
        </w:tc>
        <w:tc>
          <w:tcPr>
            <w:tcW w:w="3153" w:type="pct"/>
            <w:gridSpan w:val="6"/>
            <w:tcBorders>
              <w:tl2br w:val="nil"/>
              <w:tr2bl w:val="nil"/>
            </w:tcBorders>
            <w:vAlign w:val="center"/>
          </w:tcPr>
          <w:p w14:paraId="7AB33F5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9" w:type="pct"/>
            <w:gridSpan w:val="2"/>
            <w:tcBorders>
              <w:tl2br w:val="nil"/>
              <w:tr2bl w:val="nil"/>
            </w:tcBorders>
            <w:vAlign w:val="center"/>
          </w:tcPr>
          <w:p w14:paraId="4991BE4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6D155E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continue"/>
            <w:tcBorders>
              <w:tl2br w:val="nil"/>
              <w:tr2bl w:val="nil"/>
            </w:tcBorders>
            <w:vAlign w:val="center"/>
          </w:tcPr>
          <w:p w14:paraId="0DE430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914" w:type="pct"/>
            <w:gridSpan w:val="2"/>
            <w:tcBorders>
              <w:tl2br w:val="nil"/>
              <w:tr2bl w:val="nil"/>
            </w:tcBorders>
            <w:vAlign w:val="center"/>
          </w:tcPr>
          <w:p w14:paraId="0613D9A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预测方法</w:t>
            </w:r>
          </w:p>
        </w:tc>
        <w:tc>
          <w:tcPr>
            <w:tcW w:w="3153" w:type="pct"/>
            <w:gridSpan w:val="6"/>
            <w:tcBorders>
              <w:tl2br w:val="nil"/>
              <w:tr2bl w:val="nil"/>
            </w:tcBorders>
            <w:vAlign w:val="center"/>
          </w:tcPr>
          <w:p w14:paraId="4291DCB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附录</w:t>
            </w:r>
            <w:r>
              <w:rPr>
                <w:rFonts w:eastAsia="宋体"/>
                <w:snapToGrid/>
                <w:color w:val="auto"/>
                <w:lang w:eastAsia="zh-CN"/>
              </w:rPr>
              <w:t>E</w:t>
            </w:r>
            <w:r>
              <w:rPr>
                <w:rFonts w:eastAsia="宋体" w:cs="Wingdings"/>
                <w:snapToGrid/>
                <w:color w:val="auto"/>
                <w:lang w:eastAsia="zh-CN"/>
              </w:rPr>
              <w:t>o</w:t>
            </w:r>
            <w:r>
              <w:rPr>
                <w:rFonts w:eastAsia="宋体" w:cs="宋体"/>
                <w:snapToGrid/>
                <w:color w:val="auto"/>
                <w:lang w:eastAsia="zh-CN"/>
              </w:rPr>
              <w:t>；附录</w:t>
            </w:r>
            <w:r>
              <w:rPr>
                <w:rFonts w:eastAsia="宋体"/>
                <w:snapToGrid/>
                <w:color w:val="auto"/>
                <w:lang w:eastAsia="zh-CN"/>
              </w:rPr>
              <w:t>F</w:t>
            </w:r>
            <w:r>
              <w:rPr>
                <w:rFonts w:eastAsia="宋体" w:cs="Wingdings"/>
                <w:snapToGrid/>
                <w:color w:val="auto"/>
                <w:lang w:eastAsia="zh-CN"/>
              </w:rPr>
              <w:t>o</w:t>
            </w:r>
            <w:r>
              <w:rPr>
                <w:rFonts w:eastAsia="宋体" w:cs="宋体"/>
                <w:snapToGrid/>
                <w:color w:val="auto"/>
                <w:lang w:eastAsia="zh-CN"/>
              </w:rPr>
              <w:t>；其他（定性分析）</w:t>
            </w:r>
          </w:p>
        </w:tc>
        <w:tc>
          <w:tcPr>
            <w:tcW w:w="679" w:type="pct"/>
            <w:gridSpan w:val="2"/>
            <w:tcBorders>
              <w:tl2br w:val="nil"/>
              <w:tr2bl w:val="nil"/>
            </w:tcBorders>
            <w:vAlign w:val="center"/>
          </w:tcPr>
          <w:p w14:paraId="70CC6A4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3639C6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621" w:hRule="atLeast"/>
          <w:jc w:val="center"/>
        </w:trPr>
        <w:tc>
          <w:tcPr>
            <w:tcW w:w="247" w:type="pct"/>
            <w:gridSpan w:val="2"/>
            <w:vMerge w:val="continue"/>
            <w:tcBorders>
              <w:tl2br w:val="nil"/>
              <w:tr2bl w:val="nil"/>
            </w:tcBorders>
            <w:vAlign w:val="center"/>
          </w:tcPr>
          <w:p w14:paraId="67E1312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914" w:type="pct"/>
            <w:gridSpan w:val="2"/>
            <w:tcBorders>
              <w:tl2br w:val="nil"/>
              <w:tr2bl w:val="nil"/>
            </w:tcBorders>
            <w:vAlign w:val="center"/>
          </w:tcPr>
          <w:p w14:paraId="4528C9E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预测分析内容</w:t>
            </w:r>
          </w:p>
        </w:tc>
        <w:tc>
          <w:tcPr>
            <w:tcW w:w="3153" w:type="pct"/>
            <w:gridSpan w:val="6"/>
            <w:tcBorders>
              <w:tl2br w:val="nil"/>
              <w:tr2bl w:val="nil"/>
            </w:tcBorders>
            <w:vAlign w:val="center"/>
          </w:tcPr>
          <w:p w14:paraId="48D606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影响范围（评价范围内）影响程度（影响较小，满足标准要求）</w:t>
            </w:r>
          </w:p>
        </w:tc>
        <w:tc>
          <w:tcPr>
            <w:tcW w:w="679" w:type="pct"/>
            <w:gridSpan w:val="2"/>
            <w:tcBorders>
              <w:tl2br w:val="nil"/>
              <w:tr2bl w:val="nil"/>
            </w:tcBorders>
            <w:vAlign w:val="center"/>
          </w:tcPr>
          <w:p w14:paraId="55BC5C9D">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673957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621" w:hRule="atLeast"/>
          <w:jc w:val="center"/>
        </w:trPr>
        <w:tc>
          <w:tcPr>
            <w:tcW w:w="247" w:type="pct"/>
            <w:gridSpan w:val="2"/>
            <w:vMerge w:val="continue"/>
            <w:tcBorders>
              <w:tl2br w:val="nil"/>
              <w:tr2bl w:val="nil"/>
            </w:tcBorders>
            <w:vAlign w:val="center"/>
          </w:tcPr>
          <w:p w14:paraId="616FEA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p>
        </w:tc>
        <w:tc>
          <w:tcPr>
            <w:tcW w:w="914" w:type="pct"/>
            <w:gridSpan w:val="2"/>
            <w:tcBorders>
              <w:tl2br w:val="nil"/>
              <w:tr2bl w:val="nil"/>
            </w:tcBorders>
            <w:vAlign w:val="center"/>
          </w:tcPr>
          <w:p w14:paraId="1D9024B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预测结论</w:t>
            </w:r>
          </w:p>
        </w:tc>
        <w:tc>
          <w:tcPr>
            <w:tcW w:w="3153" w:type="pct"/>
            <w:gridSpan w:val="6"/>
            <w:tcBorders>
              <w:tl2br w:val="nil"/>
              <w:tr2bl w:val="nil"/>
            </w:tcBorders>
            <w:vAlign w:val="center"/>
          </w:tcPr>
          <w:p w14:paraId="3DDCB986">
            <w:pPr>
              <w:pStyle w:val="37"/>
              <w:widowControl w:val="0"/>
              <w:shd w:val="clear"/>
              <w:kinsoku/>
              <w:autoSpaceDE/>
              <w:autoSpaceDN/>
              <w:adjustRightInd/>
              <w:snapToGrid/>
              <w:spacing w:line="360" w:lineRule="auto"/>
              <w:jc w:val="center"/>
              <w:textAlignment w:val="auto"/>
              <w:rPr>
                <w:rFonts w:eastAsia="宋体" w:cs="Wingdings"/>
                <w:snapToGrid/>
                <w:color w:val="auto"/>
                <w:lang w:eastAsia="zh-CN"/>
              </w:rPr>
            </w:pPr>
            <w:r>
              <w:rPr>
                <w:rFonts w:eastAsia="宋体" w:cs="宋体"/>
                <w:snapToGrid/>
                <w:color w:val="auto"/>
                <w:lang w:eastAsia="zh-CN"/>
              </w:rPr>
              <w:t>达标结论：</w:t>
            </w:r>
            <w:r>
              <w:rPr>
                <w:rFonts w:eastAsia="宋体"/>
                <w:snapToGrid/>
                <w:color w:val="auto"/>
                <w:lang w:eastAsia="zh-CN"/>
              </w:rPr>
              <w:t>a</w:t>
            </w:r>
            <w:r>
              <w:rPr>
                <w:rFonts w:eastAsia="宋体" w:cs="宋体"/>
                <w:snapToGrid/>
                <w:color w:val="auto"/>
                <w:lang w:eastAsia="zh-CN"/>
              </w:rPr>
              <w:t>）</w:t>
            </w:r>
            <w:r>
              <w:rPr>
                <w:rFonts w:eastAsia="宋体"/>
                <w:snapToGrid/>
                <w:color w:val="auto"/>
              </w:rPr>
              <w:drawing>
                <wp:inline distT="0" distB="0" distL="0" distR="0">
                  <wp:extent cx="107950" cy="10033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77"/>
                          <a:stretch>
                            <a:fillRect/>
                          </a:stretch>
                        </pic:blipFill>
                        <pic:spPr>
                          <a:xfrm>
                            <a:off x="0" y="0"/>
                            <a:ext cx="108362" cy="100814"/>
                          </a:xfrm>
                          <a:prstGeom prst="rect">
                            <a:avLst/>
                          </a:prstGeom>
                        </pic:spPr>
                      </pic:pic>
                    </a:graphicData>
                  </a:graphic>
                </wp:inline>
              </w:drawing>
            </w:r>
            <w:r>
              <w:rPr>
                <w:rFonts w:eastAsia="宋体" w:cs="宋体"/>
                <w:snapToGrid/>
                <w:color w:val="auto"/>
                <w:lang w:eastAsia="zh-CN"/>
              </w:rPr>
              <w:t>；</w:t>
            </w:r>
            <w:r>
              <w:rPr>
                <w:rFonts w:eastAsia="宋体"/>
                <w:snapToGrid/>
                <w:color w:val="auto"/>
                <w:lang w:eastAsia="zh-CN"/>
              </w:rPr>
              <w:t>b</w:t>
            </w:r>
            <w:r>
              <w:rPr>
                <w:rFonts w:eastAsia="宋体" w:cs="宋体"/>
                <w:snapToGrid/>
                <w:color w:val="auto"/>
                <w:lang w:eastAsia="zh-CN"/>
              </w:rPr>
              <w:t>）</w:t>
            </w:r>
            <w:r>
              <w:rPr>
                <w:rFonts w:eastAsia="宋体" w:cs="Wingdings"/>
                <w:snapToGrid/>
                <w:color w:val="auto"/>
                <w:lang w:eastAsia="zh-CN"/>
              </w:rPr>
              <w:t>o</w:t>
            </w:r>
            <w:r>
              <w:rPr>
                <w:rFonts w:eastAsia="宋体" w:cs="宋体"/>
                <w:snapToGrid/>
                <w:color w:val="auto"/>
                <w:lang w:eastAsia="zh-CN"/>
              </w:rPr>
              <w:t>；</w:t>
            </w:r>
            <w:r>
              <w:rPr>
                <w:rFonts w:eastAsia="宋体"/>
                <w:snapToGrid/>
                <w:color w:val="auto"/>
                <w:lang w:eastAsia="zh-CN"/>
              </w:rPr>
              <w:t>c</w:t>
            </w:r>
            <w:r>
              <w:rPr>
                <w:rFonts w:eastAsia="宋体" w:cs="宋体"/>
                <w:snapToGrid/>
                <w:color w:val="auto"/>
                <w:lang w:eastAsia="zh-CN"/>
              </w:rPr>
              <w:t>）</w:t>
            </w:r>
            <w:r>
              <w:rPr>
                <w:rFonts w:eastAsia="宋体" w:cs="Wingdings"/>
                <w:snapToGrid/>
                <w:color w:val="auto"/>
                <w:lang w:eastAsia="zh-CN"/>
              </w:rPr>
              <w:t>o</w:t>
            </w:r>
            <w:r>
              <w:rPr>
                <w:rFonts w:eastAsia="宋体" w:cs="宋体"/>
                <w:snapToGrid/>
                <w:color w:val="auto"/>
                <w:lang w:eastAsia="zh-CN"/>
              </w:rPr>
              <w:t>不达标结论：</w:t>
            </w:r>
            <w:r>
              <w:rPr>
                <w:rFonts w:eastAsia="宋体"/>
                <w:snapToGrid/>
                <w:color w:val="auto"/>
                <w:lang w:eastAsia="zh-CN"/>
              </w:rPr>
              <w:t>a</w:t>
            </w:r>
            <w:r>
              <w:rPr>
                <w:rFonts w:eastAsia="宋体" w:cs="宋体"/>
                <w:snapToGrid/>
                <w:color w:val="auto"/>
                <w:lang w:eastAsia="zh-CN"/>
              </w:rPr>
              <w:t>）</w:t>
            </w:r>
            <w:r>
              <w:rPr>
                <w:rFonts w:eastAsia="宋体" w:cs="Wingdings"/>
                <w:snapToGrid/>
                <w:color w:val="auto"/>
                <w:lang w:eastAsia="zh-CN"/>
              </w:rPr>
              <w:t>o</w:t>
            </w:r>
            <w:r>
              <w:rPr>
                <w:rFonts w:eastAsia="宋体" w:cs="宋体"/>
                <w:snapToGrid/>
                <w:color w:val="auto"/>
                <w:lang w:eastAsia="zh-CN"/>
              </w:rPr>
              <w:t>；</w:t>
            </w:r>
            <w:r>
              <w:rPr>
                <w:rFonts w:eastAsia="宋体"/>
                <w:snapToGrid/>
                <w:color w:val="auto"/>
                <w:lang w:eastAsia="zh-CN"/>
              </w:rPr>
              <w:t>b</w:t>
            </w:r>
            <w:r>
              <w:rPr>
                <w:rFonts w:eastAsia="宋体" w:cs="宋体"/>
                <w:snapToGrid/>
                <w:color w:val="auto"/>
                <w:lang w:eastAsia="zh-CN"/>
              </w:rPr>
              <w:t>）</w:t>
            </w:r>
            <w:r>
              <w:rPr>
                <w:rFonts w:eastAsia="宋体" w:cs="Wingdings"/>
                <w:snapToGrid/>
                <w:color w:val="auto"/>
                <w:lang w:eastAsia="zh-CN"/>
              </w:rPr>
              <w:t>o</w:t>
            </w:r>
          </w:p>
        </w:tc>
        <w:tc>
          <w:tcPr>
            <w:tcW w:w="679" w:type="pct"/>
            <w:gridSpan w:val="2"/>
            <w:tcBorders>
              <w:tl2br w:val="nil"/>
              <w:tr2bl w:val="nil"/>
            </w:tcBorders>
            <w:vAlign w:val="center"/>
          </w:tcPr>
          <w:p w14:paraId="57C622F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r w14:paraId="343C47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621" w:hRule="atLeast"/>
          <w:jc w:val="center"/>
        </w:trPr>
        <w:tc>
          <w:tcPr>
            <w:tcW w:w="247" w:type="pct"/>
            <w:gridSpan w:val="2"/>
            <w:vMerge w:val="restart"/>
            <w:tcBorders>
              <w:tl2br w:val="nil"/>
              <w:tr2bl w:val="nil"/>
            </w:tcBorders>
            <w:vAlign w:val="center"/>
          </w:tcPr>
          <w:p w14:paraId="1DEDBC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防治措施</w:t>
            </w:r>
          </w:p>
        </w:tc>
        <w:tc>
          <w:tcPr>
            <w:tcW w:w="914" w:type="pct"/>
            <w:gridSpan w:val="2"/>
            <w:tcBorders>
              <w:tl2br w:val="nil"/>
              <w:tr2bl w:val="nil"/>
            </w:tcBorders>
            <w:vAlign w:val="center"/>
          </w:tcPr>
          <w:p w14:paraId="4454A3C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防控措施</w:t>
            </w:r>
          </w:p>
        </w:tc>
        <w:tc>
          <w:tcPr>
            <w:tcW w:w="3153" w:type="pct"/>
            <w:gridSpan w:val="6"/>
            <w:tcBorders>
              <w:tl2br w:val="nil"/>
              <w:tr2bl w:val="nil"/>
            </w:tcBorders>
            <w:vAlign w:val="center"/>
          </w:tcPr>
          <w:p w14:paraId="7E1BED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土壤环境质量现状保障</w:t>
            </w:r>
            <w:r>
              <w:rPr>
                <w:rFonts w:ascii="Times New Roman" w:hAnsi="Times New Roman" w:eastAsia="宋体"/>
                <w:snapToGrid/>
                <w:color w:val="auto"/>
              </w:rPr>
              <w:drawing>
                <wp:inline distT="0" distB="0" distL="0" distR="0">
                  <wp:extent cx="107950" cy="10350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78"/>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；源头控制</w:t>
            </w:r>
            <w:r>
              <w:rPr>
                <w:rFonts w:ascii="Times New Roman" w:hAnsi="Times New Roman" w:eastAsia="宋体"/>
                <w:snapToGrid/>
                <w:color w:val="auto"/>
              </w:rPr>
              <w:drawing>
                <wp:inline distT="0" distB="0" distL="0" distR="0">
                  <wp:extent cx="107950" cy="10350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78"/>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；过程防控</w:t>
            </w:r>
            <w:r>
              <w:rPr>
                <w:rFonts w:ascii="Times New Roman" w:hAnsi="Times New Roman" w:eastAsia="宋体"/>
                <w:snapToGrid/>
                <w:color w:val="auto"/>
              </w:rPr>
              <w:drawing>
                <wp:inline distT="0" distB="0" distL="0" distR="0">
                  <wp:extent cx="107950" cy="10350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78"/>
                          <a:stretch>
                            <a:fillRect/>
                          </a:stretch>
                        </pic:blipFill>
                        <pic:spPr>
                          <a:xfrm>
                            <a:off x="0" y="0"/>
                            <a:ext cx="108362" cy="103668"/>
                          </a:xfrm>
                          <a:prstGeom prst="rect">
                            <a:avLst/>
                          </a:prstGeom>
                        </pic:spPr>
                      </pic:pic>
                    </a:graphicData>
                  </a:graphic>
                </wp:inline>
              </w:drawing>
            </w:r>
            <w:r>
              <w:rPr>
                <w:rFonts w:ascii="Times New Roman" w:hAnsi="Times New Roman" w:eastAsia="宋体" w:cs="宋体"/>
                <w:snapToGrid/>
                <w:color w:val="auto"/>
                <w:lang w:eastAsia="zh-CN"/>
              </w:rPr>
              <w:t>；</w:t>
            </w:r>
          </w:p>
          <w:p w14:paraId="107AAE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其他（）</w:t>
            </w:r>
          </w:p>
        </w:tc>
        <w:tc>
          <w:tcPr>
            <w:tcW w:w="679" w:type="pct"/>
            <w:gridSpan w:val="2"/>
            <w:tcBorders>
              <w:tl2br w:val="nil"/>
              <w:tr2bl w:val="nil"/>
            </w:tcBorders>
            <w:vAlign w:val="center"/>
          </w:tcPr>
          <w:p w14:paraId="4D904F3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6BD3B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0" w:hRule="atLeast"/>
          <w:jc w:val="center"/>
        </w:trPr>
        <w:tc>
          <w:tcPr>
            <w:tcW w:w="247" w:type="pct"/>
            <w:gridSpan w:val="2"/>
            <w:vMerge w:val="continue"/>
            <w:tcBorders>
              <w:tl2br w:val="nil"/>
              <w:tr2bl w:val="nil"/>
            </w:tcBorders>
            <w:vAlign w:val="center"/>
          </w:tcPr>
          <w:p w14:paraId="0798746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p>
        </w:tc>
        <w:tc>
          <w:tcPr>
            <w:tcW w:w="914" w:type="pct"/>
            <w:gridSpan w:val="2"/>
            <w:vMerge w:val="restart"/>
            <w:tcBorders>
              <w:tl2br w:val="nil"/>
              <w:tr2bl w:val="nil"/>
            </w:tcBorders>
            <w:vAlign w:val="center"/>
          </w:tcPr>
          <w:p w14:paraId="7EB55D7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跟踪监测</w:t>
            </w:r>
          </w:p>
        </w:tc>
        <w:tc>
          <w:tcPr>
            <w:tcW w:w="813" w:type="pct"/>
            <w:tcBorders>
              <w:tl2br w:val="nil"/>
              <w:tr2bl w:val="nil"/>
            </w:tcBorders>
            <w:vAlign w:val="center"/>
          </w:tcPr>
          <w:p w14:paraId="0ED083B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监测点数</w:t>
            </w:r>
          </w:p>
        </w:tc>
        <w:tc>
          <w:tcPr>
            <w:tcW w:w="1549" w:type="pct"/>
            <w:gridSpan w:val="3"/>
            <w:tcBorders>
              <w:tl2br w:val="nil"/>
              <w:tr2bl w:val="nil"/>
            </w:tcBorders>
            <w:vAlign w:val="center"/>
          </w:tcPr>
          <w:p w14:paraId="7059CE5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监测指标</w:t>
            </w:r>
          </w:p>
        </w:tc>
        <w:tc>
          <w:tcPr>
            <w:tcW w:w="790" w:type="pct"/>
            <w:gridSpan w:val="2"/>
            <w:tcBorders>
              <w:tl2br w:val="nil"/>
              <w:tr2bl w:val="nil"/>
            </w:tcBorders>
            <w:vAlign w:val="center"/>
          </w:tcPr>
          <w:p w14:paraId="404D7E5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监测频次</w:t>
            </w:r>
          </w:p>
        </w:tc>
        <w:tc>
          <w:tcPr>
            <w:tcW w:w="679" w:type="pct"/>
            <w:gridSpan w:val="2"/>
            <w:vMerge w:val="restart"/>
            <w:tcBorders>
              <w:tl2br w:val="nil"/>
              <w:tr2bl w:val="nil"/>
            </w:tcBorders>
            <w:vAlign w:val="center"/>
          </w:tcPr>
          <w:p w14:paraId="77F4224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46FE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19" w:hRule="atLeast"/>
          <w:jc w:val="center"/>
        </w:trPr>
        <w:tc>
          <w:tcPr>
            <w:tcW w:w="247" w:type="pct"/>
            <w:gridSpan w:val="2"/>
            <w:vMerge w:val="continue"/>
            <w:tcBorders>
              <w:tl2br w:val="nil"/>
              <w:tr2bl w:val="nil"/>
            </w:tcBorders>
            <w:textDirection w:val="tbRlV"/>
            <w:vAlign w:val="center"/>
          </w:tcPr>
          <w:p w14:paraId="33E28EC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vMerge w:val="continue"/>
            <w:tcBorders>
              <w:tl2br w:val="nil"/>
              <w:tr2bl w:val="nil"/>
            </w:tcBorders>
            <w:vAlign w:val="center"/>
          </w:tcPr>
          <w:p w14:paraId="158C2CD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395" w:type="dxa"/>
            <w:tcBorders>
              <w:tl2br w:val="nil"/>
              <w:tr2bl w:val="nil"/>
            </w:tcBorders>
            <w:vAlign w:val="center"/>
          </w:tcPr>
          <w:p w14:paraId="3DA188C1">
            <w:pPr>
              <w:pStyle w:val="56"/>
              <w:bidi w:val="0"/>
              <w:ind w:firstLine="0" w:firstLineChars="0"/>
              <w:rPr>
                <w:rFonts w:ascii="Times New Roman" w:hAnsi="Times New Roman" w:eastAsia="宋体"/>
                <w:snapToGrid/>
                <w:color w:val="auto"/>
              </w:rPr>
            </w:pPr>
            <w:r>
              <w:rPr>
                <w:rFonts w:hint="default"/>
                <w:color w:val="000000"/>
                <w:lang w:eastAsia="en-US"/>
              </w:rPr>
              <w:t>必要时监测</w:t>
            </w:r>
          </w:p>
        </w:tc>
        <w:tc>
          <w:tcPr>
            <w:tcW w:w="2659" w:type="dxa"/>
            <w:gridSpan w:val="3"/>
            <w:tcBorders>
              <w:tl2br w:val="nil"/>
              <w:tr2bl w:val="nil"/>
            </w:tcBorders>
            <w:vAlign w:val="center"/>
          </w:tcPr>
          <w:p w14:paraId="79081A9E">
            <w:pPr>
              <w:pStyle w:val="56"/>
              <w:bidi w:val="0"/>
              <w:ind w:firstLine="0" w:firstLineChars="0"/>
              <w:rPr>
                <w:rFonts w:ascii="Times New Roman" w:hAnsi="Times New Roman" w:eastAsia="宋体"/>
                <w:snapToGrid/>
                <w:color w:val="auto"/>
              </w:rPr>
            </w:pPr>
            <w:r>
              <w:rPr>
                <w:rFonts w:hint="eastAsia"/>
                <w:color w:val="000000"/>
                <w:lang w:eastAsia="zh-CN"/>
              </w:rPr>
              <w:t>石油类</w:t>
            </w:r>
          </w:p>
        </w:tc>
        <w:tc>
          <w:tcPr>
            <w:tcW w:w="790" w:type="pct"/>
            <w:gridSpan w:val="2"/>
            <w:tcBorders>
              <w:tl2br w:val="nil"/>
              <w:tr2bl w:val="nil"/>
            </w:tcBorders>
            <w:vAlign w:val="center"/>
          </w:tcPr>
          <w:p w14:paraId="46F21CA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9" w:type="pct"/>
            <w:gridSpan w:val="2"/>
            <w:vMerge w:val="continue"/>
            <w:tcBorders>
              <w:tl2br w:val="nil"/>
              <w:tr2bl w:val="nil"/>
            </w:tcBorders>
            <w:vAlign w:val="center"/>
          </w:tcPr>
          <w:p w14:paraId="51430DA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7BD0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8" w:hRule="atLeast"/>
          <w:jc w:val="center"/>
        </w:trPr>
        <w:tc>
          <w:tcPr>
            <w:tcW w:w="247" w:type="pct"/>
            <w:gridSpan w:val="2"/>
            <w:tcBorders>
              <w:tl2br w:val="nil"/>
              <w:tr2bl w:val="nil"/>
            </w:tcBorders>
            <w:vAlign w:val="center"/>
          </w:tcPr>
          <w:p w14:paraId="24E5F1B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914" w:type="pct"/>
            <w:gridSpan w:val="2"/>
            <w:tcBorders>
              <w:tl2br w:val="nil"/>
              <w:tr2bl w:val="nil"/>
            </w:tcBorders>
            <w:vAlign w:val="center"/>
          </w:tcPr>
          <w:p w14:paraId="2476420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信息公开指标</w:t>
            </w:r>
          </w:p>
        </w:tc>
        <w:tc>
          <w:tcPr>
            <w:tcW w:w="813" w:type="pct"/>
            <w:tcBorders>
              <w:tl2br w:val="nil"/>
              <w:tr2bl w:val="nil"/>
            </w:tcBorders>
            <w:vAlign w:val="center"/>
          </w:tcPr>
          <w:p w14:paraId="67D01D3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1549" w:type="pct"/>
            <w:gridSpan w:val="3"/>
            <w:tcBorders>
              <w:tl2br w:val="nil"/>
              <w:tr2bl w:val="nil"/>
            </w:tcBorders>
            <w:vAlign w:val="center"/>
          </w:tcPr>
          <w:p w14:paraId="35FDF84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790" w:type="pct"/>
            <w:gridSpan w:val="2"/>
            <w:tcBorders>
              <w:tl2br w:val="nil"/>
              <w:tr2bl w:val="nil"/>
            </w:tcBorders>
            <w:vAlign w:val="center"/>
          </w:tcPr>
          <w:p w14:paraId="6B29F30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679" w:type="pct"/>
            <w:gridSpan w:val="2"/>
            <w:tcBorders>
              <w:tl2br w:val="nil"/>
              <w:tr2bl w:val="nil"/>
            </w:tcBorders>
            <w:vAlign w:val="center"/>
          </w:tcPr>
          <w:p w14:paraId="435D922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20614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55" w:hRule="atLeast"/>
          <w:jc w:val="center"/>
        </w:trPr>
        <w:tc>
          <w:tcPr>
            <w:tcW w:w="1162" w:type="pct"/>
            <w:gridSpan w:val="4"/>
            <w:tcBorders>
              <w:tl2br w:val="nil"/>
              <w:tr2bl w:val="nil"/>
            </w:tcBorders>
            <w:vAlign w:val="center"/>
          </w:tcPr>
          <w:p w14:paraId="2A8EDFC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评价结论</w:t>
            </w:r>
          </w:p>
        </w:tc>
        <w:tc>
          <w:tcPr>
            <w:tcW w:w="3153" w:type="pct"/>
            <w:gridSpan w:val="6"/>
            <w:tcBorders>
              <w:tl2br w:val="nil"/>
              <w:tr2bl w:val="nil"/>
            </w:tcBorders>
            <w:vAlign w:val="center"/>
          </w:tcPr>
          <w:p w14:paraId="462B0F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项目运行对土壤环境影响很小，可以接受</w:t>
            </w:r>
          </w:p>
        </w:tc>
        <w:tc>
          <w:tcPr>
            <w:tcW w:w="679" w:type="pct"/>
            <w:gridSpan w:val="2"/>
            <w:tcBorders>
              <w:tl2br w:val="nil"/>
              <w:tr2bl w:val="nil"/>
            </w:tcBorders>
            <w:vAlign w:val="center"/>
          </w:tcPr>
          <w:p w14:paraId="7CFA10BE">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r>
    </w:tbl>
    <w:p w14:paraId="4F54470A">
      <w:pPr>
        <w:pStyle w:val="2"/>
        <w:widowControl w:val="0"/>
        <w:shd w:val="clear"/>
        <w:kinsoku/>
        <w:autoSpaceDE/>
        <w:autoSpaceDN/>
        <w:adjustRightInd/>
        <w:snapToGrid/>
        <w:spacing w:before="70" w:line="277" w:lineRule="exact"/>
        <w:ind w:left="63"/>
        <w:textAlignment w:val="auto"/>
        <w:rPr>
          <w:rFonts w:ascii="Times New Roman" w:hAnsi="Times New Roman"/>
          <w:snapToGrid/>
          <w:color w:val="auto"/>
          <w:lang w:eastAsia="zh-CN"/>
        </w:rPr>
      </w:pPr>
      <w:r>
        <w:rPr>
          <w:rFonts w:ascii="Times New Roman" w:hAnsi="Times New Roman"/>
          <w:snapToGrid/>
          <w:color w:val="auto"/>
          <w:lang w:eastAsia="zh-CN"/>
        </w:rPr>
        <w:t>注</w:t>
      </w:r>
      <w:r>
        <w:rPr>
          <w:rFonts w:ascii="Times New Roman" w:hAnsi="Times New Roman" w:cs="Times New Roman"/>
          <w:snapToGrid/>
          <w:color w:val="auto"/>
          <w:lang w:eastAsia="zh-CN"/>
        </w:rPr>
        <w:t>1</w:t>
      </w:r>
      <w:r>
        <w:rPr>
          <w:rFonts w:ascii="Times New Roman" w:hAnsi="Times New Roman"/>
          <w:snapToGrid/>
          <w:color w:val="auto"/>
          <w:lang w:eastAsia="zh-CN"/>
        </w:rPr>
        <w:t>：“</w:t>
      </w:r>
      <w:r>
        <w:rPr>
          <w:rFonts w:ascii="Times New Roman" w:hAnsi="Times New Roman" w:cs="Wingdings"/>
          <w:snapToGrid/>
          <w:color w:val="auto"/>
          <w:lang w:eastAsia="zh-CN"/>
        </w:rPr>
        <w:t>o</w:t>
      </w:r>
      <w:r>
        <w:rPr>
          <w:rFonts w:ascii="Times New Roman" w:hAnsi="Times New Roman"/>
          <w:snapToGrid/>
          <w:color w:val="auto"/>
          <w:lang w:eastAsia="zh-CN"/>
        </w:rPr>
        <w:t>”为勾选项，可</w:t>
      </w:r>
      <w:r>
        <w:rPr>
          <w:rFonts w:ascii="Times New Roman" w:hAnsi="Times New Roman" w:cs="Times New Roman"/>
          <w:snapToGrid/>
          <w:color w:val="auto"/>
          <w:lang w:eastAsia="zh-CN"/>
        </w:rPr>
        <w:t>√</w:t>
      </w:r>
      <w:r>
        <w:rPr>
          <w:rFonts w:ascii="Times New Roman" w:hAnsi="Times New Roman"/>
          <w:snapToGrid/>
          <w:color w:val="auto"/>
          <w:lang w:eastAsia="zh-CN"/>
        </w:rPr>
        <w:t>；“（）”为内容填写项；“备注”为其他补充内容。</w:t>
      </w:r>
    </w:p>
    <w:p w14:paraId="6F3638A0">
      <w:pPr>
        <w:pStyle w:val="2"/>
        <w:widowControl w:val="0"/>
        <w:shd w:val="clear"/>
        <w:kinsoku/>
        <w:autoSpaceDE/>
        <w:autoSpaceDN/>
        <w:adjustRightInd/>
        <w:snapToGrid/>
        <w:spacing w:before="27" w:line="214" w:lineRule="auto"/>
        <w:ind w:left="63"/>
        <w:textAlignment w:val="auto"/>
        <w:rPr>
          <w:rFonts w:ascii="Times New Roman" w:hAnsi="Times New Roman"/>
          <w:snapToGrid/>
          <w:color w:val="auto"/>
          <w:lang w:eastAsia="zh-CN"/>
        </w:rPr>
      </w:pPr>
      <w:r>
        <w:rPr>
          <w:rFonts w:ascii="Times New Roman" w:hAnsi="Times New Roman"/>
          <w:snapToGrid/>
          <w:color w:val="auto"/>
          <w:lang w:eastAsia="zh-CN"/>
        </w:rPr>
        <w:t>注</w:t>
      </w:r>
      <w:r>
        <w:rPr>
          <w:rFonts w:ascii="Times New Roman" w:hAnsi="Times New Roman" w:cs="Times New Roman"/>
          <w:snapToGrid/>
          <w:color w:val="auto"/>
          <w:lang w:eastAsia="zh-CN"/>
        </w:rPr>
        <w:t>2</w:t>
      </w:r>
      <w:r>
        <w:rPr>
          <w:rFonts w:ascii="Times New Roman" w:hAnsi="Times New Roman"/>
          <w:snapToGrid/>
          <w:color w:val="auto"/>
          <w:lang w:eastAsia="zh-CN"/>
        </w:rPr>
        <w:t>：需要分别开展土壤环境影响评级工作的，分别填写自查表。</w:t>
      </w:r>
    </w:p>
    <w:p w14:paraId="0E2744D8">
      <w:pPr>
        <w:pStyle w:val="2"/>
        <w:widowControl w:val="0"/>
        <w:shd w:val="clear"/>
        <w:kinsoku/>
        <w:autoSpaceDE/>
        <w:autoSpaceDN/>
        <w:adjustRightInd/>
        <w:snapToGrid/>
        <w:spacing w:before="161" w:line="221" w:lineRule="auto"/>
        <w:ind w:left="44"/>
        <w:textAlignment w:val="auto"/>
        <w:outlineLvl w:val="2"/>
        <w:rPr>
          <w:rFonts w:ascii="Times New Roman" w:hAnsi="Times New Roman" w:cs="Times New Roman"/>
          <w:b/>
          <w:bCs/>
          <w:snapToGrid/>
          <w:color w:val="auto"/>
          <w:sz w:val="28"/>
          <w:szCs w:val="32"/>
          <w:lang w:eastAsia="zh-CN"/>
        </w:rPr>
      </w:pPr>
      <w:bookmarkStart w:id="662" w:name="_Toc23838"/>
      <w:bookmarkStart w:id="663" w:name="_Toc30751"/>
      <w:bookmarkStart w:id="664" w:name="_Toc28113"/>
      <w:r>
        <w:rPr>
          <w:rFonts w:hint="eastAsia" w:ascii="Times New Roman" w:hAnsi="Times New Roman" w:cs="Times New Roman"/>
          <w:b/>
          <w:bCs/>
          <w:snapToGrid/>
          <w:color w:val="auto"/>
          <w:sz w:val="28"/>
          <w:szCs w:val="32"/>
          <w:lang w:eastAsia="zh-CN"/>
        </w:rPr>
        <w:t>5.2.7生态环境影响分析</w:t>
      </w:r>
      <w:bookmarkEnd w:id="662"/>
      <w:bookmarkEnd w:id="663"/>
      <w:bookmarkEnd w:id="664"/>
    </w:p>
    <w:p w14:paraId="1388C98B">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"file:///C:\\Users\\jobezho\\AppData\\Local\\Temp\\Rar$DIa13476.12779\\5.2.7.1" </w:instrText>
      </w:r>
      <w:r>
        <w:rPr>
          <w:color w:val="auto"/>
        </w:rPr>
        <w:fldChar w:fldCharType="separate"/>
      </w:r>
      <w:r>
        <w:rPr>
          <w:rFonts w:hint="eastAsia" w:ascii="Times New Roman" w:hAnsi="Times New Roman" w:eastAsia="宋体"/>
          <w:snapToGrid/>
          <w:color w:val="auto"/>
          <w:sz w:val="24"/>
          <w:lang w:eastAsia="zh-CN"/>
        </w:rPr>
        <w:t>5.2.7.1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对土地利用影响分析</w:t>
      </w:r>
    </w:p>
    <w:p w14:paraId="01A8A06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本项目用地为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，未改变评价区域土地利用类型。同时本项目已对项目区进行相应的绿化和地面硬化措施，因此不会导致生态环境质量的降低。</w:t>
      </w:r>
    </w:p>
    <w:p w14:paraId="3D1D7CA2">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"file:///C:\\Users\\jobezho\\AppData\\Local\\Temp\\Rar$DIa13476.12779\\5.2.7.2" </w:instrText>
      </w:r>
      <w:r>
        <w:rPr>
          <w:color w:val="auto"/>
        </w:rPr>
        <w:fldChar w:fldCharType="separate"/>
      </w:r>
      <w:r>
        <w:rPr>
          <w:rFonts w:hint="eastAsia" w:ascii="Times New Roman" w:hAnsi="Times New Roman" w:eastAsia="宋体"/>
          <w:snapToGrid/>
          <w:color w:val="auto"/>
          <w:sz w:val="24"/>
          <w:lang w:eastAsia="zh-CN"/>
        </w:rPr>
        <w:t>5.2.7.2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对植物资源的影响分析</w:t>
      </w:r>
    </w:p>
    <w:p w14:paraId="2F43331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项目投入运营后，将会加强厂区及其周围的绿化和植被工作，生产过程中不存在</w:t>
      </w:r>
      <w:r>
        <w:rPr>
          <w:rFonts w:hint="eastAsia" w:ascii="Times New Roman" w:hAnsi="Times New Roman"/>
          <w:snapToGrid/>
          <w:color w:val="auto"/>
          <w:sz w:val="24"/>
          <w:szCs w:val="24"/>
          <w:lang w:eastAsia="zh-CN"/>
        </w:rPr>
        <w:t>破坏</w:t>
      </w:r>
      <w:r>
        <w:rPr>
          <w:rFonts w:ascii="Times New Roman" w:hAnsi="Times New Roman"/>
          <w:snapToGrid/>
          <w:color w:val="auto"/>
          <w:sz w:val="24"/>
          <w:szCs w:val="24"/>
          <w:lang w:eastAsia="zh-CN"/>
        </w:rPr>
        <w:t>植被的工业活动。因此，运营期不会对植物资源产生不利影响。</w:t>
      </w:r>
    </w:p>
    <w:p w14:paraId="400AB472">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"file:///C:\\Users\\jobezho\\AppData\\Local\\Temp\\Rar$DIa13476.12779\\5.2.7.3" </w:instrText>
      </w:r>
      <w:r>
        <w:rPr>
          <w:color w:val="auto"/>
        </w:rPr>
        <w:fldChar w:fldCharType="separate"/>
      </w:r>
      <w:r>
        <w:rPr>
          <w:rFonts w:hint="eastAsia" w:ascii="Times New Roman" w:hAnsi="Times New Roman" w:eastAsia="宋体"/>
          <w:snapToGrid/>
          <w:color w:val="auto"/>
          <w:sz w:val="24"/>
          <w:lang w:eastAsia="zh-CN"/>
        </w:rPr>
        <w:t>5.2.7.3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对动物资源的影响分析</w:t>
      </w:r>
    </w:p>
    <w:p w14:paraId="75B945C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对于大多数野生动物来说，最大的威胁来自其生境被分割、缩小、破坏和退化。由于本项目位于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，厂址附近没有野生动物，在本项目建设完成后，厂区的正常生产不会对野生动物的栖息地和</w:t>
      </w:r>
      <w:r>
        <w:rPr>
          <w:rFonts w:hint="eastAsia" w:ascii="Times New Roman" w:hAnsi="Times New Roman"/>
          <w:snapToGrid/>
          <w:color w:val="auto"/>
          <w:sz w:val="24"/>
          <w:szCs w:val="24"/>
          <w:lang w:eastAsia="zh-CN"/>
        </w:rPr>
        <w:t>生境</w:t>
      </w:r>
      <w:r>
        <w:rPr>
          <w:rFonts w:ascii="Times New Roman" w:hAnsi="Times New Roman"/>
          <w:snapToGrid/>
          <w:color w:val="auto"/>
          <w:sz w:val="24"/>
          <w:szCs w:val="24"/>
          <w:lang w:eastAsia="zh-CN"/>
        </w:rPr>
        <w:t>产生干扰和影响，因此，在运营期对野生动物的影响很小。</w:t>
      </w:r>
    </w:p>
    <w:p w14:paraId="5FB64D90">
      <w:pPr>
        <w:pStyle w:val="2"/>
        <w:widowControl w:val="0"/>
        <w:shd w:val="clear"/>
        <w:kinsoku/>
        <w:autoSpaceDE/>
        <w:autoSpaceDN/>
        <w:adjustRightInd/>
        <w:snapToGrid/>
        <w:spacing w:before="34" w:line="222" w:lineRule="auto"/>
        <w:ind w:left="36"/>
        <w:textAlignment w:val="auto"/>
        <w:rPr>
          <w:rFonts w:ascii="Times New Roman" w:hAnsi="Times New Roman"/>
          <w:snapToGrid/>
          <w:color w:val="auto"/>
          <w:sz w:val="24"/>
          <w:szCs w:val="24"/>
          <w:lang w:eastAsia="zh-CN"/>
        </w:rPr>
      </w:pPr>
      <w:r>
        <w:rPr>
          <w:color w:val="auto"/>
        </w:rPr>
        <w:fldChar w:fldCharType="begin"/>
      </w:r>
      <w:r>
        <w:rPr>
          <w:color w:val="auto"/>
        </w:rPr>
        <w:instrText xml:space="preserve"> HYPERLINK "file:///C:\\Users\\jobezho\\AppData\\Local\\Temp\\Rar$DIa13476.12779\\5.2.7.4" </w:instrText>
      </w:r>
      <w:r>
        <w:rPr>
          <w:color w:val="auto"/>
        </w:rPr>
        <w:fldChar w:fldCharType="separate"/>
      </w:r>
      <w:r>
        <w:rPr>
          <w:rFonts w:ascii="Times New Roman" w:hAnsi="Times New Roman" w:cs="Times New Roman"/>
          <w:b/>
          <w:bCs/>
          <w:snapToGrid/>
          <w:color w:val="auto"/>
          <w:sz w:val="24"/>
          <w:szCs w:val="24"/>
          <w:lang w:eastAsia="zh-CN"/>
        </w:rPr>
        <w:t>5.2.7.4</w:t>
      </w:r>
      <w:r>
        <w:rPr>
          <w:rFonts w:ascii="Times New Roman" w:hAnsi="Times New Roman" w:cs="Times New Roman"/>
          <w:b/>
          <w:bCs/>
          <w:snapToGrid/>
          <w:color w:val="auto"/>
          <w:sz w:val="24"/>
          <w:szCs w:val="24"/>
          <w:lang w:eastAsia="zh-CN"/>
        </w:rPr>
        <w:fldChar w:fldCharType="end"/>
      </w:r>
      <w:r>
        <w:rPr>
          <w:rFonts w:ascii="Times New Roman" w:hAnsi="Times New Roman"/>
          <w:b/>
          <w:bCs/>
          <w:snapToGrid/>
          <w:color w:val="auto"/>
          <w:sz w:val="24"/>
          <w:szCs w:val="24"/>
          <w:lang w:eastAsia="zh-CN"/>
        </w:rPr>
        <w:t>小结</w:t>
      </w:r>
    </w:p>
    <w:p w14:paraId="6FCA73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本项目的建设使用</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未改变评价区域土地利用类型，同时项目厂区已完成相应的绿化和地面硬化措施，故本项目建设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及补偿工作，项目在生产过程中不存在</w:t>
      </w:r>
      <w:r>
        <w:rPr>
          <w:rFonts w:hint="eastAsia" w:ascii="Times New Roman" w:hAnsi="Times New Roman"/>
          <w:snapToGrid/>
          <w:color w:val="auto"/>
          <w:sz w:val="24"/>
          <w:szCs w:val="24"/>
          <w:lang w:eastAsia="zh-CN"/>
        </w:rPr>
        <w:t>破坏</w:t>
      </w:r>
      <w:r>
        <w:rPr>
          <w:rFonts w:ascii="Times New Roman" w:hAnsi="Times New Roman"/>
          <w:snapToGrid/>
          <w:color w:val="auto"/>
          <w:sz w:val="24"/>
          <w:szCs w:val="24"/>
          <w:lang w:eastAsia="zh-CN"/>
        </w:rPr>
        <w:t>植被的工业活动，运营期不会对植物资源产生不利影响；评价区的野生动物多为一些常见的鸟类、啮齿类及昆虫等。通过加强施工人员的宣传教育和管理，可减少在建设初期对野生动物的影响，对生态环境的影响有限。</w:t>
      </w:r>
    </w:p>
    <w:p w14:paraId="44C6FF1D">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665" w:name="bookmark34"/>
      <w:bookmarkEnd w:id="665"/>
      <w:bookmarkStart w:id="666" w:name="_Toc26817"/>
      <w:bookmarkStart w:id="667" w:name="_Toc16035"/>
      <w:bookmarkStart w:id="668" w:name="_Toc11370"/>
      <w:r>
        <w:rPr>
          <w:rFonts w:hint="eastAsia" w:ascii="Times New Roman" w:hAnsi="Times New Roman" w:eastAsia="宋体"/>
          <w:snapToGrid/>
          <w:color w:val="auto"/>
          <w:lang w:eastAsia="zh-CN"/>
        </w:rPr>
        <w:t>5.3环境风险分析</w:t>
      </w:r>
      <w:bookmarkEnd w:id="666"/>
      <w:bookmarkEnd w:id="667"/>
      <w:bookmarkEnd w:id="668"/>
    </w:p>
    <w:p w14:paraId="2135D347">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69" w:name="_Toc2952"/>
      <w:bookmarkStart w:id="670" w:name="_Toc20734"/>
      <w:bookmarkStart w:id="671" w:name="_Toc6714"/>
      <w:r>
        <w:rPr>
          <w:rFonts w:hint="eastAsia" w:ascii="Times New Roman" w:hAnsi="Times New Roman" w:cs="Times New Roman"/>
          <w:b/>
          <w:bCs/>
          <w:snapToGrid/>
          <w:color w:val="auto"/>
          <w:sz w:val="28"/>
          <w:szCs w:val="32"/>
          <w:lang w:eastAsia="zh-CN"/>
        </w:rPr>
        <w:t>5.3.1环境风险评价的目的</w:t>
      </w:r>
      <w:bookmarkEnd w:id="669"/>
      <w:bookmarkEnd w:id="670"/>
      <w:bookmarkEnd w:id="671"/>
    </w:p>
    <w:p w14:paraId="28F7192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风险评价的目的是分析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2A8D60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1</w:t>
      </w:r>
      <w:r>
        <w:rPr>
          <w:rFonts w:ascii="Times New Roman" w:hAnsi="Times New Roman"/>
          <w:snapToGrid/>
          <w:color w:val="auto"/>
          <w:sz w:val="24"/>
          <w:szCs w:val="24"/>
          <w:lang w:eastAsia="zh-CN"/>
        </w:rPr>
        <w:t>）根据项目特点，对生产和储运设施在生产过程中存在的各种事故风险因素进行识别；</w:t>
      </w:r>
    </w:p>
    <w:p w14:paraId="0CB4A0C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ascii="Times New Roman" w:hAnsi="Times New Roman" w:cs="Times New Roman"/>
          <w:snapToGrid/>
          <w:color w:val="auto"/>
          <w:sz w:val="24"/>
          <w:szCs w:val="24"/>
          <w:lang w:eastAsia="zh-CN"/>
        </w:rPr>
        <w:t>2</w:t>
      </w:r>
      <w:r>
        <w:rPr>
          <w:rFonts w:ascii="Times New Roman" w:hAnsi="Times New Roman"/>
          <w:snapToGrid/>
          <w:color w:val="auto"/>
          <w:sz w:val="24"/>
          <w:szCs w:val="24"/>
          <w:lang w:eastAsia="zh-CN"/>
        </w:rPr>
        <w:t>）有针对性地提出切实可行的事故应急处理计划和</w:t>
      </w:r>
      <w:r>
        <w:rPr>
          <w:rFonts w:hint="eastAsia" w:ascii="Times New Roman" w:hAnsi="Times New Roman"/>
          <w:snapToGrid/>
          <w:color w:val="auto"/>
          <w:sz w:val="24"/>
          <w:szCs w:val="24"/>
          <w:lang w:eastAsia="zh-CN"/>
        </w:rPr>
        <w:t>应急</w:t>
      </w:r>
      <w:r>
        <w:rPr>
          <w:rFonts w:ascii="Times New Roman" w:hAnsi="Times New Roman"/>
          <w:snapToGrid/>
          <w:color w:val="auto"/>
          <w:sz w:val="24"/>
          <w:szCs w:val="24"/>
          <w:lang w:eastAsia="zh-CN"/>
        </w:rPr>
        <w:t>预案，以及现场监控报警系统。</w:t>
      </w:r>
    </w:p>
    <w:p w14:paraId="088993BF">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72" w:name="_Toc13247"/>
      <w:bookmarkStart w:id="673" w:name="_Toc3076"/>
      <w:bookmarkStart w:id="674" w:name="_Toc23840"/>
      <w:r>
        <w:rPr>
          <w:rFonts w:hint="eastAsia" w:ascii="Times New Roman" w:hAnsi="Times New Roman" w:cs="Times New Roman"/>
          <w:b/>
          <w:bCs/>
          <w:snapToGrid/>
          <w:color w:val="auto"/>
          <w:sz w:val="28"/>
          <w:szCs w:val="32"/>
          <w:lang w:eastAsia="zh-CN"/>
        </w:rPr>
        <w:t>5.3.2环境风险评价原则</w:t>
      </w:r>
      <w:bookmarkEnd w:id="672"/>
      <w:bookmarkEnd w:id="673"/>
      <w:bookmarkEnd w:id="674"/>
    </w:p>
    <w:p w14:paraId="20F5AD8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本次风险评价以《建设项目环境风险评价技术导则》（HJ169-2018）为指导，按照《关于进一步加强环境影响评价管理防范环境风险的通知》环发</w:t>
      </w:r>
      <w:r>
        <w:rPr>
          <w:rFonts w:hint="eastAsia" w:ascii="Times New Roman" w:hAnsi="Times New Roman"/>
          <w:snapToGrid/>
          <w:color w:val="auto"/>
          <w:sz w:val="24"/>
          <w:szCs w:val="24"/>
          <w:lang w:eastAsia="zh-CN"/>
        </w:rPr>
        <w:t>〔2012〕77号</w:t>
      </w:r>
      <w:r>
        <w:rPr>
          <w:rFonts w:ascii="Times New Roman" w:hAnsi="Times New Roman"/>
          <w:snapToGrid/>
          <w:color w:val="auto"/>
          <w:sz w:val="24"/>
          <w:szCs w:val="24"/>
          <w:lang w:eastAsia="zh-CN"/>
        </w:rPr>
        <w:t>的原则，对本项目进行风险识别、源项分析和风险影响分析，从环境风险源、扩散途径、保护目标三方面识别环境风险，提出风险防范措施，为环境管理提供资料和依据，达到降低危险的目的。</w:t>
      </w:r>
    </w:p>
    <w:p w14:paraId="0C0DDA4D">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75" w:name="_Toc30"/>
      <w:bookmarkStart w:id="676" w:name="_Toc30022"/>
      <w:bookmarkStart w:id="677" w:name="_Toc7289"/>
      <w:r>
        <w:rPr>
          <w:rFonts w:hint="eastAsia" w:ascii="Times New Roman" w:hAnsi="Times New Roman" w:cs="Times New Roman"/>
          <w:b/>
          <w:bCs/>
          <w:snapToGrid/>
          <w:color w:val="auto"/>
          <w:sz w:val="28"/>
          <w:szCs w:val="32"/>
          <w:lang w:eastAsia="zh-CN"/>
        </w:rPr>
        <w:t>5.3.3风险调查及评价等级</w:t>
      </w:r>
      <w:bookmarkEnd w:id="675"/>
      <w:bookmarkEnd w:id="676"/>
      <w:bookmarkEnd w:id="677"/>
    </w:p>
    <w:p w14:paraId="0A7C647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78" w:name="_Toc5626"/>
      <w:bookmarkStart w:id="679" w:name="_Toc3481"/>
      <w:r>
        <w:rPr>
          <w:rFonts w:ascii="Times New Roman" w:hAnsi="Times New Roman"/>
          <w:snapToGrid/>
          <w:color w:val="auto"/>
          <w:sz w:val="24"/>
          <w:szCs w:val="24"/>
          <w:lang w:eastAsia="zh-CN"/>
        </w:rPr>
        <w:t>（1）建设项目风险源调查</w:t>
      </w:r>
      <w:bookmarkEnd w:id="678"/>
      <w:bookmarkEnd w:id="679"/>
    </w:p>
    <w:p w14:paraId="6125D37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利用废旧塑料为原料，再生造粒为再生塑料颗粒，利用再生塑料颗粒及新购塑料颗粒等生产所需产品，项目生产过程不添加其他化学试剂，项目生产不涉及危险化学品的危险物质，项目主要事故风险为火灾引发的次生污染，主要是塑料火灾燃烧产生的有机物排放以及危废暂存间储存的废润滑油等。</w:t>
      </w:r>
    </w:p>
    <w:p w14:paraId="032E273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80" w:name="_Toc22617"/>
      <w:bookmarkStart w:id="681" w:name="_Toc6362"/>
      <w:r>
        <w:rPr>
          <w:rFonts w:ascii="Times New Roman" w:hAnsi="Times New Roman"/>
          <w:snapToGrid/>
          <w:color w:val="auto"/>
          <w:sz w:val="24"/>
          <w:szCs w:val="24"/>
          <w:lang w:eastAsia="zh-CN"/>
        </w:rPr>
        <w:t>（2）本项目位于</w:t>
      </w:r>
      <w:r>
        <w:rPr>
          <w:rFonts w:hint="eastAsia" w:ascii="Times New Roman" w:hAnsi="Times New Roman"/>
          <w:snapToGrid/>
          <w:color w:val="auto"/>
          <w:sz w:val="24"/>
          <w:szCs w:val="24"/>
          <w:lang w:val="en-US" w:eastAsia="zh-CN"/>
        </w:rPr>
        <w:t>昌吉州木垒哈萨克自治县雀仁乡</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用地性质为建设用地。根据调查，本项目评价区域</w:t>
      </w:r>
      <w:r>
        <w:rPr>
          <w:rFonts w:ascii="Times New Roman" w:hAnsi="Times New Roman"/>
          <w:snapToGrid/>
          <w:color w:val="auto"/>
          <w:sz w:val="24"/>
          <w:szCs w:val="24"/>
          <w:lang w:eastAsia="zh-CN"/>
        </w:rPr>
        <w:t>内无</w:t>
      </w:r>
      <w:r>
        <w:rPr>
          <w:rFonts w:hint="eastAsia" w:ascii="Times New Roman" w:hAnsi="Times New Roman"/>
          <w:snapToGrid/>
          <w:color w:val="auto"/>
          <w:sz w:val="24"/>
          <w:szCs w:val="24"/>
          <w:lang w:eastAsia="zh-CN"/>
        </w:rPr>
        <w:t>饮用水</w:t>
      </w:r>
      <w:r>
        <w:rPr>
          <w:rFonts w:hint="eastAsia" w:ascii="Times New Roman" w:hAnsi="Times New Roman"/>
          <w:snapToGrid/>
          <w:color w:val="auto"/>
          <w:sz w:val="24"/>
          <w:szCs w:val="24"/>
          <w:lang w:val="en-US" w:eastAsia="zh-CN"/>
        </w:rPr>
        <w:t>水源保护区、</w:t>
      </w:r>
      <w:r>
        <w:rPr>
          <w:rFonts w:ascii="Times New Roman" w:hAnsi="Times New Roman"/>
          <w:snapToGrid/>
          <w:color w:val="auto"/>
          <w:sz w:val="24"/>
          <w:szCs w:val="24"/>
          <w:lang w:eastAsia="zh-CN"/>
        </w:rPr>
        <w:t>自然保护区</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风景名胜区</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地表文物、珍稀动植物等环境敏感区</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根据</w:t>
      </w:r>
      <w:r>
        <w:rPr>
          <w:rFonts w:hint="eastAsia" w:ascii="Times New Roman" w:hAnsi="Times New Roman"/>
          <w:snapToGrid/>
          <w:color w:val="auto"/>
          <w:sz w:val="24"/>
          <w:szCs w:val="24"/>
          <w:lang w:eastAsia="zh-CN"/>
        </w:rPr>
        <w:t>工程性质及周围环境特征，</w:t>
      </w:r>
      <w:r>
        <w:rPr>
          <w:rFonts w:ascii="Times New Roman" w:hAnsi="Times New Roman"/>
          <w:snapToGrid/>
          <w:color w:val="auto"/>
          <w:sz w:val="24"/>
          <w:szCs w:val="24"/>
          <w:lang w:eastAsia="zh-CN"/>
        </w:rPr>
        <w:t>本项目</w:t>
      </w:r>
      <w:r>
        <w:rPr>
          <w:rFonts w:hint="eastAsia" w:ascii="Times New Roman" w:hAnsi="Times New Roman"/>
          <w:snapToGrid/>
          <w:color w:val="auto"/>
          <w:sz w:val="24"/>
          <w:szCs w:val="24"/>
          <w:lang w:eastAsia="zh-CN"/>
        </w:rPr>
        <w:t>评价范围内主要环境</w:t>
      </w:r>
      <w:r>
        <w:rPr>
          <w:rFonts w:hint="eastAsia" w:ascii="Times New Roman" w:hAnsi="Times New Roman"/>
          <w:snapToGrid/>
          <w:color w:val="auto"/>
          <w:sz w:val="24"/>
          <w:szCs w:val="24"/>
          <w:lang w:val="en-US" w:eastAsia="zh-CN"/>
        </w:rPr>
        <w:t>风险</w:t>
      </w:r>
      <w:r>
        <w:rPr>
          <w:rFonts w:hint="eastAsia" w:ascii="Times New Roman" w:hAnsi="Times New Roman"/>
          <w:snapToGrid/>
          <w:color w:val="auto"/>
          <w:sz w:val="24"/>
          <w:szCs w:val="24"/>
          <w:lang w:eastAsia="zh-CN"/>
        </w:rPr>
        <w:t>保护目标</w:t>
      </w:r>
      <w:r>
        <w:rPr>
          <w:rFonts w:ascii="Times New Roman" w:hAnsi="Times New Roman"/>
          <w:snapToGrid/>
          <w:color w:val="auto"/>
          <w:sz w:val="24"/>
          <w:szCs w:val="24"/>
          <w:lang w:eastAsia="zh-CN"/>
        </w:rPr>
        <w:t>具体</w:t>
      </w:r>
      <w:r>
        <w:rPr>
          <w:rFonts w:hint="eastAsia" w:ascii="Times New Roman" w:hAnsi="Times New Roman"/>
          <w:snapToGrid/>
          <w:color w:val="auto"/>
          <w:sz w:val="24"/>
          <w:szCs w:val="24"/>
          <w:lang w:eastAsia="zh-CN"/>
        </w:rPr>
        <w:t>情况</w:t>
      </w:r>
      <w:r>
        <w:rPr>
          <w:rFonts w:ascii="Times New Roman" w:hAnsi="Times New Roman"/>
          <w:snapToGrid/>
          <w:color w:val="auto"/>
          <w:sz w:val="24"/>
          <w:szCs w:val="24"/>
          <w:lang w:eastAsia="zh-CN"/>
        </w:rPr>
        <w:t>见表环境敏感目标调查</w:t>
      </w:r>
      <w:bookmarkEnd w:id="680"/>
      <w:bookmarkEnd w:id="681"/>
    </w:p>
    <w:p w14:paraId="1CA4330B">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表5.3-1区域社会关注区分布情况统计表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424"/>
        <w:gridCol w:w="1430"/>
        <w:gridCol w:w="626"/>
        <w:gridCol w:w="626"/>
        <w:gridCol w:w="2235"/>
        <w:gridCol w:w="759"/>
        <w:gridCol w:w="905"/>
      </w:tblGrid>
      <w:tr w14:paraId="0195D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restart"/>
            <w:tcBorders>
              <w:tl2br w:val="nil"/>
              <w:tr2bl w:val="nil"/>
            </w:tcBorders>
            <w:vAlign w:val="center"/>
          </w:tcPr>
          <w:p w14:paraId="164CB5B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名称</w:t>
            </w:r>
          </w:p>
        </w:tc>
        <w:tc>
          <w:tcPr>
            <w:tcW w:w="1654" w:type="pct"/>
            <w:gridSpan w:val="2"/>
            <w:tcBorders>
              <w:tl2br w:val="nil"/>
              <w:tr2bl w:val="nil"/>
            </w:tcBorders>
            <w:vAlign w:val="center"/>
          </w:tcPr>
          <w:p w14:paraId="3766188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snapToGrid/>
                <w:color w:val="auto"/>
                <w:sz w:val="21"/>
                <w:szCs w:val="32"/>
                <w:vertAlign w:val="baseline"/>
                <w:lang w:eastAsia="zh-CN"/>
              </w:rPr>
            </w:pPr>
            <w:r>
              <w:rPr>
                <w:rFonts w:hint="eastAsia" w:ascii="Times New Roman" w:hAnsi="Times New Roman" w:eastAsia="宋体" w:cs="Times New Roman"/>
                <w:b/>
                <w:bCs w:val="0"/>
                <w:snapToGrid/>
                <w:color w:val="auto"/>
                <w:sz w:val="21"/>
                <w:szCs w:val="32"/>
                <w:vertAlign w:val="baseline"/>
                <w:lang w:val="en-US" w:eastAsia="zh-CN"/>
              </w:rPr>
              <w:t>坐标</w:t>
            </w:r>
          </w:p>
        </w:tc>
        <w:tc>
          <w:tcPr>
            <w:tcW w:w="363" w:type="pct"/>
            <w:vMerge w:val="restart"/>
            <w:tcBorders>
              <w:tl2br w:val="nil"/>
              <w:tr2bl w:val="nil"/>
            </w:tcBorders>
            <w:vAlign w:val="center"/>
          </w:tcPr>
          <w:p w14:paraId="11FF8E9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保护对象</w:t>
            </w:r>
          </w:p>
        </w:tc>
        <w:tc>
          <w:tcPr>
            <w:tcW w:w="363" w:type="pct"/>
            <w:vMerge w:val="restart"/>
            <w:tcBorders>
              <w:tl2br w:val="nil"/>
              <w:tr2bl w:val="nil"/>
            </w:tcBorders>
            <w:vAlign w:val="center"/>
          </w:tcPr>
          <w:p w14:paraId="55C09B9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保护内容</w:t>
            </w:r>
          </w:p>
        </w:tc>
        <w:tc>
          <w:tcPr>
            <w:tcW w:w="1296" w:type="pct"/>
            <w:vMerge w:val="restart"/>
            <w:tcBorders>
              <w:tl2br w:val="nil"/>
              <w:tr2bl w:val="nil"/>
            </w:tcBorders>
            <w:vAlign w:val="center"/>
          </w:tcPr>
          <w:p w14:paraId="0D98CD3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环境功能区</w:t>
            </w:r>
          </w:p>
        </w:tc>
        <w:tc>
          <w:tcPr>
            <w:tcW w:w="440" w:type="pct"/>
            <w:vMerge w:val="restart"/>
            <w:tcBorders>
              <w:tl2br w:val="nil"/>
              <w:tr2bl w:val="nil"/>
            </w:tcBorders>
            <w:vAlign w:val="center"/>
          </w:tcPr>
          <w:p w14:paraId="7E4D772B">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相对厂址方位</w:t>
            </w:r>
          </w:p>
        </w:tc>
        <w:tc>
          <w:tcPr>
            <w:tcW w:w="523" w:type="pct"/>
            <w:vMerge w:val="restart"/>
            <w:tcBorders>
              <w:tl2br w:val="nil"/>
              <w:tr2bl w:val="nil"/>
            </w:tcBorders>
            <w:vAlign w:val="center"/>
          </w:tcPr>
          <w:p w14:paraId="353E3ED0">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相对厂界距离/m</w:t>
            </w:r>
          </w:p>
        </w:tc>
      </w:tr>
      <w:tr w14:paraId="1F091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tcBorders>
              <w:tl2br w:val="nil"/>
              <w:tr2bl w:val="nil"/>
            </w:tcBorders>
            <w:vAlign w:val="center"/>
          </w:tcPr>
          <w:p w14:paraId="0499D83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snapToGrid/>
                <w:color w:val="auto"/>
                <w:sz w:val="21"/>
                <w:szCs w:val="32"/>
                <w:vertAlign w:val="baseline"/>
                <w:lang w:eastAsia="zh-CN"/>
              </w:rPr>
            </w:pPr>
          </w:p>
        </w:tc>
        <w:tc>
          <w:tcPr>
            <w:tcW w:w="825" w:type="pct"/>
            <w:tcBorders>
              <w:tl2br w:val="nil"/>
              <w:tr2bl w:val="nil"/>
            </w:tcBorders>
            <w:vAlign w:val="center"/>
          </w:tcPr>
          <w:p w14:paraId="7D0AF4C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X</w:t>
            </w:r>
          </w:p>
        </w:tc>
        <w:tc>
          <w:tcPr>
            <w:tcW w:w="829" w:type="pct"/>
            <w:tcBorders>
              <w:tl2br w:val="nil"/>
              <w:tr2bl w:val="nil"/>
            </w:tcBorders>
            <w:vAlign w:val="center"/>
          </w:tcPr>
          <w:p w14:paraId="6E7AFEC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snapToGrid/>
                <w:color w:val="auto"/>
                <w:sz w:val="21"/>
                <w:szCs w:val="32"/>
                <w:vertAlign w:val="baseline"/>
                <w:lang w:val="en-US" w:eastAsia="zh-CN"/>
              </w:rPr>
            </w:pPr>
            <w:r>
              <w:rPr>
                <w:rFonts w:hint="eastAsia" w:ascii="Times New Roman" w:hAnsi="Times New Roman" w:eastAsia="宋体" w:cs="Times New Roman"/>
                <w:b/>
                <w:bCs w:val="0"/>
                <w:snapToGrid/>
                <w:color w:val="auto"/>
                <w:sz w:val="21"/>
                <w:szCs w:val="32"/>
                <w:vertAlign w:val="baseline"/>
                <w:lang w:val="en-US" w:eastAsia="zh-CN"/>
              </w:rPr>
              <w:t>Y</w:t>
            </w:r>
          </w:p>
        </w:tc>
        <w:tc>
          <w:tcPr>
            <w:tcW w:w="363" w:type="pct"/>
            <w:vMerge w:val="continue"/>
            <w:tcBorders>
              <w:tl2br w:val="nil"/>
              <w:tr2bl w:val="nil"/>
            </w:tcBorders>
            <w:vAlign w:val="center"/>
          </w:tcPr>
          <w:p w14:paraId="1267468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363" w:type="pct"/>
            <w:vMerge w:val="continue"/>
            <w:tcBorders>
              <w:tl2br w:val="nil"/>
              <w:tr2bl w:val="nil"/>
            </w:tcBorders>
            <w:vAlign w:val="center"/>
          </w:tcPr>
          <w:p w14:paraId="4A248CD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1296" w:type="pct"/>
            <w:vMerge w:val="continue"/>
            <w:tcBorders>
              <w:tl2br w:val="nil"/>
              <w:tr2bl w:val="nil"/>
            </w:tcBorders>
            <w:vAlign w:val="center"/>
          </w:tcPr>
          <w:p w14:paraId="1767383B">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440" w:type="pct"/>
            <w:vMerge w:val="continue"/>
            <w:tcBorders>
              <w:tl2br w:val="nil"/>
              <w:tr2bl w:val="nil"/>
            </w:tcBorders>
            <w:vAlign w:val="center"/>
          </w:tcPr>
          <w:p w14:paraId="519443AB">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c>
          <w:tcPr>
            <w:tcW w:w="523" w:type="pct"/>
            <w:vMerge w:val="continue"/>
            <w:tcBorders>
              <w:tl2br w:val="nil"/>
              <w:tr2bl w:val="nil"/>
            </w:tcBorders>
            <w:vAlign w:val="center"/>
          </w:tcPr>
          <w:p w14:paraId="7CF5FB0B">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p>
        </w:tc>
      </w:tr>
      <w:tr w14:paraId="6ED67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restart"/>
            <w:tcBorders>
              <w:tl2br w:val="nil"/>
              <w:tr2bl w:val="nil"/>
            </w:tcBorders>
            <w:vAlign w:val="center"/>
          </w:tcPr>
          <w:p w14:paraId="2F957BD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环境空气</w:t>
            </w:r>
          </w:p>
        </w:tc>
        <w:tc>
          <w:tcPr>
            <w:tcW w:w="825" w:type="pct"/>
            <w:tcBorders>
              <w:tl2br w:val="nil"/>
              <w:tr2bl w:val="nil"/>
            </w:tcBorders>
            <w:vAlign w:val="center"/>
          </w:tcPr>
          <w:p w14:paraId="04B6F190">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90.073075756</w:t>
            </w:r>
          </w:p>
        </w:tc>
        <w:tc>
          <w:tcPr>
            <w:tcW w:w="829" w:type="pct"/>
            <w:tcBorders>
              <w:tl2br w:val="nil"/>
              <w:tr2bl w:val="nil"/>
            </w:tcBorders>
            <w:vAlign w:val="center"/>
          </w:tcPr>
          <w:p w14:paraId="10F5889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44.060482305</w:t>
            </w:r>
          </w:p>
        </w:tc>
        <w:tc>
          <w:tcPr>
            <w:tcW w:w="363" w:type="pct"/>
            <w:tcBorders>
              <w:tl2br w:val="nil"/>
              <w:tr2bl w:val="nil"/>
            </w:tcBorders>
            <w:vAlign w:val="center"/>
          </w:tcPr>
          <w:p w14:paraId="74776AF0">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河东村</w:t>
            </w:r>
          </w:p>
        </w:tc>
        <w:tc>
          <w:tcPr>
            <w:tcW w:w="363" w:type="pct"/>
            <w:tcBorders>
              <w:tl2br w:val="nil"/>
              <w:tr2bl w:val="nil"/>
            </w:tcBorders>
            <w:vAlign w:val="center"/>
          </w:tcPr>
          <w:p w14:paraId="7F7D306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居民</w:t>
            </w:r>
          </w:p>
        </w:tc>
        <w:tc>
          <w:tcPr>
            <w:tcW w:w="1296" w:type="pct"/>
            <w:vMerge w:val="restart"/>
            <w:tcBorders>
              <w:tl2br w:val="nil"/>
              <w:tr2bl w:val="nil"/>
            </w:tcBorders>
            <w:vAlign w:val="center"/>
          </w:tcPr>
          <w:p w14:paraId="36D08FB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default" w:ascii="Times New Roman" w:hAnsi="Times New Roman" w:eastAsia="宋体" w:cs="Times New Roman"/>
                <w:b w:val="0"/>
                <w:bCs/>
                <w:snapToGrid/>
                <w:color w:val="auto"/>
                <w:sz w:val="21"/>
                <w:szCs w:val="32"/>
                <w:vertAlign w:val="baseline"/>
                <w:lang w:val="en-US" w:eastAsia="zh-CN"/>
              </w:rPr>
              <w:t>《环境空气质量标准》（GB3095-2012，含2018年修改单）二级标准</w:t>
            </w:r>
          </w:p>
        </w:tc>
        <w:tc>
          <w:tcPr>
            <w:tcW w:w="440" w:type="pct"/>
            <w:tcBorders>
              <w:tl2br w:val="nil"/>
              <w:tr2bl w:val="nil"/>
            </w:tcBorders>
            <w:vAlign w:val="center"/>
          </w:tcPr>
          <w:p w14:paraId="44209F1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东南侧</w:t>
            </w:r>
          </w:p>
        </w:tc>
        <w:tc>
          <w:tcPr>
            <w:tcW w:w="523" w:type="pct"/>
            <w:tcBorders>
              <w:tl2br w:val="nil"/>
              <w:tr2bl w:val="nil"/>
            </w:tcBorders>
            <w:vAlign w:val="center"/>
          </w:tcPr>
          <w:p w14:paraId="72CD8E6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393</w:t>
            </w:r>
          </w:p>
        </w:tc>
      </w:tr>
      <w:tr w14:paraId="1D166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tcBorders>
              <w:tl2br w:val="nil"/>
              <w:tr2bl w:val="nil"/>
            </w:tcBorders>
            <w:vAlign w:val="center"/>
          </w:tcPr>
          <w:p w14:paraId="3A56C71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val="en-US" w:eastAsia="zh-CN"/>
              </w:rPr>
            </w:pPr>
          </w:p>
        </w:tc>
        <w:tc>
          <w:tcPr>
            <w:tcW w:w="825" w:type="pct"/>
            <w:tcBorders>
              <w:tl2br w:val="nil"/>
              <w:tr2bl w:val="nil"/>
            </w:tcBorders>
            <w:vAlign w:val="center"/>
          </w:tcPr>
          <w:p w14:paraId="41F727E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90.075218009</w:t>
            </w:r>
          </w:p>
        </w:tc>
        <w:tc>
          <w:tcPr>
            <w:tcW w:w="829" w:type="pct"/>
            <w:tcBorders>
              <w:tl2br w:val="nil"/>
              <w:tr2bl w:val="nil"/>
            </w:tcBorders>
            <w:vAlign w:val="center"/>
          </w:tcPr>
          <w:p w14:paraId="22BB055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44.074871786</w:t>
            </w:r>
          </w:p>
        </w:tc>
        <w:tc>
          <w:tcPr>
            <w:tcW w:w="363" w:type="pct"/>
            <w:tcBorders>
              <w:tl2br w:val="nil"/>
              <w:tr2bl w:val="nil"/>
            </w:tcBorders>
            <w:vAlign w:val="center"/>
          </w:tcPr>
          <w:p w14:paraId="58DF5D51">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雀仁乡</w:t>
            </w:r>
          </w:p>
        </w:tc>
        <w:tc>
          <w:tcPr>
            <w:tcW w:w="363" w:type="pct"/>
            <w:tcBorders>
              <w:tl2br w:val="nil"/>
              <w:tr2bl w:val="nil"/>
            </w:tcBorders>
            <w:vAlign w:val="center"/>
          </w:tcPr>
          <w:p w14:paraId="371E98E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居民</w:t>
            </w:r>
          </w:p>
        </w:tc>
        <w:tc>
          <w:tcPr>
            <w:tcW w:w="1296" w:type="pct"/>
            <w:vMerge w:val="continue"/>
            <w:tcBorders>
              <w:tl2br w:val="nil"/>
              <w:tr2bl w:val="nil"/>
            </w:tcBorders>
            <w:vAlign w:val="center"/>
          </w:tcPr>
          <w:p w14:paraId="1080AA8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p>
        </w:tc>
        <w:tc>
          <w:tcPr>
            <w:tcW w:w="440" w:type="pct"/>
            <w:tcBorders>
              <w:tl2br w:val="nil"/>
              <w:tr2bl w:val="nil"/>
            </w:tcBorders>
            <w:vAlign w:val="center"/>
          </w:tcPr>
          <w:p w14:paraId="660F9B3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北</w:t>
            </w:r>
          </w:p>
        </w:tc>
        <w:tc>
          <w:tcPr>
            <w:tcW w:w="523" w:type="pct"/>
            <w:tcBorders>
              <w:tl2br w:val="nil"/>
              <w:tr2bl w:val="nil"/>
            </w:tcBorders>
            <w:vAlign w:val="center"/>
          </w:tcPr>
          <w:p w14:paraId="6D7B220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cs="Times New Roman"/>
                <w:b w:val="0"/>
                <w:bCs/>
                <w:snapToGrid/>
                <w:color w:val="auto"/>
                <w:sz w:val="21"/>
                <w:szCs w:val="32"/>
                <w:vertAlign w:val="baseline"/>
                <w:lang w:val="en-US" w:eastAsia="zh-CN"/>
              </w:rPr>
              <w:t>2830</w:t>
            </w:r>
          </w:p>
        </w:tc>
      </w:tr>
      <w:tr w14:paraId="4325A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6ECCE618">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声环境</w:t>
            </w:r>
          </w:p>
        </w:tc>
        <w:tc>
          <w:tcPr>
            <w:tcW w:w="825" w:type="pct"/>
            <w:tcBorders>
              <w:tl2br w:val="nil"/>
              <w:tr2bl w:val="nil"/>
            </w:tcBorders>
            <w:vAlign w:val="center"/>
          </w:tcPr>
          <w:p w14:paraId="4CCFF5A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90.071476731</w:t>
            </w:r>
          </w:p>
        </w:tc>
        <w:tc>
          <w:tcPr>
            <w:tcW w:w="829" w:type="pct"/>
            <w:tcBorders>
              <w:tl2br w:val="nil"/>
              <w:tr2bl w:val="nil"/>
            </w:tcBorders>
            <w:vAlign w:val="center"/>
          </w:tcPr>
          <w:p w14:paraId="184EC92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44.061725992</w:t>
            </w:r>
          </w:p>
        </w:tc>
        <w:tc>
          <w:tcPr>
            <w:tcW w:w="363" w:type="pct"/>
            <w:tcBorders>
              <w:tl2br w:val="nil"/>
              <w:tr2bl w:val="nil"/>
            </w:tcBorders>
            <w:vAlign w:val="center"/>
          </w:tcPr>
          <w:p w14:paraId="691BA96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厂界</w:t>
            </w:r>
          </w:p>
        </w:tc>
        <w:tc>
          <w:tcPr>
            <w:tcW w:w="363" w:type="pct"/>
            <w:tcBorders>
              <w:tl2br w:val="nil"/>
              <w:tr2bl w:val="nil"/>
            </w:tcBorders>
            <w:vAlign w:val="center"/>
          </w:tcPr>
          <w:p w14:paraId="5E42D0E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声环境</w:t>
            </w:r>
          </w:p>
        </w:tc>
        <w:tc>
          <w:tcPr>
            <w:tcW w:w="1296" w:type="pct"/>
            <w:tcBorders>
              <w:tl2br w:val="nil"/>
              <w:tr2bl w:val="nil"/>
            </w:tcBorders>
            <w:vAlign w:val="center"/>
          </w:tcPr>
          <w:p w14:paraId="206F3479">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《声环境质量标准》（GB3096-2008）中</w:t>
            </w:r>
            <w:r>
              <w:rPr>
                <w:rFonts w:hint="eastAsia" w:ascii="Times New Roman" w:hAnsi="Times New Roman" w:eastAsia="宋体" w:cs="Times New Roman"/>
                <w:b w:val="0"/>
                <w:bCs/>
                <w:snapToGrid/>
                <w:color w:val="auto"/>
                <w:sz w:val="21"/>
                <w:szCs w:val="32"/>
                <w:vertAlign w:val="baseline"/>
                <w:lang w:val="en-US" w:eastAsia="zh-CN"/>
              </w:rPr>
              <w:t>2</w:t>
            </w:r>
            <w:r>
              <w:rPr>
                <w:rFonts w:hint="eastAsia" w:ascii="Times New Roman" w:hAnsi="Times New Roman" w:eastAsia="宋体" w:cs="Times New Roman"/>
                <w:b w:val="0"/>
                <w:bCs/>
                <w:snapToGrid/>
                <w:color w:val="auto"/>
                <w:sz w:val="21"/>
                <w:szCs w:val="32"/>
                <w:vertAlign w:val="baseline"/>
                <w:lang w:eastAsia="zh-CN"/>
              </w:rPr>
              <w:t>类区标准</w:t>
            </w:r>
          </w:p>
        </w:tc>
        <w:tc>
          <w:tcPr>
            <w:tcW w:w="440" w:type="pct"/>
            <w:tcBorders>
              <w:tl2br w:val="nil"/>
              <w:tr2bl w:val="nil"/>
            </w:tcBorders>
            <w:vAlign w:val="center"/>
          </w:tcPr>
          <w:p w14:paraId="643F96E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厂界周围</w:t>
            </w:r>
          </w:p>
        </w:tc>
        <w:tc>
          <w:tcPr>
            <w:tcW w:w="523" w:type="pct"/>
            <w:tcBorders>
              <w:tl2br w:val="nil"/>
              <w:tr2bl w:val="nil"/>
            </w:tcBorders>
            <w:vAlign w:val="center"/>
          </w:tcPr>
          <w:p w14:paraId="7E712B1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200</w:t>
            </w:r>
          </w:p>
        </w:tc>
      </w:tr>
      <w:tr w14:paraId="5C59B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6F1FD94A">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地下水环境</w:t>
            </w:r>
          </w:p>
        </w:tc>
        <w:tc>
          <w:tcPr>
            <w:tcW w:w="2380" w:type="pct"/>
            <w:gridSpan w:val="4"/>
            <w:tcBorders>
              <w:tl2br w:val="nil"/>
              <w:tr2bl w:val="nil"/>
            </w:tcBorders>
            <w:vAlign w:val="center"/>
          </w:tcPr>
          <w:p w14:paraId="70A1E2A2">
            <w:pPr>
              <w:pStyle w:val="37"/>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厂区地下水区域约</w:t>
            </w:r>
            <w:r>
              <w:rPr>
                <w:rFonts w:hint="eastAsia" w:ascii="Times New Roman" w:hAnsi="Times New Roman" w:eastAsia="宋体"/>
                <w:snapToGrid/>
                <w:color w:val="auto"/>
                <w:sz w:val="21"/>
                <w:lang w:val="en-US" w:eastAsia="zh-CN"/>
              </w:rPr>
              <w:t>6km</w:t>
            </w:r>
            <w:r>
              <w:rPr>
                <w:rFonts w:hint="eastAsia" w:ascii="Times New Roman" w:hAnsi="Times New Roman" w:eastAsia="宋体"/>
                <w:snapToGrid/>
                <w:color w:val="auto"/>
                <w:sz w:val="21"/>
                <w:vertAlign w:val="superscript"/>
                <w:lang w:val="en-US" w:eastAsia="zh-CN"/>
              </w:rPr>
              <w:t>2</w:t>
            </w:r>
            <w:r>
              <w:rPr>
                <w:rFonts w:ascii="Times New Roman" w:hAnsi="Times New Roman" w:eastAsia="宋体" w:cs="宋体"/>
                <w:snapToGrid/>
                <w:color w:val="auto"/>
                <w:sz w:val="21"/>
                <w:lang w:eastAsia="zh-CN"/>
              </w:rPr>
              <w:t>的区域</w:t>
            </w:r>
          </w:p>
        </w:tc>
        <w:tc>
          <w:tcPr>
            <w:tcW w:w="2260" w:type="pct"/>
            <w:gridSpan w:val="3"/>
            <w:tcBorders>
              <w:tl2br w:val="nil"/>
              <w:tr2bl w:val="nil"/>
            </w:tcBorders>
            <w:vAlign w:val="center"/>
          </w:tcPr>
          <w:p w14:paraId="2DDDFAA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《地下水质量标准》（</w:t>
            </w:r>
            <w:r>
              <w:rPr>
                <w:rFonts w:ascii="Times New Roman" w:hAnsi="Times New Roman" w:eastAsia="宋体"/>
                <w:snapToGrid/>
                <w:color w:val="auto"/>
                <w:sz w:val="21"/>
                <w:lang w:eastAsia="zh-CN"/>
              </w:rPr>
              <w:t>GB/T14848-2017</w:t>
            </w:r>
            <w:r>
              <w:rPr>
                <w:rFonts w:ascii="Times New Roman" w:hAnsi="Times New Roman" w:eastAsia="宋体" w:cs="宋体"/>
                <w:snapToGrid/>
                <w:color w:val="auto"/>
                <w:sz w:val="21"/>
                <w:lang w:eastAsia="zh-CN"/>
              </w:rPr>
              <w:t>）Ⅲ类</w:t>
            </w:r>
          </w:p>
        </w:tc>
      </w:tr>
      <w:tr w14:paraId="46A97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6226AC7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生态环境</w:t>
            </w:r>
          </w:p>
        </w:tc>
        <w:tc>
          <w:tcPr>
            <w:tcW w:w="4641" w:type="pct"/>
            <w:gridSpan w:val="7"/>
            <w:tcBorders>
              <w:tl2br w:val="nil"/>
              <w:tr2bl w:val="nil"/>
            </w:tcBorders>
            <w:vAlign w:val="center"/>
          </w:tcPr>
          <w:p w14:paraId="0DF36D2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ascii="Times New Roman" w:hAnsi="Times New Roman" w:eastAsia="宋体" w:cs="宋体"/>
                <w:snapToGrid/>
                <w:color w:val="auto"/>
                <w:sz w:val="21"/>
                <w:lang w:eastAsia="zh-CN"/>
              </w:rPr>
              <w:t>对周边生态不构成显著的影响，不影响项目区周边的生态系统类型</w:t>
            </w:r>
          </w:p>
        </w:tc>
      </w:tr>
      <w:tr w14:paraId="0D37B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1A6AB25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环境风险</w:t>
            </w:r>
          </w:p>
        </w:tc>
        <w:tc>
          <w:tcPr>
            <w:tcW w:w="825" w:type="pct"/>
            <w:tcBorders>
              <w:tl2br w:val="nil"/>
              <w:tr2bl w:val="nil"/>
            </w:tcBorders>
            <w:vAlign w:val="center"/>
          </w:tcPr>
          <w:p w14:paraId="41CB5A53">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90.071457419</w:t>
            </w:r>
          </w:p>
        </w:tc>
        <w:tc>
          <w:tcPr>
            <w:tcW w:w="829" w:type="pct"/>
            <w:tcBorders>
              <w:tl2br w:val="nil"/>
              <w:tr2bl w:val="nil"/>
            </w:tcBorders>
            <w:vAlign w:val="center"/>
          </w:tcPr>
          <w:p w14:paraId="518EB605">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val="0"/>
                <w:bCs/>
                <w:snapToGrid/>
                <w:color w:val="auto"/>
                <w:sz w:val="21"/>
                <w:szCs w:val="32"/>
                <w:vertAlign w:val="baseline"/>
                <w:lang w:eastAsia="zh-CN"/>
              </w:rPr>
            </w:pPr>
            <w:r>
              <w:rPr>
                <w:rFonts w:hint="eastAsia" w:ascii="Times New Roman" w:hAnsi="Times New Roman" w:eastAsia="宋体" w:cs="Times New Roman"/>
                <w:b w:val="0"/>
                <w:bCs/>
                <w:snapToGrid/>
                <w:color w:val="auto"/>
                <w:sz w:val="21"/>
                <w:szCs w:val="32"/>
                <w:vertAlign w:val="baseline"/>
                <w:lang w:eastAsia="zh-CN"/>
              </w:rPr>
              <w:t>44.061150497</w:t>
            </w:r>
          </w:p>
        </w:tc>
        <w:tc>
          <w:tcPr>
            <w:tcW w:w="363" w:type="pct"/>
            <w:tcBorders>
              <w:tl2br w:val="nil"/>
              <w:tr2bl w:val="nil"/>
            </w:tcBorders>
            <w:vAlign w:val="center"/>
          </w:tcPr>
          <w:p w14:paraId="082F1E1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农田</w:t>
            </w:r>
          </w:p>
        </w:tc>
        <w:tc>
          <w:tcPr>
            <w:tcW w:w="363" w:type="pct"/>
            <w:tcBorders>
              <w:tl2br w:val="nil"/>
              <w:tr2bl w:val="nil"/>
            </w:tcBorders>
            <w:vAlign w:val="center"/>
          </w:tcPr>
          <w:p w14:paraId="2CA81A96">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农田</w:t>
            </w:r>
          </w:p>
        </w:tc>
        <w:tc>
          <w:tcPr>
            <w:tcW w:w="1296" w:type="pct"/>
            <w:tcBorders>
              <w:tl2br w:val="nil"/>
              <w:tr2bl w:val="nil"/>
            </w:tcBorders>
            <w:vAlign w:val="center"/>
          </w:tcPr>
          <w:p w14:paraId="5D3F58EE">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w:t>
            </w:r>
          </w:p>
        </w:tc>
        <w:tc>
          <w:tcPr>
            <w:tcW w:w="440" w:type="pct"/>
            <w:tcBorders>
              <w:tl2br w:val="nil"/>
              <w:tr2bl w:val="nil"/>
            </w:tcBorders>
            <w:vAlign w:val="center"/>
          </w:tcPr>
          <w:p w14:paraId="4FDCE58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南</w:t>
            </w:r>
          </w:p>
        </w:tc>
        <w:tc>
          <w:tcPr>
            <w:tcW w:w="523" w:type="pct"/>
            <w:tcBorders>
              <w:tl2br w:val="nil"/>
              <w:tr2bl w:val="nil"/>
            </w:tcBorders>
            <w:vAlign w:val="center"/>
          </w:tcPr>
          <w:p w14:paraId="0EB66F52">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snapToGrid/>
                <w:color w:val="auto"/>
                <w:sz w:val="21"/>
                <w:szCs w:val="32"/>
                <w:vertAlign w:val="baseline"/>
                <w:lang w:val="en-US" w:eastAsia="zh-CN"/>
              </w:rPr>
            </w:pPr>
            <w:r>
              <w:rPr>
                <w:rFonts w:hint="eastAsia" w:ascii="Times New Roman" w:hAnsi="Times New Roman" w:eastAsia="宋体" w:cs="Times New Roman"/>
                <w:b w:val="0"/>
                <w:bCs/>
                <w:snapToGrid/>
                <w:color w:val="auto"/>
                <w:sz w:val="21"/>
                <w:szCs w:val="32"/>
                <w:vertAlign w:val="baseline"/>
                <w:lang w:val="en-US" w:eastAsia="zh-CN"/>
              </w:rPr>
              <w:t>50</w:t>
            </w:r>
          </w:p>
        </w:tc>
      </w:tr>
    </w:tbl>
    <w:p w14:paraId="39E197C6">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82" w:name="_Toc23613"/>
      <w:bookmarkStart w:id="683" w:name="_Toc32160"/>
      <w:bookmarkStart w:id="684" w:name="_Toc12821"/>
      <w:r>
        <w:rPr>
          <w:rFonts w:hint="eastAsia" w:ascii="Times New Roman" w:hAnsi="Times New Roman" w:cs="Times New Roman"/>
          <w:b/>
          <w:bCs/>
          <w:snapToGrid/>
          <w:color w:val="auto"/>
          <w:sz w:val="28"/>
          <w:szCs w:val="32"/>
          <w:lang w:eastAsia="zh-CN"/>
        </w:rPr>
        <w:t>5.3.4环境风险潜势初判</w:t>
      </w:r>
      <w:bookmarkEnd w:id="682"/>
      <w:bookmarkEnd w:id="683"/>
      <w:bookmarkEnd w:id="684"/>
    </w:p>
    <w:p w14:paraId="1E8857C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据《建设项目环境风险评价技术导则》（HJ169-2018），本项目原辅材料主要为废旧塑料等，中间产品为再生</w:t>
      </w:r>
      <w:r>
        <w:rPr>
          <w:rFonts w:hint="eastAsia" w:ascii="Times New Roman" w:hAnsi="Times New Roman"/>
          <w:snapToGrid/>
          <w:color w:val="auto"/>
          <w:sz w:val="24"/>
          <w:szCs w:val="24"/>
          <w:lang w:eastAsia="zh-CN"/>
        </w:rPr>
        <w:t>聚乙烯</w:t>
      </w:r>
      <w:r>
        <w:rPr>
          <w:rFonts w:ascii="Times New Roman" w:hAnsi="Times New Roman"/>
          <w:snapToGrid/>
          <w:color w:val="auto"/>
          <w:sz w:val="24"/>
          <w:szCs w:val="24"/>
          <w:lang w:eastAsia="zh-CN"/>
        </w:rPr>
        <w:t>颗粒料，产品均为塑料制品。未被列入《危险化学品重大危险源辨识》（GB18218-2018）监控目录，不构成重大危险源，其存储量和临界量比值（Q）＜1，该项目环境风险潜势为Ⅰ。判断本项目为简单分析。</w:t>
      </w:r>
    </w:p>
    <w:p w14:paraId="6F9C46C1">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85" w:name="_Toc31526"/>
      <w:bookmarkStart w:id="686" w:name="_Toc29510"/>
      <w:bookmarkStart w:id="687" w:name="_Toc5368"/>
      <w:r>
        <w:rPr>
          <w:rFonts w:hint="eastAsia" w:ascii="Times New Roman" w:hAnsi="Times New Roman" w:cs="Times New Roman"/>
          <w:b/>
          <w:bCs/>
          <w:snapToGrid/>
          <w:color w:val="auto"/>
          <w:sz w:val="28"/>
          <w:szCs w:val="32"/>
          <w:lang w:eastAsia="zh-CN"/>
        </w:rPr>
        <w:t>5.3.5环境风险评价等级</w:t>
      </w:r>
      <w:bookmarkEnd w:id="685"/>
      <w:bookmarkEnd w:id="686"/>
      <w:bookmarkEnd w:id="687"/>
    </w:p>
    <w:p w14:paraId="595355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根据《建设项目环境风险评价技术导则》（HJ169-2018），本项目环境风险评价工作等级为简单分析，评价深度以定性说明为主，划分依据见表5.3-2。</w:t>
      </w:r>
    </w:p>
    <w:p w14:paraId="6D0A6F30">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表5.3-2环境风险评价工作等级划分表</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85"/>
        <w:gridCol w:w="1687"/>
        <w:gridCol w:w="1687"/>
        <w:gridCol w:w="1687"/>
        <w:gridCol w:w="1687"/>
      </w:tblGrid>
      <w:tr w14:paraId="556E73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999" w:type="pct"/>
            <w:tcBorders>
              <w:tl2br w:val="nil"/>
              <w:tr2bl w:val="nil"/>
            </w:tcBorders>
            <w:vAlign w:val="center"/>
          </w:tcPr>
          <w:p w14:paraId="44587E1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环境风险潜势</w:t>
            </w:r>
          </w:p>
        </w:tc>
        <w:tc>
          <w:tcPr>
            <w:tcW w:w="1000" w:type="pct"/>
            <w:tcBorders>
              <w:tl2br w:val="nil"/>
              <w:tr2bl w:val="nil"/>
            </w:tcBorders>
            <w:vAlign w:val="center"/>
          </w:tcPr>
          <w:p w14:paraId="11EB448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Ⅳ、Ⅳ</w:t>
            </w:r>
            <w:r>
              <w:rPr>
                <w:rFonts w:eastAsia="宋体"/>
                <w:snapToGrid/>
                <w:color w:val="auto"/>
              </w:rPr>
              <w:t>+</w:t>
            </w:r>
          </w:p>
        </w:tc>
        <w:tc>
          <w:tcPr>
            <w:tcW w:w="1000" w:type="pct"/>
            <w:tcBorders>
              <w:tl2br w:val="nil"/>
              <w:tr2bl w:val="nil"/>
            </w:tcBorders>
            <w:vAlign w:val="center"/>
          </w:tcPr>
          <w:p w14:paraId="09AFC9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Ⅲ</w:t>
            </w:r>
          </w:p>
        </w:tc>
        <w:tc>
          <w:tcPr>
            <w:tcW w:w="1000" w:type="pct"/>
            <w:tcBorders>
              <w:tl2br w:val="nil"/>
              <w:tr2bl w:val="nil"/>
            </w:tcBorders>
            <w:vAlign w:val="center"/>
          </w:tcPr>
          <w:p w14:paraId="37C4B12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Ⅱ</w:t>
            </w:r>
          </w:p>
        </w:tc>
        <w:tc>
          <w:tcPr>
            <w:tcW w:w="1000" w:type="pct"/>
            <w:tcBorders>
              <w:tl2br w:val="nil"/>
              <w:tr2bl w:val="nil"/>
            </w:tcBorders>
            <w:vAlign w:val="center"/>
          </w:tcPr>
          <w:p w14:paraId="0FCD637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Ⅰ</w:t>
            </w:r>
          </w:p>
        </w:tc>
      </w:tr>
      <w:tr w14:paraId="6C8F8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99" w:type="pct"/>
            <w:tcBorders>
              <w:tl2br w:val="nil"/>
              <w:tr2bl w:val="nil"/>
            </w:tcBorders>
            <w:vAlign w:val="center"/>
          </w:tcPr>
          <w:p w14:paraId="0963EED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评价工作等级</w:t>
            </w:r>
          </w:p>
        </w:tc>
        <w:tc>
          <w:tcPr>
            <w:tcW w:w="1000" w:type="pct"/>
            <w:tcBorders>
              <w:tl2br w:val="nil"/>
              <w:tr2bl w:val="nil"/>
            </w:tcBorders>
            <w:vAlign w:val="center"/>
          </w:tcPr>
          <w:p w14:paraId="59CDE68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w:t>
            </w:r>
          </w:p>
        </w:tc>
        <w:tc>
          <w:tcPr>
            <w:tcW w:w="1000" w:type="pct"/>
            <w:tcBorders>
              <w:tl2br w:val="nil"/>
              <w:tr2bl w:val="nil"/>
            </w:tcBorders>
            <w:vAlign w:val="center"/>
          </w:tcPr>
          <w:p w14:paraId="4B1277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二</w:t>
            </w:r>
          </w:p>
        </w:tc>
        <w:tc>
          <w:tcPr>
            <w:tcW w:w="1000" w:type="pct"/>
            <w:tcBorders>
              <w:tl2br w:val="nil"/>
              <w:tr2bl w:val="nil"/>
            </w:tcBorders>
            <w:vAlign w:val="center"/>
          </w:tcPr>
          <w:p w14:paraId="1E71FB6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三</w:t>
            </w:r>
          </w:p>
        </w:tc>
        <w:tc>
          <w:tcPr>
            <w:tcW w:w="1000" w:type="pct"/>
            <w:tcBorders>
              <w:tl2br w:val="nil"/>
              <w:tr2bl w:val="nil"/>
            </w:tcBorders>
            <w:vAlign w:val="center"/>
          </w:tcPr>
          <w:p w14:paraId="15C61E92">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简单分析</w:t>
            </w:r>
            <w:r>
              <w:rPr>
                <w:rFonts w:eastAsia="宋体"/>
                <w:snapToGrid/>
                <w:color w:val="auto"/>
              </w:rPr>
              <w:t>a</w:t>
            </w:r>
          </w:p>
        </w:tc>
      </w:tr>
    </w:tbl>
    <w:p w14:paraId="59729392">
      <w:pPr>
        <w:pStyle w:val="2"/>
        <w:widowControl w:val="0"/>
        <w:shd w:val="clear"/>
        <w:kinsoku/>
        <w:autoSpaceDE/>
        <w:autoSpaceDN/>
        <w:adjustRightInd/>
        <w:snapToGrid/>
        <w:spacing w:before="74" w:line="249" w:lineRule="auto"/>
        <w:ind w:left="143" w:right="105" w:hanging="13"/>
        <w:textAlignment w:val="auto"/>
        <w:rPr>
          <w:rFonts w:ascii="Times New Roman" w:hAnsi="Times New Roman"/>
          <w:snapToGrid/>
          <w:color w:val="auto"/>
          <w:lang w:eastAsia="zh-CN"/>
        </w:rPr>
      </w:pPr>
      <w:r>
        <w:rPr>
          <w:rFonts w:ascii="Times New Roman" w:hAnsi="Times New Roman" w:cs="Times New Roman"/>
          <w:snapToGrid/>
          <w:color w:val="auto"/>
          <w:lang w:eastAsia="zh-CN"/>
        </w:rPr>
        <w:t>a</w:t>
      </w:r>
      <w:r>
        <w:rPr>
          <w:rFonts w:ascii="Times New Roman" w:hAnsi="Times New Roman"/>
          <w:snapToGrid/>
          <w:color w:val="auto"/>
          <w:lang w:eastAsia="zh-CN"/>
        </w:rPr>
        <w:t>是相对于详细评价工作内容而言，在描述危险物质、环境影响途径、环境危害后果、风险防范措施等方面给出定性的说明。</w:t>
      </w:r>
    </w:p>
    <w:p w14:paraId="1B94222E">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688" w:name="_Toc29115"/>
      <w:bookmarkStart w:id="689" w:name="_Toc28258"/>
      <w:bookmarkStart w:id="690" w:name="_Toc176"/>
      <w:r>
        <w:rPr>
          <w:rFonts w:hint="eastAsia" w:ascii="Times New Roman" w:hAnsi="Times New Roman" w:cs="Times New Roman"/>
          <w:b/>
          <w:bCs/>
          <w:snapToGrid/>
          <w:color w:val="auto"/>
          <w:sz w:val="28"/>
          <w:szCs w:val="32"/>
          <w:lang w:eastAsia="zh-CN"/>
        </w:rPr>
        <w:t>5.3.6风险识别</w:t>
      </w:r>
      <w:bookmarkEnd w:id="688"/>
      <w:bookmarkEnd w:id="689"/>
      <w:bookmarkEnd w:id="690"/>
    </w:p>
    <w:p w14:paraId="278F7F5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b w:val="0"/>
          <w:bCs/>
          <w:color w:val="auto"/>
          <w:spacing w:val="0"/>
          <w:kern w:val="0"/>
          <w:position w:val="0"/>
          <w:sz w:val="24"/>
          <w:lang w:val="en-US" w:eastAsia="zh-CN"/>
        </w:rPr>
      </w:pPr>
      <w:bookmarkStart w:id="691" w:name="_Toc25389"/>
      <w:bookmarkStart w:id="692" w:name="_Toc13872"/>
      <w:r>
        <w:rPr>
          <w:rFonts w:hint="eastAsia" w:ascii="Times New Roman" w:hAnsi="Times New Roman" w:eastAsia="宋体"/>
          <w:b w:val="0"/>
          <w:bCs/>
          <w:color w:val="auto"/>
          <w:spacing w:val="0"/>
          <w:kern w:val="0"/>
          <w:position w:val="0"/>
          <w:sz w:val="24"/>
          <w:lang w:val="en-US" w:eastAsia="zh-CN"/>
        </w:rPr>
        <w:t>（1）</w:t>
      </w:r>
      <w:r>
        <w:rPr>
          <w:rFonts w:hint="default" w:ascii="Times New Roman" w:hAnsi="Times New Roman" w:eastAsia="宋体"/>
          <w:b w:val="0"/>
          <w:bCs/>
          <w:color w:val="auto"/>
          <w:spacing w:val="0"/>
          <w:kern w:val="0"/>
          <w:position w:val="0"/>
          <w:sz w:val="24"/>
          <w:lang w:val="en-US" w:eastAsia="zh-CN"/>
        </w:rPr>
        <w:t>风险调查</w:t>
      </w:r>
    </w:p>
    <w:p w14:paraId="11A7D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color w:val="auto"/>
          <w:spacing w:val="0"/>
          <w:kern w:val="0"/>
          <w:position w:val="0"/>
          <w:sz w:val="24"/>
          <w:lang w:val="en-US" w:eastAsia="zh-CN"/>
        </w:rPr>
      </w:pPr>
      <w:r>
        <w:rPr>
          <w:rFonts w:hint="eastAsia" w:ascii="Times New Roman" w:hAnsi="Times New Roman" w:eastAsia="宋体"/>
          <w:b w:val="0"/>
          <w:color w:val="auto"/>
          <w:spacing w:val="0"/>
          <w:kern w:val="0"/>
          <w:position w:val="0"/>
          <w:sz w:val="24"/>
          <w:lang w:val="en-US" w:eastAsia="zh-CN"/>
        </w:rPr>
        <w:t>①物质风险识别</w:t>
      </w:r>
    </w:p>
    <w:p w14:paraId="30CA324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color w:val="auto"/>
          <w:spacing w:val="0"/>
          <w:kern w:val="0"/>
          <w:position w:val="0"/>
          <w:sz w:val="24"/>
          <w:lang w:eastAsia="zh-CN"/>
        </w:rPr>
      </w:pPr>
      <w:r>
        <w:rPr>
          <w:rFonts w:hint="eastAsia" w:ascii="Times New Roman" w:hAnsi="Times New Roman" w:eastAsia="宋体"/>
          <w:b w:val="0"/>
          <w:color w:val="auto"/>
          <w:spacing w:val="0"/>
          <w:kern w:val="0"/>
          <w:position w:val="0"/>
          <w:sz w:val="24"/>
        </w:rPr>
        <w:t>本项目以</w:t>
      </w:r>
      <w:r>
        <w:rPr>
          <w:rFonts w:hint="eastAsia" w:ascii="Times New Roman" w:hAnsi="Times New Roman" w:eastAsia="宋体"/>
          <w:b w:val="0"/>
          <w:color w:val="auto"/>
          <w:spacing w:val="0"/>
          <w:kern w:val="0"/>
          <w:position w:val="0"/>
          <w:sz w:val="24"/>
          <w:lang w:eastAsia="zh-CN"/>
        </w:rPr>
        <w:t>废旧滴灌带、废旧地膜、聚乙烯塑料颗粒新料</w:t>
      </w:r>
      <w:r>
        <w:rPr>
          <w:rFonts w:hint="eastAsia" w:ascii="Times New Roman" w:hAnsi="Times New Roman" w:eastAsia="宋体"/>
          <w:b w:val="0"/>
          <w:color w:val="auto"/>
          <w:spacing w:val="0"/>
          <w:kern w:val="0"/>
          <w:position w:val="0"/>
          <w:sz w:val="24"/>
        </w:rPr>
        <w:t>为原料，</w:t>
      </w:r>
      <w:r>
        <w:rPr>
          <w:rFonts w:hint="eastAsia" w:ascii="Times New Roman" w:hAnsi="Times New Roman" w:eastAsia="宋体"/>
          <w:b w:val="0"/>
          <w:color w:val="auto"/>
          <w:spacing w:val="0"/>
          <w:kern w:val="0"/>
          <w:position w:val="0"/>
          <w:sz w:val="24"/>
          <w:lang w:eastAsia="zh-CN"/>
        </w:rPr>
        <w:t>均为高分子材料，属于可燃固体，易发生火灾。</w:t>
      </w:r>
    </w:p>
    <w:p w14:paraId="11C464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color w:val="auto"/>
          <w:spacing w:val="0"/>
          <w:kern w:val="0"/>
          <w:position w:val="0"/>
          <w:sz w:val="24"/>
        </w:rPr>
      </w:pPr>
      <w:r>
        <w:rPr>
          <w:rFonts w:hint="eastAsia" w:ascii="Times New Roman" w:hAnsi="Times New Roman" w:eastAsia="宋体"/>
          <w:b w:val="0"/>
          <w:color w:val="auto"/>
          <w:spacing w:val="0"/>
          <w:kern w:val="0"/>
          <w:position w:val="0"/>
          <w:sz w:val="24"/>
        </w:rPr>
        <w:t>根据《危险化学品重大危险源辨识》（GB 18218-2018）</w:t>
      </w:r>
      <w:r>
        <w:rPr>
          <w:rFonts w:hint="eastAsia" w:ascii="Times New Roman" w:hAnsi="Times New Roman" w:eastAsia="宋体"/>
          <w:b w:val="0"/>
          <w:color w:val="auto"/>
          <w:spacing w:val="0"/>
          <w:kern w:val="0"/>
          <w:position w:val="0"/>
          <w:sz w:val="24"/>
          <w:lang w:eastAsia="zh-CN"/>
        </w:rPr>
        <w:t>，将危险物质分为爆炸品、易燃气体、毒性气体、易燃液体、易于自燃的物质、遇水放出易燃气体的物质、氧化性物质、有机过氧化物、毒性物质共九大类。本项目原料、产品</w:t>
      </w:r>
      <w:r>
        <w:rPr>
          <w:rFonts w:hint="eastAsia" w:ascii="Times New Roman" w:hAnsi="Times New Roman" w:eastAsia="宋体"/>
          <w:b w:val="0"/>
          <w:color w:val="auto"/>
          <w:spacing w:val="0"/>
          <w:kern w:val="0"/>
          <w:position w:val="0"/>
          <w:sz w:val="24"/>
        </w:rPr>
        <w:t>均不属于危险化学品，不涉及有毒有害物质，其中没有规定临界量，未列入重大危险源辨识的范围内；</w:t>
      </w:r>
    </w:p>
    <w:p w14:paraId="38D2408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color w:val="auto"/>
          <w:spacing w:val="0"/>
          <w:kern w:val="0"/>
          <w:position w:val="0"/>
          <w:sz w:val="24"/>
        </w:rPr>
      </w:pPr>
      <w:r>
        <w:rPr>
          <w:rFonts w:hint="eastAsia" w:ascii="Times New Roman" w:hAnsi="Times New Roman" w:eastAsia="宋体"/>
          <w:b w:val="0"/>
          <w:color w:val="auto"/>
          <w:spacing w:val="0"/>
          <w:kern w:val="0"/>
          <w:position w:val="0"/>
          <w:sz w:val="24"/>
        </w:rPr>
        <w:t>项目使用的原料、生产的产品均属于可燃性物</w:t>
      </w:r>
      <w:r>
        <w:rPr>
          <w:rFonts w:hint="default" w:ascii="Times New Roman" w:hAnsi="Times New Roman" w:eastAsia="宋体" w:cs="Times New Roman"/>
          <w:b w:val="0"/>
          <w:color w:val="auto"/>
          <w:spacing w:val="0"/>
          <w:kern w:val="0"/>
          <w:position w:val="0"/>
          <w:sz w:val="24"/>
        </w:rPr>
        <w:t>质，</w:t>
      </w:r>
      <w:r>
        <w:rPr>
          <w:rFonts w:hint="eastAsia" w:ascii="Times New Roman" w:hAnsi="Times New Roman" w:eastAsia="宋体"/>
          <w:b w:val="0"/>
          <w:color w:val="auto"/>
          <w:spacing w:val="0"/>
          <w:kern w:val="0"/>
          <w:position w:val="0"/>
          <w:sz w:val="24"/>
          <w:lang w:val="en-US" w:eastAsia="zh-CN"/>
        </w:rPr>
        <w:t>根据</w:t>
      </w:r>
      <w:r>
        <w:rPr>
          <w:rFonts w:hint="eastAsia" w:ascii="Times New Roman" w:hAnsi="Times New Roman" w:eastAsia="宋体"/>
          <w:b w:val="0"/>
          <w:color w:val="auto"/>
          <w:spacing w:val="0"/>
          <w:kern w:val="0"/>
          <w:position w:val="0"/>
          <w:sz w:val="24"/>
        </w:rPr>
        <w:t>《建设项目环境风险评价技术导则》（HJ 169-2018）</w:t>
      </w:r>
      <w:r>
        <w:rPr>
          <w:rFonts w:hint="eastAsia" w:ascii="Times New Roman" w:hAnsi="Times New Roman" w:eastAsia="宋体"/>
          <w:b w:val="0"/>
          <w:color w:val="auto"/>
          <w:spacing w:val="0"/>
          <w:kern w:val="0"/>
          <w:position w:val="0"/>
          <w:sz w:val="24"/>
          <w:lang w:val="en-US" w:eastAsia="zh-CN"/>
        </w:rPr>
        <w:t>附录B</w:t>
      </w:r>
      <w:r>
        <w:rPr>
          <w:rFonts w:hint="eastAsia" w:ascii="Times New Roman" w:hAnsi="Times New Roman" w:eastAsia="宋体"/>
          <w:b w:val="0"/>
          <w:color w:val="auto"/>
          <w:spacing w:val="0"/>
          <w:kern w:val="0"/>
          <w:position w:val="0"/>
          <w:sz w:val="24"/>
        </w:rPr>
        <w:t>，</w:t>
      </w:r>
      <w:r>
        <w:rPr>
          <w:rFonts w:hint="eastAsia" w:ascii="Times New Roman" w:hAnsi="Times New Roman" w:eastAsia="宋体" w:cs="Times New Roman"/>
          <w:b w:val="0"/>
          <w:color w:val="auto"/>
          <w:spacing w:val="0"/>
          <w:kern w:val="0"/>
          <w:position w:val="0"/>
          <w:sz w:val="24"/>
          <w:lang w:val="en-US" w:eastAsia="zh-CN"/>
        </w:rPr>
        <w:t>项目原辅料、产品均</w:t>
      </w:r>
      <w:r>
        <w:rPr>
          <w:rFonts w:hint="default" w:ascii="Times New Roman" w:hAnsi="Times New Roman" w:eastAsia="宋体" w:cs="Times New Roman"/>
          <w:b w:val="0"/>
          <w:color w:val="auto"/>
          <w:spacing w:val="0"/>
          <w:kern w:val="0"/>
          <w:position w:val="0"/>
          <w:sz w:val="24"/>
          <w:lang w:val="en-US" w:eastAsia="zh-CN"/>
        </w:rPr>
        <w:t>不在附录B重点关注的危险物质及临界量</w:t>
      </w:r>
      <w:r>
        <w:rPr>
          <w:rFonts w:hint="eastAsia" w:ascii="Times New Roman" w:hAnsi="Times New Roman" w:eastAsia="宋体" w:cs="Times New Roman"/>
          <w:b w:val="0"/>
          <w:color w:val="auto"/>
          <w:spacing w:val="0"/>
          <w:kern w:val="0"/>
          <w:position w:val="0"/>
          <w:sz w:val="24"/>
          <w:lang w:val="en-US" w:eastAsia="zh-CN"/>
        </w:rPr>
        <w:t>表B.1突发环境事件风险物质及临界量</w:t>
      </w:r>
      <w:r>
        <w:rPr>
          <w:rFonts w:hint="default" w:ascii="Times New Roman" w:hAnsi="Times New Roman" w:eastAsia="宋体" w:cs="Times New Roman"/>
          <w:b w:val="0"/>
          <w:color w:val="auto"/>
          <w:spacing w:val="0"/>
          <w:kern w:val="0"/>
          <w:position w:val="0"/>
          <w:sz w:val="24"/>
          <w:lang w:val="en-US" w:eastAsia="zh-CN"/>
        </w:rPr>
        <w:t>中</w:t>
      </w:r>
      <w:r>
        <w:rPr>
          <w:rFonts w:hint="default" w:ascii="Times New Roman" w:hAnsi="Times New Roman" w:eastAsia="宋体" w:cs="Times New Roman"/>
          <w:b w:val="0"/>
          <w:color w:val="auto"/>
          <w:spacing w:val="0"/>
          <w:kern w:val="0"/>
          <w:position w:val="0"/>
          <w:sz w:val="24"/>
        </w:rPr>
        <w:t>。</w:t>
      </w:r>
    </w:p>
    <w:p w14:paraId="53F6B9C5">
      <w:pPr>
        <w:pStyle w:val="25"/>
        <w:keepNext w:val="0"/>
        <w:keepLines w:val="0"/>
        <w:pageBreakBefore w:val="0"/>
        <w:widowControl w:val="0"/>
        <w:shd w:val="clear"/>
        <w:kinsoku/>
        <w:wordWrap/>
        <w:overflowPunct/>
        <w:topLinePunct w:val="0"/>
        <w:autoSpaceDE/>
        <w:autoSpaceDN/>
        <w:bidi w:val="0"/>
        <w:adjustRightInd/>
        <w:snapToGrid/>
        <w:spacing w:before="0" w:beforeLines="0" w:after="0" w:afterLines="0" w:line="360" w:lineRule="auto"/>
        <w:ind w:firstLine="480" w:firstLineChars="200"/>
        <w:jc w:val="both"/>
        <w:textAlignment w:val="auto"/>
        <w:outlineLvl w:val="9"/>
        <w:rPr>
          <w:rFonts w:hint="default" w:ascii="Times New Roman" w:hAnsi="Times New Roman" w:eastAsia="宋体"/>
          <w:b w:val="0"/>
          <w:color w:val="auto"/>
          <w:spacing w:val="0"/>
          <w:kern w:val="0"/>
          <w:position w:val="0"/>
          <w:sz w:val="24"/>
        </w:rPr>
      </w:pPr>
      <w:r>
        <w:rPr>
          <w:rFonts w:hint="default" w:ascii="Times New Roman" w:hAnsi="Times New Roman" w:eastAsia="宋体"/>
          <w:b w:val="0"/>
          <w:color w:val="auto"/>
          <w:spacing w:val="0"/>
          <w:kern w:val="0"/>
          <w:position w:val="0"/>
          <w:sz w:val="24"/>
        </w:rPr>
        <w:t>本项目所涉及主要环境风险物质为：废</w:t>
      </w:r>
      <w:r>
        <w:rPr>
          <w:rFonts w:hint="eastAsia" w:ascii="Times New Roman" w:hAnsi="Times New Roman" w:eastAsia="宋体"/>
          <w:b w:val="0"/>
          <w:color w:val="auto"/>
          <w:spacing w:val="0"/>
          <w:kern w:val="0"/>
          <w:position w:val="0"/>
          <w:sz w:val="24"/>
          <w:lang w:val="en-US" w:eastAsia="zh-CN"/>
        </w:rPr>
        <w:t>润滑油</w:t>
      </w:r>
      <w:r>
        <w:rPr>
          <w:rFonts w:hint="default" w:ascii="Times New Roman" w:hAnsi="Times New Roman" w:eastAsia="宋体"/>
          <w:b w:val="0"/>
          <w:color w:val="auto"/>
          <w:spacing w:val="0"/>
          <w:kern w:val="0"/>
          <w:position w:val="0"/>
          <w:sz w:val="24"/>
        </w:rPr>
        <w:t>。</w:t>
      </w:r>
    </w:p>
    <w:p w14:paraId="5FD61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本项目涉及的风险物质临界量见下表</w:t>
      </w:r>
      <w:r>
        <w:rPr>
          <w:rFonts w:hint="eastAsia" w:ascii="Times New Roman" w:hAnsi="Times New Roman" w:eastAsia="宋体" w:cs="Times New Roman"/>
          <w:color w:val="000000"/>
          <w:sz w:val="24"/>
          <w:lang w:val="en-US" w:eastAsia="zh-CN"/>
        </w:rPr>
        <w:t>5.3-3</w:t>
      </w:r>
      <w:r>
        <w:rPr>
          <w:rFonts w:hint="default" w:ascii="Times New Roman" w:hAnsi="Times New Roman" w:eastAsia="宋体" w:cs="Times New Roman"/>
          <w:color w:val="000000"/>
          <w:sz w:val="24"/>
          <w:lang w:val="en-US" w:eastAsia="zh-CN"/>
        </w:rPr>
        <w:t>。</w:t>
      </w:r>
    </w:p>
    <w:p w14:paraId="123938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000000"/>
          <w:sz w:val="24"/>
          <w:szCs w:val="21"/>
          <w:lang w:val="en-US" w:eastAsia="zh-CN"/>
        </w:rPr>
      </w:pPr>
      <w:r>
        <w:rPr>
          <w:rFonts w:hint="eastAsia" w:ascii="Times New Roman" w:hAnsi="Times New Roman" w:eastAsia="宋体"/>
          <w:b/>
          <w:bCs/>
          <w:color w:val="000000"/>
          <w:sz w:val="24"/>
          <w:szCs w:val="21"/>
          <w:lang w:val="en-US" w:eastAsia="zh-CN"/>
        </w:rPr>
        <w:t>表5.3-3危险物料识别</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064"/>
        <w:gridCol w:w="993"/>
        <w:gridCol w:w="1337"/>
        <w:gridCol w:w="1547"/>
        <w:gridCol w:w="1759"/>
        <w:gridCol w:w="1276"/>
      </w:tblGrid>
      <w:tr w14:paraId="1DA3B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71" w:type="pct"/>
            <w:tcBorders>
              <w:tl2br w:val="nil"/>
              <w:tr2bl w:val="nil"/>
            </w:tcBorders>
            <w:noWrap w:val="0"/>
            <w:vAlign w:val="center"/>
          </w:tcPr>
          <w:p w14:paraId="39DF1B92">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序号</w:t>
            </w:r>
          </w:p>
        </w:tc>
        <w:tc>
          <w:tcPr>
            <w:tcW w:w="617" w:type="pct"/>
            <w:tcBorders>
              <w:tl2br w:val="nil"/>
              <w:tr2bl w:val="nil"/>
            </w:tcBorders>
            <w:noWrap w:val="0"/>
            <w:vAlign w:val="center"/>
          </w:tcPr>
          <w:p w14:paraId="0AF67EFD">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物质名称</w:t>
            </w:r>
          </w:p>
        </w:tc>
        <w:tc>
          <w:tcPr>
            <w:tcW w:w="576" w:type="pct"/>
            <w:tcBorders>
              <w:tl2br w:val="nil"/>
              <w:tr2bl w:val="nil"/>
            </w:tcBorders>
            <w:noWrap w:val="0"/>
            <w:vAlign w:val="center"/>
          </w:tcPr>
          <w:p w14:paraId="643E8CCE">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CAS号</w:t>
            </w:r>
          </w:p>
        </w:tc>
        <w:tc>
          <w:tcPr>
            <w:tcW w:w="775" w:type="pct"/>
            <w:tcBorders>
              <w:tl2br w:val="nil"/>
              <w:tr2bl w:val="nil"/>
            </w:tcBorders>
            <w:noWrap w:val="0"/>
            <w:vAlign w:val="center"/>
          </w:tcPr>
          <w:p w14:paraId="7D23B978">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临界量（t）</w:t>
            </w:r>
          </w:p>
        </w:tc>
        <w:tc>
          <w:tcPr>
            <w:tcW w:w="897" w:type="pct"/>
            <w:tcBorders>
              <w:tl2br w:val="nil"/>
              <w:tr2bl w:val="nil"/>
            </w:tcBorders>
            <w:noWrap w:val="0"/>
            <w:vAlign w:val="center"/>
          </w:tcPr>
          <w:p w14:paraId="7E2DF5BC">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年使用量（t）</w:t>
            </w:r>
          </w:p>
        </w:tc>
        <w:tc>
          <w:tcPr>
            <w:tcW w:w="1020" w:type="pct"/>
            <w:tcBorders>
              <w:tl2br w:val="nil"/>
              <w:tr2bl w:val="nil"/>
            </w:tcBorders>
            <w:noWrap w:val="0"/>
            <w:vAlign w:val="center"/>
          </w:tcPr>
          <w:p w14:paraId="464E9378">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最大储存量（t）</w:t>
            </w:r>
          </w:p>
        </w:tc>
        <w:tc>
          <w:tcPr>
            <w:tcW w:w="740" w:type="pct"/>
            <w:tcBorders>
              <w:tl2br w:val="nil"/>
              <w:tr2bl w:val="nil"/>
            </w:tcBorders>
            <w:noWrap w:val="0"/>
            <w:vAlign w:val="center"/>
          </w:tcPr>
          <w:p w14:paraId="220C621C">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存储位置</w:t>
            </w:r>
          </w:p>
        </w:tc>
      </w:tr>
      <w:tr w14:paraId="37B71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tcBorders>
              <w:tl2br w:val="nil"/>
              <w:tr2bl w:val="nil"/>
            </w:tcBorders>
            <w:noWrap w:val="0"/>
            <w:vAlign w:val="center"/>
          </w:tcPr>
          <w:p w14:paraId="173431B4">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eastAsia="zh-CN"/>
              </w:rPr>
            </w:pPr>
            <w:r>
              <w:rPr>
                <w:rFonts w:hint="default" w:ascii="Times New Roman" w:hAnsi="Times New Roman" w:eastAsia="宋体"/>
                <w:color w:val="000000"/>
                <w:sz w:val="21"/>
                <w:lang w:eastAsia="zh-CN"/>
              </w:rPr>
              <w:t>1</w:t>
            </w:r>
          </w:p>
        </w:tc>
        <w:tc>
          <w:tcPr>
            <w:tcW w:w="617" w:type="pct"/>
            <w:tcBorders>
              <w:tl2br w:val="nil"/>
              <w:tr2bl w:val="nil"/>
            </w:tcBorders>
            <w:noWrap w:val="0"/>
            <w:vAlign w:val="center"/>
          </w:tcPr>
          <w:p w14:paraId="3030D611">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eastAsia="zh-CN"/>
              </w:rPr>
            </w:pPr>
            <w:r>
              <w:rPr>
                <w:rFonts w:hint="eastAsia" w:ascii="Times New Roman" w:hAnsi="Times New Roman" w:eastAsia="宋体"/>
                <w:color w:val="000000"/>
                <w:sz w:val="21"/>
                <w:lang w:val="en-US" w:eastAsia="zh-CN"/>
              </w:rPr>
              <w:t>废润滑油</w:t>
            </w:r>
          </w:p>
        </w:tc>
        <w:tc>
          <w:tcPr>
            <w:tcW w:w="576" w:type="pct"/>
            <w:tcBorders>
              <w:tl2br w:val="nil"/>
              <w:tr2bl w:val="nil"/>
            </w:tcBorders>
            <w:noWrap w:val="0"/>
            <w:vAlign w:val="center"/>
          </w:tcPr>
          <w:p w14:paraId="72371DC9">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106-97-8</w:t>
            </w:r>
          </w:p>
        </w:tc>
        <w:tc>
          <w:tcPr>
            <w:tcW w:w="775" w:type="pct"/>
            <w:tcBorders>
              <w:tl2br w:val="nil"/>
              <w:tr2bl w:val="nil"/>
            </w:tcBorders>
            <w:noWrap w:val="0"/>
            <w:vAlign w:val="center"/>
          </w:tcPr>
          <w:p w14:paraId="09BFCF43">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10</w:t>
            </w:r>
          </w:p>
        </w:tc>
        <w:tc>
          <w:tcPr>
            <w:tcW w:w="897" w:type="pct"/>
            <w:tcBorders>
              <w:tl2br w:val="nil"/>
              <w:tr2bl w:val="nil"/>
            </w:tcBorders>
            <w:noWrap w:val="0"/>
            <w:vAlign w:val="center"/>
          </w:tcPr>
          <w:p w14:paraId="2B9FCFF9">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0.5</w:t>
            </w:r>
          </w:p>
        </w:tc>
        <w:tc>
          <w:tcPr>
            <w:tcW w:w="1020" w:type="pct"/>
            <w:tcBorders>
              <w:tl2br w:val="nil"/>
              <w:tr2bl w:val="nil"/>
            </w:tcBorders>
            <w:noWrap w:val="0"/>
            <w:vAlign w:val="center"/>
          </w:tcPr>
          <w:p w14:paraId="39E2F404">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0.5</w:t>
            </w:r>
          </w:p>
        </w:tc>
        <w:tc>
          <w:tcPr>
            <w:tcW w:w="740" w:type="pct"/>
            <w:tcBorders>
              <w:tl2br w:val="nil"/>
              <w:tr2bl w:val="nil"/>
            </w:tcBorders>
            <w:noWrap w:val="0"/>
            <w:vAlign w:val="center"/>
          </w:tcPr>
          <w:p w14:paraId="52D37D8E">
            <w:pPr>
              <w:pStyle w:val="5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危废暂存间</w:t>
            </w:r>
          </w:p>
        </w:tc>
      </w:tr>
    </w:tbl>
    <w:p w14:paraId="2F791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b w:val="0"/>
          <w:color w:val="auto"/>
          <w:spacing w:val="0"/>
          <w:kern w:val="0"/>
          <w:position w:val="0"/>
          <w:sz w:val="24"/>
          <w:lang w:val="en-US" w:eastAsia="zh-CN"/>
        </w:rPr>
      </w:pPr>
      <w:r>
        <w:rPr>
          <w:rFonts w:hint="eastAsia" w:ascii="Times New Roman" w:hAnsi="Times New Roman" w:eastAsia="宋体"/>
          <w:b w:val="0"/>
          <w:color w:val="auto"/>
          <w:spacing w:val="0"/>
          <w:kern w:val="0"/>
          <w:position w:val="0"/>
          <w:sz w:val="24"/>
          <w:lang w:val="en-US" w:eastAsia="zh-CN"/>
        </w:rPr>
        <w:t>②生产设施风险识别</w:t>
      </w:r>
    </w:p>
    <w:p w14:paraId="7708FBD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color w:val="auto"/>
          <w:spacing w:val="0"/>
          <w:kern w:val="0"/>
          <w:position w:val="0"/>
          <w:sz w:val="24"/>
          <w:lang w:eastAsia="zh-CN"/>
        </w:rPr>
      </w:pPr>
      <w:r>
        <w:rPr>
          <w:rFonts w:hint="eastAsia" w:ascii="Times New Roman" w:hAnsi="Times New Roman" w:eastAsia="宋体"/>
          <w:b w:val="0"/>
          <w:color w:val="auto"/>
          <w:spacing w:val="0"/>
          <w:kern w:val="0"/>
          <w:position w:val="0"/>
          <w:sz w:val="24"/>
          <w:lang w:eastAsia="zh-CN"/>
        </w:rPr>
        <w:t>本项目生产过程中可能发生的事故由机械破损、物体摔落、交通事故、火灾、有毒物质排放等，其中火灾事故及其导致的有毒物质排放具有严重的危害后果。环境风险评价的主要研究对象是①重大火灾；②重大爆炸；③重大有毒物泄漏，如有毒气体、液体的释放等；④可以产生多米诺效应的重大事件产生的环境影响，如爆炸引起的有毒物质泄漏等。</w:t>
      </w:r>
    </w:p>
    <w:p w14:paraId="4EAA52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b w:val="0"/>
          <w:color w:val="auto"/>
          <w:spacing w:val="0"/>
          <w:kern w:val="0"/>
          <w:position w:val="0"/>
          <w:sz w:val="24"/>
          <w:lang w:eastAsia="zh-CN"/>
        </w:rPr>
      </w:pPr>
      <w:r>
        <w:rPr>
          <w:rFonts w:hint="eastAsia" w:ascii="Times New Roman" w:hAnsi="Times New Roman" w:eastAsia="宋体"/>
          <w:b w:val="0"/>
          <w:color w:val="auto"/>
          <w:spacing w:val="0"/>
          <w:kern w:val="0"/>
          <w:position w:val="0"/>
          <w:sz w:val="24"/>
          <w:lang w:eastAsia="zh-CN"/>
        </w:rPr>
        <w:t>根据对本项目涉及的各类物料的理化性质、生产工艺特征以及同类项目类比调查，本项目事故风险类型确定为火灾、爆炸、泄漏，不考虑自然灾害引起的风险。</w:t>
      </w:r>
    </w:p>
    <w:p w14:paraId="2A03BC5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③生产过程风险识别</w:t>
      </w:r>
    </w:p>
    <w:p w14:paraId="5FC462B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olor w:val="000000"/>
          <w:sz w:val="24"/>
          <w:lang w:val="en-US"/>
        </w:rPr>
      </w:pPr>
      <w:r>
        <w:rPr>
          <w:rFonts w:hint="eastAsia" w:ascii="Times New Roman" w:hAnsi="Times New Roman" w:eastAsia="宋体" w:cs="Times New Roman"/>
          <w:color w:val="000000"/>
          <w:sz w:val="24"/>
          <w:lang w:eastAsia="zh-CN"/>
        </w:rPr>
        <w:t>本项目</w:t>
      </w:r>
      <w:r>
        <w:rPr>
          <w:rFonts w:hint="default" w:ascii="Times New Roman" w:hAnsi="Times New Roman" w:eastAsia="宋体" w:cs="Times New Roman"/>
          <w:color w:val="000000"/>
          <w:sz w:val="24"/>
        </w:rPr>
        <w:t>在生产过程中潜在的危险主要为火灾</w:t>
      </w:r>
      <w:r>
        <w:rPr>
          <w:rFonts w:hint="eastAsia" w:ascii="Times New Roman" w:hAnsi="Times New Roman" w:eastAsia="宋体" w:cs="Times New Roman"/>
          <w:color w:val="000000"/>
          <w:sz w:val="24"/>
          <w:lang w:eastAsia="zh-CN"/>
        </w:rPr>
        <w:t>、爆炸、循环水池</w:t>
      </w:r>
      <w:r>
        <w:rPr>
          <w:rFonts w:hint="eastAsia" w:ascii="Times New Roman" w:hAnsi="Times New Roman" w:eastAsia="宋体" w:cs="Times New Roman"/>
          <w:color w:val="000000"/>
          <w:sz w:val="24"/>
          <w:lang w:val="en-US" w:eastAsia="zh-CN"/>
        </w:rPr>
        <w:t>及危废暂存间</w:t>
      </w:r>
      <w:r>
        <w:rPr>
          <w:rFonts w:hint="eastAsia" w:ascii="Times New Roman" w:hAnsi="Times New Roman" w:eastAsia="宋体" w:cs="Times New Roman"/>
          <w:color w:val="000000"/>
          <w:sz w:val="24"/>
          <w:lang w:eastAsia="zh-CN"/>
        </w:rPr>
        <w:t>泄漏等</w:t>
      </w:r>
      <w:r>
        <w:rPr>
          <w:rFonts w:hint="default" w:ascii="Times New Roman" w:hAnsi="Times New Roman" w:eastAsia="宋体" w:cs="Times New Roman"/>
          <w:color w:val="000000"/>
          <w:sz w:val="24"/>
        </w:rPr>
        <w:t>事故，并伴随大量污染物的产生，将威胁作业人员的生命安全，造成重大生命、财产损失，并对周围环境产生影响。本项目生产设施风险识别</w:t>
      </w:r>
      <w:r>
        <w:rPr>
          <w:rFonts w:hint="eastAsia" w:ascii="Times New Roman" w:hAnsi="Times New Roman" w:eastAsia="宋体"/>
          <w:color w:val="000000"/>
          <w:sz w:val="24"/>
          <w:lang w:val="en-US" w:eastAsia="zh-CN"/>
        </w:rPr>
        <w:t>见表5.3-4。</w:t>
      </w:r>
    </w:p>
    <w:p w14:paraId="62039A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000000"/>
          <w:sz w:val="24"/>
          <w:szCs w:val="21"/>
          <w:lang w:val="en-US" w:eastAsia="zh-CN"/>
        </w:rPr>
      </w:pPr>
      <w:r>
        <w:rPr>
          <w:rFonts w:hint="eastAsia" w:ascii="Times New Roman" w:hAnsi="Times New Roman" w:eastAsia="宋体"/>
          <w:b/>
          <w:bCs/>
          <w:color w:val="000000"/>
          <w:sz w:val="24"/>
          <w:szCs w:val="21"/>
          <w:lang w:val="en-US" w:eastAsia="zh-CN"/>
        </w:rPr>
        <w:t>表5.3-4生产设施风险识别一览表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67"/>
        <w:gridCol w:w="1722"/>
        <w:gridCol w:w="1724"/>
        <w:gridCol w:w="1727"/>
      </w:tblGrid>
      <w:tr w14:paraId="0094E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51" w:type="pct"/>
            <w:vMerge w:val="restart"/>
            <w:tcBorders>
              <w:tl2br w:val="nil"/>
              <w:tr2bl w:val="nil"/>
            </w:tcBorders>
            <w:noWrap w:val="0"/>
            <w:vAlign w:val="center"/>
          </w:tcPr>
          <w:p w14:paraId="1112E699">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序号</w:t>
            </w:r>
          </w:p>
        </w:tc>
        <w:tc>
          <w:tcPr>
            <w:tcW w:w="1547" w:type="pct"/>
            <w:vMerge w:val="restart"/>
            <w:tcBorders>
              <w:tl2br w:val="nil"/>
              <w:tr2bl w:val="nil"/>
            </w:tcBorders>
            <w:noWrap w:val="0"/>
            <w:vAlign w:val="center"/>
          </w:tcPr>
          <w:p w14:paraId="269642EA">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生产设施</w:t>
            </w:r>
          </w:p>
        </w:tc>
        <w:tc>
          <w:tcPr>
            <w:tcW w:w="3001" w:type="pct"/>
            <w:gridSpan w:val="3"/>
            <w:tcBorders>
              <w:tl2br w:val="nil"/>
              <w:tr2bl w:val="nil"/>
            </w:tcBorders>
            <w:noWrap w:val="0"/>
            <w:vAlign w:val="center"/>
          </w:tcPr>
          <w:p w14:paraId="4A9E44DC">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可能发生的事故类型</w:t>
            </w:r>
          </w:p>
        </w:tc>
      </w:tr>
      <w:tr w14:paraId="345CE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l2br w:val="nil"/>
              <w:tr2bl w:val="nil"/>
            </w:tcBorders>
            <w:noWrap w:val="0"/>
            <w:vAlign w:val="center"/>
          </w:tcPr>
          <w:p w14:paraId="515359C7">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p>
        </w:tc>
        <w:tc>
          <w:tcPr>
            <w:tcW w:w="1547" w:type="pct"/>
            <w:vMerge w:val="continue"/>
            <w:tcBorders>
              <w:tl2br w:val="nil"/>
              <w:tr2bl w:val="nil"/>
            </w:tcBorders>
            <w:noWrap w:val="0"/>
            <w:vAlign w:val="center"/>
          </w:tcPr>
          <w:p w14:paraId="36A94246">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p>
        </w:tc>
        <w:tc>
          <w:tcPr>
            <w:tcW w:w="999" w:type="pct"/>
            <w:tcBorders>
              <w:tl2br w:val="nil"/>
              <w:tr2bl w:val="nil"/>
            </w:tcBorders>
            <w:noWrap w:val="0"/>
            <w:vAlign w:val="center"/>
          </w:tcPr>
          <w:p w14:paraId="58A39BC1">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火灾</w:t>
            </w:r>
          </w:p>
        </w:tc>
        <w:tc>
          <w:tcPr>
            <w:tcW w:w="1000" w:type="pct"/>
            <w:tcBorders>
              <w:tl2br w:val="nil"/>
              <w:tr2bl w:val="nil"/>
            </w:tcBorders>
            <w:noWrap w:val="0"/>
            <w:vAlign w:val="center"/>
          </w:tcPr>
          <w:p w14:paraId="62880402">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爆炸</w:t>
            </w:r>
          </w:p>
        </w:tc>
        <w:tc>
          <w:tcPr>
            <w:tcW w:w="1001" w:type="pct"/>
            <w:tcBorders>
              <w:tl2br w:val="nil"/>
              <w:tr2bl w:val="nil"/>
            </w:tcBorders>
            <w:noWrap w:val="0"/>
            <w:vAlign w:val="center"/>
          </w:tcPr>
          <w:p w14:paraId="13D0C0D1">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有毒有害物质泄漏</w:t>
            </w:r>
          </w:p>
        </w:tc>
      </w:tr>
      <w:tr w14:paraId="6DCED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14:paraId="536495C0">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1</w:t>
            </w:r>
          </w:p>
        </w:tc>
        <w:tc>
          <w:tcPr>
            <w:tcW w:w="1547" w:type="pct"/>
            <w:tcBorders>
              <w:tl2br w:val="nil"/>
              <w:tr2bl w:val="nil"/>
            </w:tcBorders>
            <w:noWrap w:val="0"/>
            <w:vAlign w:val="center"/>
          </w:tcPr>
          <w:p w14:paraId="54C9599D">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车间存储原辅料区域</w:t>
            </w:r>
          </w:p>
        </w:tc>
        <w:tc>
          <w:tcPr>
            <w:tcW w:w="999" w:type="pct"/>
            <w:tcBorders>
              <w:tl2br w:val="nil"/>
              <w:tr2bl w:val="nil"/>
            </w:tcBorders>
            <w:noWrap w:val="0"/>
            <w:vAlign w:val="center"/>
          </w:tcPr>
          <w:p w14:paraId="3007CA88">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w:t>
            </w:r>
          </w:p>
        </w:tc>
        <w:tc>
          <w:tcPr>
            <w:tcW w:w="1000" w:type="pct"/>
            <w:tcBorders>
              <w:tl2br w:val="nil"/>
              <w:tr2bl w:val="nil"/>
            </w:tcBorders>
            <w:noWrap w:val="0"/>
            <w:vAlign w:val="center"/>
          </w:tcPr>
          <w:p w14:paraId="1CA9EE09">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w:t>
            </w:r>
          </w:p>
        </w:tc>
        <w:tc>
          <w:tcPr>
            <w:tcW w:w="1001" w:type="pct"/>
            <w:tcBorders>
              <w:tl2br w:val="nil"/>
              <w:tr2bl w:val="nil"/>
            </w:tcBorders>
            <w:noWrap w:val="0"/>
            <w:vAlign w:val="center"/>
          </w:tcPr>
          <w:p w14:paraId="6A1DBFE2">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w:t>
            </w:r>
          </w:p>
        </w:tc>
      </w:tr>
      <w:tr w14:paraId="60354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14:paraId="541B1FB5">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2</w:t>
            </w:r>
          </w:p>
        </w:tc>
        <w:tc>
          <w:tcPr>
            <w:tcW w:w="1547" w:type="pct"/>
            <w:tcBorders>
              <w:tl2br w:val="nil"/>
              <w:tr2bl w:val="nil"/>
            </w:tcBorders>
            <w:noWrap w:val="0"/>
            <w:vAlign w:val="center"/>
          </w:tcPr>
          <w:p w14:paraId="1FB9688C">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循环沉淀水池</w:t>
            </w:r>
          </w:p>
        </w:tc>
        <w:tc>
          <w:tcPr>
            <w:tcW w:w="999" w:type="pct"/>
            <w:tcBorders>
              <w:tl2br w:val="nil"/>
              <w:tr2bl w:val="nil"/>
            </w:tcBorders>
            <w:noWrap w:val="0"/>
            <w:vAlign w:val="center"/>
          </w:tcPr>
          <w:p w14:paraId="5D5F33BB">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w:t>
            </w:r>
          </w:p>
        </w:tc>
        <w:tc>
          <w:tcPr>
            <w:tcW w:w="1000" w:type="pct"/>
            <w:tcBorders>
              <w:tl2br w:val="nil"/>
              <w:tr2bl w:val="nil"/>
            </w:tcBorders>
            <w:noWrap w:val="0"/>
            <w:vAlign w:val="center"/>
          </w:tcPr>
          <w:p w14:paraId="182B9D41">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w:t>
            </w:r>
          </w:p>
        </w:tc>
        <w:tc>
          <w:tcPr>
            <w:tcW w:w="1001" w:type="pct"/>
            <w:tcBorders>
              <w:tl2br w:val="nil"/>
              <w:tr2bl w:val="nil"/>
            </w:tcBorders>
            <w:noWrap w:val="0"/>
            <w:vAlign w:val="center"/>
          </w:tcPr>
          <w:p w14:paraId="60EA7457">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w:t>
            </w:r>
          </w:p>
        </w:tc>
      </w:tr>
      <w:tr w14:paraId="6E7D6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14:paraId="52F3AB03">
            <w:pPr>
              <w:pStyle w:val="56"/>
              <w:keepNext w:val="0"/>
              <w:keepLines w:val="0"/>
              <w:pageBreakBefore w:val="0"/>
              <w:widowControl w:val="0"/>
              <w:kinsoku w:val="0"/>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b w:val="0"/>
                <w:bCs/>
                <w:color w:val="000000"/>
                <w:sz w:val="21"/>
                <w:szCs w:val="21"/>
                <w:lang w:val="en-US" w:eastAsia="zh-CN" w:bidi="ar-SA"/>
              </w:rPr>
            </w:pPr>
            <w:r>
              <w:rPr>
                <w:rFonts w:hint="eastAsia" w:ascii="Times New Roman" w:hAnsi="Times New Roman" w:eastAsia="宋体"/>
                <w:color w:val="000000"/>
                <w:sz w:val="21"/>
                <w:lang w:val="en-US" w:eastAsia="zh-CN"/>
              </w:rPr>
              <w:t>3</w:t>
            </w:r>
          </w:p>
        </w:tc>
        <w:tc>
          <w:tcPr>
            <w:tcW w:w="1547" w:type="pct"/>
            <w:tcBorders>
              <w:tl2br w:val="nil"/>
              <w:tr2bl w:val="nil"/>
            </w:tcBorders>
            <w:noWrap w:val="0"/>
            <w:vAlign w:val="center"/>
          </w:tcPr>
          <w:p w14:paraId="2F3BEF43">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各生产车间</w:t>
            </w:r>
          </w:p>
        </w:tc>
        <w:tc>
          <w:tcPr>
            <w:tcW w:w="999" w:type="pct"/>
            <w:tcBorders>
              <w:tl2br w:val="nil"/>
              <w:tr2bl w:val="nil"/>
            </w:tcBorders>
            <w:noWrap w:val="0"/>
            <w:vAlign w:val="center"/>
          </w:tcPr>
          <w:p w14:paraId="7B3C9A4E">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bookmarkStart w:id="693" w:name="OLE_LINK30"/>
            <w:r>
              <w:rPr>
                <w:rFonts w:hint="default" w:ascii="Times New Roman" w:hAnsi="Times New Roman" w:eastAsia="宋体"/>
                <w:color w:val="000000"/>
                <w:sz w:val="21"/>
                <w:lang w:val="en-US" w:eastAsia="zh-CN"/>
              </w:rPr>
              <w:t>√</w:t>
            </w:r>
            <w:bookmarkEnd w:id="693"/>
          </w:p>
        </w:tc>
        <w:tc>
          <w:tcPr>
            <w:tcW w:w="1000" w:type="pct"/>
            <w:tcBorders>
              <w:tl2br w:val="nil"/>
              <w:tr2bl w:val="nil"/>
            </w:tcBorders>
            <w:noWrap w:val="0"/>
            <w:vAlign w:val="center"/>
          </w:tcPr>
          <w:p w14:paraId="38BF8464">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bookmarkStart w:id="694" w:name="OLE_LINK32"/>
            <w:r>
              <w:rPr>
                <w:rFonts w:hint="eastAsia" w:ascii="Times New Roman" w:hAnsi="Times New Roman" w:eastAsia="宋体"/>
                <w:color w:val="000000"/>
                <w:sz w:val="21"/>
                <w:lang w:val="en-US" w:eastAsia="zh-CN"/>
              </w:rPr>
              <w:t>-</w:t>
            </w:r>
            <w:bookmarkEnd w:id="694"/>
          </w:p>
        </w:tc>
        <w:tc>
          <w:tcPr>
            <w:tcW w:w="1001" w:type="pct"/>
            <w:tcBorders>
              <w:tl2br w:val="nil"/>
              <w:tr2bl w:val="nil"/>
            </w:tcBorders>
            <w:noWrap w:val="0"/>
            <w:vAlign w:val="center"/>
          </w:tcPr>
          <w:p w14:paraId="076CD9A2">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bookmarkStart w:id="695" w:name="OLE_LINK31"/>
            <w:r>
              <w:rPr>
                <w:rFonts w:hint="eastAsia" w:ascii="Times New Roman" w:hAnsi="Times New Roman" w:eastAsia="宋体"/>
                <w:color w:val="000000"/>
                <w:sz w:val="21"/>
                <w:lang w:val="en-US" w:eastAsia="zh-CN"/>
              </w:rPr>
              <w:t>-</w:t>
            </w:r>
            <w:bookmarkEnd w:id="695"/>
          </w:p>
        </w:tc>
      </w:tr>
      <w:tr w14:paraId="02151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14:paraId="54512651">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4</w:t>
            </w:r>
          </w:p>
        </w:tc>
        <w:tc>
          <w:tcPr>
            <w:tcW w:w="1547" w:type="pct"/>
            <w:tcBorders>
              <w:tl2br w:val="nil"/>
              <w:tr2bl w:val="nil"/>
            </w:tcBorders>
            <w:noWrap w:val="0"/>
            <w:vAlign w:val="center"/>
          </w:tcPr>
          <w:p w14:paraId="71C01900">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eastAsia" w:ascii="Times New Roman" w:hAnsi="Times New Roman" w:eastAsia="宋体"/>
                <w:color w:val="000000"/>
                <w:sz w:val="21"/>
                <w:lang w:val="en-US" w:eastAsia="zh-CN"/>
              </w:rPr>
              <w:t>危废暂存间</w:t>
            </w:r>
          </w:p>
        </w:tc>
        <w:tc>
          <w:tcPr>
            <w:tcW w:w="999" w:type="pct"/>
            <w:tcBorders>
              <w:tl2br w:val="nil"/>
              <w:tr2bl w:val="nil"/>
            </w:tcBorders>
            <w:noWrap w:val="0"/>
            <w:vAlign w:val="center"/>
          </w:tcPr>
          <w:p w14:paraId="50A3D97B">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default"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w:t>
            </w:r>
          </w:p>
        </w:tc>
        <w:tc>
          <w:tcPr>
            <w:tcW w:w="1000" w:type="pct"/>
            <w:tcBorders>
              <w:tl2br w:val="nil"/>
              <w:tr2bl w:val="nil"/>
            </w:tcBorders>
            <w:noWrap w:val="0"/>
            <w:vAlign w:val="center"/>
          </w:tcPr>
          <w:p w14:paraId="29A18397">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w:t>
            </w:r>
          </w:p>
        </w:tc>
        <w:tc>
          <w:tcPr>
            <w:tcW w:w="1001" w:type="pct"/>
            <w:tcBorders>
              <w:tl2br w:val="nil"/>
              <w:tr2bl w:val="nil"/>
            </w:tcBorders>
            <w:noWrap w:val="0"/>
            <w:vAlign w:val="center"/>
          </w:tcPr>
          <w:p w14:paraId="0BC8B296">
            <w:pPr>
              <w:pStyle w:val="56"/>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Times New Roman" w:hAnsi="Times New Roman" w:eastAsia="宋体"/>
                <w:color w:val="000000"/>
                <w:sz w:val="21"/>
                <w:lang w:val="en-US" w:eastAsia="zh-CN"/>
              </w:rPr>
            </w:pPr>
            <w:r>
              <w:rPr>
                <w:rFonts w:hint="default" w:ascii="Times New Roman" w:hAnsi="Times New Roman" w:eastAsia="宋体"/>
                <w:color w:val="000000"/>
                <w:sz w:val="21"/>
                <w:lang w:val="en-US" w:eastAsia="zh-CN"/>
              </w:rPr>
              <w:t>√</w:t>
            </w:r>
          </w:p>
        </w:tc>
      </w:tr>
    </w:tbl>
    <w:p w14:paraId="7C5A930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b w:val="0"/>
          <w:bCs/>
          <w:color w:val="auto"/>
          <w:spacing w:val="0"/>
          <w:kern w:val="0"/>
          <w:position w:val="0"/>
          <w:sz w:val="24"/>
          <w:lang w:val="en-US" w:eastAsia="zh-CN"/>
        </w:rPr>
      </w:pPr>
      <w:r>
        <w:rPr>
          <w:rFonts w:hint="eastAsia" w:ascii="Times New Roman" w:hAnsi="Times New Roman" w:eastAsia="宋体"/>
          <w:b w:val="0"/>
          <w:bCs/>
          <w:color w:val="auto"/>
          <w:spacing w:val="0"/>
          <w:kern w:val="0"/>
          <w:position w:val="0"/>
          <w:sz w:val="24"/>
          <w:lang w:val="en-US" w:eastAsia="zh-CN"/>
        </w:rPr>
        <w:t>（2）环境</w:t>
      </w:r>
      <w:r>
        <w:rPr>
          <w:rFonts w:hint="default" w:ascii="Times New Roman" w:hAnsi="Times New Roman" w:eastAsia="宋体"/>
          <w:b w:val="0"/>
          <w:bCs/>
          <w:color w:val="auto"/>
          <w:spacing w:val="0"/>
          <w:kern w:val="0"/>
          <w:position w:val="0"/>
          <w:sz w:val="24"/>
          <w:lang w:val="en-US" w:eastAsia="zh-CN"/>
        </w:rPr>
        <w:t>风险潜势初判</w:t>
      </w:r>
    </w:p>
    <w:p w14:paraId="298DB5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b w:val="0"/>
          <w:color w:val="auto"/>
          <w:spacing w:val="0"/>
          <w:kern w:val="0"/>
          <w:position w:val="0"/>
          <w:sz w:val="24"/>
        </w:rPr>
      </w:pPr>
      <w:r>
        <w:rPr>
          <w:rFonts w:ascii="Times New Roman" w:hAnsi="Times New Roman" w:eastAsia="宋体"/>
          <w:b w:val="0"/>
          <w:color w:val="auto"/>
          <w:spacing w:val="0"/>
          <w:kern w:val="0"/>
          <w:position w:val="0"/>
          <w:sz w:val="24"/>
        </w:rPr>
        <w:t>1</w:t>
      </w:r>
      <w:r>
        <w:rPr>
          <w:rFonts w:hint="eastAsia" w:ascii="Times New Roman" w:hAnsi="Times New Roman" w:eastAsia="宋体"/>
          <w:b w:val="0"/>
          <w:color w:val="auto"/>
          <w:spacing w:val="0"/>
          <w:kern w:val="0"/>
          <w:position w:val="0"/>
          <w:sz w:val="24"/>
        </w:rPr>
        <w:t>）环境风险潜势划分</w:t>
      </w:r>
    </w:p>
    <w:p w14:paraId="2B9A5D7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color w:val="auto"/>
          <w:spacing w:val="0"/>
          <w:kern w:val="0"/>
          <w:position w:val="0"/>
          <w:sz w:val="24"/>
        </w:rPr>
      </w:pPr>
      <w:r>
        <w:rPr>
          <w:rFonts w:hint="default" w:ascii="Times New Roman" w:hAnsi="Times New Roman" w:eastAsia="宋体" w:cs="Times New Roman"/>
          <w:b w:val="0"/>
          <w:color w:val="auto"/>
          <w:spacing w:val="0"/>
          <w:kern w:val="0"/>
          <w:position w:val="0"/>
          <w:sz w:val="24"/>
        </w:rPr>
        <w:t>建设项目环境风险潜势划分为Ⅰ、Ⅱ、Ⅲ、Ⅳ/Ⅳ</w:t>
      </w:r>
      <w:r>
        <w:rPr>
          <w:rFonts w:hint="default" w:ascii="Times New Roman" w:hAnsi="Times New Roman" w:eastAsia="宋体" w:cs="Times New Roman"/>
          <w:b w:val="0"/>
          <w:color w:val="auto"/>
          <w:spacing w:val="0"/>
          <w:kern w:val="0"/>
          <w:position w:val="0"/>
          <w:sz w:val="24"/>
          <w:vertAlign w:val="superscript"/>
        </w:rPr>
        <w:t>+</w:t>
      </w:r>
      <w:r>
        <w:rPr>
          <w:rFonts w:hint="default" w:ascii="Times New Roman" w:hAnsi="Times New Roman" w:eastAsia="宋体" w:cs="Times New Roman"/>
          <w:b w:val="0"/>
          <w:color w:val="auto"/>
          <w:spacing w:val="0"/>
          <w:kern w:val="0"/>
          <w:position w:val="0"/>
          <w:sz w:val="24"/>
        </w:rPr>
        <w:t>级。</w:t>
      </w:r>
    </w:p>
    <w:p w14:paraId="4B1FA2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color w:val="auto"/>
          <w:spacing w:val="0"/>
          <w:kern w:val="0"/>
          <w:position w:val="0"/>
          <w:sz w:val="24"/>
        </w:rPr>
      </w:pPr>
      <w:r>
        <w:rPr>
          <w:rFonts w:hint="default" w:ascii="Times New Roman" w:hAnsi="Times New Roman" w:eastAsia="宋体" w:cs="Times New Roman"/>
          <w:b w:val="0"/>
          <w:color w:val="auto"/>
          <w:spacing w:val="0"/>
          <w:kern w:val="0"/>
          <w:position w:val="0"/>
          <w:sz w:val="24"/>
        </w:rPr>
        <w:t>根据建设项目涉及的物质和工艺系统的危险性及其所在地的环境敏感程度，结合事故情形下环境影响途径，对建设项目潜在环境危害程度进行概化分析，按照表</w:t>
      </w:r>
      <w:r>
        <w:rPr>
          <w:rFonts w:hint="eastAsia" w:ascii="Times New Roman" w:hAnsi="Times New Roman" w:eastAsia="宋体" w:cs="Times New Roman"/>
          <w:b w:val="0"/>
          <w:color w:val="auto"/>
          <w:spacing w:val="0"/>
          <w:kern w:val="0"/>
          <w:position w:val="0"/>
          <w:sz w:val="24"/>
          <w:lang w:val="en-US" w:eastAsia="zh-CN"/>
        </w:rPr>
        <w:t>5.3-5</w:t>
      </w:r>
      <w:r>
        <w:rPr>
          <w:rFonts w:hint="default" w:ascii="Times New Roman" w:hAnsi="Times New Roman" w:eastAsia="宋体" w:cs="Times New Roman"/>
          <w:b w:val="0"/>
          <w:color w:val="auto"/>
          <w:spacing w:val="0"/>
          <w:kern w:val="0"/>
          <w:position w:val="0"/>
          <w:sz w:val="24"/>
        </w:rPr>
        <w:t>确定环境风险潜势。</w:t>
      </w:r>
    </w:p>
    <w:p w14:paraId="450B7EA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b/>
          <w:bCs/>
          <w:color w:val="auto"/>
          <w:spacing w:val="0"/>
          <w:kern w:val="0"/>
          <w:position w:val="0"/>
          <w:sz w:val="24"/>
          <w:szCs w:val="21"/>
        </w:rPr>
      </w:pPr>
      <w:r>
        <w:rPr>
          <w:rFonts w:hint="default" w:ascii="Times New Roman" w:hAnsi="Times New Roman" w:eastAsia="宋体" w:cs="Times New Roman"/>
          <w:b/>
          <w:bCs/>
          <w:color w:val="auto"/>
          <w:spacing w:val="0"/>
          <w:kern w:val="0"/>
          <w:position w:val="0"/>
          <w:sz w:val="24"/>
          <w:szCs w:val="21"/>
        </w:rPr>
        <w:t>表</w:t>
      </w:r>
      <w:r>
        <w:rPr>
          <w:rFonts w:hint="eastAsia" w:ascii="Times New Roman" w:hAnsi="Times New Roman" w:eastAsia="宋体" w:cs="Times New Roman"/>
          <w:b/>
          <w:bCs/>
          <w:color w:val="auto"/>
          <w:spacing w:val="0"/>
          <w:kern w:val="0"/>
          <w:position w:val="0"/>
          <w:sz w:val="24"/>
          <w:szCs w:val="21"/>
          <w:lang w:val="en-US" w:eastAsia="zh-CN"/>
        </w:rPr>
        <w:t>5.3-5</w:t>
      </w:r>
      <w:r>
        <w:rPr>
          <w:rFonts w:hint="default" w:ascii="Times New Roman" w:hAnsi="Times New Roman" w:eastAsia="宋体" w:cs="Times New Roman"/>
          <w:b/>
          <w:bCs/>
          <w:color w:val="auto"/>
          <w:spacing w:val="0"/>
          <w:kern w:val="0"/>
          <w:position w:val="0"/>
          <w:sz w:val="24"/>
          <w:szCs w:val="21"/>
        </w:rPr>
        <w:t>项目环境风险潜势划分</w:t>
      </w:r>
    </w:p>
    <w:tbl>
      <w:tblPr>
        <w:tblStyle w:val="2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49"/>
        <w:gridCol w:w="1705"/>
        <w:gridCol w:w="1757"/>
        <w:gridCol w:w="1617"/>
        <w:gridCol w:w="1691"/>
      </w:tblGrid>
      <w:tr w14:paraId="3F0DD6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3" w:type="pct"/>
            <w:vMerge w:val="restart"/>
            <w:tcBorders>
              <w:tl2br w:val="nil"/>
              <w:tr2bl w:val="nil"/>
            </w:tcBorders>
            <w:noWrap w:val="0"/>
            <w:vAlign w:val="center"/>
          </w:tcPr>
          <w:p w14:paraId="2835432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环境敏感程度（E）</w:t>
            </w:r>
          </w:p>
        </w:tc>
        <w:tc>
          <w:tcPr>
            <w:tcW w:w="3926" w:type="pct"/>
            <w:gridSpan w:val="4"/>
            <w:tcBorders>
              <w:tl2br w:val="nil"/>
              <w:tr2bl w:val="nil"/>
            </w:tcBorders>
            <w:noWrap w:val="0"/>
            <w:vAlign w:val="center"/>
          </w:tcPr>
          <w:p w14:paraId="4FBCA0B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危险物质及工艺系统危险性（P）</w:t>
            </w:r>
          </w:p>
        </w:tc>
      </w:tr>
      <w:tr w14:paraId="5C599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3" w:type="pct"/>
            <w:vMerge w:val="continue"/>
            <w:tcBorders>
              <w:tl2br w:val="nil"/>
              <w:tr2bl w:val="nil"/>
            </w:tcBorders>
            <w:noWrap w:val="0"/>
            <w:vAlign w:val="center"/>
          </w:tcPr>
          <w:p w14:paraId="5787050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p>
        </w:tc>
        <w:tc>
          <w:tcPr>
            <w:tcW w:w="989" w:type="pct"/>
            <w:tcBorders>
              <w:tl2br w:val="nil"/>
              <w:tr2bl w:val="nil"/>
            </w:tcBorders>
            <w:noWrap w:val="0"/>
            <w:vAlign w:val="center"/>
          </w:tcPr>
          <w:p w14:paraId="32A9957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极高危害（P1）</w:t>
            </w:r>
          </w:p>
        </w:tc>
        <w:tc>
          <w:tcPr>
            <w:tcW w:w="1019" w:type="pct"/>
            <w:tcBorders>
              <w:tl2br w:val="nil"/>
              <w:tr2bl w:val="nil"/>
            </w:tcBorders>
            <w:noWrap w:val="0"/>
            <w:vAlign w:val="center"/>
          </w:tcPr>
          <w:p w14:paraId="229D686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高度危害（P2）</w:t>
            </w:r>
          </w:p>
        </w:tc>
        <w:tc>
          <w:tcPr>
            <w:tcW w:w="938" w:type="pct"/>
            <w:tcBorders>
              <w:tl2br w:val="nil"/>
              <w:tr2bl w:val="nil"/>
            </w:tcBorders>
            <w:noWrap w:val="0"/>
            <w:vAlign w:val="center"/>
          </w:tcPr>
          <w:p w14:paraId="22A4995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中度危害（P3）</w:t>
            </w:r>
          </w:p>
        </w:tc>
        <w:tc>
          <w:tcPr>
            <w:tcW w:w="978" w:type="pct"/>
            <w:tcBorders>
              <w:tl2br w:val="nil"/>
              <w:tr2bl w:val="nil"/>
            </w:tcBorders>
            <w:noWrap w:val="0"/>
            <w:vAlign w:val="center"/>
          </w:tcPr>
          <w:p w14:paraId="2EF6132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轻度危害（P4）</w:t>
            </w:r>
          </w:p>
        </w:tc>
      </w:tr>
      <w:tr w14:paraId="443588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3" w:type="pct"/>
            <w:tcBorders>
              <w:tl2br w:val="nil"/>
              <w:tr2bl w:val="nil"/>
            </w:tcBorders>
            <w:noWrap w:val="0"/>
            <w:vAlign w:val="center"/>
          </w:tcPr>
          <w:p w14:paraId="08BC6DB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环境高度敏感区（E1）</w:t>
            </w:r>
          </w:p>
        </w:tc>
        <w:tc>
          <w:tcPr>
            <w:tcW w:w="989" w:type="pct"/>
            <w:tcBorders>
              <w:tl2br w:val="nil"/>
              <w:tr2bl w:val="nil"/>
            </w:tcBorders>
            <w:noWrap w:val="0"/>
            <w:vAlign w:val="center"/>
          </w:tcPr>
          <w:p w14:paraId="00A8D71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Ⅳ+</w:t>
            </w:r>
          </w:p>
        </w:tc>
        <w:tc>
          <w:tcPr>
            <w:tcW w:w="1019" w:type="pct"/>
            <w:tcBorders>
              <w:tl2br w:val="nil"/>
              <w:tr2bl w:val="nil"/>
            </w:tcBorders>
            <w:noWrap w:val="0"/>
            <w:vAlign w:val="center"/>
          </w:tcPr>
          <w:p w14:paraId="56D20CF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Ⅳ</w:t>
            </w:r>
          </w:p>
        </w:tc>
        <w:tc>
          <w:tcPr>
            <w:tcW w:w="938" w:type="pct"/>
            <w:tcBorders>
              <w:tl2br w:val="nil"/>
              <w:tr2bl w:val="nil"/>
            </w:tcBorders>
            <w:noWrap w:val="0"/>
            <w:vAlign w:val="center"/>
          </w:tcPr>
          <w:p w14:paraId="651E9F2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c>
          <w:tcPr>
            <w:tcW w:w="978" w:type="pct"/>
            <w:tcBorders>
              <w:tl2br w:val="nil"/>
              <w:tr2bl w:val="nil"/>
            </w:tcBorders>
            <w:noWrap w:val="0"/>
            <w:vAlign w:val="center"/>
          </w:tcPr>
          <w:p w14:paraId="5484538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r>
      <w:tr w14:paraId="7400E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3" w:type="pct"/>
            <w:tcBorders>
              <w:tl2br w:val="nil"/>
              <w:tr2bl w:val="nil"/>
            </w:tcBorders>
            <w:noWrap w:val="0"/>
            <w:vAlign w:val="center"/>
          </w:tcPr>
          <w:p w14:paraId="2829817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环境中度敏感区（E2）</w:t>
            </w:r>
          </w:p>
        </w:tc>
        <w:tc>
          <w:tcPr>
            <w:tcW w:w="989" w:type="pct"/>
            <w:tcBorders>
              <w:tl2br w:val="nil"/>
              <w:tr2bl w:val="nil"/>
            </w:tcBorders>
            <w:noWrap w:val="0"/>
            <w:vAlign w:val="center"/>
          </w:tcPr>
          <w:p w14:paraId="0B2784A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Ⅳ</w:t>
            </w:r>
          </w:p>
        </w:tc>
        <w:tc>
          <w:tcPr>
            <w:tcW w:w="1019" w:type="pct"/>
            <w:tcBorders>
              <w:tl2br w:val="nil"/>
              <w:tr2bl w:val="nil"/>
            </w:tcBorders>
            <w:noWrap w:val="0"/>
            <w:vAlign w:val="center"/>
          </w:tcPr>
          <w:p w14:paraId="1A3C4D6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c>
          <w:tcPr>
            <w:tcW w:w="938" w:type="pct"/>
            <w:tcBorders>
              <w:tl2br w:val="nil"/>
              <w:tr2bl w:val="nil"/>
            </w:tcBorders>
            <w:noWrap w:val="0"/>
            <w:vAlign w:val="center"/>
          </w:tcPr>
          <w:p w14:paraId="3440BE4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c>
          <w:tcPr>
            <w:tcW w:w="978" w:type="pct"/>
            <w:tcBorders>
              <w:tl2br w:val="nil"/>
              <w:tr2bl w:val="nil"/>
            </w:tcBorders>
            <w:noWrap w:val="0"/>
            <w:vAlign w:val="center"/>
          </w:tcPr>
          <w:p w14:paraId="4AC8F49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Ⅱ</w:t>
            </w:r>
          </w:p>
        </w:tc>
      </w:tr>
      <w:tr w14:paraId="5DE93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3" w:type="pct"/>
            <w:tcBorders>
              <w:tl2br w:val="nil"/>
              <w:tr2bl w:val="nil"/>
            </w:tcBorders>
            <w:noWrap w:val="0"/>
            <w:vAlign w:val="center"/>
          </w:tcPr>
          <w:p w14:paraId="332070A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环境低度敏感区（E3）</w:t>
            </w:r>
          </w:p>
        </w:tc>
        <w:tc>
          <w:tcPr>
            <w:tcW w:w="989" w:type="pct"/>
            <w:tcBorders>
              <w:tl2br w:val="nil"/>
              <w:tr2bl w:val="nil"/>
            </w:tcBorders>
            <w:noWrap w:val="0"/>
            <w:vAlign w:val="center"/>
          </w:tcPr>
          <w:p w14:paraId="3541C12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c>
          <w:tcPr>
            <w:tcW w:w="1019" w:type="pct"/>
            <w:tcBorders>
              <w:tl2br w:val="nil"/>
              <w:tr2bl w:val="nil"/>
            </w:tcBorders>
            <w:noWrap w:val="0"/>
            <w:vAlign w:val="center"/>
          </w:tcPr>
          <w:p w14:paraId="22F69FD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Ⅲ</w:t>
            </w:r>
          </w:p>
        </w:tc>
        <w:tc>
          <w:tcPr>
            <w:tcW w:w="938" w:type="pct"/>
            <w:tcBorders>
              <w:tl2br w:val="nil"/>
              <w:tr2bl w:val="nil"/>
            </w:tcBorders>
            <w:noWrap w:val="0"/>
            <w:vAlign w:val="center"/>
          </w:tcPr>
          <w:p w14:paraId="36470BB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Ⅱ</w:t>
            </w:r>
          </w:p>
        </w:tc>
        <w:tc>
          <w:tcPr>
            <w:tcW w:w="978" w:type="pct"/>
            <w:tcBorders>
              <w:tl2br w:val="nil"/>
              <w:tr2bl w:val="nil"/>
            </w:tcBorders>
            <w:noWrap w:val="0"/>
            <w:vAlign w:val="center"/>
          </w:tcPr>
          <w:p w14:paraId="045E122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Ⅰ</w:t>
            </w:r>
          </w:p>
        </w:tc>
      </w:tr>
      <w:tr w14:paraId="32E11D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14:paraId="5162029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注：Ⅳ+为极高环境风险。</w:t>
            </w:r>
          </w:p>
        </w:tc>
      </w:tr>
    </w:tbl>
    <w:p w14:paraId="05C1AF2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pacing w:val="0"/>
          <w:kern w:val="0"/>
          <w:position w:val="0"/>
          <w:sz w:val="24"/>
        </w:rPr>
      </w:pPr>
      <w:r>
        <w:rPr>
          <w:rFonts w:ascii="Times New Roman" w:hAnsi="Times New Roman" w:eastAsia="宋体"/>
          <w:color w:val="auto"/>
          <w:spacing w:val="0"/>
          <w:kern w:val="0"/>
          <w:position w:val="0"/>
          <w:sz w:val="24"/>
        </w:rPr>
        <w:t>2</w:t>
      </w:r>
      <w:r>
        <w:rPr>
          <w:rFonts w:hint="eastAsia" w:ascii="Times New Roman" w:hAnsi="Times New Roman" w:eastAsia="宋体"/>
          <w:color w:val="auto"/>
          <w:spacing w:val="0"/>
          <w:kern w:val="0"/>
          <w:position w:val="0"/>
          <w:sz w:val="24"/>
        </w:rPr>
        <w:t>）</w:t>
      </w:r>
      <w:r>
        <w:rPr>
          <w:rFonts w:ascii="Times New Roman" w:hAnsi="Times New Roman" w:eastAsia="宋体"/>
          <w:color w:val="auto"/>
          <w:spacing w:val="0"/>
          <w:kern w:val="0"/>
          <w:position w:val="0"/>
          <w:sz w:val="24"/>
        </w:rPr>
        <w:t>P</w:t>
      </w:r>
      <w:r>
        <w:rPr>
          <w:rFonts w:hint="eastAsia" w:ascii="Times New Roman" w:hAnsi="Times New Roman" w:eastAsia="宋体"/>
          <w:color w:val="auto"/>
          <w:spacing w:val="0"/>
          <w:kern w:val="0"/>
          <w:position w:val="0"/>
          <w:sz w:val="24"/>
        </w:rPr>
        <w:t>的分级确定</w:t>
      </w:r>
    </w:p>
    <w:p w14:paraId="601C79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pacing w:val="0"/>
          <w:kern w:val="0"/>
          <w:position w:val="0"/>
          <w:sz w:val="24"/>
        </w:rPr>
      </w:pPr>
      <w:r>
        <w:rPr>
          <w:rFonts w:hint="eastAsia" w:ascii="Times New Roman" w:hAnsi="Times New Roman" w:eastAsia="宋体"/>
          <w:color w:val="auto"/>
          <w:spacing w:val="0"/>
          <w:kern w:val="0"/>
          <w:position w:val="0"/>
          <w:sz w:val="24"/>
        </w:rPr>
        <w:t>根据《建设项目环境风险评价技术导则》（</w:t>
      </w:r>
      <w:r>
        <w:rPr>
          <w:rFonts w:ascii="Times New Roman" w:hAnsi="Times New Roman" w:eastAsia="宋体"/>
          <w:color w:val="auto"/>
          <w:spacing w:val="0"/>
          <w:kern w:val="0"/>
          <w:position w:val="0"/>
          <w:sz w:val="24"/>
        </w:rPr>
        <w:t>HJ169-2018</w:t>
      </w:r>
      <w:r>
        <w:rPr>
          <w:rFonts w:hint="eastAsia" w:ascii="Times New Roman" w:hAnsi="Times New Roman" w:eastAsia="宋体"/>
          <w:color w:val="auto"/>
          <w:spacing w:val="0"/>
          <w:kern w:val="0"/>
          <w:position w:val="0"/>
          <w:sz w:val="24"/>
        </w:rPr>
        <w:t>）中</w:t>
      </w:r>
      <w:r>
        <w:rPr>
          <w:rFonts w:ascii="Times New Roman" w:hAnsi="Times New Roman" w:eastAsia="宋体"/>
          <w:color w:val="auto"/>
          <w:spacing w:val="0"/>
          <w:kern w:val="0"/>
          <w:position w:val="0"/>
          <w:sz w:val="24"/>
        </w:rPr>
        <w:t>P</w:t>
      </w:r>
      <w:r>
        <w:rPr>
          <w:rFonts w:hint="eastAsia" w:ascii="Times New Roman" w:hAnsi="Times New Roman" w:eastAsia="宋体"/>
          <w:color w:val="auto"/>
          <w:spacing w:val="0"/>
          <w:kern w:val="0"/>
          <w:position w:val="0"/>
          <w:sz w:val="24"/>
        </w:rPr>
        <w:t>级的确定原则，首先计算所涉及的每种危险物质在厂界内的最大存在总量与其在附录</w:t>
      </w:r>
      <w:r>
        <w:rPr>
          <w:rFonts w:ascii="Times New Roman" w:hAnsi="Times New Roman" w:eastAsia="宋体"/>
          <w:color w:val="auto"/>
          <w:spacing w:val="0"/>
          <w:kern w:val="0"/>
          <w:position w:val="0"/>
          <w:sz w:val="24"/>
        </w:rPr>
        <w:t>B</w:t>
      </w:r>
      <w:r>
        <w:rPr>
          <w:rFonts w:hint="eastAsia" w:ascii="Times New Roman" w:hAnsi="Times New Roman" w:eastAsia="宋体"/>
          <w:color w:val="auto"/>
          <w:spacing w:val="0"/>
          <w:kern w:val="0"/>
          <w:position w:val="0"/>
          <w:sz w:val="24"/>
        </w:rPr>
        <w:t>中对应临界量的比值</w:t>
      </w:r>
      <w:r>
        <w:rPr>
          <w:rFonts w:ascii="Times New Roman" w:hAnsi="Times New Roman" w:eastAsia="宋体"/>
          <w:color w:val="auto"/>
          <w:spacing w:val="0"/>
          <w:kern w:val="0"/>
          <w:position w:val="0"/>
          <w:sz w:val="24"/>
        </w:rPr>
        <w:t>Q</w:t>
      </w:r>
      <w:r>
        <w:rPr>
          <w:rFonts w:hint="eastAsia" w:ascii="Times New Roman" w:hAnsi="Times New Roman" w:eastAsia="宋体"/>
          <w:color w:val="auto"/>
          <w:spacing w:val="0"/>
          <w:kern w:val="0"/>
          <w:position w:val="0"/>
          <w:sz w:val="24"/>
        </w:rPr>
        <w:t>。在不同厂区的同一种物质，按其在厂界内的最大存在总量计算。对于长输管线项目，按照两个截断阀室之间管段危险物质最大</w:t>
      </w:r>
      <w:r>
        <w:rPr>
          <w:rFonts w:hint="eastAsia" w:ascii="Times New Roman" w:hAnsi="Times New Roman" w:eastAsia="宋体"/>
          <w:color w:val="auto"/>
          <w:spacing w:val="0"/>
          <w:kern w:val="0"/>
          <w:position w:val="0"/>
          <w:sz w:val="24"/>
          <w:lang w:eastAsia="zh-CN"/>
        </w:rPr>
        <w:t>存放</w:t>
      </w:r>
      <w:r>
        <w:rPr>
          <w:rFonts w:hint="eastAsia" w:ascii="Times New Roman" w:hAnsi="Times New Roman" w:eastAsia="宋体"/>
          <w:color w:val="auto"/>
          <w:spacing w:val="0"/>
          <w:kern w:val="0"/>
          <w:position w:val="0"/>
          <w:sz w:val="24"/>
        </w:rPr>
        <w:t>总量计算。</w:t>
      </w:r>
    </w:p>
    <w:p w14:paraId="131106D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pacing w:val="0"/>
          <w:kern w:val="0"/>
          <w:position w:val="0"/>
          <w:sz w:val="24"/>
        </w:rPr>
      </w:pPr>
      <w:r>
        <w:rPr>
          <w:rFonts w:hint="eastAsia" w:ascii="Times New Roman" w:hAnsi="Times New Roman" w:eastAsia="宋体"/>
          <w:color w:val="auto"/>
          <w:spacing w:val="0"/>
          <w:kern w:val="0"/>
          <w:position w:val="0"/>
          <w:sz w:val="24"/>
        </w:rPr>
        <w:t>当只涉及一种危险物质时，计算该物质的总量与其临界量比值，即为</w:t>
      </w:r>
      <w:r>
        <w:rPr>
          <w:rFonts w:ascii="Times New Roman" w:hAnsi="Times New Roman" w:eastAsia="宋体"/>
          <w:color w:val="auto"/>
          <w:spacing w:val="0"/>
          <w:kern w:val="0"/>
          <w:position w:val="0"/>
          <w:sz w:val="24"/>
        </w:rPr>
        <w:t>Q</w:t>
      </w:r>
      <w:r>
        <w:rPr>
          <w:rFonts w:hint="eastAsia" w:ascii="Times New Roman" w:hAnsi="Times New Roman" w:eastAsia="宋体"/>
          <w:color w:val="auto"/>
          <w:spacing w:val="0"/>
          <w:kern w:val="0"/>
          <w:position w:val="0"/>
          <w:sz w:val="24"/>
        </w:rPr>
        <w:t>；</w:t>
      </w:r>
    </w:p>
    <w:p w14:paraId="4C2587E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pacing w:val="0"/>
          <w:kern w:val="0"/>
          <w:position w:val="0"/>
          <w:sz w:val="24"/>
        </w:rPr>
      </w:pPr>
      <w:r>
        <w:rPr>
          <w:rFonts w:hint="eastAsia" w:ascii="Times New Roman" w:hAnsi="Times New Roman" w:eastAsia="宋体"/>
          <w:color w:val="auto"/>
          <w:spacing w:val="0"/>
          <w:kern w:val="0"/>
          <w:position w:val="0"/>
          <w:sz w:val="24"/>
        </w:rPr>
        <w:t>当存在多种危险物质时，则按下式计算物质总量与其临界量比值（</w:t>
      </w:r>
      <w:r>
        <w:rPr>
          <w:rFonts w:ascii="Times New Roman" w:hAnsi="Times New Roman" w:eastAsia="宋体"/>
          <w:color w:val="auto"/>
          <w:spacing w:val="0"/>
          <w:kern w:val="0"/>
          <w:position w:val="0"/>
          <w:sz w:val="24"/>
        </w:rPr>
        <w:t>Q</w:t>
      </w:r>
      <w:r>
        <w:rPr>
          <w:rFonts w:hint="eastAsia" w:ascii="Times New Roman" w:hAnsi="Times New Roman" w:eastAsia="宋体"/>
          <w:color w:val="auto"/>
          <w:spacing w:val="0"/>
          <w:kern w:val="0"/>
          <w:position w:val="0"/>
          <w:sz w:val="24"/>
        </w:rPr>
        <w:t>）；</w:t>
      </w:r>
    </w:p>
    <w:p w14:paraId="2DBB60C1">
      <w:pPr>
        <w:pStyle w:val="34"/>
        <w:keepNext w:val="0"/>
        <w:keepLines w:val="0"/>
        <w:pageBreakBefore w:val="0"/>
        <w:widowControl w:val="0"/>
        <w:shd w:val="clear"/>
        <w:kinsoku/>
        <w:wordWrap/>
        <w:overflowPunct/>
        <w:topLinePunct w:val="0"/>
        <w:autoSpaceDE/>
        <w:autoSpaceDN/>
        <w:bidi w:val="0"/>
        <w:snapToGrid/>
        <w:jc w:val="center"/>
        <w:textAlignment w:val="auto"/>
        <w:outlineLvl w:val="9"/>
        <w:rPr>
          <w:rFonts w:ascii="Times New Roman" w:hAnsi="Times New Roman" w:eastAsia="宋体" w:cs="Times New Roman"/>
          <w:color w:val="auto"/>
          <w:spacing w:val="0"/>
          <w:kern w:val="0"/>
          <w:position w:val="0"/>
        </w:rPr>
      </w:pPr>
      <w:r>
        <w:rPr>
          <w:rFonts w:ascii="Times New Roman" w:hAnsi="Times New Roman" w:eastAsia="宋体" w:cs="Times New Roman"/>
          <w:color w:val="auto"/>
          <w:spacing w:val="0"/>
          <w:kern w:val="0"/>
          <w:position w:val="0"/>
        </w:rPr>
        <w:object>
          <v:shape id="_x0000_i1028" o:spt="75" type="#_x0000_t75" style="height:34.5pt;width:119.25pt;" o:ole="t" filled="f" o:preferrelative="t" stroked="f" coordsize="21600,21600">
            <v:path/>
            <v:fill on="f" focussize="0,0"/>
            <v:stroke on="f" joinstyle="miter"/>
            <v:imagedata r:id="rId80" o:title=""/>
            <o:lock v:ext="edit" aspectratio="t"/>
            <w10:wrap type="none"/>
            <w10:anchorlock/>
          </v:shape>
          <o:OLEObject Type="Embed" ProgID="Equation.KSEE3" ShapeID="_x0000_i1028" DrawAspect="Content" ObjectID="_1468075728" r:id="rId79">
            <o:LockedField>false</o:LockedField>
          </o:OLEObject>
        </w:object>
      </w:r>
    </w:p>
    <w:p w14:paraId="070A46D8">
      <w:pPr>
        <w:keepNext w:val="0"/>
        <w:keepLines w:val="0"/>
        <w:pageBreakBefore w:val="0"/>
        <w:widowControl w:val="0"/>
        <w:shd w:val="clear"/>
        <w:kinsoku/>
        <w:wordWrap/>
        <w:overflowPunct/>
        <w:topLinePunct w:val="0"/>
        <w:autoSpaceDE/>
        <w:autoSpaceDN/>
        <w:bidi w:val="0"/>
        <w:snapToGrid/>
        <w:spacing w:line="360" w:lineRule="auto"/>
        <w:ind w:firstLine="480" w:firstLineChars="200"/>
        <w:contextualSpacing/>
        <w:textAlignment w:val="auto"/>
        <w:outlineLvl w:val="9"/>
        <w:rPr>
          <w:rFonts w:hint="default" w:ascii="Times New Roman" w:hAnsi="Times New Roman" w:eastAsia="宋体" w:cs="Times New Roman"/>
          <w:color w:val="auto"/>
          <w:spacing w:val="0"/>
          <w:kern w:val="0"/>
          <w:position w:val="0"/>
          <w:sz w:val="24"/>
          <w:lang w:val="zh-CN"/>
        </w:rPr>
      </w:pPr>
      <w:r>
        <w:rPr>
          <w:rFonts w:hint="default" w:ascii="Times New Roman" w:hAnsi="Times New Roman" w:eastAsia="宋体" w:cs="Times New Roman"/>
          <w:color w:val="auto"/>
          <w:spacing w:val="0"/>
          <w:kern w:val="0"/>
          <w:position w:val="0"/>
          <w:sz w:val="24"/>
          <w:lang w:val="zh-CN"/>
        </w:rPr>
        <w:t>式中：</w:t>
      </w:r>
      <w:r>
        <w:rPr>
          <w:rFonts w:hint="default" w:ascii="Times New Roman" w:hAnsi="Times New Roman" w:eastAsia="宋体" w:cs="Times New Roman"/>
          <w:color w:val="auto"/>
          <w:spacing w:val="0"/>
          <w:kern w:val="0"/>
          <w:position w:val="0"/>
          <w:sz w:val="24"/>
        </w:rPr>
        <w:t>q</w:t>
      </w:r>
      <w:r>
        <w:rPr>
          <w:rFonts w:hint="default" w:ascii="Times New Roman" w:hAnsi="Times New Roman" w:eastAsia="宋体" w:cs="Times New Roman"/>
          <w:color w:val="auto"/>
          <w:spacing w:val="0"/>
          <w:kern w:val="0"/>
          <w:position w:val="0"/>
          <w:sz w:val="24"/>
          <w:vertAlign w:val="subscript"/>
        </w:rPr>
        <w:t>1</w:t>
      </w:r>
      <w:r>
        <w:rPr>
          <w:rFonts w:hint="default" w:ascii="Times New Roman" w:hAnsi="Times New Roman" w:eastAsia="宋体" w:cs="Times New Roman"/>
          <w:color w:val="auto"/>
          <w:spacing w:val="0"/>
          <w:kern w:val="0"/>
          <w:position w:val="0"/>
          <w:sz w:val="24"/>
          <w:lang w:val="zh-CN"/>
        </w:rPr>
        <w:t>，</w:t>
      </w:r>
      <w:r>
        <w:rPr>
          <w:rFonts w:hint="default" w:ascii="Times New Roman" w:hAnsi="Times New Roman" w:eastAsia="宋体" w:cs="Times New Roman"/>
          <w:color w:val="auto"/>
          <w:spacing w:val="0"/>
          <w:kern w:val="0"/>
          <w:position w:val="0"/>
          <w:sz w:val="24"/>
        </w:rPr>
        <w:t>q</w:t>
      </w:r>
      <w:r>
        <w:rPr>
          <w:rFonts w:hint="default" w:ascii="Times New Roman" w:hAnsi="Times New Roman" w:eastAsia="宋体" w:cs="Times New Roman"/>
          <w:color w:val="auto"/>
          <w:spacing w:val="0"/>
          <w:kern w:val="0"/>
          <w:position w:val="0"/>
          <w:sz w:val="24"/>
          <w:vertAlign w:val="subscript"/>
        </w:rPr>
        <w:t>2</w:t>
      </w:r>
      <w:r>
        <w:rPr>
          <w:rFonts w:hint="default" w:ascii="Times New Roman" w:hAnsi="Times New Roman" w:eastAsia="宋体" w:cs="Times New Roman"/>
          <w:color w:val="auto"/>
          <w:spacing w:val="0"/>
          <w:kern w:val="0"/>
          <w:position w:val="0"/>
          <w:sz w:val="24"/>
          <w:lang w:val="zh-CN"/>
        </w:rPr>
        <w:t>，···，</w:t>
      </w:r>
      <w:r>
        <w:rPr>
          <w:rFonts w:hint="default" w:ascii="Times New Roman" w:hAnsi="Times New Roman" w:eastAsia="宋体" w:cs="Times New Roman"/>
          <w:color w:val="auto"/>
          <w:spacing w:val="0"/>
          <w:kern w:val="0"/>
          <w:position w:val="0"/>
          <w:sz w:val="24"/>
        </w:rPr>
        <w:t>q</w:t>
      </w:r>
      <w:r>
        <w:rPr>
          <w:rFonts w:hint="default" w:ascii="Times New Roman" w:hAnsi="Times New Roman" w:eastAsia="宋体" w:cs="Times New Roman"/>
          <w:color w:val="auto"/>
          <w:spacing w:val="0"/>
          <w:kern w:val="0"/>
          <w:position w:val="0"/>
          <w:sz w:val="24"/>
          <w:vertAlign w:val="subscript"/>
        </w:rPr>
        <w:t>n</w:t>
      </w:r>
      <w:r>
        <w:rPr>
          <w:rFonts w:hint="default" w:ascii="Times New Roman" w:hAnsi="Times New Roman" w:eastAsia="宋体" w:cs="Times New Roman"/>
          <w:color w:val="auto"/>
          <w:spacing w:val="0"/>
          <w:kern w:val="0"/>
          <w:position w:val="0"/>
          <w:sz w:val="24"/>
          <w:lang w:val="zh-CN"/>
        </w:rPr>
        <w:t>——每种危险物质的最大存在总量，t；</w:t>
      </w:r>
    </w:p>
    <w:p w14:paraId="15EC2867">
      <w:pPr>
        <w:keepNext w:val="0"/>
        <w:keepLines w:val="0"/>
        <w:pageBreakBefore w:val="0"/>
        <w:widowControl w:val="0"/>
        <w:shd w:val="clear"/>
        <w:kinsoku/>
        <w:wordWrap/>
        <w:overflowPunct/>
        <w:topLinePunct w:val="0"/>
        <w:autoSpaceDE/>
        <w:autoSpaceDN/>
        <w:bidi w:val="0"/>
        <w:snapToGrid/>
        <w:spacing w:line="360" w:lineRule="auto"/>
        <w:ind w:firstLine="1200" w:firstLineChars="500"/>
        <w:contextualSpacing/>
        <w:textAlignment w:val="auto"/>
        <w:outlineLvl w:val="9"/>
        <w:rPr>
          <w:rFonts w:hint="default" w:ascii="Times New Roman" w:hAnsi="Times New Roman" w:eastAsia="宋体" w:cs="Times New Roman"/>
          <w:color w:val="auto"/>
          <w:spacing w:val="0"/>
          <w:kern w:val="0"/>
          <w:position w:val="0"/>
          <w:sz w:val="24"/>
          <w:lang w:val="zh-CN"/>
        </w:rPr>
      </w:pPr>
      <w:r>
        <w:rPr>
          <w:rFonts w:hint="default" w:ascii="Times New Roman" w:hAnsi="Times New Roman" w:eastAsia="宋体" w:cs="Times New Roman"/>
          <w:color w:val="auto"/>
          <w:spacing w:val="0"/>
          <w:kern w:val="0"/>
          <w:position w:val="0"/>
          <w:sz w:val="24"/>
        </w:rPr>
        <w:t>W</w:t>
      </w:r>
      <w:r>
        <w:rPr>
          <w:rFonts w:hint="default" w:ascii="Times New Roman" w:hAnsi="Times New Roman" w:eastAsia="宋体" w:cs="Times New Roman"/>
          <w:color w:val="auto"/>
          <w:spacing w:val="0"/>
          <w:kern w:val="0"/>
          <w:position w:val="0"/>
          <w:sz w:val="24"/>
          <w:vertAlign w:val="subscript"/>
          <w:lang w:val="zh-CN"/>
        </w:rPr>
        <w:t>1</w:t>
      </w:r>
      <w:r>
        <w:rPr>
          <w:rFonts w:hint="default" w:ascii="Times New Roman" w:hAnsi="Times New Roman" w:eastAsia="宋体" w:cs="Times New Roman"/>
          <w:color w:val="auto"/>
          <w:spacing w:val="0"/>
          <w:kern w:val="0"/>
          <w:position w:val="0"/>
          <w:sz w:val="24"/>
          <w:lang w:val="zh-CN"/>
        </w:rPr>
        <w:t>，</w:t>
      </w:r>
      <w:r>
        <w:rPr>
          <w:rFonts w:hint="default" w:ascii="Times New Roman" w:hAnsi="Times New Roman" w:eastAsia="宋体" w:cs="Times New Roman"/>
          <w:color w:val="auto"/>
          <w:spacing w:val="0"/>
          <w:kern w:val="0"/>
          <w:position w:val="0"/>
          <w:sz w:val="24"/>
        </w:rPr>
        <w:t>W</w:t>
      </w:r>
      <w:r>
        <w:rPr>
          <w:rFonts w:hint="default" w:ascii="Times New Roman" w:hAnsi="Times New Roman" w:eastAsia="宋体" w:cs="Times New Roman"/>
          <w:color w:val="auto"/>
          <w:spacing w:val="0"/>
          <w:kern w:val="0"/>
          <w:position w:val="0"/>
          <w:sz w:val="24"/>
          <w:vertAlign w:val="subscript"/>
          <w:lang w:val="zh-CN"/>
        </w:rPr>
        <w:t>2</w:t>
      </w:r>
      <w:r>
        <w:rPr>
          <w:rFonts w:hint="default" w:ascii="Times New Roman" w:hAnsi="Times New Roman" w:eastAsia="宋体" w:cs="Times New Roman"/>
          <w:color w:val="auto"/>
          <w:spacing w:val="0"/>
          <w:kern w:val="0"/>
          <w:position w:val="0"/>
          <w:sz w:val="24"/>
          <w:lang w:val="zh-CN"/>
        </w:rPr>
        <w:t>，···，</w:t>
      </w:r>
      <w:r>
        <w:rPr>
          <w:rFonts w:hint="default" w:ascii="Times New Roman" w:hAnsi="Times New Roman" w:eastAsia="宋体" w:cs="Times New Roman"/>
          <w:color w:val="auto"/>
          <w:spacing w:val="0"/>
          <w:kern w:val="0"/>
          <w:position w:val="0"/>
          <w:sz w:val="24"/>
        </w:rPr>
        <w:t>W</w:t>
      </w:r>
      <w:r>
        <w:rPr>
          <w:rFonts w:hint="default" w:ascii="Times New Roman" w:hAnsi="Times New Roman" w:eastAsia="宋体" w:cs="Times New Roman"/>
          <w:color w:val="auto"/>
          <w:spacing w:val="0"/>
          <w:kern w:val="0"/>
          <w:position w:val="0"/>
          <w:sz w:val="24"/>
          <w:vertAlign w:val="subscript"/>
          <w:lang w:val="zh-CN"/>
        </w:rPr>
        <w:t>n</w:t>
      </w:r>
      <w:r>
        <w:rPr>
          <w:rFonts w:hint="default" w:ascii="Times New Roman" w:hAnsi="Times New Roman" w:eastAsia="宋体" w:cs="Times New Roman"/>
          <w:color w:val="auto"/>
          <w:spacing w:val="0"/>
          <w:kern w:val="0"/>
          <w:position w:val="0"/>
          <w:sz w:val="24"/>
          <w:lang w:val="zh-CN"/>
        </w:rPr>
        <w:t>——每种危险物质的临界量，t。</w:t>
      </w:r>
    </w:p>
    <w:p w14:paraId="2583BEBE">
      <w:pPr>
        <w:keepNext w:val="0"/>
        <w:keepLines w:val="0"/>
        <w:pageBreakBefore w:val="0"/>
        <w:widowControl w:val="0"/>
        <w:shd w:val="clear"/>
        <w:kinsoku/>
        <w:wordWrap/>
        <w:overflowPunct/>
        <w:topLinePunct w:val="0"/>
        <w:autoSpaceDE/>
        <w:autoSpaceDN/>
        <w:bidi w:val="0"/>
        <w:snapToGrid/>
        <w:spacing w:line="360" w:lineRule="auto"/>
        <w:ind w:firstLine="1200" w:firstLineChars="500"/>
        <w:contextualSpacing/>
        <w:textAlignment w:val="auto"/>
        <w:outlineLvl w:val="9"/>
        <w:rPr>
          <w:rFonts w:hint="default" w:ascii="Times New Roman" w:hAnsi="Times New Roman" w:eastAsia="宋体" w:cs="Times New Roman"/>
          <w:color w:val="auto"/>
          <w:spacing w:val="0"/>
          <w:kern w:val="0"/>
          <w:position w:val="0"/>
          <w:sz w:val="24"/>
          <w:lang w:val="zh-CN"/>
        </w:rPr>
      </w:pPr>
      <w:r>
        <w:rPr>
          <w:rFonts w:hint="default" w:ascii="Times New Roman" w:hAnsi="Times New Roman" w:eastAsia="宋体" w:cs="Times New Roman"/>
          <w:color w:val="auto"/>
          <w:spacing w:val="0"/>
          <w:kern w:val="0"/>
          <w:position w:val="0"/>
          <w:sz w:val="24"/>
          <w:lang w:val="zh-CN"/>
        </w:rPr>
        <w:t>当Q＜1时，该项目的环境风险潜势为</w:t>
      </w:r>
      <w:r>
        <w:rPr>
          <w:rFonts w:hint="default" w:ascii="Times New Roman" w:hAnsi="Times New Roman" w:eastAsia="宋体" w:cs="Times New Roman"/>
          <w:color w:val="auto"/>
          <w:spacing w:val="0"/>
          <w:kern w:val="0"/>
          <w:position w:val="0"/>
          <w:sz w:val="24"/>
        </w:rPr>
        <w:t>Ⅰ</w:t>
      </w:r>
      <w:r>
        <w:rPr>
          <w:rFonts w:hint="default" w:ascii="Times New Roman" w:hAnsi="Times New Roman" w:eastAsia="宋体" w:cs="Times New Roman"/>
          <w:color w:val="auto"/>
          <w:spacing w:val="0"/>
          <w:kern w:val="0"/>
          <w:position w:val="0"/>
          <w:sz w:val="24"/>
          <w:lang w:val="zh-CN"/>
        </w:rPr>
        <w:t>；</w:t>
      </w:r>
    </w:p>
    <w:p w14:paraId="55E10F7A">
      <w:pPr>
        <w:keepNext w:val="0"/>
        <w:keepLines w:val="0"/>
        <w:pageBreakBefore w:val="0"/>
        <w:widowControl w:val="0"/>
        <w:shd w:val="clear"/>
        <w:kinsoku/>
        <w:wordWrap/>
        <w:overflowPunct/>
        <w:topLinePunct w:val="0"/>
        <w:autoSpaceDE/>
        <w:autoSpaceDN/>
        <w:bidi w:val="0"/>
        <w:snapToGrid/>
        <w:spacing w:line="360" w:lineRule="auto"/>
        <w:ind w:firstLine="1200" w:firstLineChars="500"/>
        <w:contextualSpacing/>
        <w:textAlignment w:val="auto"/>
        <w:outlineLvl w:val="9"/>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lang w:val="zh-CN"/>
        </w:rPr>
        <w:t>当Q≥1</w:t>
      </w:r>
      <w:r>
        <w:rPr>
          <w:rFonts w:hint="default" w:ascii="Times New Roman" w:hAnsi="Times New Roman" w:eastAsia="宋体" w:cs="Times New Roman"/>
          <w:color w:val="auto"/>
          <w:spacing w:val="0"/>
          <w:kern w:val="0"/>
          <w:position w:val="0"/>
          <w:sz w:val="24"/>
        </w:rPr>
        <w:t>00时</w:t>
      </w:r>
      <w:r>
        <w:rPr>
          <w:rFonts w:hint="default" w:ascii="Times New Roman" w:hAnsi="Times New Roman" w:eastAsia="宋体" w:cs="Times New Roman"/>
          <w:color w:val="auto"/>
          <w:spacing w:val="0"/>
          <w:kern w:val="0"/>
          <w:position w:val="0"/>
          <w:sz w:val="24"/>
          <w:lang w:val="zh-CN"/>
        </w:rPr>
        <w:t>，将</w:t>
      </w:r>
      <w:r>
        <w:rPr>
          <w:rFonts w:hint="default" w:ascii="Times New Roman" w:hAnsi="Times New Roman" w:eastAsia="宋体" w:cs="Times New Roman"/>
          <w:color w:val="auto"/>
          <w:spacing w:val="0"/>
          <w:kern w:val="0"/>
          <w:position w:val="0"/>
          <w:sz w:val="24"/>
        </w:rPr>
        <w:t>Q值划分为：</w:t>
      </w:r>
      <w:r>
        <w:rPr>
          <w:rFonts w:hint="default" w:ascii="Times New Roman" w:hAnsi="Times New Roman" w:eastAsia="宋体" w:cs="Times New Roman"/>
          <w:color w:val="auto"/>
          <w:spacing w:val="0"/>
          <w:kern w:val="0"/>
          <w:position w:val="0"/>
          <w:sz w:val="24"/>
          <w:lang w:val="zh-CN"/>
        </w:rPr>
        <w:t>1≤Q＜10；1</w:t>
      </w:r>
      <w:r>
        <w:rPr>
          <w:rFonts w:hint="default" w:ascii="Times New Roman" w:hAnsi="Times New Roman" w:eastAsia="宋体" w:cs="Times New Roman"/>
          <w:color w:val="auto"/>
          <w:spacing w:val="0"/>
          <w:kern w:val="0"/>
          <w:position w:val="0"/>
          <w:sz w:val="24"/>
        </w:rPr>
        <w:t>0</w:t>
      </w:r>
      <w:r>
        <w:rPr>
          <w:rFonts w:hint="default" w:ascii="Times New Roman" w:hAnsi="Times New Roman" w:eastAsia="宋体" w:cs="Times New Roman"/>
          <w:color w:val="auto"/>
          <w:spacing w:val="0"/>
          <w:kern w:val="0"/>
          <w:position w:val="0"/>
          <w:sz w:val="24"/>
          <w:lang w:val="zh-CN"/>
        </w:rPr>
        <w:t>≤Q＜10</w:t>
      </w:r>
      <w:r>
        <w:rPr>
          <w:rFonts w:hint="default" w:ascii="Times New Roman" w:hAnsi="Times New Roman" w:eastAsia="宋体" w:cs="Times New Roman"/>
          <w:color w:val="auto"/>
          <w:spacing w:val="0"/>
          <w:kern w:val="0"/>
          <w:position w:val="0"/>
          <w:sz w:val="24"/>
        </w:rPr>
        <w:t>0；</w:t>
      </w:r>
      <w:r>
        <w:rPr>
          <w:rFonts w:hint="default" w:ascii="Times New Roman" w:hAnsi="Times New Roman" w:eastAsia="宋体" w:cs="Times New Roman"/>
          <w:color w:val="auto"/>
          <w:spacing w:val="0"/>
          <w:kern w:val="0"/>
          <w:position w:val="0"/>
          <w:sz w:val="24"/>
          <w:lang w:val="zh-CN"/>
        </w:rPr>
        <w:t>Q≥1</w:t>
      </w:r>
      <w:r>
        <w:rPr>
          <w:rFonts w:hint="default" w:ascii="Times New Roman" w:hAnsi="Times New Roman" w:eastAsia="宋体" w:cs="Times New Roman"/>
          <w:color w:val="auto"/>
          <w:spacing w:val="0"/>
          <w:kern w:val="0"/>
          <w:position w:val="0"/>
          <w:sz w:val="24"/>
        </w:rPr>
        <w:t>00</w:t>
      </w:r>
    </w:p>
    <w:p w14:paraId="5BA63C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lang w:val="en-US" w:eastAsia="zh-CN"/>
        </w:rPr>
        <w:t>3</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建设项目环境风险潜势判断</w:t>
      </w:r>
    </w:p>
    <w:p w14:paraId="0A9DC8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rPr>
        <w:t>根据《建设项目环境风险评价技术导则》（HJ/T 169-2018）以及《危险化学品重大危险源辨识》（GB 18218-2018）中的有毒物质、易燃物质及爆炸性物质名称及临界量的规定，本项目</w:t>
      </w:r>
      <w:r>
        <w:rPr>
          <w:rFonts w:hint="eastAsia" w:ascii="Times New Roman" w:hAnsi="Times New Roman" w:eastAsia="宋体" w:cs="Times New Roman"/>
          <w:color w:val="auto"/>
          <w:spacing w:val="0"/>
          <w:kern w:val="0"/>
          <w:position w:val="0"/>
          <w:sz w:val="24"/>
          <w:lang w:val="en-US" w:eastAsia="zh-CN"/>
        </w:rPr>
        <w:t>P值计算结果</w:t>
      </w:r>
      <w:r>
        <w:rPr>
          <w:rFonts w:hint="default" w:ascii="Times New Roman" w:hAnsi="Times New Roman" w:eastAsia="宋体" w:cs="Times New Roman"/>
          <w:color w:val="auto"/>
          <w:spacing w:val="0"/>
          <w:kern w:val="0"/>
          <w:position w:val="0"/>
          <w:sz w:val="24"/>
        </w:rPr>
        <w:t>见表</w:t>
      </w:r>
      <w:r>
        <w:rPr>
          <w:rFonts w:hint="eastAsia" w:ascii="Times New Roman" w:hAnsi="Times New Roman" w:eastAsia="宋体" w:cs="Times New Roman"/>
          <w:color w:val="auto"/>
          <w:spacing w:val="0"/>
          <w:kern w:val="0"/>
          <w:position w:val="0"/>
          <w:sz w:val="24"/>
          <w:lang w:val="en-US" w:eastAsia="zh-CN"/>
        </w:rPr>
        <w:t>5.3-6</w:t>
      </w:r>
      <w:r>
        <w:rPr>
          <w:rFonts w:hint="default" w:ascii="Times New Roman" w:hAnsi="Times New Roman" w:eastAsia="宋体" w:cs="Times New Roman"/>
          <w:color w:val="auto"/>
          <w:spacing w:val="0"/>
          <w:kern w:val="0"/>
          <w:position w:val="0"/>
          <w:sz w:val="24"/>
          <w:lang w:val="en-US" w:eastAsia="zh-CN"/>
        </w:rPr>
        <w:t>。</w:t>
      </w:r>
    </w:p>
    <w:p w14:paraId="57D8129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Times New Roman" w:hAnsi="Times New Roman" w:eastAsia="宋体" w:cs="Times New Roman"/>
          <w:b/>
          <w:bCs/>
          <w:color w:val="auto"/>
          <w:spacing w:val="0"/>
          <w:kern w:val="0"/>
          <w:position w:val="0"/>
          <w:sz w:val="24"/>
          <w:szCs w:val="21"/>
        </w:rPr>
      </w:pPr>
      <w:r>
        <w:rPr>
          <w:rFonts w:hint="eastAsia" w:ascii="Times New Roman" w:hAnsi="Times New Roman" w:eastAsia="宋体" w:cs="Times New Roman"/>
          <w:b/>
          <w:bCs/>
          <w:color w:val="auto"/>
          <w:spacing w:val="0"/>
          <w:kern w:val="0"/>
          <w:position w:val="0"/>
          <w:sz w:val="24"/>
          <w:szCs w:val="21"/>
        </w:rPr>
        <w:t>表</w:t>
      </w:r>
      <w:r>
        <w:rPr>
          <w:rFonts w:hint="eastAsia" w:ascii="Times New Roman" w:hAnsi="Times New Roman" w:eastAsia="宋体" w:cs="Times New Roman"/>
          <w:b/>
          <w:bCs/>
          <w:color w:val="auto"/>
          <w:spacing w:val="0"/>
          <w:kern w:val="0"/>
          <w:position w:val="0"/>
          <w:sz w:val="24"/>
          <w:szCs w:val="21"/>
          <w:lang w:val="en-US" w:eastAsia="zh-CN"/>
        </w:rPr>
        <w:t>5.3-6</w:t>
      </w:r>
      <w:r>
        <w:rPr>
          <w:rFonts w:hint="eastAsia" w:ascii="Times New Roman" w:hAnsi="Times New Roman" w:eastAsia="宋体" w:cs="Times New Roman"/>
          <w:b/>
          <w:bCs/>
          <w:color w:val="auto"/>
          <w:spacing w:val="0"/>
          <w:kern w:val="0"/>
          <w:position w:val="0"/>
          <w:sz w:val="24"/>
          <w:szCs w:val="21"/>
        </w:rPr>
        <w:t>危险化学品重大危险源辨识结果</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2126"/>
        <w:gridCol w:w="1131"/>
        <w:gridCol w:w="1012"/>
        <w:gridCol w:w="1214"/>
        <w:gridCol w:w="1252"/>
        <w:gridCol w:w="1253"/>
      </w:tblGrid>
      <w:tr w14:paraId="477C8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64" w:type="pct"/>
            <w:tcBorders>
              <w:tl2br w:val="nil"/>
              <w:tr2bl w:val="nil"/>
            </w:tcBorders>
            <w:noWrap w:val="0"/>
            <w:vAlign w:val="center"/>
          </w:tcPr>
          <w:p w14:paraId="6E1F9C84">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rPr>
              <w:t>序号</w:t>
            </w:r>
          </w:p>
        </w:tc>
        <w:tc>
          <w:tcPr>
            <w:tcW w:w="1233" w:type="pct"/>
            <w:tcBorders>
              <w:tl2br w:val="nil"/>
              <w:tr2bl w:val="nil"/>
            </w:tcBorders>
            <w:noWrap w:val="0"/>
            <w:vAlign w:val="center"/>
          </w:tcPr>
          <w:p w14:paraId="2B66C0CF">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rPr>
              <w:t>物质名称</w:t>
            </w:r>
          </w:p>
        </w:tc>
        <w:tc>
          <w:tcPr>
            <w:tcW w:w="656" w:type="pct"/>
            <w:tcBorders>
              <w:tl2br w:val="nil"/>
              <w:tr2bl w:val="nil"/>
            </w:tcBorders>
            <w:noWrap w:val="0"/>
            <w:vAlign w:val="center"/>
          </w:tcPr>
          <w:p w14:paraId="709FCBA0">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lang w:val="en-US" w:eastAsia="zh-CN"/>
              </w:rPr>
              <w:t>CAS号</w:t>
            </w:r>
          </w:p>
        </w:tc>
        <w:tc>
          <w:tcPr>
            <w:tcW w:w="587" w:type="pct"/>
            <w:tcBorders>
              <w:tl2br w:val="nil"/>
              <w:tr2bl w:val="nil"/>
            </w:tcBorders>
            <w:noWrap w:val="0"/>
            <w:vAlign w:val="center"/>
          </w:tcPr>
          <w:p w14:paraId="7AAE53E5">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rPr>
              <w:t>临界量（t）</w:t>
            </w:r>
          </w:p>
        </w:tc>
        <w:tc>
          <w:tcPr>
            <w:tcW w:w="704" w:type="pct"/>
            <w:tcBorders>
              <w:tl2br w:val="nil"/>
              <w:tr2bl w:val="nil"/>
            </w:tcBorders>
            <w:noWrap w:val="0"/>
            <w:vAlign w:val="center"/>
          </w:tcPr>
          <w:p w14:paraId="6271F125">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lang w:eastAsia="zh-CN"/>
              </w:rPr>
              <w:t>最大储存量</w:t>
            </w:r>
            <w:r>
              <w:rPr>
                <w:rFonts w:hint="default" w:ascii="Times New Roman" w:hAnsi="Times New Roman" w:eastAsia="宋体"/>
                <w:b/>
                <w:bCs w:val="0"/>
                <w:color w:val="auto"/>
                <w:spacing w:val="0"/>
                <w:kern w:val="0"/>
                <w:position w:val="0"/>
                <w:sz w:val="21"/>
              </w:rPr>
              <w:t>（t）</w:t>
            </w:r>
          </w:p>
        </w:tc>
        <w:tc>
          <w:tcPr>
            <w:tcW w:w="726" w:type="pct"/>
            <w:tcBorders>
              <w:tl2br w:val="nil"/>
              <w:tr2bl w:val="nil"/>
            </w:tcBorders>
            <w:noWrap w:val="0"/>
            <w:vAlign w:val="center"/>
          </w:tcPr>
          <w:p w14:paraId="3B07C8C5">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b/>
                <w:bCs w:val="0"/>
                <w:color w:val="auto"/>
                <w:spacing w:val="0"/>
                <w:kern w:val="0"/>
                <w:position w:val="0"/>
                <w:sz w:val="21"/>
              </w:rPr>
            </w:pPr>
            <w:r>
              <w:rPr>
                <w:rFonts w:hint="default" w:ascii="Times New Roman" w:hAnsi="Times New Roman" w:eastAsia="宋体"/>
                <w:b/>
                <w:bCs w:val="0"/>
                <w:color w:val="auto"/>
                <w:spacing w:val="0"/>
                <w:kern w:val="0"/>
                <w:position w:val="0"/>
                <w:sz w:val="21"/>
              </w:rPr>
              <w:t>q/Q</w:t>
            </w:r>
          </w:p>
        </w:tc>
        <w:tc>
          <w:tcPr>
            <w:tcW w:w="727" w:type="pct"/>
            <w:tcBorders>
              <w:tl2br w:val="nil"/>
              <w:tr2bl w:val="nil"/>
            </w:tcBorders>
            <w:noWrap w:val="0"/>
            <w:vAlign w:val="center"/>
          </w:tcPr>
          <w:p w14:paraId="19496A2C">
            <w:pPr>
              <w:pStyle w:val="56"/>
              <w:keepNext w:val="0"/>
              <w:keepLines w:val="0"/>
              <w:pageBreakBefore w:val="0"/>
              <w:widowControl w:val="0"/>
              <w:shd w:val="clear"/>
              <w:kinsoku/>
              <w:wordWrap/>
              <w:overflowPunct/>
              <w:topLinePunct w:val="0"/>
              <w:autoSpaceDE/>
              <w:autoSpaceDN/>
              <w:bidi w:val="0"/>
              <w:textAlignment w:val="auto"/>
              <w:rPr>
                <w:rFonts w:hint="eastAsia" w:ascii="Times New Roman" w:hAnsi="Times New Roman" w:eastAsia="宋体"/>
                <w:b/>
                <w:bCs w:val="0"/>
                <w:color w:val="auto"/>
                <w:spacing w:val="0"/>
                <w:kern w:val="0"/>
                <w:position w:val="0"/>
                <w:sz w:val="21"/>
                <w:lang w:eastAsia="zh-CN"/>
              </w:rPr>
            </w:pPr>
            <w:r>
              <w:rPr>
                <w:rFonts w:hint="eastAsia" w:ascii="Times New Roman" w:hAnsi="Times New Roman" w:eastAsia="宋体"/>
                <w:b/>
                <w:bCs w:val="0"/>
                <w:color w:val="auto"/>
                <w:spacing w:val="0"/>
                <w:kern w:val="0"/>
                <w:position w:val="0"/>
                <w:sz w:val="21"/>
                <w:lang w:eastAsia="zh-CN"/>
              </w:rPr>
              <w:t>是否构成重大危险源</w:t>
            </w:r>
          </w:p>
        </w:tc>
      </w:tr>
      <w:tr w14:paraId="6D124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4" w:type="pct"/>
            <w:tcBorders>
              <w:tl2br w:val="nil"/>
              <w:tr2bl w:val="nil"/>
            </w:tcBorders>
            <w:noWrap w:val="0"/>
            <w:vAlign w:val="center"/>
          </w:tcPr>
          <w:p w14:paraId="6D92F454">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1</w:t>
            </w:r>
          </w:p>
        </w:tc>
        <w:tc>
          <w:tcPr>
            <w:tcW w:w="1233" w:type="pct"/>
            <w:tcBorders>
              <w:tl2br w:val="nil"/>
              <w:tr2bl w:val="nil"/>
            </w:tcBorders>
            <w:noWrap w:val="0"/>
            <w:vAlign w:val="center"/>
          </w:tcPr>
          <w:p w14:paraId="72CF8C6F">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val="en-US" w:eastAsia="zh-CN"/>
              </w:rPr>
              <w:t>废润滑油</w:t>
            </w:r>
          </w:p>
        </w:tc>
        <w:tc>
          <w:tcPr>
            <w:tcW w:w="656" w:type="pct"/>
            <w:tcBorders>
              <w:tl2br w:val="nil"/>
              <w:tr2bl w:val="nil"/>
            </w:tcBorders>
            <w:noWrap w:val="0"/>
            <w:vAlign w:val="center"/>
          </w:tcPr>
          <w:p w14:paraId="3764872A">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lang w:val="en-US" w:eastAsia="zh-CN"/>
              </w:rPr>
            </w:pPr>
            <w:r>
              <w:rPr>
                <w:rFonts w:hint="default" w:ascii="Times New Roman" w:hAnsi="Times New Roman" w:eastAsia="宋体"/>
                <w:color w:val="auto"/>
                <w:spacing w:val="0"/>
                <w:kern w:val="0"/>
                <w:position w:val="0"/>
                <w:sz w:val="21"/>
                <w:lang w:val="en-US" w:eastAsia="zh-CN"/>
              </w:rPr>
              <w:t>106-97-8</w:t>
            </w:r>
          </w:p>
        </w:tc>
        <w:tc>
          <w:tcPr>
            <w:tcW w:w="587" w:type="pct"/>
            <w:tcBorders>
              <w:tl2br w:val="nil"/>
              <w:tr2bl w:val="nil"/>
            </w:tcBorders>
            <w:noWrap w:val="0"/>
            <w:vAlign w:val="center"/>
          </w:tcPr>
          <w:p w14:paraId="3B854A4B">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50</w:t>
            </w:r>
          </w:p>
        </w:tc>
        <w:tc>
          <w:tcPr>
            <w:tcW w:w="704" w:type="pct"/>
            <w:tcBorders>
              <w:tl2br w:val="nil"/>
              <w:tr2bl w:val="nil"/>
            </w:tcBorders>
            <w:noWrap w:val="0"/>
            <w:vAlign w:val="center"/>
          </w:tcPr>
          <w:p w14:paraId="6256C578">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0.5</w:t>
            </w:r>
          </w:p>
        </w:tc>
        <w:tc>
          <w:tcPr>
            <w:tcW w:w="726" w:type="pct"/>
            <w:tcBorders>
              <w:tl2br w:val="nil"/>
              <w:tr2bl w:val="nil"/>
            </w:tcBorders>
            <w:noWrap w:val="0"/>
            <w:vAlign w:val="center"/>
          </w:tcPr>
          <w:p w14:paraId="20FC9439">
            <w:pPr>
              <w:pStyle w:val="56"/>
              <w:keepNext w:val="0"/>
              <w:keepLines w:val="0"/>
              <w:pageBreakBefore w:val="0"/>
              <w:widowControl w:val="0"/>
              <w:shd w:val="clear"/>
              <w:kinsoku/>
              <w:wordWrap/>
              <w:overflowPunct/>
              <w:topLinePunct w:val="0"/>
              <w:autoSpaceDE/>
              <w:autoSpaceDN/>
              <w:bidi w:val="0"/>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val="en-US" w:eastAsia="zh-CN"/>
              </w:rPr>
              <w:t>0.01</w:t>
            </w:r>
            <w:r>
              <w:rPr>
                <w:rFonts w:hint="default" w:ascii="Times New Roman" w:hAnsi="Times New Roman" w:eastAsia="宋体"/>
                <w:color w:val="auto"/>
                <w:spacing w:val="0"/>
                <w:kern w:val="0"/>
                <w:position w:val="0"/>
                <w:sz w:val="21"/>
              </w:rPr>
              <w:t>&lt;1</w:t>
            </w:r>
          </w:p>
        </w:tc>
        <w:tc>
          <w:tcPr>
            <w:tcW w:w="727" w:type="pct"/>
            <w:tcBorders>
              <w:tl2br w:val="nil"/>
              <w:tr2bl w:val="nil"/>
            </w:tcBorders>
            <w:noWrap w:val="0"/>
            <w:vAlign w:val="center"/>
          </w:tcPr>
          <w:p w14:paraId="57C6C895">
            <w:pPr>
              <w:pStyle w:val="56"/>
              <w:keepNext w:val="0"/>
              <w:keepLines w:val="0"/>
              <w:pageBreakBefore w:val="0"/>
              <w:widowControl w:val="0"/>
              <w:shd w:val="clear"/>
              <w:kinsoku/>
              <w:wordWrap/>
              <w:overflowPunct/>
              <w:topLinePunct w:val="0"/>
              <w:autoSpaceDE/>
              <w:autoSpaceDN/>
              <w:bidi w:val="0"/>
              <w:textAlignment w:val="auto"/>
              <w:rPr>
                <w:rFonts w:hint="eastAsia"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否</w:t>
            </w:r>
          </w:p>
        </w:tc>
      </w:tr>
    </w:tbl>
    <w:p w14:paraId="1240C4B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pacing w:val="0"/>
          <w:kern w:val="0"/>
          <w:position w:val="0"/>
          <w:sz w:val="24"/>
          <w:lang w:eastAsia="zh-CN"/>
        </w:rPr>
      </w:pPr>
      <w:r>
        <w:rPr>
          <w:rFonts w:hint="eastAsia" w:ascii="Times New Roman" w:hAnsi="Times New Roman" w:eastAsia="宋体" w:cs="Times New Roman"/>
          <w:color w:val="auto"/>
          <w:spacing w:val="0"/>
          <w:kern w:val="0"/>
          <w:position w:val="0"/>
          <w:sz w:val="24"/>
        </w:rPr>
        <w:t>通过上表可以判定：项目</w:t>
      </w:r>
      <w:r>
        <w:rPr>
          <w:rFonts w:hint="eastAsia" w:ascii="Times New Roman" w:hAnsi="Times New Roman" w:eastAsia="宋体" w:cs="Times New Roman"/>
          <w:color w:val="auto"/>
          <w:spacing w:val="0"/>
          <w:kern w:val="0"/>
          <w:position w:val="0"/>
          <w:sz w:val="24"/>
          <w:lang w:val="en-US" w:eastAsia="zh-CN"/>
        </w:rPr>
        <w:t>q/Q=0.01，</w:t>
      </w:r>
      <w:r>
        <w:rPr>
          <w:rFonts w:hint="default" w:ascii="Times New Roman" w:hAnsi="Times New Roman" w:eastAsia="宋体" w:cs="Times New Roman"/>
          <w:color w:val="auto"/>
          <w:spacing w:val="0"/>
          <w:kern w:val="0"/>
          <w:position w:val="0"/>
          <w:sz w:val="24"/>
          <w:lang w:val="zh-CN"/>
        </w:rPr>
        <w:t>Q＜1</w:t>
      </w:r>
      <w:r>
        <w:rPr>
          <w:rFonts w:hint="eastAsia" w:ascii="Times New Roman" w:hAnsi="Times New Roman" w:eastAsia="宋体" w:cs="Times New Roman"/>
          <w:color w:val="auto"/>
          <w:spacing w:val="0"/>
          <w:kern w:val="0"/>
          <w:position w:val="0"/>
          <w:sz w:val="24"/>
          <w:lang w:val="zh-CN"/>
        </w:rPr>
        <w:t>，</w:t>
      </w:r>
      <w:r>
        <w:rPr>
          <w:rFonts w:hint="eastAsia" w:ascii="Times New Roman" w:hAnsi="Times New Roman" w:eastAsia="宋体" w:cs="Times New Roman"/>
          <w:color w:val="auto"/>
          <w:spacing w:val="0"/>
          <w:kern w:val="0"/>
          <w:position w:val="0"/>
          <w:sz w:val="24"/>
        </w:rPr>
        <w:t>不构成重大危险源。根据《建设项目环境风险评价技术导则》（HJ169-2018）中</w:t>
      </w:r>
      <w:r>
        <w:rPr>
          <w:rFonts w:hint="eastAsia" w:ascii="Times New Roman" w:hAnsi="Times New Roman" w:eastAsia="宋体" w:cs="Times New Roman"/>
          <w:color w:val="auto"/>
          <w:spacing w:val="0"/>
          <w:kern w:val="0"/>
          <w:position w:val="0"/>
          <w:sz w:val="24"/>
          <w:lang w:eastAsia="zh-CN"/>
        </w:rPr>
        <w:t>规定</w:t>
      </w:r>
      <w:r>
        <w:rPr>
          <w:rFonts w:hint="eastAsia" w:ascii="Times New Roman" w:hAnsi="Times New Roman" w:eastAsia="宋体" w:cs="Times New Roman"/>
          <w:color w:val="auto"/>
          <w:spacing w:val="0"/>
          <w:kern w:val="0"/>
          <w:position w:val="0"/>
          <w:sz w:val="24"/>
        </w:rPr>
        <w:t>，</w:t>
      </w:r>
      <w:r>
        <w:rPr>
          <w:rFonts w:hint="default" w:ascii="Times New Roman" w:hAnsi="Times New Roman" w:eastAsia="宋体" w:cs="Times New Roman"/>
          <w:color w:val="auto"/>
          <w:spacing w:val="0"/>
          <w:kern w:val="0"/>
          <w:position w:val="0"/>
          <w:sz w:val="24"/>
          <w:lang w:val="zh-CN"/>
        </w:rPr>
        <w:t>当Q＜1时，项目的环境风险潜势</w:t>
      </w:r>
      <w:r>
        <w:rPr>
          <w:rFonts w:hint="eastAsia" w:ascii="Times New Roman" w:hAnsi="Times New Roman" w:eastAsia="宋体" w:cs="Times New Roman"/>
          <w:color w:val="auto"/>
          <w:spacing w:val="0"/>
          <w:kern w:val="0"/>
          <w:position w:val="0"/>
          <w:sz w:val="24"/>
          <w:lang w:val="zh-CN"/>
        </w:rPr>
        <w:t>直接判定</w:t>
      </w:r>
      <w:r>
        <w:rPr>
          <w:rFonts w:hint="default" w:ascii="Times New Roman" w:hAnsi="Times New Roman" w:eastAsia="宋体" w:cs="Times New Roman"/>
          <w:color w:val="auto"/>
          <w:spacing w:val="0"/>
          <w:kern w:val="0"/>
          <w:position w:val="0"/>
          <w:sz w:val="24"/>
          <w:lang w:val="zh-CN"/>
        </w:rPr>
        <w:t>为</w:t>
      </w:r>
      <w:r>
        <w:rPr>
          <w:rFonts w:hint="default" w:ascii="Times New Roman" w:hAnsi="Times New Roman" w:eastAsia="宋体" w:cs="Times New Roman"/>
          <w:color w:val="auto"/>
          <w:spacing w:val="0"/>
          <w:kern w:val="0"/>
          <w:position w:val="0"/>
          <w:sz w:val="24"/>
        </w:rPr>
        <w:t>Ⅰ</w:t>
      </w:r>
      <w:r>
        <w:rPr>
          <w:rFonts w:hint="eastAsia" w:ascii="Times New Roman" w:hAnsi="Times New Roman" w:eastAsia="宋体" w:cs="Times New Roman"/>
          <w:color w:val="auto"/>
          <w:spacing w:val="0"/>
          <w:kern w:val="0"/>
          <w:position w:val="0"/>
          <w:sz w:val="24"/>
        </w:rPr>
        <w:t>，所以本项目环境潜势为</w:t>
      </w:r>
      <w:r>
        <w:rPr>
          <w:rFonts w:hint="eastAsia" w:ascii="Times New Roman" w:hAnsi="Times New Roman" w:eastAsia="宋体" w:cs="Times New Roman"/>
          <w:color w:val="auto"/>
          <w:spacing w:val="0"/>
          <w:kern w:val="0"/>
          <w:position w:val="0"/>
          <w:sz w:val="24"/>
          <w:lang w:val="en-US" w:eastAsia="zh-CN"/>
        </w:rPr>
        <w:t>I</w:t>
      </w:r>
      <w:r>
        <w:rPr>
          <w:rFonts w:hint="eastAsia" w:ascii="Times New Roman" w:hAnsi="Times New Roman" w:eastAsia="宋体" w:cs="Times New Roman"/>
          <w:color w:val="auto"/>
          <w:spacing w:val="0"/>
          <w:kern w:val="0"/>
          <w:position w:val="0"/>
          <w:sz w:val="24"/>
          <w:lang w:eastAsia="zh-CN"/>
        </w:rPr>
        <w:t>。</w:t>
      </w:r>
    </w:p>
    <w:p w14:paraId="32DB942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pacing w:val="0"/>
          <w:kern w:val="0"/>
          <w:position w:val="0"/>
          <w:sz w:val="24"/>
          <w:lang w:val="en-US" w:eastAsia="zh-CN"/>
        </w:rPr>
      </w:pPr>
      <w:r>
        <w:rPr>
          <w:rFonts w:hint="eastAsia" w:ascii="Times New Roman" w:hAnsi="Times New Roman" w:eastAsia="宋体" w:cs="Times New Roman"/>
          <w:color w:val="auto"/>
          <w:spacing w:val="0"/>
          <w:kern w:val="0"/>
          <w:position w:val="0"/>
          <w:sz w:val="24"/>
          <w:lang w:val="en-US" w:eastAsia="zh-CN"/>
        </w:rPr>
        <w:t>（3）评价等级及评价范围</w:t>
      </w:r>
    </w:p>
    <w:p w14:paraId="7C735D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rPr>
        <w:t>根据《建设项目环境风险评价技术导则》（HJ169-2018）</w:t>
      </w:r>
      <w:r>
        <w:rPr>
          <w:rFonts w:hint="eastAsia" w:ascii="Times New Roman" w:hAnsi="Times New Roman" w:eastAsia="宋体" w:cs="Times New Roman"/>
          <w:color w:val="auto"/>
          <w:spacing w:val="0"/>
          <w:kern w:val="0"/>
          <w:position w:val="0"/>
          <w:sz w:val="24"/>
          <w:lang w:eastAsia="zh-CN"/>
        </w:rPr>
        <w:t>中表</w:t>
      </w:r>
      <w:r>
        <w:rPr>
          <w:rFonts w:hint="eastAsia" w:ascii="Times New Roman" w:hAnsi="Times New Roman" w:eastAsia="宋体" w:cs="Times New Roman"/>
          <w:color w:val="auto"/>
          <w:spacing w:val="0"/>
          <w:kern w:val="0"/>
          <w:position w:val="0"/>
          <w:sz w:val="24"/>
          <w:lang w:val="en-US" w:eastAsia="zh-CN"/>
        </w:rPr>
        <w:t>1评价工作级别判别依据和方法，</w:t>
      </w:r>
      <w:r>
        <w:rPr>
          <w:rFonts w:hint="eastAsia" w:ascii="Times New Roman" w:hAnsi="Times New Roman" w:eastAsia="宋体" w:cs="Times New Roman"/>
          <w:color w:val="auto"/>
          <w:spacing w:val="0"/>
          <w:kern w:val="0"/>
          <w:position w:val="0"/>
          <w:sz w:val="24"/>
        </w:rPr>
        <w:t>确定本项目环境风险评价工作等级为简单分析。评价工作等级划分见表</w:t>
      </w:r>
      <w:r>
        <w:rPr>
          <w:rFonts w:hint="eastAsia" w:ascii="Times New Roman" w:hAnsi="Times New Roman" w:eastAsia="宋体" w:cs="Times New Roman"/>
          <w:color w:val="auto"/>
          <w:spacing w:val="0"/>
          <w:kern w:val="0"/>
          <w:position w:val="0"/>
          <w:sz w:val="24"/>
          <w:lang w:val="en-US" w:eastAsia="zh-CN"/>
        </w:rPr>
        <w:t>5.3-5</w:t>
      </w:r>
      <w:r>
        <w:rPr>
          <w:rFonts w:hint="eastAsia" w:ascii="Times New Roman" w:hAnsi="Times New Roman" w:eastAsia="宋体" w:cs="Times New Roman"/>
          <w:color w:val="auto"/>
          <w:spacing w:val="0"/>
          <w:kern w:val="0"/>
          <w:position w:val="0"/>
          <w:sz w:val="24"/>
        </w:rPr>
        <w:t>。</w:t>
      </w:r>
    </w:p>
    <w:p w14:paraId="72C518A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Times New Roman" w:hAnsi="Times New Roman" w:eastAsia="宋体"/>
          <w:b/>
          <w:bCs/>
          <w:color w:val="auto"/>
          <w:spacing w:val="0"/>
          <w:kern w:val="0"/>
          <w:position w:val="0"/>
          <w:sz w:val="24"/>
          <w:szCs w:val="21"/>
        </w:rPr>
      </w:pPr>
      <w:r>
        <w:rPr>
          <w:rFonts w:hint="eastAsia" w:ascii="Times New Roman" w:hAnsi="Times New Roman" w:eastAsia="宋体"/>
          <w:b/>
          <w:bCs/>
          <w:color w:val="auto"/>
          <w:spacing w:val="0"/>
          <w:kern w:val="0"/>
          <w:position w:val="0"/>
          <w:sz w:val="24"/>
          <w:szCs w:val="21"/>
        </w:rPr>
        <w:t>表</w:t>
      </w:r>
      <w:r>
        <w:rPr>
          <w:rFonts w:hint="eastAsia" w:ascii="Times New Roman" w:hAnsi="Times New Roman" w:eastAsia="宋体"/>
          <w:b/>
          <w:bCs/>
          <w:color w:val="auto"/>
          <w:spacing w:val="0"/>
          <w:kern w:val="0"/>
          <w:position w:val="0"/>
          <w:sz w:val="24"/>
          <w:szCs w:val="21"/>
          <w:lang w:val="en-US" w:eastAsia="zh-CN"/>
        </w:rPr>
        <w:t>5.3-5</w:t>
      </w:r>
      <w:r>
        <w:rPr>
          <w:rFonts w:hint="eastAsia" w:ascii="Times New Roman" w:hAnsi="Times New Roman" w:eastAsia="宋体"/>
          <w:b/>
          <w:bCs/>
          <w:color w:val="auto"/>
          <w:spacing w:val="0"/>
          <w:kern w:val="0"/>
          <w:position w:val="0"/>
          <w:sz w:val="24"/>
          <w:szCs w:val="21"/>
        </w:rPr>
        <w:t>评价工作级别</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754"/>
        <w:gridCol w:w="1757"/>
        <w:gridCol w:w="1754"/>
        <w:gridCol w:w="1762"/>
      </w:tblGrid>
      <w:tr w14:paraId="587968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5" w:type="pct"/>
            <w:tcBorders>
              <w:tl2br w:val="nil"/>
              <w:tr2bl w:val="nil"/>
            </w:tcBorders>
            <w:noWrap w:val="0"/>
            <w:vAlign w:val="center"/>
          </w:tcPr>
          <w:p w14:paraId="394E8D9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环境风险潜势</w:t>
            </w:r>
          </w:p>
        </w:tc>
        <w:tc>
          <w:tcPr>
            <w:tcW w:w="1017" w:type="pct"/>
            <w:tcBorders>
              <w:tl2br w:val="nil"/>
              <w:tr2bl w:val="nil"/>
            </w:tcBorders>
            <w:noWrap w:val="0"/>
            <w:vAlign w:val="center"/>
          </w:tcPr>
          <w:p w14:paraId="0800067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Ⅳ、Ⅳ</w:t>
            </w:r>
            <w:r>
              <w:rPr>
                <w:rFonts w:ascii="Times New Roman" w:hAnsi="Times New Roman" w:eastAsia="宋体"/>
                <w:color w:val="auto"/>
                <w:spacing w:val="0"/>
                <w:kern w:val="0"/>
                <w:position w:val="0"/>
                <w:sz w:val="21"/>
              </w:rPr>
              <w:t>+</w:t>
            </w:r>
          </w:p>
        </w:tc>
        <w:tc>
          <w:tcPr>
            <w:tcW w:w="1019" w:type="pct"/>
            <w:tcBorders>
              <w:tl2br w:val="nil"/>
              <w:tr2bl w:val="nil"/>
            </w:tcBorders>
            <w:noWrap w:val="0"/>
            <w:vAlign w:val="center"/>
          </w:tcPr>
          <w:p w14:paraId="309930A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Ⅲ</w:t>
            </w:r>
          </w:p>
        </w:tc>
        <w:tc>
          <w:tcPr>
            <w:tcW w:w="1017" w:type="pct"/>
            <w:tcBorders>
              <w:tl2br w:val="nil"/>
              <w:tr2bl w:val="nil"/>
            </w:tcBorders>
            <w:noWrap w:val="0"/>
            <w:vAlign w:val="center"/>
          </w:tcPr>
          <w:p w14:paraId="328412A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Ⅱ</w:t>
            </w:r>
          </w:p>
        </w:tc>
        <w:tc>
          <w:tcPr>
            <w:tcW w:w="1019" w:type="pct"/>
            <w:tcBorders>
              <w:tl2br w:val="nil"/>
              <w:tr2bl w:val="nil"/>
            </w:tcBorders>
            <w:noWrap w:val="0"/>
            <w:vAlign w:val="center"/>
          </w:tcPr>
          <w:p w14:paraId="0D47E77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Ⅰ</w:t>
            </w:r>
          </w:p>
        </w:tc>
      </w:tr>
      <w:tr w14:paraId="2E644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5" w:type="pct"/>
            <w:tcBorders>
              <w:tl2br w:val="nil"/>
              <w:tr2bl w:val="nil"/>
            </w:tcBorders>
            <w:noWrap w:val="0"/>
            <w:vAlign w:val="center"/>
          </w:tcPr>
          <w:p w14:paraId="28DA04D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评价工作等级</w:t>
            </w:r>
          </w:p>
        </w:tc>
        <w:tc>
          <w:tcPr>
            <w:tcW w:w="1017" w:type="pct"/>
            <w:tcBorders>
              <w:tl2br w:val="nil"/>
              <w:tr2bl w:val="nil"/>
            </w:tcBorders>
            <w:noWrap w:val="0"/>
            <w:vAlign w:val="center"/>
          </w:tcPr>
          <w:p w14:paraId="4E19382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一</w:t>
            </w:r>
          </w:p>
        </w:tc>
        <w:tc>
          <w:tcPr>
            <w:tcW w:w="1019" w:type="pct"/>
            <w:tcBorders>
              <w:tl2br w:val="nil"/>
              <w:tr2bl w:val="nil"/>
            </w:tcBorders>
            <w:noWrap w:val="0"/>
            <w:vAlign w:val="center"/>
          </w:tcPr>
          <w:p w14:paraId="3A5DE97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二</w:t>
            </w:r>
          </w:p>
        </w:tc>
        <w:tc>
          <w:tcPr>
            <w:tcW w:w="1017" w:type="pct"/>
            <w:tcBorders>
              <w:tl2br w:val="nil"/>
              <w:tr2bl w:val="nil"/>
            </w:tcBorders>
            <w:noWrap w:val="0"/>
            <w:vAlign w:val="center"/>
          </w:tcPr>
          <w:p w14:paraId="25735E1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三</w:t>
            </w:r>
          </w:p>
        </w:tc>
        <w:tc>
          <w:tcPr>
            <w:tcW w:w="1019" w:type="pct"/>
            <w:tcBorders>
              <w:tl2br w:val="nil"/>
              <w:tr2bl w:val="nil"/>
            </w:tcBorders>
            <w:noWrap w:val="0"/>
            <w:vAlign w:val="center"/>
          </w:tcPr>
          <w:p w14:paraId="15FD783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简单分析</w:t>
            </w:r>
            <w:r>
              <w:rPr>
                <w:rFonts w:ascii="Times New Roman" w:hAnsi="Times New Roman" w:eastAsia="宋体"/>
                <w:color w:val="auto"/>
                <w:spacing w:val="0"/>
                <w:kern w:val="0"/>
                <w:position w:val="0"/>
                <w:sz w:val="21"/>
              </w:rPr>
              <w:t>a</w:t>
            </w:r>
          </w:p>
        </w:tc>
      </w:tr>
      <w:tr w14:paraId="41DBC0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14:paraId="2E9B35A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rPr>
              <w:t>简单分析</w:t>
            </w:r>
            <w:r>
              <w:rPr>
                <w:rFonts w:ascii="Times New Roman" w:hAnsi="Times New Roman" w:eastAsia="宋体"/>
                <w:color w:val="auto"/>
                <w:spacing w:val="0"/>
                <w:kern w:val="0"/>
                <w:position w:val="0"/>
                <w:sz w:val="21"/>
              </w:rPr>
              <w:t>a</w:t>
            </w:r>
            <w:r>
              <w:rPr>
                <w:rFonts w:hint="eastAsia" w:ascii="Times New Roman" w:hAnsi="Times New Roman" w:eastAsia="宋体"/>
                <w:color w:val="auto"/>
                <w:spacing w:val="0"/>
                <w:kern w:val="0"/>
                <w:position w:val="0"/>
                <w:sz w:val="21"/>
              </w:rPr>
              <w:t>是相对于详细评价工作内容而言，在描述危险物质、环境影响途径、环境危害后果、风险防范措施等方面给出定性的说明。</w:t>
            </w:r>
          </w:p>
        </w:tc>
      </w:tr>
    </w:tbl>
    <w:p w14:paraId="530AAF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val="0"/>
          <w:bCs/>
          <w:color w:val="auto"/>
          <w:spacing w:val="0"/>
          <w:kern w:val="0"/>
          <w:position w:val="0"/>
          <w:sz w:val="24"/>
        </w:rPr>
      </w:pPr>
      <w:bookmarkStart w:id="696" w:name="_Toc12111"/>
      <w:bookmarkStart w:id="697" w:name="_Toc181"/>
      <w:bookmarkStart w:id="698" w:name="_Toc25687_WPSOffice_Level3"/>
      <w:r>
        <w:rPr>
          <w:rFonts w:hint="eastAsia" w:ascii="Times New Roman" w:hAnsi="Times New Roman" w:eastAsia="宋体"/>
          <w:b w:val="0"/>
          <w:bCs/>
          <w:color w:val="auto"/>
          <w:spacing w:val="0"/>
          <w:kern w:val="0"/>
          <w:position w:val="0"/>
          <w:sz w:val="24"/>
          <w:lang w:val="en-US" w:eastAsia="zh-CN"/>
        </w:rPr>
        <w:t>（4）</w:t>
      </w:r>
      <w:r>
        <w:rPr>
          <w:rFonts w:hint="eastAsia" w:ascii="Times New Roman" w:hAnsi="Times New Roman" w:eastAsia="宋体"/>
          <w:b w:val="0"/>
          <w:bCs/>
          <w:color w:val="auto"/>
          <w:spacing w:val="0"/>
          <w:kern w:val="0"/>
          <w:position w:val="0"/>
          <w:sz w:val="24"/>
        </w:rPr>
        <w:t>风险识别的范围和类型</w:t>
      </w:r>
      <w:bookmarkEnd w:id="696"/>
      <w:bookmarkEnd w:id="697"/>
      <w:bookmarkEnd w:id="698"/>
    </w:p>
    <w:p w14:paraId="556463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val="0"/>
          <w:color w:val="auto"/>
          <w:spacing w:val="0"/>
          <w:kern w:val="0"/>
          <w:position w:val="0"/>
          <w:sz w:val="24"/>
        </w:rPr>
      </w:pPr>
      <w:r>
        <w:rPr>
          <w:rFonts w:hint="eastAsia" w:ascii="Times New Roman" w:hAnsi="Times New Roman" w:eastAsia="宋体"/>
          <w:b w:val="0"/>
          <w:color w:val="auto"/>
          <w:spacing w:val="0"/>
          <w:kern w:val="0"/>
          <w:position w:val="0"/>
          <w:sz w:val="24"/>
          <w:lang w:val="en-US" w:eastAsia="zh-CN"/>
        </w:rPr>
        <w:t>1</w:t>
      </w:r>
      <w:r>
        <w:rPr>
          <w:rFonts w:hint="eastAsia" w:ascii="Times New Roman" w:hAnsi="Times New Roman" w:eastAsia="宋体"/>
          <w:b w:val="0"/>
          <w:color w:val="auto"/>
          <w:spacing w:val="0"/>
          <w:kern w:val="0"/>
          <w:position w:val="0"/>
          <w:sz w:val="24"/>
          <w:lang w:eastAsia="zh-CN"/>
        </w:rPr>
        <w:t>）</w:t>
      </w:r>
      <w:r>
        <w:rPr>
          <w:rFonts w:hint="eastAsia" w:ascii="Times New Roman" w:hAnsi="Times New Roman" w:eastAsia="宋体"/>
          <w:b w:val="0"/>
          <w:color w:val="auto"/>
          <w:spacing w:val="0"/>
          <w:kern w:val="0"/>
          <w:position w:val="0"/>
          <w:sz w:val="24"/>
        </w:rPr>
        <w:t>风险识别的范围</w:t>
      </w:r>
    </w:p>
    <w:p w14:paraId="3BB5C24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val="0"/>
          <w:color w:val="auto"/>
          <w:spacing w:val="0"/>
          <w:kern w:val="0"/>
          <w:position w:val="0"/>
          <w:sz w:val="24"/>
        </w:rPr>
      </w:pPr>
      <w:r>
        <w:rPr>
          <w:rFonts w:hint="eastAsia" w:ascii="Times New Roman" w:hAnsi="Times New Roman" w:eastAsia="宋体"/>
          <w:b w:val="0"/>
          <w:color w:val="auto"/>
          <w:spacing w:val="0"/>
          <w:kern w:val="0"/>
          <w:position w:val="0"/>
          <w:sz w:val="24"/>
          <w:lang w:eastAsia="zh-CN"/>
        </w:rPr>
        <w:t>①</w:t>
      </w:r>
      <w:r>
        <w:rPr>
          <w:rFonts w:hint="eastAsia" w:ascii="Times New Roman" w:hAnsi="Times New Roman" w:eastAsia="宋体"/>
          <w:b w:val="0"/>
          <w:color w:val="auto"/>
          <w:spacing w:val="0"/>
          <w:kern w:val="0"/>
          <w:position w:val="0"/>
          <w:sz w:val="24"/>
        </w:rPr>
        <w:t>生产设施风险识别范围</w:t>
      </w:r>
    </w:p>
    <w:p w14:paraId="0434452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val="0"/>
          <w:color w:val="auto"/>
          <w:spacing w:val="0"/>
          <w:kern w:val="0"/>
          <w:position w:val="0"/>
          <w:sz w:val="24"/>
        </w:rPr>
      </w:pPr>
      <w:r>
        <w:rPr>
          <w:rFonts w:hint="eastAsia" w:ascii="Times New Roman" w:hAnsi="Times New Roman" w:eastAsia="宋体"/>
          <w:b w:val="0"/>
          <w:color w:val="auto"/>
          <w:spacing w:val="0"/>
          <w:kern w:val="0"/>
          <w:position w:val="0"/>
          <w:sz w:val="24"/>
        </w:rPr>
        <w:t>本项目可能存在风险的生产设施主要为</w:t>
      </w:r>
      <w:r>
        <w:rPr>
          <w:rFonts w:hint="eastAsia" w:ascii="Times New Roman" w:hAnsi="Times New Roman" w:eastAsia="宋体"/>
          <w:b w:val="0"/>
          <w:color w:val="auto"/>
          <w:spacing w:val="0"/>
          <w:kern w:val="0"/>
          <w:position w:val="0"/>
          <w:sz w:val="24"/>
          <w:lang w:eastAsia="zh-CN"/>
        </w:rPr>
        <w:t>车间储存原辅料及成品区、</w:t>
      </w:r>
      <w:r>
        <w:rPr>
          <w:rFonts w:hint="eastAsia" w:ascii="Times New Roman" w:hAnsi="Times New Roman" w:eastAsia="宋体"/>
          <w:b w:val="0"/>
          <w:color w:val="auto"/>
          <w:spacing w:val="0"/>
          <w:kern w:val="0"/>
          <w:position w:val="0"/>
          <w:sz w:val="24"/>
          <w:lang w:val="en-US" w:eastAsia="zh-CN"/>
        </w:rPr>
        <w:t>循环沉淀水池、危废暂存间</w:t>
      </w:r>
      <w:r>
        <w:rPr>
          <w:rFonts w:hint="eastAsia" w:ascii="Times New Roman" w:hAnsi="Times New Roman" w:eastAsia="宋体"/>
          <w:b w:val="0"/>
          <w:color w:val="auto"/>
          <w:spacing w:val="0"/>
          <w:kern w:val="0"/>
          <w:position w:val="0"/>
          <w:sz w:val="24"/>
        </w:rPr>
        <w:t>。</w:t>
      </w:r>
    </w:p>
    <w:p w14:paraId="68D994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val="0"/>
          <w:color w:val="auto"/>
          <w:spacing w:val="0"/>
          <w:kern w:val="0"/>
          <w:position w:val="0"/>
          <w:sz w:val="24"/>
        </w:rPr>
      </w:pPr>
      <w:r>
        <w:rPr>
          <w:rFonts w:hint="eastAsia" w:ascii="Times New Roman" w:hAnsi="Times New Roman" w:eastAsia="宋体"/>
          <w:b w:val="0"/>
          <w:color w:val="auto"/>
          <w:spacing w:val="0"/>
          <w:kern w:val="0"/>
          <w:position w:val="0"/>
          <w:sz w:val="24"/>
          <w:lang w:eastAsia="zh-CN"/>
        </w:rPr>
        <w:t>②</w:t>
      </w:r>
      <w:r>
        <w:rPr>
          <w:rFonts w:hint="eastAsia" w:ascii="Times New Roman" w:hAnsi="Times New Roman" w:eastAsia="宋体"/>
          <w:b w:val="0"/>
          <w:color w:val="auto"/>
          <w:spacing w:val="0"/>
          <w:kern w:val="0"/>
          <w:position w:val="0"/>
          <w:sz w:val="24"/>
        </w:rPr>
        <w:t>物质风险识别范围</w:t>
      </w:r>
    </w:p>
    <w:p w14:paraId="629C65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b w:val="0"/>
          <w:color w:val="auto"/>
          <w:spacing w:val="0"/>
          <w:kern w:val="0"/>
          <w:position w:val="0"/>
          <w:sz w:val="24"/>
          <w:lang w:val="en-US" w:eastAsia="zh-CN"/>
        </w:rPr>
      </w:pPr>
      <w:r>
        <w:rPr>
          <w:rFonts w:hint="eastAsia" w:ascii="Times New Roman" w:hAnsi="Times New Roman" w:eastAsia="宋体"/>
          <w:b w:val="0"/>
          <w:color w:val="auto"/>
          <w:spacing w:val="0"/>
          <w:kern w:val="0"/>
          <w:position w:val="0"/>
          <w:sz w:val="24"/>
        </w:rPr>
        <w:t>本项目</w:t>
      </w:r>
      <w:r>
        <w:rPr>
          <w:rFonts w:hint="eastAsia" w:ascii="Times New Roman" w:hAnsi="Times New Roman" w:eastAsia="宋体"/>
          <w:b w:val="0"/>
          <w:color w:val="auto"/>
          <w:spacing w:val="0"/>
          <w:kern w:val="0"/>
          <w:position w:val="0"/>
          <w:sz w:val="24"/>
          <w:lang w:eastAsia="zh-CN"/>
        </w:rPr>
        <w:t>物质风险识别范围主要包括可能发生火灾的原辅料、产品，</w:t>
      </w:r>
      <w:r>
        <w:rPr>
          <w:rFonts w:hint="eastAsia" w:ascii="Times New Roman" w:hAnsi="Times New Roman" w:eastAsia="宋体"/>
          <w:b w:val="0"/>
          <w:color w:val="auto"/>
          <w:spacing w:val="0"/>
          <w:kern w:val="0"/>
          <w:position w:val="0"/>
          <w:sz w:val="24"/>
          <w:lang w:val="en-US" w:eastAsia="zh-CN"/>
        </w:rPr>
        <w:t>以及可能发生泄漏的危废暂存间暂存废润滑油</w:t>
      </w:r>
      <w:r>
        <w:rPr>
          <w:rFonts w:hint="eastAsia" w:ascii="Times New Roman" w:hAnsi="Times New Roman" w:eastAsia="宋体"/>
          <w:b w:val="0"/>
          <w:color w:val="auto"/>
          <w:spacing w:val="0"/>
          <w:kern w:val="0"/>
          <w:position w:val="0"/>
          <w:sz w:val="24"/>
          <w:lang w:eastAsia="zh-CN"/>
        </w:rPr>
        <w:t>。</w:t>
      </w:r>
      <w:r>
        <w:rPr>
          <w:rFonts w:hint="eastAsia" w:ascii="Times New Roman" w:hAnsi="Times New Roman" w:eastAsia="宋体"/>
          <w:b w:val="0"/>
          <w:color w:val="auto"/>
          <w:spacing w:val="0"/>
          <w:kern w:val="0"/>
          <w:position w:val="0"/>
          <w:sz w:val="24"/>
          <w:lang w:val="en-US" w:eastAsia="zh-CN"/>
        </w:rPr>
        <w:t>项目所涉及的主要危险化学品的理化性质见表5.4-5。</w:t>
      </w:r>
    </w:p>
    <w:p w14:paraId="372266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pacing w:val="0"/>
          <w:kern w:val="0"/>
          <w:position w:val="0"/>
          <w:sz w:val="24"/>
          <w:szCs w:val="21"/>
          <w:lang w:val="en-US" w:eastAsia="zh-CN"/>
        </w:rPr>
      </w:pPr>
      <w:r>
        <w:rPr>
          <w:rFonts w:hint="eastAsia" w:ascii="Times New Roman" w:hAnsi="Times New Roman" w:eastAsia="宋体"/>
          <w:b/>
          <w:bCs/>
          <w:color w:val="auto"/>
          <w:spacing w:val="0"/>
          <w:kern w:val="0"/>
          <w:position w:val="0"/>
          <w:sz w:val="24"/>
          <w:szCs w:val="21"/>
          <w:lang w:val="en-US" w:eastAsia="zh-CN"/>
        </w:rPr>
        <w:t>表5.4-5润滑油的理化性质及危险特性表</w:t>
      </w:r>
    </w:p>
    <w:tbl>
      <w:tblPr>
        <w:tblStyle w:val="2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1437"/>
        <w:gridCol w:w="1110"/>
        <w:gridCol w:w="725"/>
        <w:gridCol w:w="407"/>
        <w:gridCol w:w="1233"/>
        <w:gridCol w:w="78"/>
        <w:gridCol w:w="1587"/>
        <w:gridCol w:w="1004"/>
      </w:tblGrid>
      <w:tr w14:paraId="66A05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restart"/>
            <w:tcBorders>
              <w:tl2br w:val="nil"/>
              <w:tr2bl w:val="nil"/>
            </w:tcBorders>
            <w:noWrap w:val="0"/>
            <w:vAlign w:val="center"/>
          </w:tcPr>
          <w:p w14:paraId="28F9385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标识</w:t>
            </w:r>
          </w:p>
        </w:tc>
        <w:tc>
          <w:tcPr>
            <w:tcW w:w="852" w:type="pct"/>
            <w:tcBorders>
              <w:tl2br w:val="nil"/>
              <w:tr2bl w:val="nil"/>
            </w:tcBorders>
            <w:noWrap w:val="0"/>
            <w:vAlign w:val="center"/>
          </w:tcPr>
          <w:p w14:paraId="793F300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中文名</w:t>
            </w:r>
          </w:p>
        </w:tc>
        <w:tc>
          <w:tcPr>
            <w:tcW w:w="658" w:type="pct"/>
            <w:tcBorders>
              <w:tl2br w:val="nil"/>
              <w:tr2bl w:val="nil"/>
            </w:tcBorders>
            <w:noWrap w:val="0"/>
            <w:vAlign w:val="center"/>
          </w:tcPr>
          <w:p w14:paraId="75F10C3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润滑油</w:t>
            </w:r>
          </w:p>
        </w:tc>
        <w:tc>
          <w:tcPr>
            <w:tcW w:w="430" w:type="pct"/>
            <w:tcBorders>
              <w:tl2br w:val="nil"/>
              <w:tr2bl w:val="nil"/>
            </w:tcBorders>
            <w:noWrap w:val="0"/>
            <w:vAlign w:val="center"/>
          </w:tcPr>
          <w:p w14:paraId="690D579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英文名</w:t>
            </w:r>
          </w:p>
        </w:tc>
        <w:tc>
          <w:tcPr>
            <w:tcW w:w="1018" w:type="pct"/>
            <w:gridSpan w:val="3"/>
            <w:tcBorders>
              <w:tl2br w:val="nil"/>
              <w:tr2bl w:val="nil"/>
            </w:tcBorders>
            <w:noWrap w:val="0"/>
            <w:vAlign w:val="center"/>
          </w:tcPr>
          <w:p w14:paraId="5D1F49F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lubricatingoil</w:t>
            </w:r>
          </w:p>
        </w:tc>
        <w:tc>
          <w:tcPr>
            <w:tcW w:w="939" w:type="pct"/>
            <w:tcBorders>
              <w:tl2br w:val="nil"/>
              <w:tr2bl w:val="nil"/>
            </w:tcBorders>
            <w:noWrap w:val="0"/>
            <w:vAlign w:val="center"/>
          </w:tcPr>
          <w:p w14:paraId="1A29574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危险货物编号</w:t>
            </w:r>
          </w:p>
        </w:tc>
        <w:tc>
          <w:tcPr>
            <w:tcW w:w="594" w:type="pct"/>
            <w:tcBorders>
              <w:tl2br w:val="nil"/>
              <w:tr2bl w:val="nil"/>
            </w:tcBorders>
            <w:noWrap w:val="0"/>
            <w:vAlign w:val="center"/>
          </w:tcPr>
          <w:p w14:paraId="26B41AC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r>
      <w:tr w14:paraId="0F2B4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5CBE229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0F930D3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分子式</w:t>
            </w:r>
          </w:p>
        </w:tc>
        <w:tc>
          <w:tcPr>
            <w:tcW w:w="658" w:type="pct"/>
            <w:tcBorders>
              <w:tl2br w:val="nil"/>
              <w:tr2bl w:val="nil"/>
            </w:tcBorders>
            <w:noWrap w:val="0"/>
            <w:vAlign w:val="center"/>
          </w:tcPr>
          <w:p w14:paraId="1A571AE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c>
          <w:tcPr>
            <w:tcW w:w="430" w:type="pct"/>
            <w:tcBorders>
              <w:tl2br w:val="nil"/>
              <w:tr2bl w:val="nil"/>
            </w:tcBorders>
            <w:noWrap w:val="0"/>
            <w:vAlign w:val="center"/>
          </w:tcPr>
          <w:p w14:paraId="123735A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分子量</w:t>
            </w:r>
          </w:p>
        </w:tc>
        <w:tc>
          <w:tcPr>
            <w:tcW w:w="1018" w:type="pct"/>
            <w:gridSpan w:val="3"/>
            <w:tcBorders>
              <w:tl2br w:val="nil"/>
              <w:tr2bl w:val="nil"/>
            </w:tcBorders>
            <w:noWrap w:val="0"/>
            <w:vAlign w:val="center"/>
          </w:tcPr>
          <w:p w14:paraId="4DEC7D3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230～500</w:t>
            </w:r>
          </w:p>
        </w:tc>
        <w:tc>
          <w:tcPr>
            <w:tcW w:w="939" w:type="pct"/>
            <w:tcBorders>
              <w:tl2br w:val="nil"/>
              <w:tr2bl w:val="nil"/>
            </w:tcBorders>
            <w:noWrap w:val="0"/>
            <w:vAlign w:val="center"/>
          </w:tcPr>
          <w:p w14:paraId="5D1A4A0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CAS 编号</w:t>
            </w:r>
          </w:p>
        </w:tc>
        <w:tc>
          <w:tcPr>
            <w:tcW w:w="594" w:type="pct"/>
            <w:tcBorders>
              <w:tl2br w:val="nil"/>
              <w:tr2bl w:val="nil"/>
            </w:tcBorders>
            <w:noWrap w:val="0"/>
            <w:vAlign w:val="center"/>
          </w:tcPr>
          <w:p w14:paraId="4212220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r>
      <w:tr w14:paraId="5CE2D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74C3FB1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332D3ED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危险类别</w:t>
            </w:r>
          </w:p>
        </w:tc>
        <w:tc>
          <w:tcPr>
            <w:tcW w:w="3641" w:type="pct"/>
            <w:gridSpan w:val="7"/>
            <w:tcBorders>
              <w:tl2br w:val="nil"/>
              <w:tr2bl w:val="nil"/>
            </w:tcBorders>
            <w:noWrap w:val="0"/>
            <w:vAlign w:val="center"/>
          </w:tcPr>
          <w:p w14:paraId="27598D3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r>
      <w:tr w14:paraId="337B5C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restart"/>
            <w:tcBorders>
              <w:tl2br w:val="nil"/>
              <w:tr2bl w:val="nil"/>
            </w:tcBorders>
            <w:noWrap w:val="0"/>
            <w:vAlign w:val="center"/>
          </w:tcPr>
          <w:p w14:paraId="434BAEF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理化性质</w:t>
            </w:r>
          </w:p>
        </w:tc>
        <w:tc>
          <w:tcPr>
            <w:tcW w:w="852" w:type="pct"/>
            <w:tcBorders>
              <w:tl2br w:val="nil"/>
              <w:tr2bl w:val="nil"/>
            </w:tcBorders>
            <w:noWrap w:val="0"/>
            <w:vAlign w:val="center"/>
          </w:tcPr>
          <w:p w14:paraId="7364C7B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性状</w:t>
            </w:r>
          </w:p>
        </w:tc>
        <w:tc>
          <w:tcPr>
            <w:tcW w:w="3641" w:type="pct"/>
            <w:gridSpan w:val="7"/>
            <w:tcBorders>
              <w:tl2br w:val="nil"/>
              <w:tr2bl w:val="nil"/>
            </w:tcBorders>
            <w:noWrap w:val="0"/>
            <w:vAlign w:val="center"/>
          </w:tcPr>
          <w:p w14:paraId="2C15481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val="en-US" w:eastAsia="zh-CN"/>
              </w:rPr>
              <w:t>淡黄色黏稠液体</w:t>
            </w:r>
          </w:p>
        </w:tc>
      </w:tr>
      <w:tr w14:paraId="11903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1C88702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707EB50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val="en-US" w:eastAsia="zh-CN"/>
              </w:rPr>
              <w:t>自然点</w:t>
            </w:r>
            <w:r>
              <w:rPr>
                <w:rFonts w:hint="default" w:ascii="Times New Roman" w:hAnsi="Times New Roman" w:eastAsia="宋体"/>
                <w:color w:val="auto"/>
                <w:spacing w:val="0"/>
                <w:kern w:val="0"/>
                <w:position w:val="0"/>
                <w:sz w:val="21"/>
              </w:rPr>
              <w:t>（℃）</w:t>
            </w:r>
          </w:p>
        </w:tc>
        <w:tc>
          <w:tcPr>
            <w:tcW w:w="1329" w:type="pct"/>
            <w:gridSpan w:val="3"/>
            <w:tcBorders>
              <w:tl2br w:val="nil"/>
              <w:tr2bl w:val="nil"/>
            </w:tcBorders>
            <w:noWrap w:val="0"/>
            <w:vAlign w:val="center"/>
          </w:tcPr>
          <w:p w14:paraId="0DFFA06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300-350</w:t>
            </w:r>
          </w:p>
        </w:tc>
        <w:tc>
          <w:tcPr>
            <w:tcW w:w="1718" w:type="pct"/>
            <w:gridSpan w:val="3"/>
            <w:tcBorders>
              <w:tl2br w:val="nil"/>
              <w:tr2bl w:val="nil"/>
            </w:tcBorders>
            <w:noWrap w:val="0"/>
            <w:vAlign w:val="center"/>
          </w:tcPr>
          <w:p w14:paraId="59F10BB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临界压力（Mpa）</w:t>
            </w:r>
          </w:p>
        </w:tc>
        <w:tc>
          <w:tcPr>
            <w:tcW w:w="594" w:type="pct"/>
            <w:tcBorders>
              <w:tl2br w:val="nil"/>
              <w:tr2bl w:val="nil"/>
            </w:tcBorders>
            <w:noWrap w:val="0"/>
            <w:vAlign w:val="center"/>
          </w:tcPr>
          <w:p w14:paraId="5B2A952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r>
      <w:tr w14:paraId="33113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1B7D752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44FE22D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沸点（℃）</w:t>
            </w:r>
          </w:p>
        </w:tc>
        <w:tc>
          <w:tcPr>
            <w:tcW w:w="1329" w:type="pct"/>
            <w:gridSpan w:val="3"/>
            <w:tcBorders>
              <w:tl2br w:val="nil"/>
              <w:tr2bl w:val="nil"/>
            </w:tcBorders>
            <w:noWrap w:val="0"/>
            <w:vAlign w:val="center"/>
          </w:tcPr>
          <w:p w14:paraId="3C82D21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-252.8</w:t>
            </w:r>
          </w:p>
        </w:tc>
        <w:tc>
          <w:tcPr>
            <w:tcW w:w="1718" w:type="pct"/>
            <w:gridSpan w:val="3"/>
            <w:tcBorders>
              <w:tl2br w:val="nil"/>
              <w:tr2bl w:val="nil"/>
            </w:tcBorders>
            <w:noWrap w:val="0"/>
            <w:vAlign w:val="center"/>
          </w:tcPr>
          <w:p w14:paraId="74A560B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相对密度（水＝1）</w:t>
            </w:r>
          </w:p>
        </w:tc>
        <w:tc>
          <w:tcPr>
            <w:tcW w:w="594" w:type="pct"/>
            <w:tcBorders>
              <w:tl2br w:val="nil"/>
              <w:tr2bl w:val="nil"/>
            </w:tcBorders>
            <w:noWrap w:val="0"/>
            <w:vAlign w:val="center"/>
          </w:tcPr>
          <w:p w14:paraId="6305AC3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934.8</w:t>
            </w:r>
          </w:p>
        </w:tc>
      </w:tr>
      <w:tr w14:paraId="3B396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76C532D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6A9042B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饱和蒸汽压</w:t>
            </w:r>
          </w:p>
          <w:p w14:paraId="11FEC07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eastAsia="zh-CN"/>
              </w:rPr>
              <w:t>(</w:t>
            </w:r>
            <w:r>
              <w:rPr>
                <w:rFonts w:hint="default" w:ascii="Times New Roman" w:hAnsi="Times New Roman" w:eastAsia="宋体"/>
                <w:color w:val="auto"/>
                <w:spacing w:val="0"/>
                <w:kern w:val="0"/>
                <w:position w:val="0"/>
                <w:sz w:val="21"/>
              </w:rPr>
              <w:t>kpa</w:t>
            </w:r>
            <w:r>
              <w:rPr>
                <w:rFonts w:hint="eastAsia" w:ascii="Times New Roman" w:hAnsi="Times New Roman" w:eastAsia="宋体"/>
                <w:color w:val="auto"/>
                <w:spacing w:val="0"/>
                <w:kern w:val="0"/>
                <w:position w:val="0"/>
                <w:sz w:val="21"/>
                <w:lang w:eastAsia="zh-CN"/>
              </w:rPr>
              <w:t>)</w:t>
            </w:r>
          </w:p>
        </w:tc>
        <w:tc>
          <w:tcPr>
            <w:tcW w:w="1329" w:type="pct"/>
            <w:gridSpan w:val="3"/>
            <w:tcBorders>
              <w:tl2br w:val="nil"/>
              <w:tr2bl w:val="nil"/>
            </w:tcBorders>
            <w:noWrap w:val="0"/>
            <w:vAlign w:val="center"/>
          </w:tcPr>
          <w:p w14:paraId="683EA0C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0.13(145.8</w:t>
            </w:r>
            <w:r>
              <w:rPr>
                <w:rFonts w:hint="default" w:ascii="Times New Roman" w:hAnsi="Times New Roman" w:eastAsia="宋体"/>
                <w:color w:val="auto"/>
                <w:spacing w:val="0"/>
                <w:kern w:val="0"/>
                <w:position w:val="0"/>
                <w:sz w:val="21"/>
              </w:rPr>
              <w:t>℃</w:t>
            </w:r>
            <w:r>
              <w:rPr>
                <w:rFonts w:hint="eastAsia" w:ascii="Times New Roman" w:hAnsi="Times New Roman" w:eastAsia="宋体"/>
                <w:color w:val="auto"/>
                <w:spacing w:val="0"/>
                <w:kern w:val="0"/>
                <w:position w:val="0"/>
                <w:sz w:val="21"/>
                <w:lang w:eastAsia="zh-CN"/>
              </w:rPr>
              <w:t>)</w:t>
            </w:r>
          </w:p>
        </w:tc>
        <w:tc>
          <w:tcPr>
            <w:tcW w:w="1718" w:type="pct"/>
            <w:gridSpan w:val="3"/>
            <w:tcBorders>
              <w:tl2br w:val="nil"/>
              <w:tr2bl w:val="nil"/>
            </w:tcBorders>
            <w:noWrap w:val="0"/>
            <w:vAlign w:val="center"/>
          </w:tcPr>
          <w:p w14:paraId="31199E9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相对密度（空气＝1）</w:t>
            </w:r>
          </w:p>
        </w:tc>
        <w:tc>
          <w:tcPr>
            <w:tcW w:w="594" w:type="pct"/>
            <w:tcBorders>
              <w:tl2br w:val="nil"/>
              <w:tr2bl w:val="nil"/>
            </w:tcBorders>
            <w:noWrap w:val="0"/>
            <w:vAlign w:val="center"/>
          </w:tcPr>
          <w:p w14:paraId="6D29F85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0.85</w:t>
            </w:r>
          </w:p>
        </w:tc>
      </w:tr>
      <w:tr w14:paraId="378FB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7E08720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72B32D1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临界温度（℃）</w:t>
            </w:r>
          </w:p>
        </w:tc>
        <w:tc>
          <w:tcPr>
            <w:tcW w:w="1329" w:type="pct"/>
            <w:gridSpan w:val="3"/>
            <w:tcBorders>
              <w:tl2br w:val="nil"/>
              <w:tr2bl w:val="nil"/>
            </w:tcBorders>
            <w:noWrap w:val="0"/>
            <w:vAlign w:val="center"/>
          </w:tcPr>
          <w:p w14:paraId="12A276F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c>
          <w:tcPr>
            <w:tcW w:w="1718" w:type="pct"/>
            <w:gridSpan w:val="3"/>
            <w:tcBorders>
              <w:tl2br w:val="nil"/>
              <w:tr2bl w:val="nil"/>
            </w:tcBorders>
            <w:noWrap w:val="0"/>
            <w:vAlign w:val="center"/>
          </w:tcPr>
          <w:p w14:paraId="25F45E1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燃烧热（KJ·mol</w:t>
            </w:r>
            <w:r>
              <w:rPr>
                <w:rFonts w:hint="default" w:ascii="Times New Roman" w:hAnsi="Times New Roman" w:eastAsia="宋体"/>
                <w:color w:val="auto"/>
                <w:spacing w:val="0"/>
                <w:kern w:val="0"/>
                <w:position w:val="0"/>
                <w:sz w:val="21"/>
                <w:vertAlign w:val="superscript"/>
              </w:rPr>
              <w:t>-1</w:t>
            </w:r>
            <w:r>
              <w:rPr>
                <w:rFonts w:hint="default" w:ascii="Times New Roman" w:hAnsi="Times New Roman" w:eastAsia="宋体"/>
                <w:color w:val="auto"/>
                <w:spacing w:val="0"/>
                <w:kern w:val="0"/>
                <w:position w:val="0"/>
                <w:sz w:val="21"/>
              </w:rPr>
              <w:t>）</w:t>
            </w:r>
          </w:p>
        </w:tc>
        <w:tc>
          <w:tcPr>
            <w:tcW w:w="594" w:type="pct"/>
            <w:tcBorders>
              <w:tl2br w:val="nil"/>
              <w:tr2bl w:val="nil"/>
            </w:tcBorders>
            <w:noWrap w:val="0"/>
            <w:vAlign w:val="center"/>
          </w:tcPr>
          <w:p w14:paraId="7A0A75E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w:t>
            </w:r>
          </w:p>
        </w:tc>
      </w:tr>
      <w:tr w14:paraId="4E21D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38AB0AA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625275A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溶解性</w:t>
            </w:r>
          </w:p>
        </w:tc>
        <w:tc>
          <w:tcPr>
            <w:tcW w:w="3641" w:type="pct"/>
            <w:gridSpan w:val="7"/>
            <w:tcBorders>
              <w:tl2br w:val="nil"/>
              <w:tr2bl w:val="nil"/>
            </w:tcBorders>
            <w:noWrap w:val="0"/>
            <w:vAlign w:val="center"/>
          </w:tcPr>
          <w:p w14:paraId="534809E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溶于苯、乙醇、乙醚、氯仿、丙酮等多数有机溶剂。</w:t>
            </w:r>
          </w:p>
        </w:tc>
      </w:tr>
      <w:tr w14:paraId="50E67B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restart"/>
            <w:tcBorders>
              <w:tl2br w:val="nil"/>
              <w:tr2bl w:val="nil"/>
            </w:tcBorders>
            <w:noWrap w:val="0"/>
            <w:vAlign w:val="center"/>
          </w:tcPr>
          <w:p w14:paraId="255D09D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燃烧爆炸危险性</w:t>
            </w:r>
          </w:p>
        </w:tc>
        <w:tc>
          <w:tcPr>
            <w:tcW w:w="852" w:type="pct"/>
            <w:tcBorders>
              <w:tl2br w:val="nil"/>
              <w:tr2bl w:val="nil"/>
            </w:tcBorders>
            <w:noWrap w:val="0"/>
            <w:vAlign w:val="center"/>
          </w:tcPr>
          <w:p w14:paraId="48820CE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燃烧性</w:t>
            </w:r>
          </w:p>
        </w:tc>
        <w:tc>
          <w:tcPr>
            <w:tcW w:w="1329" w:type="pct"/>
            <w:gridSpan w:val="3"/>
            <w:tcBorders>
              <w:tl2br w:val="nil"/>
              <w:tr2bl w:val="nil"/>
            </w:tcBorders>
            <w:noWrap w:val="0"/>
            <w:vAlign w:val="center"/>
          </w:tcPr>
          <w:p w14:paraId="660A573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可燃</w:t>
            </w:r>
          </w:p>
        </w:tc>
        <w:tc>
          <w:tcPr>
            <w:tcW w:w="1718" w:type="pct"/>
            <w:gridSpan w:val="3"/>
            <w:tcBorders>
              <w:tl2br w:val="nil"/>
              <w:tr2bl w:val="nil"/>
            </w:tcBorders>
            <w:noWrap w:val="0"/>
            <w:vAlign w:val="center"/>
          </w:tcPr>
          <w:p w14:paraId="45CA6AE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闪点（℃）</w:t>
            </w:r>
          </w:p>
        </w:tc>
        <w:tc>
          <w:tcPr>
            <w:tcW w:w="594" w:type="pct"/>
            <w:tcBorders>
              <w:tl2br w:val="nil"/>
              <w:tr2bl w:val="nil"/>
            </w:tcBorders>
            <w:noWrap w:val="0"/>
            <w:vAlign w:val="center"/>
          </w:tcPr>
          <w:p w14:paraId="4CA30C5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120-340</w:t>
            </w:r>
          </w:p>
        </w:tc>
      </w:tr>
      <w:tr w14:paraId="033353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522E829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62DC610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危险特性</w:t>
            </w:r>
          </w:p>
        </w:tc>
        <w:tc>
          <w:tcPr>
            <w:tcW w:w="3641" w:type="pct"/>
            <w:gridSpan w:val="7"/>
            <w:tcBorders>
              <w:tl2br w:val="nil"/>
              <w:tr2bl w:val="nil"/>
            </w:tcBorders>
            <w:noWrap w:val="0"/>
            <w:vAlign w:val="center"/>
          </w:tcPr>
          <w:p w14:paraId="27429362">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eastAsia" w:ascii="Times New Roman" w:hAnsi="Times New Roman" w:eastAsia="宋体"/>
                <w:color w:val="auto"/>
                <w:spacing w:val="0"/>
                <w:kern w:val="0"/>
                <w:position w:val="0"/>
                <w:sz w:val="21"/>
                <w:lang w:val="en-US" w:eastAsia="zh-CN"/>
              </w:rPr>
              <w:t>可燃液体，火灾危险性为丙B类；遇明火、高热可燃</w:t>
            </w:r>
            <w:r>
              <w:rPr>
                <w:rFonts w:hint="default" w:ascii="Times New Roman" w:hAnsi="Times New Roman" w:eastAsia="宋体"/>
                <w:color w:val="auto"/>
                <w:spacing w:val="0"/>
                <w:kern w:val="0"/>
                <w:position w:val="0"/>
                <w:sz w:val="21"/>
              </w:rPr>
              <w:t>。</w:t>
            </w:r>
          </w:p>
        </w:tc>
      </w:tr>
      <w:tr w14:paraId="34C59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56EED39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03EB06A1">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灭火方法</w:t>
            </w:r>
          </w:p>
        </w:tc>
        <w:tc>
          <w:tcPr>
            <w:tcW w:w="3641" w:type="pct"/>
            <w:gridSpan w:val="7"/>
            <w:tcBorders>
              <w:tl2br w:val="nil"/>
              <w:tr2bl w:val="nil"/>
            </w:tcBorders>
            <w:noWrap w:val="0"/>
            <w:vAlign w:val="center"/>
          </w:tcPr>
          <w:p w14:paraId="311A841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消防人员须佩戴防毒面具、穿全身消防服，在上风向灭火。尽可能将容器从火场移至空旷处。喷水保持火场容器冷却，直至灭火结束。处在火场中的容器若已变色或从安全泄压装置中产生声音，必须马上撤离。</w:t>
            </w:r>
          </w:p>
        </w:tc>
      </w:tr>
      <w:tr w14:paraId="66103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4116B65A">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0D17146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灭火剂</w:t>
            </w:r>
          </w:p>
        </w:tc>
        <w:tc>
          <w:tcPr>
            <w:tcW w:w="3641" w:type="pct"/>
            <w:gridSpan w:val="7"/>
            <w:tcBorders>
              <w:tl2br w:val="nil"/>
              <w:tr2bl w:val="nil"/>
            </w:tcBorders>
            <w:noWrap w:val="0"/>
            <w:vAlign w:val="center"/>
          </w:tcPr>
          <w:p w14:paraId="6B9AB8F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雾状水、泡沫、干粉、二氧化碳、砂土。</w:t>
            </w:r>
          </w:p>
        </w:tc>
      </w:tr>
      <w:tr w14:paraId="038D2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6D15D3B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757A0307">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禁忌物</w:t>
            </w:r>
          </w:p>
        </w:tc>
        <w:tc>
          <w:tcPr>
            <w:tcW w:w="2060" w:type="pct"/>
            <w:gridSpan w:val="4"/>
            <w:tcBorders>
              <w:tl2br w:val="nil"/>
              <w:tr2bl w:val="nil"/>
            </w:tcBorders>
            <w:noWrap w:val="0"/>
            <w:vAlign w:val="center"/>
          </w:tcPr>
          <w:p w14:paraId="142F6A6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硝酸等强氧化剂</w:t>
            </w:r>
          </w:p>
        </w:tc>
        <w:tc>
          <w:tcPr>
            <w:tcW w:w="986" w:type="pct"/>
            <w:gridSpan w:val="2"/>
            <w:tcBorders>
              <w:tl2br w:val="nil"/>
              <w:tr2bl w:val="nil"/>
            </w:tcBorders>
            <w:noWrap w:val="0"/>
            <w:vAlign w:val="center"/>
          </w:tcPr>
          <w:p w14:paraId="2A49C03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稳定性</w:t>
            </w:r>
          </w:p>
        </w:tc>
        <w:tc>
          <w:tcPr>
            <w:tcW w:w="594" w:type="pct"/>
            <w:tcBorders>
              <w:tl2br w:val="nil"/>
              <w:tr2bl w:val="nil"/>
            </w:tcBorders>
            <w:noWrap w:val="0"/>
            <w:vAlign w:val="center"/>
          </w:tcPr>
          <w:p w14:paraId="0375DF9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稳定</w:t>
            </w:r>
          </w:p>
        </w:tc>
      </w:tr>
      <w:tr w14:paraId="3DBA1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3AAA739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1F63643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燃烧</w:t>
            </w:r>
            <w:r>
              <w:rPr>
                <w:rFonts w:hint="eastAsia" w:ascii="Times New Roman" w:hAnsi="Times New Roman" w:eastAsia="宋体"/>
                <w:color w:val="auto"/>
                <w:spacing w:val="0"/>
                <w:kern w:val="0"/>
                <w:position w:val="0"/>
                <w:sz w:val="21"/>
                <w:lang w:val="en-US" w:eastAsia="zh-CN"/>
              </w:rPr>
              <w:t>分解</w:t>
            </w:r>
            <w:r>
              <w:rPr>
                <w:rFonts w:hint="default" w:ascii="Times New Roman" w:hAnsi="Times New Roman" w:eastAsia="宋体"/>
                <w:color w:val="auto"/>
                <w:spacing w:val="0"/>
                <w:kern w:val="0"/>
                <w:position w:val="0"/>
                <w:sz w:val="21"/>
              </w:rPr>
              <w:t>产物</w:t>
            </w:r>
          </w:p>
        </w:tc>
        <w:tc>
          <w:tcPr>
            <w:tcW w:w="2060" w:type="pct"/>
            <w:gridSpan w:val="4"/>
            <w:tcBorders>
              <w:tl2br w:val="nil"/>
              <w:tr2bl w:val="nil"/>
            </w:tcBorders>
            <w:noWrap w:val="0"/>
            <w:vAlign w:val="center"/>
          </w:tcPr>
          <w:p w14:paraId="12899C1C">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一氧化碳、二氧化碳</w:t>
            </w:r>
          </w:p>
        </w:tc>
        <w:tc>
          <w:tcPr>
            <w:tcW w:w="986" w:type="pct"/>
            <w:gridSpan w:val="2"/>
            <w:tcBorders>
              <w:tl2br w:val="nil"/>
              <w:tr2bl w:val="nil"/>
            </w:tcBorders>
            <w:noWrap w:val="0"/>
            <w:vAlign w:val="center"/>
          </w:tcPr>
          <w:p w14:paraId="1E81E44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聚合危害</w:t>
            </w:r>
          </w:p>
        </w:tc>
        <w:tc>
          <w:tcPr>
            <w:tcW w:w="594" w:type="pct"/>
            <w:tcBorders>
              <w:tl2br w:val="nil"/>
              <w:tr2bl w:val="nil"/>
            </w:tcBorders>
            <w:noWrap w:val="0"/>
            <w:vAlign w:val="center"/>
          </w:tcPr>
          <w:p w14:paraId="35372D0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lang w:val="en-US" w:eastAsia="zh-CN"/>
              </w:rPr>
            </w:pPr>
            <w:r>
              <w:rPr>
                <w:rFonts w:hint="eastAsia" w:ascii="Times New Roman" w:hAnsi="Times New Roman" w:eastAsia="宋体"/>
                <w:color w:val="auto"/>
                <w:spacing w:val="0"/>
                <w:kern w:val="0"/>
                <w:position w:val="0"/>
                <w:sz w:val="21"/>
                <w:lang w:val="en-US" w:eastAsia="zh-CN"/>
              </w:rPr>
              <w:t>--</w:t>
            </w:r>
          </w:p>
        </w:tc>
      </w:tr>
      <w:tr w14:paraId="2152C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restart"/>
            <w:tcBorders>
              <w:tl2br w:val="nil"/>
              <w:tr2bl w:val="nil"/>
            </w:tcBorders>
            <w:noWrap w:val="0"/>
            <w:vAlign w:val="center"/>
          </w:tcPr>
          <w:p w14:paraId="1477172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毒性及健康危害</w:t>
            </w:r>
          </w:p>
        </w:tc>
        <w:tc>
          <w:tcPr>
            <w:tcW w:w="852" w:type="pct"/>
            <w:tcBorders>
              <w:tl2br w:val="nil"/>
              <w:tr2bl w:val="nil"/>
            </w:tcBorders>
            <w:noWrap w:val="0"/>
            <w:vAlign w:val="center"/>
          </w:tcPr>
          <w:p w14:paraId="54BAA58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急性毒性</w:t>
            </w:r>
          </w:p>
        </w:tc>
        <w:tc>
          <w:tcPr>
            <w:tcW w:w="3641" w:type="pct"/>
            <w:gridSpan w:val="7"/>
            <w:tcBorders>
              <w:tl2br w:val="nil"/>
              <w:tr2bl w:val="nil"/>
            </w:tcBorders>
            <w:noWrap w:val="0"/>
            <w:vAlign w:val="center"/>
          </w:tcPr>
          <w:p w14:paraId="7E480B0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LD</w:t>
            </w:r>
            <w:r>
              <w:rPr>
                <w:rFonts w:hint="default" w:ascii="Times New Roman" w:hAnsi="Times New Roman" w:eastAsia="宋体"/>
                <w:color w:val="auto"/>
                <w:spacing w:val="0"/>
                <w:kern w:val="0"/>
                <w:position w:val="0"/>
                <w:sz w:val="21"/>
                <w:vertAlign w:val="subscript"/>
              </w:rPr>
              <w:t>50</w:t>
            </w:r>
            <w:r>
              <w:rPr>
                <w:rFonts w:hint="default" w:ascii="Times New Roman" w:hAnsi="Times New Roman" w:eastAsia="宋体"/>
                <w:color w:val="auto"/>
                <w:spacing w:val="0"/>
                <w:kern w:val="0"/>
                <w:position w:val="0"/>
                <w:sz w:val="21"/>
              </w:rPr>
              <w:t>（mg/kg，大鼠经口）：无资料</w:t>
            </w:r>
            <w:r>
              <w:rPr>
                <w:rFonts w:hint="eastAsia" w:ascii="Times New Roman" w:hAnsi="Times New Roman" w:eastAsia="宋体"/>
                <w:color w:val="auto"/>
                <w:spacing w:val="0"/>
                <w:kern w:val="0"/>
                <w:position w:val="0"/>
                <w:sz w:val="21"/>
                <w:lang w:val="en-US" w:eastAsia="zh-CN"/>
              </w:rPr>
              <w:t xml:space="preserve">  </w:t>
            </w:r>
            <w:r>
              <w:rPr>
                <w:rFonts w:hint="default" w:ascii="Times New Roman" w:hAnsi="Times New Roman" w:eastAsia="宋体"/>
                <w:color w:val="auto"/>
                <w:spacing w:val="0"/>
                <w:kern w:val="0"/>
                <w:position w:val="0"/>
                <w:sz w:val="21"/>
              </w:rPr>
              <w:t>LC</w:t>
            </w:r>
            <w:r>
              <w:rPr>
                <w:rFonts w:hint="default" w:ascii="Times New Roman" w:hAnsi="Times New Roman" w:eastAsia="宋体"/>
                <w:color w:val="auto"/>
                <w:spacing w:val="0"/>
                <w:kern w:val="0"/>
                <w:position w:val="0"/>
                <w:sz w:val="21"/>
                <w:vertAlign w:val="subscript"/>
              </w:rPr>
              <w:t>50</w:t>
            </w:r>
            <w:r>
              <w:rPr>
                <w:rFonts w:hint="default" w:ascii="Times New Roman" w:hAnsi="Times New Roman" w:eastAsia="宋体"/>
                <w:color w:val="auto"/>
                <w:spacing w:val="0"/>
                <w:kern w:val="0"/>
                <w:position w:val="0"/>
                <w:sz w:val="21"/>
              </w:rPr>
              <w:t>（mg/kg）：无资料</w:t>
            </w:r>
          </w:p>
        </w:tc>
      </w:tr>
      <w:tr w14:paraId="2331C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73577CB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37465375">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侵入途径</w:t>
            </w:r>
          </w:p>
        </w:tc>
        <w:tc>
          <w:tcPr>
            <w:tcW w:w="3641" w:type="pct"/>
            <w:gridSpan w:val="7"/>
            <w:tcBorders>
              <w:tl2br w:val="nil"/>
              <w:tr2bl w:val="nil"/>
            </w:tcBorders>
            <w:noWrap w:val="0"/>
            <w:vAlign w:val="center"/>
          </w:tcPr>
          <w:p w14:paraId="3B77CA0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吸入、食入；</w:t>
            </w:r>
          </w:p>
        </w:tc>
      </w:tr>
      <w:tr w14:paraId="1F345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vMerge w:val="continue"/>
            <w:tcBorders>
              <w:tl2br w:val="nil"/>
              <w:tr2bl w:val="nil"/>
            </w:tcBorders>
            <w:noWrap w:val="0"/>
            <w:vAlign w:val="center"/>
          </w:tcPr>
          <w:p w14:paraId="7E12064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852" w:type="pct"/>
            <w:tcBorders>
              <w:tl2br w:val="nil"/>
              <w:tr2bl w:val="nil"/>
            </w:tcBorders>
            <w:noWrap w:val="0"/>
            <w:vAlign w:val="center"/>
          </w:tcPr>
          <w:p w14:paraId="43F0B82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健康危害</w:t>
            </w:r>
          </w:p>
        </w:tc>
        <w:tc>
          <w:tcPr>
            <w:tcW w:w="3641" w:type="pct"/>
            <w:gridSpan w:val="7"/>
            <w:tcBorders>
              <w:tl2br w:val="nil"/>
              <w:tr2bl w:val="nil"/>
            </w:tcBorders>
            <w:noWrap w:val="0"/>
            <w:vAlign w:val="center"/>
          </w:tcPr>
          <w:p w14:paraId="6B39B54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急性吸入，可出现乏力、头晕、头痛、恶心，严重者可引起油脂性肺炎慢接触者，暴露部位可发生油性痤疮和接触性皮炎。可引起神经衰弱综合征，呼吸道和眼</w:t>
            </w:r>
            <w:r>
              <w:rPr>
                <w:rFonts w:hint="eastAsia" w:ascii="Times New Roman" w:hAnsi="Times New Roman" w:eastAsia="宋体"/>
                <w:color w:val="auto"/>
                <w:spacing w:val="0"/>
                <w:kern w:val="0"/>
                <w:position w:val="0"/>
                <w:sz w:val="21"/>
                <w:lang w:eastAsia="zh-CN"/>
              </w:rPr>
              <w:t>刺激症状</w:t>
            </w:r>
            <w:r>
              <w:rPr>
                <w:rFonts w:hint="default" w:ascii="Times New Roman" w:hAnsi="Times New Roman" w:eastAsia="宋体"/>
                <w:color w:val="auto"/>
                <w:spacing w:val="0"/>
                <w:kern w:val="0"/>
                <w:position w:val="0"/>
                <w:sz w:val="21"/>
              </w:rPr>
              <w:t>及慢性油脂性肺炎。有资料报道，接触石油润滑油类的工人，有致癌的病例报告。</w:t>
            </w:r>
          </w:p>
        </w:tc>
      </w:tr>
      <w:tr w14:paraId="01C007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tcBorders>
              <w:tl2br w:val="nil"/>
              <w:tr2bl w:val="nil"/>
            </w:tcBorders>
            <w:noWrap w:val="0"/>
            <w:vAlign w:val="center"/>
          </w:tcPr>
          <w:p w14:paraId="7D010939">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急救</w:t>
            </w:r>
          </w:p>
        </w:tc>
        <w:tc>
          <w:tcPr>
            <w:tcW w:w="4494" w:type="pct"/>
            <w:gridSpan w:val="8"/>
            <w:tcBorders>
              <w:tl2br w:val="nil"/>
              <w:tr2bl w:val="nil"/>
            </w:tcBorders>
            <w:noWrap w:val="0"/>
            <w:vAlign w:val="center"/>
          </w:tcPr>
          <w:p w14:paraId="331838B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皮肤接触：立即脱去被污染的衣着，用大量清水冲洗；</w:t>
            </w:r>
          </w:p>
          <w:p w14:paraId="13BC7706">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眼睛接触：立即提起眼睑，用大量流动清水或生理盐水冲洗，就医；</w:t>
            </w:r>
          </w:p>
          <w:p w14:paraId="431983B0">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吸入：迅速脱离现场至空气新鲜处，保持呼吸道通畅，如呼吸困难，给输氧；如呼吸停止，立即进行人工呼吸，就医；</w:t>
            </w:r>
          </w:p>
          <w:p w14:paraId="2BE1C6B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食入：饮足量温水，催吐，就医。</w:t>
            </w:r>
          </w:p>
        </w:tc>
      </w:tr>
      <w:tr w14:paraId="1ADC0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tcBorders>
              <w:tl2br w:val="nil"/>
              <w:tr2bl w:val="nil"/>
            </w:tcBorders>
            <w:noWrap w:val="0"/>
            <w:vAlign w:val="center"/>
          </w:tcPr>
          <w:p w14:paraId="343F946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防护</w:t>
            </w:r>
          </w:p>
        </w:tc>
        <w:tc>
          <w:tcPr>
            <w:tcW w:w="4494" w:type="pct"/>
            <w:gridSpan w:val="8"/>
            <w:tcBorders>
              <w:tl2br w:val="nil"/>
              <w:tr2bl w:val="nil"/>
            </w:tcBorders>
            <w:noWrap w:val="0"/>
            <w:vAlign w:val="center"/>
          </w:tcPr>
          <w:p w14:paraId="3B04248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工程控制：密闭操作，注意通风；</w:t>
            </w:r>
          </w:p>
          <w:p w14:paraId="7C90040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呼吸系统防护：空气中浓度超标时，建议佩戴自吸过滤式防毒面具（半面罩）。紧急事态抢救或撤离时，应该佩戴空气呼吸器。</w:t>
            </w:r>
          </w:p>
          <w:p w14:paraId="60C09B9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眼睛防护：戴化学安全防护眼镜。身体防护：穿防毒物渗透工作服；手防护：戴橡胶耐油手套；</w:t>
            </w:r>
          </w:p>
          <w:p w14:paraId="0B52D063">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其他：工作现场严禁吸烟。避免长期反复接触。</w:t>
            </w:r>
          </w:p>
        </w:tc>
      </w:tr>
      <w:tr w14:paraId="6C246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5" w:type="pct"/>
            <w:tcBorders>
              <w:tl2br w:val="nil"/>
              <w:tr2bl w:val="nil"/>
            </w:tcBorders>
            <w:noWrap w:val="0"/>
            <w:vAlign w:val="center"/>
          </w:tcPr>
          <w:p w14:paraId="70EC78AF">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泄漏处理</w:t>
            </w:r>
          </w:p>
        </w:tc>
        <w:tc>
          <w:tcPr>
            <w:tcW w:w="4494" w:type="pct"/>
            <w:gridSpan w:val="8"/>
            <w:tcBorders>
              <w:tl2br w:val="nil"/>
              <w:tr2bl w:val="nil"/>
            </w:tcBorders>
            <w:noWrap w:val="0"/>
            <w:vAlign w:val="center"/>
          </w:tcPr>
          <w:p w14:paraId="2ADE9F4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迅速撤离泄漏污染区人员至安全区，并进行隔离，严格限制出入。切断火源。建议应急处理人员戴自给正压式呼吸器，穿防毒服。尽可能切断泄漏源。防止流入下水道、排洪沟等限制性空间。</w:t>
            </w:r>
          </w:p>
          <w:p w14:paraId="6E46823B">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小量泄漏：用砂土或</w:t>
            </w:r>
            <w:r>
              <w:rPr>
                <w:rFonts w:hint="eastAsia" w:ascii="Times New Roman" w:hAnsi="Times New Roman" w:eastAsia="宋体"/>
                <w:color w:val="auto"/>
                <w:spacing w:val="0"/>
                <w:kern w:val="0"/>
                <w:position w:val="0"/>
                <w:sz w:val="21"/>
                <w:lang w:eastAsia="zh-CN"/>
              </w:rPr>
              <w:t>其他不</w:t>
            </w:r>
            <w:r>
              <w:rPr>
                <w:rFonts w:hint="default" w:ascii="Times New Roman" w:hAnsi="Times New Roman" w:eastAsia="宋体"/>
                <w:color w:val="auto"/>
                <w:spacing w:val="0"/>
                <w:kern w:val="0"/>
                <w:position w:val="0"/>
                <w:sz w:val="21"/>
              </w:rPr>
              <w:t>燃材料吸附或吸收。 大量泄漏：构筑围堤或挖坑收容。用泵转移至槽车或专用收集器内，回收或运至废物处理场所处置。</w:t>
            </w:r>
          </w:p>
        </w:tc>
      </w:tr>
      <w:tr w14:paraId="4F5396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505" w:type="pct"/>
            <w:vMerge w:val="restart"/>
            <w:tcBorders>
              <w:tl2br w:val="nil"/>
              <w:tr2bl w:val="nil"/>
            </w:tcBorders>
            <w:noWrap w:val="0"/>
            <w:vAlign w:val="center"/>
          </w:tcPr>
          <w:p w14:paraId="5D804758">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储运</w:t>
            </w:r>
          </w:p>
        </w:tc>
        <w:tc>
          <w:tcPr>
            <w:tcW w:w="4494" w:type="pct"/>
            <w:gridSpan w:val="8"/>
            <w:tcBorders>
              <w:tl2br w:val="nil"/>
              <w:tr2bl w:val="nil"/>
            </w:tcBorders>
            <w:noWrap w:val="0"/>
            <w:vAlign w:val="top"/>
          </w:tcPr>
          <w:p w14:paraId="7383605D">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储存于阴凉、通风的库房。远离火种、热源。应与氧化剂分开存放，切忌混储。配备相应品种和数量的消防器材。储区应备有泄漏应急处理设备和合适的收容材料。</w:t>
            </w:r>
          </w:p>
        </w:tc>
      </w:tr>
      <w:tr w14:paraId="57857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8" w:hRule="atLeast"/>
          <w:jc w:val="center"/>
        </w:trPr>
        <w:tc>
          <w:tcPr>
            <w:tcW w:w="505" w:type="pct"/>
            <w:vMerge w:val="continue"/>
            <w:tcBorders>
              <w:tl2br w:val="nil"/>
              <w:tr2bl w:val="nil"/>
            </w:tcBorders>
            <w:noWrap w:val="0"/>
            <w:vAlign w:val="top"/>
          </w:tcPr>
          <w:p w14:paraId="1B3F7E4E">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p>
        </w:tc>
        <w:tc>
          <w:tcPr>
            <w:tcW w:w="4494" w:type="pct"/>
            <w:gridSpan w:val="8"/>
            <w:tcBorders>
              <w:tl2br w:val="nil"/>
              <w:tr2bl w:val="nil"/>
            </w:tcBorders>
            <w:noWrap w:val="0"/>
            <w:vAlign w:val="top"/>
          </w:tcPr>
          <w:p w14:paraId="79476F64">
            <w:pPr>
              <w:pStyle w:val="56"/>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pacing w:val="0"/>
                <w:kern w:val="0"/>
                <w:position w:val="0"/>
                <w:sz w:val="21"/>
              </w:rPr>
            </w:pPr>
            <w:r>
              <w:rPr>
                <w:rFonts w:hint="default" w:ascii="Times New Roman" w:hAnsi="Times New Roman" w:eastAsia="宋体"/>
                <w:color w:val="auto"/>
                <w:spacing w:val="0"/>
                <w:kern w:val="0"/>
                <w:position w:val="0"/>
                <w:sz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3C557C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lang w:val="en-US" w:eastAsia="zh-CN"/>
        </w:rPr>
      </w:pPr>
      <w:r>
        <w:rPr>
          <w:rFonts w:hint="eastAsia" w:ascii="Times New Roman" w:hAnsi="Times New Roman" w:eastAsia="宋体" w:cs="Times New Roman"/>
          <w:color w:val="auto"/>
          <w:spacing w:val="0"/>
          <w:kern w:val="0"/>
          <w:position w:val="0"/>
          <w:sz w:val="24"/>
          <w:lang w:val="en-US" w:eastAsia="zh-CN"/>
        </w:rPr>
        <w:t>2）风险类型</w:t>
      </w:r>
    </w:p>
    <w:p w14:paraId="0E72B42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snapToGrid/>
          <w:color w:val="auto"/>
          <w:spacing w:val="0"/>
          <w:kern w:val="0"/>
          <w:position w:val="0"/>
          <w:sz w:val="24"/>
          <w:szCs w:val="24"/>
          <w:lang w:eastAsia="zh-CN"/>
        </w:rPr>
      </w:pPr>
      <w:r>
        <w:rPr>
          <w:rFonts w:hint="eastAsia" w:ascii="Times New Roman" w:hAnsi="Times New Roman" w:eastAsia="宋体"/>
          <w:color w:val="auto"/>
          <w:spacing w:val="0"/>
          <w:kern w:val="0"/>
          <w:position w:val="0"/>
          <w:sz w:val="24"/>
          <w:lang w:val="en-US" w:eastAsia="zh-CN"/>
        </w:rPr>
        <w:t>根据对本项目涉及危险品的理化性质、生产工艺特点以及同类项目的类比调查，项目事故风险类型确定为原辅料或危废暂存间废润滑油遇明火引起的火灾事故、循环水池泄漏、危废暂存间废润滑油泄漏事故，不考虑自然灾害引起的风险。</w:t>
      </w:r>
    </w:p>
    <w:p w14:paraId="1CF005E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snapToGrid/>
          <w:color w:val="auto"/>
          <w:sz w:val="24"/>
          <w:szCs w:val="24"/>
          <w:lang w:eastAsia="zh-CN"/>
        </w:rPr>
      </w:pPr>
      <w:r>
        <w:rPr>
          <w:rFonts w:ascii="Times New Roman" w:hAnsi="Times New Roman" w:eastAsia="宋体"/>
          <w:snapToGrid/>
          <w:color w:val="auto"/>
          <w:sz w:val="24"/>
          <w:szCs w:val="24"/>
          <w:lang w:eastAsia="zh-CN"/>
        </w:rPr>
        <w:t>（</w:t>
      </w:r>
      <w:r>
        <w:rPr>
          <w:rFonts w:hint="eastAsia" w:ascii="Times New Roman" w:hAnsi="Times New Roman" w:eastAsia="宋体"/>
          <w:snapToGrid/>
          <w:color w:val="auto"/>
          <w:sz w:val="24"/>
          <w:szCs w:val="24"/>
          <w:lang w:val="en-US" w:eastAsia="zh-CN"/>
        </w:rPr>
        <w:t>5</w:t>
      </w:r>
      <w:r>
        <w:rPr>
          <w:rFonts w:ascii="Times New Roman" w:hAnsi="Times New Roman" w:eastAsia="宋体"/>
          <w:snapToGrid/>
          <w:color w:val="auto"/>
          <w:sz w:val="24"/>
          <w:szCs w:val="24"/>
          <w:lang w:eastAsia="zh-CN"/>
        </w:rPr>
        <w:t>）运输过程中的风险分析</w:t>
      </w:r>
      <w:bookmarkEnd w:id="691"/>
      <w:bookmarkEnd w:id="692"/>
    </w:p>
    <w:p w14:paraId="3F1EEB1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在营运过程中所购买的原辅材料在运输到工厂的过程中，存在交通事故风险。如果发生交通事故，废物散落到水体、公路上，若不能及时回收，将造成一定的环境污染。另外，如果由于交通事故而引发火灾，将会对大气环境造成污染，废旧塑料燃烧产生的高温、烟尘和有机废气也会对环境造成较大的影响。</w:t>
      </w:r>
    </w:p>
    <w:p w14:paraId="202DEDC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699" w:name="_Toc22399"/>
      <w:bookmarkStart w:id="700" w:name="_Toc23064"/>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6</w:t>
      </w:r>
      <w:r>
        <w:rPr>
          <w:rFonts w:ascii="Times New Roman" w:hAnsi="Times New Roman"/>
          <w:snapToGrid/>
          <w:color w:val="auto"/>
          <w:sz w:val="24"/>
          <w:szCs w:val="24"/>
          <w:lang w:eastAsia="zh-CN"/>
        </w:rPr>
        <w:t>）存贮过程中的风险分析</w:t>
      </w:r>
      <w:bookmarkEnd w:id="699"/>
      <w:bookmarkEnd w:id="700"/>
    </w:p>
    <w:p w14:paraId="1D08DBD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本项目原料储存在半封闭堆场，最大堆存量可达800t，项目成品、母粒及抗老化剂堆放在库房，最大堆存量可达60t。聚乙烯的燃烧特性如表5.3-</w:t>
      </w:r>
      <w:r>
        <w:rPr>
          <w:rFonts w:hint="eastAsia" w:ascii="Times New Roman" w:hAnsi="Times New Roman"/>
          <w:snapToGrid/>
          <w:color w:val="auto"/>
          <w:sz w:val="24"/>
          <w:szCs w:val="24"/>
          <w:lang w:val="en-US" w:eastAsia="zh-CN"/>
        </w:rPr>
        <w:t>6</w:t>
      </w:r>
      <w:r>
        <w:rPr>
          <w:rFonts w:ascii="Times New Roman" w:hAnsi="Times New Roman"/>
          <w:snapToGrid/>
          <w:color w:val="auto"/>
          <w:sz w:val="24"/>
          <w:szCs w:val="24"/>
          <w:lang w:eastAsia="zh-CN"/>
        </w:rPr>
        <w:t>：</w:t>
      </w:r>
    </w:p>
    <w:p w14:paraId="77E799EE">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表5.3-</w:t>
      </w:r>
      <w:r>
        <w:rPr>
          <w:rFonts w:hint="eastAsia" w:ascii="Times New Roman" w:hAnsi="Times New Roman"/>
          <w:b/>
          <w:bCs/>
          <w:snapToGrid/>
          <w:color w:val="auto"/>
          <w:sz w:val="24"/>
          <w:lang w:val="en-US" w:eastAsia="zh-CN"/>
        </w:rPr>
        <w:t>6</w:t>
      </w:r>
      <w:r>
        <w:rPr>
          <w:rFonts w:ascii="Times New Roman" w:hAnsi="Times New Roman"/>
          <w:b/>
          <w:bCs/>
          <w:snapToGrid/>
          <w:color w:val="auto"/>
          <w:sz w:val="24"/>
        </w:rPr>
        <w:t>塑料燃烧特性鉴别</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8"/>
        <w:gridCol w:w="1249"/>
        <w:gridCol w:w="1271"/>
        <w:gridCol w:w="1822"/>
        <w:gridCol w:w="1397"/>
        <w:gridCol w:w="1595"/>
      </w:tblGrid>
      <w:tr w14:paraId="3365F1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651" w:type="pct"/>
            <w:tcBorders>
              <w:tl2br w:val="nil"/>
              <w:tr2bl w:val="nil"/>
            </w:tcBorders>
            <w:vAlign w:val="center"/>
          </w:tcPr>
          <w:p w14:paraId="0B0927D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塑料名称</w:t>
            </w:r>
          </w:p>
        </w:tc>
        <w:tc>
          <w:tcPr>
            <w:tcW w:w="740" w:type="pct"/>
            <w:tcBorders>
              <w:tl2br w:val="nil"/>
              <w:tr2bl w:val="nil"/>
            </w:tcBorders>
            <w:vAlign w:val="center"/>
          </w:tcPr>
          <w:p w14:paraId="794A17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燃烧难易</w:t>
            </w:r>
          </w:p>
        </w:tc>
        <w:tc>
          <w:tcPr>
            <w:tcW w:w="753" w:type="pct"/>
            <w:tcBorders>
              <w:tl2br w:val="nil"/>
              <w:tr2bl w:val="nil"/>
            </w:tcBorders>
            <w:vAlign w:val="center"/>
          </w:tcPr>
          <w:p w14:paraId="2A7961F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离火后是否自熄</w:t>
            </w:r>
          </w:p>
        </w:tc>
        <w:tc>
          <w:tcPr>
            <w:tcW w:w="1080" w:type="pct"/>
            <w:tcBorders>
              <w:tl2br w:val="nil"/>
              <w:tr2bl w:val="nil"/>
            </w:tcBorders>
            <w:vAlign w:val="center"/>
          </w:tcPr>
          <w:p w14:paraId="0DB1135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火焰状态</w:t>
            </w:r>
          </w:p>
        </w:tc>
        <w:tc>
          <w:tcPr>
            <w:tcW w:w="828" w:type="pct"/>
            <w:tcBorders>
              <w:tl2br w:val="nil"/>
              <w:tr2bl w:val="nil"/>
            </w:tcBorders>
            <w:vAlign w:val="center"/>
          </w:tcPr>
          <w:p w14:paraId="5D3F775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塑料变化状态</w:t>
            </w:r>
          </w:p>
        </w:tc>
        <w:tc>
          <w:tcPr>
            <w:tcW w:w="945" w:type="pct"/>
            <w:tcBorders>
              <w:tl2br w:val="nil"/>
              <w:tr2bl w:val="nil"/>
            </w:tcBorders>
            <w:vAlign w:val="center"/>
          </w:tcPr>
          <w:p w14:paraId="66D278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气味</w:t>
            </w:r>
          </w:p>
        </w:tc>
      </w:tr>
      <w:tr w14:paraId="1B46A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51" w:type="pct"/>
            <w:tcBorders>
              <w:tl2br w:val="nil"/>
              <w:tr2bl w:val="nil"/>
            </w:tcBorders>
            <w:vAlign w:val="center"/>
          </w:tcPr>
          <w:p w14:paraId="68F3CEF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聚乙烯（</w:t>
            </w:r>
            <w:r>
              <w:rPr>
                <w:rFonts w:eastAsia="宋体"/>
                <w:snapToGrid/>
                <w:color w:val="auto"/>
              </w:rPr>
              <w:t>PE</w:t>
            </w:r>
            <w:r>
              <w:rPr>
                <w:rFonts w:eastAsia="宋体" w:cs="宋体"/>
                <w:snapToGrid/>
                <w:color w:val="auto"/>
              </w:rPr>
              <w:t>）</w:t>
            </w:r>
          </w:p>
        </w:tc>
        <w:tc>
          <w:tcPr>
            <w:tcW w:w="740" w:type="pct"/>
            <w:tcBorders>
              <w:tl2br w:val="nil"/>
              <w:tr2bl w:val="nil"/>
            </w:tcBorders>
            <w:vAlign w:val="center"/>
          </w:tcPr>
          <w:p w14:paraId="6C57778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易燃</w:t>
            </w:r>
          </w:p>
        </w:tc>
        <w:tc>
          <w:tcPr>
            <w:tcW w:w="753" w:type="pct"/>
            <w:tcBorders>
              <w:tl2br w:val="nil"/>
              <w:tr2bl w:val="nil"/>
            </w:tcBorders>
            <w:vAlign w:val="center"/>
          </w:tcPr>
          <w:p w14:paraId="7292414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继续燃烧</w:t>
            </w:r>
          </w:p>
        </w:tc>
        <w:tc>
          <w:tcPr>
            <w:tcW w:w="1080" w:type="pct"/>
            <w:tcBorders>
              <w:tl2br w:val="nil"/>
              <w:tr2bl w:val="nil"/>
            </w:tcBorders>
            <w:vAlign w:val="center"/>
          </w:tcPr>
          <w:p w14:paraId="6FE002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上端黄色，下端蓝色</w:t>
            </w:r>
          </w:p>
        </w:tc>
        <w:tc>
          <w:tcPr>
            <w:tcW w:w="828" w:type="pct"/>
            <w:tcBorders>
              <w:tl2br w:val="nil"/>
              <w:tr2bl w:val="nil"/>
            </w:tcBorders>
            <w:vAlign w:val="center"/>
          </w:tcPr>
          <w:p w14:paraId="7FBFBAF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熔融滴落</w:t>
            </w:r>
          </w:p>
        </w:tc>
        <w:tc>
          <w:tcPr>
            <w:tcW w:w="945" w:type="pct"/>
            <w:tcBorders>
              <w:tl2br w:val="nil"/>
              <w:tr2bl w:val="nil"/>
            </w:tcBorders>
            <w:vAlign w:val="center"/>
          </w:tcPr>
          <w:p w14:paraId="7975122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石蜡燃烧的气味</w:t>
            </w:r>
          </w:p>
        </w:tc>
      </w:tr>
    </w:tbl>
    <w:p w14:paraId="016D673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塑料的贮存过程在正常情况下，其环境风险很小，对堆存时遇热源，废塑料会因受到外来的热量且相互传热，而分解出可燃性有机气体，对周围大气环境造成一定程度的污染。如果贮存过程中管理不善，有可能发生火灾事故，废塑料燃烧产生的高温、烟尘和有机废气对环境造成较大危害。</w:t>
      </w:r>
    </w:p>
    <w:p w14:paraId="5D1C9B3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7</w:t>
      </w:r>
      <w:r>
        <w:rPr>
          <w:rFonts w:ascii="Times New Roman" w:hAnsi="Times New Roman"/>
          <w:snapToGrid/>
          <w:color w:val="auto"/>
          <w:sz w:val="24"/>
          <w:szCs w:val="24"/>
          <w:lang w:eastAsia="zh-CN"/>
        </w:rPr>
        <w:t>）项目有机废气处理设施</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运行过程中会产生的废活性炭，废</w:t>
      </w:r>
      <w:r>
        <w:rPr>
          <w:rFonts w:hint="eastAsia" w:ascii="Times New Roman" w:hAnsi="Times New Roman"/>
          <w:snapToGrid/>
          <w:color w:val="auto"/>
          <w:sz w:val="24"/>
          <w:szCs w:val="24"/>
          <w:lang w:eastAsia="zh-CN"/>
        </w:rPr>
        <w:t>活性炭</w:t>
      </w:r>
      <w:r>
        <w:rPr>
          <w:rFonts w:ascii="Times New Roman" w:hAnsi="Times New Roman"/>
          <w:snapToGrid/>
          <w:color w:val="auto"/>
          <w:sz w:val="24"/>
          <w:szCs w:val="24"/>
          <w:lang w:eastAsia="zh-CN"/>
        </w:rPr>
        <w:t>均属于危险废物，暂存于危废暂存间。</w:t>
      </w:r>
    </w:p>
    <w:p w14:paraId="2D7B73B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非正常工况风险识别：</w:t>
      </w:r>
    </w:p>
    <w:p w14:paraId="7412CD2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01" w:name="_Toc29474"/>
      <w:bookmarkStart w:id="702" w:name="_Toc23799"/>
      <w:r>
        <w:rPr>
          <w:rFonts w:ascii="Times New Roman" w:hAnsi="Times New Roman"/>
          <w:snapToGrid/>
          <w:color w:val="auto"/>
          <w:sz w:val="24"/>
          <w:szCs w:val="24"/>
          <w:lang w:eastAsia="zh-CN"/>
        </w:rPr>
        <w:t>①废气净化装置发生故障</w:t>
      </w:r>
      <w:bookmarkEnd w:id="701"/>
      <w:bookmarkEnd w:id="702"/>
    </w:p>
    <w:p w14:paraId="1056432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本项目废气净化装置发生故障的情况下，非甲烷总烃气体排放浓度超标，对环境造成一定的不良影响。</w:t>
      </w:r>
    </w:p>
    <w:p w14:paraId="585B79F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03" w:name="_Toc25552"/>
      <w:bookmarkStart w:id="704" w:name="_Toc12307"/>
      <w:r>
        <w:rPr>
          <w:rFonts w:ascii="Times New Roman" w:hAnsi="Times New Roman"/>
          <w:snapToGrid/>
          <w:color w:val="auto"/>
          <w:sz w:val="24"/>
          <w:szCs w:val="24"/>
          <w:lang w:eastAsia="zh-CN"/>
        </w:rPr>
        <w:t>②废水处理设施故障</w:t>
      </w:r>
      <w:bookmarkEnd w:id="703"/>
      <w:bookmarkEnd w:id="704"/>
    </w:p>
    <w:p w14:paraId="4864206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若污水处理池故障，工艺废水也因产品质量无法直接回用。因此，建设单位应确保沉淀池及循环冷却池的正常稳定运行，并做好各项应急防范措施，</w:t>
      </w:r>
      <w:r>
        <w:rPr>
          <w:rFonts w:hint="eastAsia" w:ascii="Times New Roman" w:hAnsi="Times New Roman"/>
          <w:snapToGrid/>
          <w:color w:val="auto"/>
          <w:sz w:val="24"/>
          <w:szCs w:val="24"/>
          <w:lang w:eastAsia="zh-CN"/>
        </w:rPr>
        <w:t>尽量减少</w:t>
      </w:r>
      <w:r>
        <w:rPr>
          <w:rFonts w:ascii="Times New Roman" w:hAnsi="Times New Roman"/>
          <w:snapToGrid/>
          <w:color w:val="auto"/>
          <w:sz w:val="24"/>
          <w:szCs w:val="24"/>
          <w:lang w:eastAsia="zh-CN"/>
        </w:rPr>
        <w:t>事故情况的发生。</w:t>
      </w:r>
    </w:p>
    <w:p w14:paraId="443ADC90">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05" w:name="_Toc21572"/>
      <w:r>
        <w:rPr>
          <w:rFonts w:hint="eastAsia" w:ascii="Times New Roman" w:hAnsi="Times New Roman" w:cs="Times New Roman"/>
          <w:b/>
          <w:bCs/>
          <w:snapToGrid/>
          <w:color w:val="auto"/>
          <w:sz w:val="28"/>
          <w:szCs w:val="32"/>
          <w:lang w:eastAsia="zh-CN"/>
        </w:rPr>
        <w:t>5.3.7环境风险分析</w:t>
      </w:r>
      <w:bookmarkEnd w:id="705"/>
    </w:p>
    <w:p w14:paraId="52A8BD9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bookmarkStart w:id="706" w:name="_Toc18981"/>
      <w:bookmarkStart w:id="707" w:name="_Toc3410"/>
      <w:bookmarkStart w:id="708" w:name="_Toc9104"/>
      <w:bookmarkStart w:id="709" w:name="_Toc3563"/>
      <w:bookmarkStart w:id="710" w:name="_Toc5484"/>
      <w:r>
        <w:rPr>
          <w:rFonts w:hint="eastAsia" w:ascii="Times New Roman" w:hAnsi="Times New Roman" w:cs="Times New Roman"/>
          <w:b w:val="0"/>
          <w:bCs/>
          <w:snapToGrid/>
          <w:color w:val="auto"/>
          <w:sz w:val="24"/>
          <w:szCs w:val="32"/>
          <w:lang w:val="en-US" w:eastAsia="zh-CN"/>
        </w:rPr>
        <w:t>（1）大气环境风险</w:t>
      </w:r>
      <w:bookmarkEnd w:id="706"/>
      <w:bookmarkEnd w:id="707"/>
      <w:bookmarkEnd w:id="708"/>
      <w:bookmarkEnd w:id="709"/>
      <w:r>
        <w:rPr>
          <w:rFonts w:hint="eastAsia" w:ascii="Times New Roman" w:hAnsi="Times New Roman" w:cs="Times New Roman"/>
          <w:b w:val="0"/>
          <w:bCs/>
          <w:snapToGrid/>
          <w:color w:val="auto"/>
          <w:sz w:val="24"/>
          <w:szCs w:val="32"/>
          <w:lang w:val="en-US" w:eastAsia="zh-CN"/>
        </w:rPr>
        <w:t>影响分析</w:t>
      </w:r>
    </w:p>
    <w:p w14:paraId="2B254C3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①环境因素分析</w:t>
      </w:r>
    </w:p>
    <w:p w14:paraId="366DA37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本项目原辅料及成品、</w:t>
      </w:r>
      <w:r>
        <w:rPr>
          <w:rFonts w:hint="eastAsia" w:ascii="Times New Roman" w:hAnsi="Times New Roman" w:cs="Times New Roman"/>
          <w:b w:val="0"/>
          <w:bCs/>
          <w:snapToGrid/>
          <w:color w:val="auto"/>
          <w:sz w:val="24"/>
          <w:szCs w:val="32"/>
          <w:lang w:val="en-US" w:eastAsia="zh-CN"/>
        </w:rPr>
        <w:t>危废</w:t>
      </w:r>
      <w:r>
        <w:rPr>
          <w:rFonts w:hint="eastAsia" w:ascii="Times New Roman" w:hAnsi="Times New Roman" w:cs="Times New Roman"/>
          <w:b w:val="0"/>
          <w:bCs/>
          <w:snapToGrid/>
          <w:color w:val="auto"/>
          <w:sz w:val="24"/>
          <w:szCs w:val="32"/>
          <w:lang w:eastAsia="zh-CN"/>
        </w:rPr>
        <w:t>储存过程中存在的环境风险为火灾、爆炸，诱发火灾、爆炸的因素主要有：违章吸烟、动火；</w:t>
      </w:r>
      <w:r>
        <w:rPr>
          <w:rFonts w:hint="eastAsia" w:ascii="Times New Roman" w:hAnsi="Times New Roman" w:cs="Times New Roman"/>
          <w:b w:val="0"/>
          <w:bCs/>
          <w:snapToGrid/>
          <w:color w:val="auto"/>
          <w:sz w:val="24"/>
          <w:szCs w:val="32"/>
          <w:lang w:val="en-US" w:eastAsia="zh-CN"/>
        </w:rPr>
        <w:t>废润滑油</w:t>
      </w:r>
      <w:r>
        <w:rPr>
          <w:rFonts w:hint="eastAsia" w:ascii="Times New Roman" w:hAnsi="Times New Roman" w:cs="Times New Roman"/>
          <w:b w:val="0"/>
          <w:bCs/>
          <w:snapToGrid/>
          <w:color w:val="auto"/>
          <w:sz w:val="24"/>
          <w:szCs w:val="32"/>
          <w:lang w:eastAsia="zh-CN"/>
        </w:rPr>
        <w:t>泄漏未及时处理遇明火；进入储存场的机车烟筒上未安装火星熄灭器；使用气焊、电焊等进行维修时，未采取有效防护措施；电气线路和电气设备在开关断开、接触不良、短路、漏电时产生火花，以及静电放电火花；未采取有效避雷措施，或者避雷措施失效而导致雷击失火等。</w:t>
      </w:r>
    </w:p>
    <w:p w14:paraId="3809D03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②环境风险影响分析</w:t>
      </w:r>
    </w:p>
    <w:p w14:paraId="04E3E9E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本项目涉及的可燃物质为原料、产品、</w:t>
      </w:r>
      <w:r>
        <w:rPr>
          <w:rFonts w:hint="eastAsia" w:ascii="Times New Roman" w:hAnsi="Times New Roman" w:cs="Times New Roman"/>
          <w:b w:val="0"/>
          <w:bCs/>
          <w:snapToGrid/>
          <w:color w:val="auto"/>
          <w:sz w:val="24"/>
          <w:szCs w:val="32"/>
          <w:lang w:val="en-US" w:eastAsia="zh-CN"/>
        </w:rPr>
        <w:t>废润滑油</w:t>
      </w:r>
      <w:r>
        <w:rPr>
          <w:rFonts w:hint="eastAsia" w:ascii="Times New Roman" w:hAnsi="Times New Roman" w:cs="Times New Roman"/>
          <w:b w:val="0"/>
          <w:bCs/>
          <w:snapToGrid/>
          <w:color w:val="auto"/>
          <w:sz w:val="24"/>
          <w:szCs w:val="32"/>
          <w:lang w:eastAsia="zh-CN"/>
        </w:rPr>
        <w:t>。发生火灾对环境的污染影响主要来自原辅材料及成品、泄漏</w:t>
      </w:r>
      <w:r>
        <w:rPr>
          <w:rFonts w:hint="eastAsia" w:ascii="Times New Roman" w:hAnsi="Times New Roman" w:cs="Times New Roman"/>
          <w:b w:val="0"/>
          <w:bCs/>
          <w:snapToGrid/>
          <w:color w:val="auto"/>
          <w:sz w:val="24"/>
          <w:szCs w:val="32"/>
          <w:lang w:val="en-US" w:eastAsia="zh-CN"/>
        </w:rPr>
        <w:t>废润滑油</w:t>
      </w:r>
      <w:r>
        <w:rPr>
          <w:rFonts w:hint="eastAsia" w:ascii="Times New Roman" w:hAnsi="Times New Roman" w:cs="Times New Roman"/>
          <w:b w:val="0"/>
          <w:bCs/>
          <w:snapToGrid/>
          <w:color w:val="auto"/>
          <w:sz w:val="24"/>
          <w:szCs w:val="32"/>
          <w:lang w:eastAsia="zh-CN"/>
        </w:rPr>
        <w:t>燃烧释放的大量的有害气体，由于燃烧产生的有害气体释放量难以定量，本次评价主要定性分析火灾发生时产生的有害气体对周围环境的影响。在正常情况下，空气的组成主要有氮气、氧气、氩气、二氧化碳及氢、氖、臭氧、氪等，而火灾所产生烟雾的成分主要为二氧化碳和水蒸气，这两种物质约占所有烟雾的90%~95%；另外还有乙烯、丙烯、一氧化碳、碳氢化合物及微粒物质等，约占5%~10%，对环境和人体健康产生较大危害的CO、烟尘等有害物质。一氧化碳产生量相对较大，危害也较大，一氧化碳的浓度过高或持续时间过长都会使人窒息或死亡。一般情况下，火场附近的一氧化碳的浓度较高（浓度可达到0.02%），距离火场30m处，一氧化碳的浓度逐渐降低（0.001%）。因此距离靠近火场会有造成一氧化碳中毒的危险。据以往报道，在火灾而造成人员死亡中，3/4的人死于有害气体，而且有害气体中一氧化碳是主要的有毒物质。</w:t>
      </w:r>
    </w:p>
    <w:p w14:paraId="0844C59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因此，火灾发生时将不可避免的对厂区人员安全与生产设施产生不利影响。</w:t>
      </w:r>
    </w:p>
    <w:p w14:paraId="6285C67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bookmarkStart w:id="711" w:name="_Toc27795"/>
      <w:bookmarkStart w:id="712" w:name="_Toc8876"/>
      <w:bookmarkStart w:id="713" w:name="_Toc31411"/>
      <w:r>
        <w:rPr>
          <w:rFonts w:hint="eastAsia" w:ascii="Times New Roman" w:hAnsi="Times New Roman" w:cs="Times New Roman"/>
          <w:b w:val="0"/>
          <w:bCs/>
          <w:snapToGrid/>
          <w:color w:val="auto"/>
          <w:sz w:val="24"/>
          <w:szCs w:val="32"/>
          <w:lang w:val="en-US" w:eastAsia="zh-CN"/>
        </w:rPr>
        <w:t>（2）地下水环境风险影响分析</w:t>
      </w:r>
      <w:bookmarkEnd w:id="711"/>
      <w:bookmarkEnd w:id="712"/>
      <w:bookmarkEnd w:id="713"/>
    </w:p>
    <w:p w14:paraId="1AB98CA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r>
        <w:rPr>
          <w:rFonts w:hint="eastAsia" w:ascii="Times New Roman" w:hAnsi="Times New Roman" w:cs="Times New Roman"/>
          <w:b w:val="0"/>
          <w:bCs/>
          <w:snapToGrid/>
          <w:color w:val="auto"/>
          <w:sz w:val="24"/>
          <w:szCs w:val="32"/>
          <w:lang w:val="en-US" w:eastAsia="zh-CN"/>
        </w:rPr>
        <w:t>地下水环境风险主要来自项目清洗废水循环沉淀水池泄漏，在正常工况下，循环水池做防渗处理，不会对地下水造成影响；但在其他因素导致循环水池破裂的情况下，清洗废水中的污染物通过渗漏进入地下水。若废水发生渗漏，污染物不至于很快穿过包气带进入地下含水层，但随着时间推移，清洗废水中的污染物将会造成地下水污染，且这种污染是长期性的、不可逆转的。</w:t>
      </w:r>
    </w:p>
    <w:p w14:paraId="79A7A5B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eastAsia="zh-CN"/>
        </w:rPr>
      </w:pPr>
      <w:r>
        <w:rPr>
          <w:rFonts w:hint="eastAsia" w:ascii="Times New Roman" w:hAnsi="Times New Roman" w:cs="Times New Roman"/>
          <w:b w:val="0"/>
          <w:bCs/>
          <w:snapToGrid/>
          <w:color w:val="auto"/>
          <w:sz w:val="24"/>
          <w:szCs w:val="32"/>
          <w:lang w:eastAsia="zh-CN"/>
        </w:rPr>
        <w:t>本项目评价范围内无地下水敏感点、无饮用水水源保护区。发生渗漏后，只要及时采取补救措施，则可将污染控制在污染源附近的小范围内，避免对地下水环境造成明显影响。</w:t>
      </w:r>
    </w:p>
    <w:p w14:paraId="048FE36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bookmarkStart w:id="714" w:name="_Toc15020"/>
      <w:bookmarkStart w:id="715" w:name="_Toc14737"/>
      <w:r>
        <w:rPr>
          <w:rFonts w:hint="eastAsia" w:ascii="Times New Roman" w:hAnsi="Times New Roman" w:cs="Times New Roman"/>
          <w:b w:val="0"/>
          <w:bCs/>
          <w:snapToGrid/>
          <w:color w:val="auto"/>
          <w:sz w:val="24"/>
          <w:szCs w:val="32"/>
          <w:lang w:val="en-US" w:eastAsia="zh-CN"/>
        </w:rPr>
        <w:t>（3）地表水环境风险影响分析</w:t>
      </w:r>
      <w:bookmarkEnd w:id="714"/>
      <w:bookmarkEnd w:id="715"/>
    </w:p>
    <w:p w14:paraId="25B374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r>
        <w:rPr>
          <w:rFonts w:hint="eastAsia" w:ascii="Times New Roman" w:hAnsi="Times New Roman" w:cs="Times New Roman"/>
          <w:b w:val="0"/>
          <w:bCs/>
          <w:snapToGrid/>
          <w:color w:val="auto"/>
          <w:sz w:val="24"/>
          <w:szCs w:val="32"/>
          <w:lang w:val="en-US" w:eastAsia="zh-CN"/>
        </w:rPr>
        <w:t>项目运营期生产过程中循环沉淀水池事故废水、发生火灾等事故产生的消防废水，含有较多的污染物，在这种情况下，可能出现超标排放，对水环境造成较大不利影响。在项目发生事故时做到事故废水全部收集至循环水池或冷却水池中。待事故解除后，通过罐车分批次运至木垒哈萨克自治县污水处理厂处理，事故废水未经处理不得直接排放。保证了周围地表水环境不受非正常工况及事故排水影响。</w:t>
      </w:r>
    </w:p>
    <w:p w14:paraId="75AA4BF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bookmarkStart w:id="716" w:name="_Toc28125"/>
      <w:bookmarkStart w:id="717" w:name="_Toc29926"/>
      <w:r>
        <w:rPr>
          <w:rFonts w:hint="eastAsia" w:ascii="Times New Roman" w:hAnsi="Times New Roman" w:cs="Times New Roman"/>
          <w:b w:val="0"/>
          <w:bCs/>
          <w:snapToGrid/>
          <w:color w:val="auto"/>
          <w:sz w:val="24"/>
          <w:szCs w:val="32"/>
          <w:lang w:val="en-US" w:eastAsia="zh-CN"/>
        </w:rPr>
        <w:t>（4）土壤环境风险影响分析</w:t>
      </w:r>
      <w:bookmarkEnd w:id="716"/>
      <w:bookmarkEnd w:id="717"/>
    </w:p>
    <w:p w14:paraId="23483E0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b w:val="0"/>
          <w:bCs/>
          <w:snapToGrid/>
          <w:color w:val="auto"/>
          <w:sz w:val="24"/>
          <w:szCs w:val="32"/>
          <w:lang w:val="en-US" w:eastAsia="zh-CN"/>
        </w:rPr>
      </w:pPr>
      <w:r>
        <w:rPr>
          <w:rFonts w:hint="eastAsia" w:ascii="Times New Roman" w:hAnsi="Times New Roman" w:cs="Times New Roman"/>
          <w:b w:val="0"/>
          <w:bCs/>
          <w:snapToGrid/>
          <w:color w:val="auto"/>
          <w:sz w:val="24"/>
          <w:szCs w:val="32"/>
          <w:lang w:val="en-US" w:eastAsia="zh-CN"/>
        </w:rPr>
        <w:t>项目循环沉淀水池、危废暂存间泄漏污染物进入土壤，会对土壤土质及其微生物环境造成一定影响，这种污染是不可逆转的，因此本评价要求建设单位在施工过程中严格按照相关标准要求对项目区场地采取防渗措施，以降低循环水池、危废暂存间泄漏对项目区的土壤的风险性。</w:t>
      </w:r>
    </w:p>
    <w:p w14:paraId="072E3367">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r>
        <w:rPr>
          <w:rFonts w:hint="eastAsia" w:ascii="Times New Roman" w:hAnsi="Times New Roman" w:cs="Times New Roman"/>
          <w:b/>
          <w:bCs/>
          <w:snapToGrid/>
          <w:color w:val="auto"/>
          <w:sz w:val="28"/>
          <w:szCs w:val="32"/>
          <w:lang w:eastAsia="zh-CN"/>
        </w:rPr>
        <w:t>5.3.8风险防范措施及应急要求</w:t>
      </w:r>
      <w:bookmarkEnd w:id="710"/>
    </w:p>
    <w:p w14:paraId="1276AA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18" w:name="_Toc32463"/>
      <w:bookmarkStart w:id="719" w:name="_Toc27940"/>
      <w:r>
        <w:rPr>
          <w:rFonts w:ascii="Times New Roman" w:hAnsi="Times New Roman"/>
          <w:snapToGrid/>
          <w:color w:val="auto"/>
          <w:sz w:val="24"/>
          <w:szCs w:val="24"/>
          <w:lang w:eastAsia="zh-CN"/>
        </w:rPr>
        <w:t>（1）总平面布置和建筑方面安全防范措施</w:t>
      </w:r>
      <w:bookmarkEnd w:id="718"/>
      <w:bookmarkEnd w:id="719"/>
    </w:p>
    <w:p w14:paraId="6D85E62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20" w:name="_Toc12274"/>
      <w:bookmarkStart w:id="721" w:name="_Toc17772"/>
      <w:r>
        <w:rPr>
          <w:rFonts w:ascii="Times New Roman" w:hAnsi="Times New Roman"/>
          <w:snapToGrid/>
          <w:color w:val="auto"/>
          <w:sz w:val="24"/>
          <w:szCs w:val="24"/>
          <w:lang w:eastAsia="zh-CN"/>
        </w:rPr>
        <w:t>①总体布置</w:t>
      </w:r>
      <w:bookmarkEnd w:id="720"/>
      <w:bookmarkEnd w:id="721"/>
    </w:p>
    <w:p w14:paraId="44DC634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处理车间和辅助装置按功能分别布置，并充分考虑了安全防护距离、消防和疏散通道等问题，有利于安全生产</w:t>
      </w:r>
      <w:r>
        <w:rPr>
          <w:rFonts w:hint="eastAsia" w:ascii="Times New Roman" w:hAnsi="Times New Roman"/>
          <w:snapToGrid/>
          <w:color w:val="auto"/>
          <w:sz w:val="24"/>
          <w:szCs w:val="24"/>
          <w:lang w:eastAsia="zh-CN"/>
        </w:rPr>
        <w:t>，建</w:t>
      </w:r>
      <w:r>
        <w:rPr>
          <w:rFonts w:ascii="Times New Roman" w:hAnsi="Times New Roman"/>
          <w:snapToGrid/>
          <w:color w:val="auto"/>
          <w:sz w:val="24"/>
          <w:szCs w:val="24"/>
          <w:lang w:eastAsia="zh-CN"/>
        </w:rPr>
        <w:t>筑物间距符合国家规定的消防安全间距。</w:t>
      </w:r>
    </w:p>
    <w:p w14:paraId="55D887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22" w:name="_Toc20155"/>
      <w:bookmarkStart w:id="723" w:name="_Toc25081"/>
      <w:r>
        <w:rPr>
          <w:rFonts w:ascii="Times New Roman" w:hAnsi="Times New Roman"/>
          <w:snapToGrid/>
          <w:color w:val="auto"/>
          <w:sz w:val="24"/>
          <w:szCs w:val="24"/>
          <w:lang w:eastAsia="zh-CN"/>
        </w:rPr>
        <w:t>②建筑结构</w:t>
      </w:r>
      <w:bookmarkEnd w:id="722"/>
      <w:bookmarkEnd w:id="723"/>
    </w:p>
    <w:p w14:paraId="6EE0D53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厂房按不同的防火等级和生产特性进行设计，设备均设置于室内，并局部设置机械通风设施，加强通风排气。</w:t>
      </w:r>
    </w:p>
    <w:p w14:paraId="425FA39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24" w:name="_Toc25406"/>
      <w:bookmarkStart w:id="725" w:name="_Toc28554"/>
      <w:r>
        <w:rPr>
          <w:rFonts w:ascii="Times New Roman" w:hAnsi="Times New Roman"/>
          <w:snapToGrid/>
          <w:color w:val="auto"/>
          <w:sz w:val="24"/>
          <w:szCs w:val="24"/>
          <w:lang w:eastAsia="zh-CN"/>
        </w:rPr>
        <w:t>③消防给水及灭火</w:t>
      </w:r>
      <w:bookmarkEnd w:id="724"/>
      <w:bookmarkEnd w:id="725"/>
    </w:p>
    <w:p w14:paraId="6A13121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室外、室内消防给水按照消防要求设置消防给水系统。在厂区内沿车间、堆场敷设环状管网，设置室外地上式室外消火栓和室内消火栓。并在生产车间等建筑物内按《建筑灭火器配置设计规范》设置灭火器。</w:t>
      </w:r>
    </w:p>
    <w:p w14:paraId="78AA1EC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26" w:name="_Toc6750"/>
      <w:bookmarkStart w:id="727" w:name="_Toc17745"/>
      <w:r>
        <w:rPr>
          <w:rFonts w:ascii="Times New Roman" w:hAnsi="Times New Roman"/>
          <w:snapToGrid/>
          <w:color w:val="auto"/>
          <w:sz w:val="24"/>
          <w:szCs w:val="24"/>
          <w:lang w:eastAsia="zh-CN"/>
        </w:rPr>
        <w:t>（2）工程设计安全防范措施</w:t>
      </w:r>
      <w:bookmarkEnd w:id="726"/>
      <w:bookmarkEnd w:id="727"/>
    </w:p>
    <w:p w14:paraId="316C708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①本工程的</w:t>
      </w:r>
      <w:r>
        <w:rPr>
          <w:rFonts w:hint="eastAsia" w:ascii="Times New Roman" w:hAnsi="Times New Roman"/>
          <w:snapToGrid/>
          <w:color w:val="auto"/>
          <w:sz w:val="24"/>
          <w:szCs w:val="24"/>
          <w:lang w:eastAsia="zh-CN"/>
        </w:rPr>
        <w:t>总体</w:t>
      </w:r>
      <w:r>
        <w:rPr>
          <w:rFonts w:ascii="Times New Roman" w:hAnsi="Times New Roman"/>
          <w:snapToGrid/>
          <w:color w:val="auto"/>
          <w:sz w:val="24"/>
          <w:szCs w:val="24"/>
          <w:lang w:eastAsia="zh-CN"/>
        </w:rPr>
        <w:t>建筑应严格遵照国家《</w:t>
      </w:r>
      <w:r>
        <w:rPr>
          <w:rFonts w:hint="eastAsia" w:ascii="Times New Roman" w:hAnsi="Times New Roman"/>
          <w:snapToGrid/>
          <w:color w:val="auto"/>
          <w:sz w:val="24"/>
          <w:szCs w:val="24"/>
          <w:lang w:eastAsia="zh-CN"/>
        </w:rPr>
        <w:t>建筑防火通用规范</w:t>
      </w:r>
      <w:r>
        <w:rPr>
          <w:rFonts w:ascii="Times New Roman" w:hAnsi="Times New Roman"/>
          <w:snapToGrid/>
          <w:color w:val="auto"/>
          <w:sz w:val="24"/>
          <w:szCs w:val="24"/>
          <w:lang w:eastAsia="zh-CN"/>
        </w:rPr>
        <w:t>》（GB50016-2006）标准的要求进行防火设计和施工建设。</w:t>
      </w:r>
    </w:p>
    <w:p w14:paraId="2825744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②厂区内各厂房建筑物的防火间距应严格遵照《</w:t>
      </w:r>
      <w:r>
        <w:rPr>
          <w:rFonts w:hint="eastAsia" w:ascii="Times New Roman" w:hAnsi="Times New Roman"/>
          <w:snapToGrid/>
          <w:color w:val="auto"/>
          <w:sz w:val="24"/>
          <w:szCs w:val="24"/>
          <w:lang w:eastAsia="zh-CN"/>
        </w:rPr>
        <w:t>建筑防火通用规范</w:t>
      </w:r>
      <w:r>
        <w:rPr>
          <w:rFonts w:ascii="Times New Roman" w:hAnsi="Times New Roman"/>
          <w:snapToGrid/>
          <w:color w:val="auto"/>
          <w:sz w:val="24"/>
          <w:szCs w:val="24"/>
          <w:lang w:eastAsia="zh-CN"/>
        </w:rPr>
        <w:t>》（GB50016-2006）有关条款进行设计。</w:t>
      </w:r>
    </w:p>
    <w:p w14:paraId="3FE9EEE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③工程建设中保证消防供电线路安装严格遵照《</w:t>
      </w:r>
      <w:r>
        <w:rPr>
          <w:rFonts w:hint="eastAsia" w:ascii="Times New Roman" w:hAnsi="Times New Roman"/>
          <w:snapToGrid/>
          <w:color w:val="auto"/>
          <w:sz w:val="24"/>
          <w:szCs w:val="24"/>
          <w:lang w:eastAsia="zh-CN"/>
        </w:rPr>
        <w:t>建筑防火通用规范</w:t>
      </w:r>
      <w:r>
        <w:rPr>
          <w:rFonts w:ascii="Times New Roman" w:hAnsi="Times New Roman"/>
          <w:snapToGrid/>
          <w:color w:val="auto"/>
          <w:sz w:val="24"/>
          <w:szCs w:val="24"/>
          <w:lang w:eastAsia="zh-CN"/>
        </w:rPr>
        <w:t>》（GB50016-2006）标准及有关电气安装设计规范进行。</w:t>
      </w:r>
    </w:p>
    <w:p w14:paraId="0C7FE9F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④工程设计和建设中对消防着火疏散用的照明电源最低照度不应低于0.5lx，消防安全通道指示标志醒目。</w:t>
      </w:r>
    </w:p>
    <w:p w14:paraId="223F89D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⑤工程设计和建设中对易燃生产场所，应严格遵照消防防火有关规</w:t>
      </w:r>
      <w:r>
        <w:rPr>
          <w:rFonts w:hint="eastAsia" w:ascii="Times New Roman" w:hAnsi="Times New Roman"/>
          <w:snapToGrid/>
          <w:color w:val="auto"/>
          <w:sz w:val="24"/>
          <w:szCs w:val="24"/>
          <w:lang w:eastAsia="zh-CN"/>
        </w:rPr>
        <w:t>范和</w:t>
      </w:r>
      <w:r>
        <w:rPr>
          <w:rFonts w:ascii="Times New Roman" w:hAnsi="Times New Roman"/>
          <w:snapToGrid/>
          <w:color w:val="auto"/>
          <w:sz w:val="24"/>
          <w:szCs w:val="24"/>
          <w:lang w:eastAsia="zh-CN"/>
        </w:rPr>
        <w:t>标</w:t>
      </w:r>
      <w:r>
        <w:rPr>
          <w:rFonts w:hint="eastAsia" w:ascii="Times New Roman" w:hAnsi="Times New Roman"/>
          <w:snapToGrid/>
          <w:color w:val="auto"/>
          <w:sz w:val="24"/>
          <w:szCs w:val="24"/>
          <w:lang w:eastAsia="zh-CN"/>
        </w:rPr>
        <w:t>准和</w:t>
      </w:r>
      <w:r>
        <w:rPr>
          <w:rFonts w:ascii="Times New Roman" w:hAnsi="Times New Roman"/>
          <w:snapToGrid/>
          <w:color w:val="auto"/>
          <w:sz w:val="24"/>
          <w:szCs w:val="24"/>
          <w:lang w:eastAsia="zh-CN"/>
        </w:rPr>
        <w:t>要求，设有火灾自动报警装置，保证报警装置安装为国家指定合格产品。</w:t>
      </w:r>
    </w:p>
    <w:p w14:paraId="7A97C02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⑥所有建（构）筑物的设计均应满足地震烈度设防的要求。</w:t>
      </w:r>
    </w:p>
    <w:p w14:paraId="2AB3FAE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⑦车间内应设有紧急救护用品用具和医疗设施。</w:t>
      </w:r>
    </w:p>
    <w:p w14:paraId="55AD3C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28" w:name="_Toc26572"/>
      <w:bookmarkStart w:id="729" w:name="_Toc10659"/>
      <w:r>
        <w:rPr>
          <w:rFonts w:ascii="Times New Roman" w:hAnsi="Times New Roman"/>
          <w:snapToGrid/>
          <w:color w:val="auto"/>
          <w:sz w:val="24"/>
          <w:szCs w:val="24"/>
          <w:lang w:eastAsia="zh-CN"/>
        </w:rPr>
        <w:t>（3）人员配置及管理方面预防事故发生的措施</w:t>
      </w:r>
      <w:bookmarkEnd w:id="728"/>
      <w:bookmarkEnd w:id="729"/>
    </w:p>
    <w:p w14:paraId="71EE00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①对职工要加强环保、安全生产教育，生产中积极采取防范措施，厂区内特别是易燃、可燃物品储存和使用场所严禁吸烟、禁火，在醒目处要设有禁烟、禁火的标志。</w:t>
      </w:r>
    </w:p>
    <w:p w14:paraId="52933BE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②加强对各类操作人员、特种作业人员的安全技能教育、培训和考核，并经考核合格后持证上岗。</w:t>
      </w:r>
    </w:p>
    <w:p w14:paraId="756CD7F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③建立完善的环境保护管理机构，并设专人负责，组织落实、监督本企业的环境保护工作。</w:t>
      </w:r>
    </w:p>
    <w:p w14:paraId="6BA6058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30" w:name="_Toc29872"/>
      <w:bookmarkStart w:id="731" w:name="_Toc26747"/>
      <w:r>
        <w:rPr>
          <w:rFonts w:ascii="Times New Roman" w:hAnsi="Times New Roman"/>
          <w:snapToGrid/>
          <w:color w:val="auto"/>
          <w:sz w:val="24"/>
          <w:szCs w:val="24"/>
          <w:lang w:eastAsia="zh-CN"/>
        </w:rPr>
        <w:t>（4）运输过程中的事故防范措施</w:t>
      </w:r>
      <w:bookmarkEnd w:id="730"/>
      <w:bookmarkEnd w:id="731"/>
    </w:p>
    <w:p w14:paraId="5B2F145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①废塑料应避免与易燃物混合装箱，同时运输过程中严格遵守安全防火规定，并配备防火、灭火器材。</w:t>
      </w:r>
    </w:p>
    <w:p w14:paraId="382C10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32" w:name="_Toc4520"/>
      <w:bookmarkStart w:id="733" w:name="_Toc1600"/>
      <w:r>
        <w:rPr>
          <w:rFonts w:ascii="Times New Roman" w:hAnsi="Times New Roman"/>
          <w:snapToGrid/>
          <w:color w:val="auto"/>
          <w:sz w:val="24"/>
          <w:szCs w:val="24"/>
          <w:lang w:eastAsia="zh-CN"/>
        </w:rPr>
        <w:t>②包装必须牢固，最好使用集装箱装运。</w:t>
      </w:r>
      <w:bookmarkEnd w:id="732"/>
      <w:bookmarkEnd w:id="733"/>
    </w:p>
    <w:p w14:paraId="0D8839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③建议继续加强运输过程中安全防火工作，运输车船配备防火、灭火器材，严禁与易燃易爆物混合装箱运输。</w:t>
      </w:r>
    </w:p>
    <w:p w14:paraId="3E0EF09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④如发生交通事故或火灾，应立即采取急救措施并及时向当地生态局等有关部门报告。</w:t>
      </w:r>
    </w:p>
    <w:p w14:paraId="5E31D32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34" w:name="_Toc17990"/>
      <w:bookmarkStart w:id="735" w:name="_Toc1273"/>
      <w:r>
        <w:rPr>
          <w:rFonts w:ascii="Times New Roman" w:hAnsi="Times New Roman"/>
          <w:snapToGrid/>
          <w:color w:val="auto"/>
          <w:sz w:val="24"/>
          <w:szCs w:val="24"/>
          <w:lang w:eastAsia="zh-CN"/>
        </w:rPr>
        <w:t>（5）存储过程中的事故防范措施</w:t>
      </w:r>
      <w:bookmarkEnd w:id="734"/>
      <w:bookmarkEnd w:id="735"/>
    </w:p>
    <w:p w14:paraId="387FA09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①加强原料的储存管理，储存过程必须严格遵守安全防火规定、仓库和堆场配备防火器材，严禁与易燃易爆物混合存放。</w:t>
      </w:r>
    </w:p>
    <w:p w14:paraId="1340BDF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②落实责任制，生产车间、仓库应分设责任人看管，确保车间、仓库消防隐患，时刻监控，不可利用废物定期清理。</w:t>
      </w:r>
    </w:p>
    <w:p w14:paraId="35C553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③如发生火灾，应立即采取急救措施并及时向当地生态局等有关部门报告。</w:t>
      </w:r>
    </w:p>
    <w:p w14:paraId="6E1E3F2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36" w:name="_Toc17030"/>
      <w:bookmarkStart w:id="737" w:name="_Toc3044"/>
      <w:r>
        <w:rPr>
          <w:rFonts w:ascii="Times New Roman" w:hAnsi="Times New Roman"/>
          <w:snapToGrid/>
          <w:color w:val="auto"/>
          <w:sz w:val="24"/>
          <w:szCs w:val="24"/>
          <w:lang w:eastAsia="zh-CN"/>
        </w:rPr>
        <w:t>（6）运行过程中的事故防范措施</w:t>
      </w:r>
      <w:bookmarkEnd w:id="736"/>
      <w:bookmarkEnd w:id="737"/>
    </w:p>
    <w:p w14:paraId="1968E0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①对废塑料的查验，使其符合废塑料环保控制标准，如使用过的塑料容器要确保已经破碎并清洗至无明显异味和污渍。</w:t>
      </w:r>
    </w:p>
    <w:p w14:paraId="677C76E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②强噪声设备应在室内使用，现场操作人员应采取职业防护措施，并注意噪声对周围环境的影响，如超标必须安装隔音和消音设备。</w:t>
      </w:r>
    </w:p>
    <w:p w14:paraId="2CE9DC9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③严格操作规程，确保废气处理设施正常运行和加工过程产生的废气达标排放，冷却水循环利用。</w:t>
      </w:r>
    </w:p>
    <w:p w14:paraId="22C0B6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④加强管理，定期向当地环保主管部门及安全消防部门汇报，以便得到有效监管。</w:t>
      </w:r>
    </w:p>
    <w:p w14:paraId="561D42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38" w:name="_Toc2409"/>
      <w:bookmarkStart w:id="739" w:name="_Toc3156"/>
      <w:r>
        <w:rPr>
          <w:rFonts w:ascii="Times New Roman" w:hAnsi="Times New Roman"/>
          <w:snapToGrid/>
          <w:color w:val="auto"/>
          <w:sz w:val="24"/>
          <w:szCs w:val="24"/>
          <w:lang w:eastAsia="zh-CN"/>
        </w:rPr>
        <w:t>（7）风险有毒气体的防范措施</w:t>
      </w:r>
      <w:bookmarkEnd w:id="738"/>
      <w:bookmarkEnd w:id="739"/>
    </w:p>
    <w:p w14:paraId="3B9FE08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①加强安全教育培训和宣传，塑料燃烧产生的各种毒害气体，企业应加强对从业人员的专题教育，进一步提高企业管理者、操作人员的安全意识防范知识和应急救援水平。</w:t>
      </w:r>
    </w:p>
    <w:p w14:paraId="7F75046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②加大安全生产投入，在强化安全教育、提高安全意识的</w:t>
      </w:r>
      <w:r>
        <w:rPr>
          <w:rFonts w:hint="eastAsia" w:ascii="Times New Roman" w:hAnsi="Times New Roman"/>
          <w:snapToGrid/>
          <w:color w:val="auto"/>
          <w:sz w:val="24"/>
          <w:szCs w:val="24"/>
          <w:lang w:eastAsia="zh-CN"/>
        </w:rPr>
        <w:t>同时</w:t>
      </w:r>
      <w:r>
        <w:rPr>
          <w:rFonts w:ascii="Times New Roman" w:hAnsi="Times New Roman"/>
          <w:snapToGrid/>
          <w:color w:val="auto"/>
          <w:sz w:val="24"/>
          <w:szCs w:val="24"/>
          <w:lang w:eastAsia="zh-CN"/>
        </w:rPr>
        <w:t>，企业必须加大安全生产的投入，一</w:t>
      </w:r>
      <w:r>
        <w:rPr>
          <w:rFonts w:hint="eastAsia" w:ascii="Times New Roman" w:hAnsi="Times New Roman"/>
          <w:snapToGrid/>
          <w:color w:val="auto"/>
          <w:sz w:val="24"/>
          <w:szCs w:val="24"/>
          <w:lang w:eastAsia="zh-CN"/>
        </w:rPr>
        <w:t>是</w:t>
      </w:r>
      <w:r>
        <w:rPr>
          <w:rFonts w:ascii="Times New Roman" w:hAnsi="Times New Roman"/>
          <w:snapToGrid/>
          <w:color w:val="auto"/>
          <w:sz w:val="24"/>
          <w:szCs w:val="24"/>
          <w:lang w:eastAsia="zh-CN"/>
        </w:rPr>
        <w:t>采取通风、检测等安全措施；二是为操作人员配备呼吸器、救护带等安全设备；三</w:t>
      </w:r>
      <w:r>
        <w:rPr>
          <w:rFonts w:hint="eastAsia" w:ascii="Times New Roman" w:hAnsi="Times New Roman"/>
          <w:snapToGrid/>
          <w:color w:val="auto"/>
          <w:sz w:val="24"/>
          <w:szCs w:val="24"/>
          <w:lang w:eastAsia="zh-CN"/>
        </w:rPr>
        <w:t>是</w:t>
      </w:r>
      <w:r>
        <w:rPr>
          <w:rFonts w:ascii="Times New Roman" w:hAnsi="Times New Roman"/>
          <w:snapToGrid/>
          <w:color w:val="auto"/>
          <w:sz w:val="24"/>
          <w:szCs w:val="24"/>
          <w:lang w:eastAsia="zh-CN"/>
        </w:rPr>
        <w:t>危险作业增设监护人员并为其</w:t>
      </w:r>
      <w:r>
        <w:rPr>
          <w:rFonts w:hint="eastAsia" w:ascii="Times New Roman" w:hAnsi="Times New Roman"/>
          <w:snapToGrid/>
          <w:color w:val="auto"/>
          <w:sz w:val="24"/>
          <w:szCs w:val="24"/>
          <w:lang w:eastAsia="zh-CN"/>
        </w:rPr>
        <w:t>配备通信</w:t>
      </w:r>
      <w:r>
        <w:rPr>
          <w:rFonts w:ascii="Times New Roman" w:hAnsi="Times New Roman"/>
          <w:snapToGrid/>
          <w:color w:val="auto"/>
          <w:sz w:val="24"/>
          <w:szCs w:val="24"/>
          <w:lang w:eastAsia="zh-CN"/>
        </w:rPr>
        <w:t>、救援设备。</w:t>
      </w:r>
    </w:p>
    <w:p w14:paraId="473735E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③建立健全有毒气体</w:t>
      </w:r>
      <w:r>
        <w:rPr>
          <w:rFonts w:hint="eastAsia" w:ascii="Times New Roman" w:hAnsi="Times New Roman"/>
          <w:snapToGrid/>
          <w:color w:val="auto"/>
          <w:sz w:val="24"/>
          <w:szCs w:val="24"/>
          <w:lang w:eastAsia="zh-CN"/>
        </w:rPr>
        <w:t>中毒</w:t>
      </w:r>
      <w:r>
        <w:rPr>
          <w:rFonts w:ascii="Times New Roman" w:hAnsi="Times New Roman"/>
          <w:snapToGrid/>
          <w:color w:val="auto"/>
          <w:sz w:val="24"/>
          <w:szCs w:val="24"/>
          <w:lang w:eastAsia="zh-CN"/>
        </w:rPr>
        <w:t>事故应急救援预案：塑料燃烧可能产生各种有害气体中毒事故，企业应建立健全有毒气体中毒等事故专项应急救援预案，确认可能发生有毒气体中毒事故的场所，要落实针对性的应急救援组织、救援人员、救援器材。企业应根据实际情况，不断充实和完善应急预案的各项措施，并定期组</w:t>
      </w:r>
      <w:bookmarkStart w:id="740" w:name="bookmark79"/>
      <w:bookmarkEnd w:id="740"/>
      <w:r>
        <w:rPr>
          <w:rFonts w:ascii="Times New Roman" w:hAnsi="Times New Roman"/>
          <w:snapToGrid/>
          <w:color w:val="auto"/>
          <w:sz w:val="24"/>
          <w:szCs w:val="24"/>
          <w:lang w:eastAsia="zh-CN"/>
        </w:rPr>
        <w:t>织演练。</w:t>
      </w:r>
    </w:p>
    <w:p w14:paraId="2C1B4E8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41" w:name="_Toc9225"/>
      <w:bookmarkStart w:id="742" w:name="_Toc12318"/>
      <w:r>
        <w:rPr>
          <w:rFonts w:ascii="Times New Roman" w:hAnsi="Times New Roman"/>
          <w:snapToGrid/>
          <w:color w:val="auto"/>
          <w:sz w:val="24"/>
          <w:szCs w:val="24"/>
          <w:lang w:eastAsia="zh-CN"/>
        </w:rPr>
        <w:t>（8）应急措施</w:t>
      </w:r>
      <w:bookmarkEnd w:id="741"/>
      <w:bookmarkEnd w:id="742"/>
    </w:p>
    <w:p w14:paraId="2E9FB38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43" w:name="_Toc24514"/>
      <w:bookmarkStart w:id="744" w:name="_Toc26462"/>
      <w:r>
        <w:rPr>
          <w:rFonts w:ascii="Times New Roman" w:hAnsi="Times New Roman"/>
          <w:snapToGrid/>
          <w:color w:val="auto"/>
          <w:sz w:val="24"/>
          <w:szCs w:val="24"/>
          <w:lang w:eastAsia="zh-CN"/>
        </w:rPr>
        <w:t>①消防水的处理</w:t>
      </w:r>
      <w:bookmarkEnd w:id="743"/>
      <w:bookmarkEnd w:id="744"/>
    </w:p>
    <w:p w14:paraId="3FB74E3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项目发生火灾时，消防水量按10L/S计，火灾持续时间按1h，则消防废水产生量为36m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，项目区</w:t>
      </w:r>
      <w:r>
        <w:rPr>
          <w:rFonts w:hint="eastAsia" w:ascii="Times New Roman" w:hAnsi="Times New Roman"/>
          <w:snapToGrid/>
          <w:color w:val="auto"/>
          <w:sz w:val="24"/>
          <w:szCs w:val="24"/>
          <w:lang w:eastAsia="zh-CN"/>
        </w:rPr>
        <w:t>建设</w:t>
      </w:r>
      <w:r>
        <w:rPr>
          <w:rFonts w:ascii="Times New Roman" w:hAnsi="Times New Roman"/>
          <w:snapToGrid/>
          <w:color w:val="auto"/>
          <w:sz w:val="24"/>
          <w:szCs w:val="24"/>
          <w:lang w:eastAsia="zh-CN"/>
        </w:rPr>
        <w:t>容积为</w:t>
      </w:r>
      <w:r>
        <w:rPr>
          <w:rFonts w:hint="eastAsia" w:ascii="Times New Roman" w:hAnsi="Times New Roman"/>
          <w:snapToGrid/>
          <w:color w:val="auto"/>
          <w:sz w:val="24"/>
          <w:szCs w:val="24"/>
          <w:lang w:eastAsia="zh-CN"/>
        </w:rPr>
        <w:t>50</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的</w:t>
      </w:r>
      <w:r>
        <w:rPr>
          <w:rFonts w:hint="eastAsia" w:ascii="Times New Roman" w:hAnsi="Times New Roman"/>
          <w:snapToGrid/>
          <w:color w:val="auto"/>
          <w:sz w:val="24"/>
          <w:szCs w:val="24"/>
          <w:lang w:eastAsia="zh-CN"/>
        </w:rPr>
        <w:t>消防水池</w:t>
      </w:r>
      <w:r>
        <w:rPr>
          <w:rFonts w:ascii="Times New Roman" w:hAnsi="Times New Roman"/>
          <w:snapToGrid/>
          <w:color w:val="auto"/>
          <w:sz w:val="24"/>
          <w:szCs w:val="24"/>
          <w:lang w:eastAsia="zh-CN"/>
        </w:rPr>
        <w:t>一座，容积满足需求。发生事故时，全厂将在第一时间内立即停产，产生的消防废水可暂存于事故水池内，确保消防废水不外排。</w:t>
      </w:r>
    </w:p>
    <w:p w14:paraId="764127D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45" w:name="_Toc25591"/>
      <w:bookmarkStart w:id="746" w:name="_Toc15738"/>
      <w:r>
        <w:rPr>
          <w:rFonts w:ascii="Times New Roman" w:hAnsi="Times New Roman"/>
          <w:snapToGrid/>
          <w:color w:val="auto"/>
          <w:sz w:val="24"/>
          <w:szCs w:val="24"/>
          <w:lang w:eastAsia="zh-CN"/>
        </w:rPr>
        <w:t>②建立环境风险事故监测系统</w:t>
      </w:r>
      <w:bookmarkEnd w:id="745"/>
      <w:bookmarkEnd w:id="746"/>
    </w:p>
    <w:p w14:paraId="3CA341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立环境风险事故监测系统，在发生轻微事故（即污染事故发生在某装置的一部分，通过控制，不会影响到装置以外）和一般事故（污染事故持续发展影响到整个装置，但通过控制，不会影响到厂区以外）时，及时通知当地环境保护管理部门，委托有资质的第三方监测单位进行应急监测，负责对事故现场及周围区域实施应急监测，为应急救援指挥部门判断事态发展和指挥救援提供依据。</w:t>
      </w:r>
    </w:p>
    <w:p w14:paraId="5E21DF5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内容包括常规监测和应急监测。常规监测包括大气监测和水质监测，在常规监测项目中，包含非甲烷总烃，在事故发生后，要对全厂的事故污染物进行监测。当地的环境监测站作为重大事故监测的实施部门，接受应急指挥部门的领导和安排，监测站做好应急监测的队伍建设、监测方法筛选、人员培训、设备和仪器设备的配备。</w:t>
      </w:r>
    </w:p>
    <w:p w14:paraId="5482380A">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47" w:name="_Toc24058"/>
      <w:r>
        <w:rPr>
          <w:rFonts w:hint="eastAsia" w:ascii="Times New Roman" w:hAnsi="Times New Roman" w:cs="Times New Roman"/>
          <w:b/>
          <w:bCs/>
          <w:snapToGrid/>
          <w:color w:val="auto"/>
          <w:sz w:val="28"/>
          <w:szCs w:val="32"/>
          <w:lang w:eastAsia="zh-CN"/>
        </w:rPr>
        <w:t>5.3.9风险评价结论与建议</w:t>
      </w:r>
      <w:bookmarkEnd w:id="747"/>
    </w:p>
    <w:p w14:paraId="22ACC84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48" w:name="_Toc5781"/>
      <w:bookmarkStart w:id="749" w:name="_Toc10383"/>
      <w:r>
        <w:rPr>
          <w:rFonts w:ascii="Times New Roman" w:hAnsi="Times New Roman"/>
          <w:snapToGrid/>
          <w:color w:val="auto"/>
          <w:sz w:val="24"/>
          <w:szCs w:val="24"/>
          <w:lang w:eastAsia="zh-CN"/>
        </w:rPr>
        <w:t>（1）风险评价结论</w:t>
      </w:r>
      <w:bookmarkEnd w:id="748"/>
      <w:bookmarkEnd w:id="749"/>
    </w:p>
    <w:p w14:paraId="598B19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风险评价的结果表明，本项目不构成重大危险源。本项目环境风险主要</w:t>
      </w:r>
      <w:r>
        <w:rPr>
          <w:rFonts w:hint="eastAsia" w:ascii="Times New Roman" w:hAnsi="Times New Roman"/>
          <w:snapToGrid/>
          <w:color w:val="auto"/>
          <w:sz w:val="24"/>
          <w:szCs w:val="24"/>
          <w:lang w:eastAsia="zh-CN"/>
        </w:rPr>
        <w:t>来</w:t>
      </w:r>
      <w:r>
        <w:rPr>
          <w:rFonts w:hint="eastAsia" w:ascii="Times New Roman" w:hAnsi="Times New Roman"/>
          <w:snapToGrid/>
          <w:color w:val="auto"/>
          <w:sz w:val="24"/>
          <w:szCs w:val="24"/>
          <w:lang w:val="en-US" w:eastAsia="zh-CN"/>
        </w:rPr>
        <w:t>自</w:t>
      </w:r>
      <w:r>
        <w:rPr>
          <w:rFonts w:hint="eastAsia" w:ascii="Times New Roman" w:hAnsi="Times New Roman"/>
          <w:snapToGrid/>
          <w:color w:val="auto"/>
          <w:sz w:val="24"/>
          <w:szCs w:val="24"/>
          <w:lang w:eastAsia="zh-CN"/>
        </w:rPr>
        <w:t>于</w:t>
      </w:r>
      <w:r>
        <w:rPr>
          <w:rFonts w:ascii="Times New Roman" w:hAnsi="Times New Roman"/>
          <w:snapToGrid/>
          <w:color w:val="auto"/>
          <w:sz w:val="24"/>
          <w:szCs w:val="24"/>
          <w:lang w:eastAsia="zh-CN"/>
        </w:rPr>
        <w:t>聚乙烯塑料发生火灾事故和危险废物</w:t>
      </w:r>
      <w:r>
        <w:rPr>
          <w:rFonts w:hint="eastAsia" w:ascii="Times New Roman" w:hAnsi="Times New Roman"/>
          <w:snapToGrid/>
          <w:color w:val="auto"/>
          <w:sz w:val="24"/>
          <w:szCs w:val="24"/>
          <w:lang w:eastAsia="zh-CN"/>
        </w:rPr>
        <w:t>泄漏</w:t>
      </w:r>
      <w:r>
        <w:rPr>
          <w:rFonts w:ascii="Times New Roman" w:hAnsi="Times New Roman"/>
          <w:snapToGrid/>
          <w:color w:val="auto"/>
          <w:sz w:val="24"/>
          <w:szCs w:val="24"/>
          <w:lang w:eastAsia="zh-CN"/>
        </w:rPr>
        <w:t>等。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p>
    <w:p w14:paraId="4856F8A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50" w:name="_Toc1869"/>
      <w:bookmarkStart w:id="751" w:name="_Toc1452"/>
      <w:r>
        <w:rPr>
          <w:rFonts w:ascii="Times New Roman" w:hAnsi="Times New Roman"/>
          <w:snapToGrid/>
          <w:color w:val="auto"/>
          <w:sz w:val="24"/>
          <w:szCs w:val="24"/>
          <w:lang w:eastAsia="zh-CN"/>
        </w:rPr>
        <w:t>（2）建议</w:t>
      </w:r>
      <w:bookmarkEnd w:id="750"/>
      <w:bookmarkEnd w:id="751"/>
    </w:p>
    <w:p w14:paraId="4B8D789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1）本项目具有潜在的事故风险，尽管风险可接受，但企业应从建设、生产、贮运等各方面积极采取防护措施，这是确保安全的根本措施。</w:t>
      </w:r>
    </w:p>
    <w:p w14:paraId="0D58A1A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2）当出现事故时，要采取紧急的工程应急措施，如必要，应采取社会应急措施，以控制事故和减少对环境造成的危害。</w:t>
      </w:r>
    </w:p>
    <w:p w14:paraId="1C3E919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3）按照企业制定的突发环境事故应急预案，定期进行预案演练并实现与地方政府或相关管理部门突发环境事故应急预案的有效衔接。</w:t>
      </w:r>
    </w:p>
    <w:p w14:paraId="2763DC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4）建设单位必须高度重视，做到风险防范</w:t>
      </w:r>
      <w:r>
        <w:rPr>
          <w:rFonts w:hint="eastAsia" w:ascii="Times New Roman" w:hAnsi="Times New Roman"/>
          <w:snapToGrid/>
          <w:color w:val="auto"/>
          <w:sz w:val="24"/>
          <w:szCs w:val="24"/>
          <w:lang w:eastAsia="zh-CN"/>
        </w:rPr>
        <w:t>警钟长鸣</w:t>
      </w:r>
      <w:r>
        <w:rPr>
          <w:rFonts w:ascii="Times New Roman" w:hAnsi="Times New Roman"/>
          <w:snapToGrid/>
          <w:color w:val="auto"/>
          <w:sz w:val="24"/>
          <w:szCs w:val="24"/>
          <w:lang w:eastAsia="zh-CN"/>
        </w:rPr>
        <w:t>，环境安全管理常抓不懈；严格落实各项风险防范措施，不断完善风险管理体系。</w:t>
      </w:r>
    </w:p>
    <w:p w14:paraId="3CFC6BF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5）建立企业环境风险应急机制，加强厂区巡查、监视力度，强化风险管理，强化对员工的职业素质教育，杜绝违章作业。</w:t>
      </w:r>
    </w:p>
    <w:p w14:paraId="3AC65C1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项目环境风险简单分析内容见表5.3-5。</w:t>
      </w:r>
    </w:p>
    <w:p w14:paraId="66C6A548">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表5.3-5环境风险简单分析内容表</w:t>
      </w:r>
    </w:p>
    <w:p w14:paraId="6DBFA254">
      <w:pPr>
        <w:widowControl w:val="0"/>
        <w:shd w:val="clear"/>
        <w:kinsoku/>
        <w:autoSpaceDE/>
        <w:autoSpaceDN/>
        <w:adjustRightInd/>
        <w:snapToGrid/>
        <w:spacing w:line="25" w:lineRule="exact"/>
        <w:textAlignment w:val="auto"/>
        <w:rPr>
          <w:rFonts w:ascii="Times New Roman" w:hAnsi="Times New Roman" w:eastAsia="宋体"/>
          <w:snapToGrid/>
          <w:color w:val="auto"/>
          <w:lang w:eastAsia="zh-CN"/>
        </w:rPr>
      </w:pP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50"/>
        <w:gridCol w:w="1355"/>
        <w:gridCol w:w="1927"/>
        <w:gridCol w:w="948"/>
        <w:gridCol w:w="2353"/>
      </w:tblGrid>
      <w:tr w14:paraId="348F2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097" w:type="pct"/>
            <w:tcBorders>
              <w:tl2br w:val="nil"/>
              <w:tr2bl w:val="nil"/>
            </w:tcBorders>
            <w:vAlign w:val="center"/>
          </w:tcPr>
          <w:p w14:paraId="6BC375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建设项目名称</w:t>
            </w:r>
          </w:p>
        </w:tc>
        <w:tc>
          <w:tcPr>
            <w:tcW w:w="3902" w:type="pct"/>
            <w:gridSpan w:val="4"/>
            <w:tcBorders>
              <w:tl2br w:val="nil"/>
              <w:tr2bl w:val="nil"/>
            </w:tcBorders>
            <w:vAlign w:val="center"/>
          </w:tcPr>
          <w:p w14:paraId="44776C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木垒哈萨克自治县雀仁乡河中村高效节水滴灌带厂建设项目</w:t>
            </w:r>
          </w:p>
        </w:tc>
      </w:tr>
      <w:tr w14:paraId="4DD22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1097" w:type="pct"/>
            <w:tcBorders>
              <w:tl2br w:val="nil"/>
              <w:tr2bl w:val="nil"/>
            </w:tcBorders>
            <w:vAlign w:val="center"/>
          </w:tcPr>
          <w:p w14:paraId="71E82B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建设地点</w:t>
            </w:r>
          </w:p>
        </w:tc>
        <w:tc>
          <w:tcPr>
            <w:tcW w:w="803" w:type="pct"/>
            <w:tcBorders>
              <w:tl2br w:val="nil"/>
              <w:tr2bl w:val="nil"/>
            </w:tcBorders>
            <w:vAlign w:val="center"/>
          </w:tcPr>
          <w:p w14:paraId="72D7185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新疆</w:t>
            </w:r>
          </w:p>
        </w:tc>
        <w:tc>
          <w:tcPr>
            <w:tcW w:w="1142" w:type="pct"/>
            <w:tcBorders>
              <w:tl2br w:val="nil"/>
              <w:tr2bl w:val="nil"/>
            </w:tcBorders>
            <w:vAlign w:val="center"/>
          </w:tcPr>
          <w:p w14:paraId="40CCB0E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昌吉州</w:t>
            </w:r>
          </w:p>
        </w:tc>
        <w:tc>
          <w:tcPr>
            <w:tcW w:w="562" w:type="pct"/>
            <w:tcBorders>
              <w:tl2br w:val="nil"/>
              <w:tr2bl w:val="nil"/>
            </w:tcBorders>
            <w:vAlign w:val="center"/>
          </w:tcPr>
          <w:p w14:paraId="07AC0AF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木垒哈萨克自治县</w:t>
            </w:r>
          </w:p>
        </w:tc>
        <w:tc>
          <w:tcPr>
            <w:tcW w:w="1393" w:type="pct"/>
            <w:tcBorders>
              <w:tl2br w:val="nil"/>
              <w:tr2bl w:val="nil"/>
            </w:tcBorders>
            <w:vAlign w:val="center"/>
          </w:tcPr>
          <w:p w14:paraId="6E2CF57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木垒哈萨克自治县雀仁乡</w:t>
            </w:r>
          </w:p>
        </w:tc>
      </w:tr>
      <w:tr w14:paraId="7F960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1097" w:type="pct"/>
            <w:tcBorders>
              <w:tl2br w:val="nil"/>
              <w:tr2bl w:val="nil"/>
            </w:tcBorders>
            <w:vAlign w:val="center"/>
          </w:tcPr>
          <w:p w14:paraId="11BE2C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地理坐标</w:t>
            </w:r>
          </w:p>
        </w:tc>
        <w:tc>
          <w:tcPr>
            <w:tcW w:w="803" w:type="pct"/>
            <w:tcBorders>
              <w:tl2br w:val="nil"/>
              <w:tr2bl w:val="nil"/>
            </w:tcBorders>
            <w:vAlign w:val="center"/>
          </w:tcPr>
          <w:p w14:paraId="47AE43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经度</w:t>
            </w:r>
          </w:p>
        </w:tc>
        <w:tc>
          <w:tcPr>
            <w:tcW w:w="1142" w:type="pct"/>
            <w:tcBorders>
              <w:tl2br w:val="nil"/>
              <w:tr2bl w:val="nil"/>
            </w:tcBorders>
            <w:vAlign w:val="center"/>
          </w:tcPr>
          <w:p w14:paraId="03651FBB">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E</w:t>
            </w:r>
            <w:r>
              <w:rPr>
                <w:rFonts w:hint="eastAsia" w:eastAsia="宋体"/>
                <w:snapToGrid/>
                <w:color w:val="auto"/>
                <w:lang w:eastAsia="zh-CN"/>
              </w:rPr>
              <w:t>90°7′15.75851″</w:t>
            </w:r>
          </w:p>
        </w:tc>
        <w:tc>
          <w:tcPr>
            <w:tcW w:w="562" w:type="pct"/>
            <w:tcBorders>
              <w:tl2br w:val="nil"/>
              <w:tr2bl w:val="nil"/>
            </w:tcBorders>
            <w:vAlign w:val="center"/>
          </w:tcPr>
          <w:p w14:paraId="597EEAC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纬度</w:t>
            </w:r>
          </w:p>
        </w:tc>
        <w:tc>
          <w:tcPr>
            <w:tcW w:w="1393" w:type="pct"/>
            <w:tcBorders>
              <w:tl2br w:val="nil"/>
              <w:tr2bl w:val="nil"/>
            </w:tcBorders>
            <w:vAlign w:val="center"/>
          </w:tcPr>
          <w:p w14:paraId="75029834">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N</w:t>
            </w:r>
            <w:r>
              <w:rPr>
                <w:rFonts w:hint="eastAsia" w:eastAsia="宋体"/>
                <w:snapToGrid/>
                <w:color w:val="auto"/>
                <w:lang w:eastAsia="zh-CN"/>
              </w:rPr>
              <w:t>44°6′16.63672″</w:t>
            </w:r>
          </w:p>
        </w:tc>
      </w:tr>
      <w:tr w14:paraId="185706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1097" w:type="pct"/>
            <w:tcBorders>
              <w:tl2br w:val="nil"/>
              <w:tr2bl w:val="nil"/>
            </w:tcBorders>
            <w:vAlign w:val="center"/>
          </w:tcPr>
          <w:p w14:paraId="3A5792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主要危险物质及分布</w:t>
            </w:r>
          </w:p>
        </w:tc>
        <w:tc>
          <w:tcPr>
            <w:tcW w:w="3902" w:type="pct"/>
            <w:gridSpan w:val="4"/>
            <w:tcBorders>
              <w:tl2br w:val="nil"/>
              <w:tr2bl w:val="nil"/>
            </w:tcBorders>
            <w:vAlign w:val="center"/>
          </w:tcPr>
          <w:p w14:paraId="4C8EAB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主要原辅材料属于易燃物质，回收的废旧滴灌带设置半封闭储存、其他原辅料及产品堆放于仓库区、废润滑油储存在危废暂存间中</w:t>
            </w:r>
          </w:p>
        </w:tc>
      </w:tr>
      <w:tr w14:paraId="1DB9E2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097" w:type="pct"/>
            <w:tcBorders>
              <w:tl2br w:val="nil"/>
              <w:tr2bl w:val="nil"/>
            </w:tcBorders>
            <w:vAlign w:val="center"/>
          </w:tcPr>
          <w:p w14:paraId="5DAEA47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环境影响途径及危害后果（大气、地表水、地下水等）</w:t>
            </w:r>
          </w:p>
        </w:tc>
        <w:tc>
          <w:tcPr>
            <w:tcW w:w="3902" w:type="pct"/>
            <w:gridSpan w:val="4"/>
            <w:tcBorders>
              <w:tl2br w:val="nil"/>
              <w:tr2bl w:val="nil"/>
            </w:tcBorders>
            <w:vAlign w:val="center"/>
          </w:tcPr>
          <w:p w14:paraId="0FE98B0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大气途径：原辅料火灾引发伴生</w:t>
            </w:r>
            <w:r>
              <w:rPr>
                <w:rFonts w:eastAsia="宋体"/>
                <w:snapToGrid/>
                <w:color w:val="auto"/>
                <w:lang w:eastAsia="zh-CN"/>
              </w:rPr>
              <w:t>/</w:t>
            </w:r>
            <w:r>
              <w:rPr>
                <w:rFonts w:eastAsia="宋体" w:cs="宋体"/>
                <w:snapToGrid/>
                <w:color w:val="auto"/>
                <w:lang w:eastAsia="zh-CN"/>
              </w:rPr>
              <w:t>次生污染物排放；</w:t>
            </w:r>
          </w:p>
          <w:p w14:paraId="0D87852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地表水途径：无；</w:t>
            </w:r>
          </w:p>
          <w:p w14:paraId="230BFB7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地下水途径：无；</w:t>
            </w:r>
          </w:p>
        </w:tc>
      </w:tr>
      <w:tr w14:paraId="06239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41" w:hRule="atLeast"/>
          <w:jc w:val="center"/>
        </w:trPr>
        <w:tc>
          <w:tcPr>
            <w:tcW w:w="1097" w:type="pct"/>
            <w:tcBorders>
              <w:tl2br w:val="nil"/>
              <w:tr2bl w:val="nil"/>
            </w:tcBorders>
            <w:vAlign w:val="center"/>
          </w:tcPr>
          <w:p w14:paraId="7F319C7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风险防范措施要求</w:t>
            </w:r>
          </w:p>
        </w:tc>
        <w:tc>
          <w:tcPr>
            <w:tcW w:w="3902" w:type="pct"/>
            <w:gridSpan w:val="4"/>
            <w:tcBorders>
              <w:tl2br w:val="nil"/>
              <w:tr2bl w:val="nil"/>
            </w:tcBorders>
            <w:vAlign w:val="center"/>
          </w:tcPr>
          <w:p w14:paraId="2D4D362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处理车间和辅助装置按功能分别布置，室外、室内消防给水按照消防要求设置消防给水系统；严格遵照国家《</w:t>
            </w:r>
            <w:r>
              <w:rPr>
                <w:rFonts w:hint="eastAsia" w:eastAsia="宋体" w:cs="宋体"/>
                <w:snapToGrid/>
                <w:color w:val="auto"/>
                <w:lang w:eastAsia="zh-CN"/>
              </w:rPr>
              <w:t>建筑防火通用规范</w:t>
            </w:r>
            <w:r>
              <w:rPr>
                <w:rFonts w:eastAsia="宋体" w:cs="宋体"/>
                <w:snapToGrid/>
                <w:color w:val="auto"/>
                <w:lang w:eastAsia="zh-CN"/>
              </w:rPr>
              <w:t>》（</w:t>
            </w:r>
            <w:r>
              <w:rPr>
                <w:rFonts w:eastAsia="宋体"/>
                <w:snapToGrid/>
                <w:color w:val="auto"/>
                <w:lang w:eastAsia="zh-CN"/>
              </w:rPr>
              <w:t>GB50016-2006</w:t>
            </w:r>
            <w:r>
              <w:rPr>
                <w:rFonts w:eastAsia="宋体" w:cs="宋体"/>
                <w:snapToGrid/>
                <w:color w:val="auto"/>
                <w:lang w:eastAsia="zh-CN"/>
              </w:rPr>
              <w:t>）标准的要求进行防火设计和施工建设；加强环保、安全生产教育，生产中积极采取防范措施，厂区内特别是易燃、可燃物品储存和使用场所严禁吸烟、禁火，在醒目处要设有禁烟、禁火的标志；废塑料应避免与易燃物混合装箱，同时运输过程中严格遵守安全防火规定，并配备防火、灭火器材等措施；</w:t>
            </w:r>
          </w:p>
        </w:tc>
      </w:tr>
    </w:tbl>
    <w:p w14:paraId="1EB6B02E">
      <w:pPr>
        <w:widowControl w:val="0"/>
        <w:shd w:val="clear"/>
        <w:kinsoku/>
        <w:autoSpaceDE/>
        <w:autoSpaceDN/>
        <w:adjustRightInd/>
        <w:snapToGrid/>
        <w:textAlignment w:val="auto"/>
        <w:rPr>
          <w:rFonts w:ascii="Times New Roman" w:hAnsi="Times New Roman" w:eastAsia="宋体"/>
          <w:snapToGrid/>
          <w:color w:val="auto"/>
          <w:lang w:eastAsia="zh-CN"/>
        </w:rPr>
      </w:pPr>
    </w:p>
    <w:p w14:paraId="61A65A78">
      <w:pPr>
        <w:widowControl w:val="0"/>
        <w:shd w:val="clear"/>
        <w:kinsoku/>
        <w:autoSpaceDE/>
        <w:autoSpaceDN/>
        <w:adjustRightInd/>
        <w:snapToGrid/>
        <w:textAlignment w:val="auto"/>
        <w:rPr>
          <w:rFonts w:ascii="Times New Roman" w:hAnsi="Times New Roman" w:eastAsia="宋体"/>
          <w:snapToGrid/>
          <w:color w:val="auto"/>
          <w:lang w:eastAsia="zh-CN"/>
        </w:rPr>
        <w:sectPr>
          <w:pgSz w:w="11906" w:h="16838"/>
          <w:pgMar w:top="1136" w:right="1730" w:bottom="1157" w:left="1771" w:header="868" w:footer="994" w:gutter="0"/>
          <w:pgBorders>
            <w:top w:val="none" w:sz="0" w:space="0"/>
            <w:left w:val="none" w:sz="0" w:space="0"/>
            <w:bottom w:val="none" w:sz="0" w:space="0"/>
            <w:right w:val="none" w:sz="0" w:space="0"/>
          </w:pgBorders>
          <w:cols w:space="720" w:num="1"/>
        </w:sectPr>
      </w:pPr>
    </w:p>
    <w:p w14:paraId="27F7218B">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752" w:name="bookmark80"/>
      <w:bookmarkEnd w:id="752"/>
      <w:bookmarkStart w:id="753" w:name="bookmark35"/>
      <w:bookmarkEnd w:id="753"/>
      <w:bookmarkStart w:id="754" w:name="_Toc5536"/>
      <w:bookmarkStart w:id="755" w:name="_Toc29424"/>
      <w:bookmarkStart w:id="756" w:name="_Toc4719"/>
      <w:r>
        <w:rPr>
          <w:rFonts w:hint="eastAsia" w:ascii="Times New Roman" w:hAnsi="Times New Roman" w:eastAsia="宋体" w:cs="Times New Roman"/>
          <w:snapToGrid/>
          <w:color w:val="auto"/>
          <w:lang w:eastAsia="zh-CN"/>
        </w:rPr>
        <w:t>6、环境保护措施及可行性论证</w:t>
      </w:r>
      <w:bookmarkEnd w:id="754"/>
      <w:bookmarkEnd w:id="755"/>
      <w:bookmarkEnd w:id="756"/>
    </w:p>
    <w:p w14:paraId="4ECE867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国家有关环保法规要求，该项目必须执行“三同时”。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6409938A">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757" w:name="bookmark36"/>
      <w:bookmarkEnd w:id="757"/>
      <w:bookmarkStart w:id="758" w:name="_Toc6695"/>
      <w:bookmarkStart w:id="759" w:name="_Toc27816"/>
      <w:bookmarkStart w:id="760" w:name="_Toc10446"/>
      <w:r>
        <w:rPr>
          <w:rFonts w:hint="eastAsia" w:ascii="Times New Roman" w:hAnsi="Times New Roman" w:eastAsia="宋体"/>
          <w:snapToGrid/>
          <w:color w:val="auto"/>
          <w:lang w:eastAsia="zh-CN"/>
        </w:rPr>
        <w:t>6.1施工期污染防治措施分析</w:t>
      </w:r>
      <w:bookmarkEnd w:id="758"/>
      <w:bookmarkEnd w:id="759"/>
      <w:bookmarkEnd w:id="760"/>
    </w:p>
    <w:p w14:paraId="5E6E0F31">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61" w:name="_Toc25166"/>
      <w:bookmarkStart w:id="762" w:name="_Toc22035"/>
      <w:bookmarkStart w:id="763" w:name="_Toc2411"/>
      <w:r>
        <w:rPr>
          <w:rFonts w:hint="eastAsia" w:ascii="Times New Roman" w:hAnsi="Times New Roman" w:cs="Times New Roman"/>
          <w:b/>
          <w:bCs/>
          <w:snapToGrid/>
          <w:color w:val="auto"/>
          <w:sz w:val="28"/>
          <w:szCs w:val="32"/>
          <w:lang w:eastAsia="zh-CN"/>
        </w:rPr>
        <w:t>6.1.1施工期环境空气污染防治对策</w:t>
      </w:r>
      <w:bookmarkEnd w:id="761"/>
      <w:bookmarkEnd w:id="762"/>
      <w:bookmarkEnd w:id="763"/>
    </w:p>
    <w:p w14:paraId="3F49A08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（1）严格按照当地政府有关控制扬尘污染等规定，强化施工期环境管理，提高全员环保意识宣传和教育，制定合理施工计划，实行清洁生产、文明施工，有序地逐段作业，禁止大面积动土。</w:t>
      </w:r>
    </w:p>
    <w:p w14:paraId="069FE05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（2）在施工现场设置围栏，缩短影响距离。</w:t>
      </w:r>
    </w:p>
    <w:p w14:paraId="3E6F25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（3）及时对施工场地洒水，以保持其表面湿润，减少扬尘产生。根据类比资料每天洒水1～2次，扬尘可减少50～70%。</w:t>
      </w:r>
    </w:p>
    <w:p w14:paraId="490457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（4）禁止露天堆放建筑材料，在施工场地做临时材料库进行封闭保存，搬运时轻拿轻放，防止包装袋破裂。</w:t>
      </w:r>
    </w:p>
    <w:p w14:paraId="46A36F4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施工现场道路要压实路面，经常清扫，干旱季节要洒水。限制进出施工现场运输车辆的行驶速度，而且对土方和施工垃圾等易产生扬尘的车辆要严密遮盖，避免沿途撒落。在运送建筑垃圾出施工现场应对车辆进行必要的清洁处理，以免对周围环境造成二次污染。</w:t>
      </w:r>
    </w:p>
    <w:p w14:paraId="06F170F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（6）严禁大风天气施工。</w:t>
      </w:r>
    </w:p>
    <w:p w14:paraId="778813C3">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64" w:name="_Toc18954"/>
      <w:bookmarkStart w:id="765" w:name="_Toc4007"/>
      <w:bookmarkStart w:id="766" w:name="_Toc10526"/>
      <w:r>
        <w:rPr>
          <w:rFonts w:hint="eastAsia" w:ascii="Times New Roman" w:hAnsi="Times New Roman" w:cs="Times New Roman"/>
          <w:b/>
          <w:bCs/>
          <w:snapToGrid/>
          <w:color w:val="auto"/>
          <w:sz w:val="28"/>
          <w:szCs w:val="32"/>
          <w:lang w:eastAsia="zh-CN"/>
        </w:rPr>
        <w:t>6.1.2施工期废水控制措施</w:t>
      </w:r>
      <w:bookmarkEnd w:id="764"/>
      <w:bookmarkEnd w:id="765"/>
      <w:bookmarkEnd w:id="766"/>
    </w:p>
    <w:p w14:paraId="3A6B241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为防止污水污染环境，必须采取相应的控制措施：</w:t>
      </w:r>
    </w:p>
    <w:p w14:paraId="3B5450C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（1）对施工的主要污水排放要进行控制和处理；建设单位和施工单位要重视施工污水排放的管理，杜绝不处理和无组织排放；</w:t>
      </w:r>
    </w:p>
    <w:p w14:paraId="2CAB0A7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（2）生产废水中含泥沙污水排入沉淀池，经沉淀后回</w:t>
      </w:r>
      <w:r>
        <w:rPr>
          <w:rFonts w:hint="eastAsia" w:ascii="Times New Roman" w:hAnsi="Times New Roman"/>
          <w:snapToGrid/>
          <w:color w:val="auto"/>
          <w:sz w:val="24"/>
          <w:szCs w:val="24"/>
          <w:lang w:eastAsia="zh-CN"/>
        </w:rPr>
        <w:t>用于</w:t>
      </w:r>
      <w:r>
        <w:rPr>
          <w:rFonts w:ascii="Times New Roman" w:hAnsi="Times New Roman"/>
          <w:snapToGrid/>
          <w:color w:val="auto"/>
          <w:sz w:val="24"/>
          <w:szCs w:val="24"/>
          <w:lang w:eastAsia="zh-CN"/>
        </w:rPr>
        <w:t>施工现场降尘；机械设备冲洗水由于含油，单独设清洗地点，经隔油沉淀处理后循环利用，上述废水池均采用抗渗等级为P8的钢筋混凝土防渗。</w:t>
      </w:r>
    </w:p>
    <w:p w14:paraId="38BDC8A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（3）施工人员日常生活产生的少量生活污水，施工现场不提供食宿，</w:t>
      </w:r>
      <w:r>
        <w:rPr>
          <w:rFonts w:hint="eastAsia" w:ascii="Times New Roman" w:hAnsi="Times New Roman"/>
          <w:snapToGrid/>
          <w:color w:val="auto"/>
          <w:sz w:val="24"/>
          <w:szCs w:val="24"/>
          <w:lang w:eastAsia="zh-CN"/>
        </w:rPr>
        <w:t>工程</w:t>
      </w:r>
      <w:r>
        <w:rPr>
          <w:rFonts w:ascii="Times New Roman" w:hAnsi="Times New Roman"/>
          <w:snapToGrid/>
          <w:color w:val="auto"/>
          <w:sz w:val="24"/>
          <w:szCs w:val="24"/>
          <w:lang w:eastAsia="zh-CN"/>
        </w:rPr>
        <w:t>仅有少量的如厕废水，可依托的生活设施。</w:t>
      </w:r>
    </w:p>
    <w:p w14:paraId="63C7A2C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（4）加强对施工人员的环保宣传教育，避免各类废污水随意乱排，污染附近环境。</w:t>
      </w:r>
    </w:p>
    <w:p w14:paraId="7CBDA780">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67" w:name="_Toc10821"/>
      <w:bookmarkStart w:id="768" w:name="_Toc6409"/>
      <w:bookmarkStart w:id="769" w:name="_Toc24659"/>
      <w:r>
        <w:rPr>
          <w:rFonts w:hint="eastAsia" w:ascii="Times New Roman" w:hAnsi="Times New Roman" w:cs="Times New Roman"/>
          <w:b/>
          <w:bCs/>
          <w:snapToGrid/>
          <w:color w:val="auto"/>
          <w:sz w:val="28"/>
          <w:szCs w:val="32"/>
          <w:lang w:eastAsia="zh-CN"/>
        </w:rPr>
        <w:t>6.1.3施工期噪声污染防治对策</w:t>
      </w:r>
      <w:bookmarkEnd w:id="767"/>
      <w:bookmarkEnd w:id="768"/>
      <w:bookmarkEnd w:id="769"/>
    </w:p>
    <w:p w14:paraId="12CFE49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施工中噪声污染防治应从施工机械、运输工具、施工方法及对施工人员采取保护为原则，噪声控制要严格按《建筑施工场界环境噪声排放标准》（GB12523-2011）执行，尽量减少施工噪声对施工人员及周围环境的影响。</w:t>
      </w:r>
    </w:p>
    <w:p w14:paraId="4C806D4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（1）合理安排施工机械的使用，减少或限制高噪声设备的使用时间，加强各种施工机械的维修保养，噪声较大的作业安排在白天进行。</w:t>
      </w:r>
    </w:p>
    <w:p w14:paraId="75EE595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（2）文明施工，应尽量选用低噪声设备，对操作人员进行相应的环保知识教育；在土石方施工阶段，必须装载机的装载量，并保证施工机械的正常运转，严禁超负荷运转。</w:t>
      </w:r>
    </w:p>
    <w:p w14:paraId="53E6898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（3）合理安排运输车辆的路线和行驶速度。</w:t>
      </w:r>
    </w:p>
    <w:p w14:paraId="4E36733B">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70" w:name="_Toc20215"/>
      <w:bookmarkStart w:id="771" w:name="_Toc1763"/>
      <w:bookmarkStart w:id="772" w:name="_Toc8207"/>
      <w:r>
        <w:rPr>
          <w:rFonts w:hint="eastAsia" w:ascii="Times New Roman" w:hAnsi="Times New Roman" w:cs="Times New Roman"/>
          <w:b/>
          <w:bCs/>
          <w:snapToGrid/>
          <w:color w:val="auto"/>
          <w:sz w:val="28"/>
          <w:szCs w:val="32"/>
          <w:lang w:eastAsia="zh-CN"/>
        </w:rPr>
        <w:t>6.1.4施工期固体废物处置措施</w:t>
      </w:r>
      <w:bookmarkEnd w:id="770"/>
      <w:bookmarkEnd w:id="771"/>
      <w:bookmarkEnd w:id="772"/>
    </w:p>
    <w:p w14:paraId="19EF75F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（1）施工生活垃圾集中收集，委托环卫部门定期进行清运。</w:t>
      </w:r>
    </w:p>
    <w:p w14:paraId="128CCB1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（2）建筑垃圾不能混入生活垃圾排放，单独收集运往指定地点。</w:t>
      </w:r>
    </w:p>
    <w:p w14:paraId="3E58D73A">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73" w:name="_Toc24751"/>
      <w:bookmarkStart w:id="774" w:name="_Toc9230"/>
      <w:bookmarkStart w:id="775" w:name="_Toc31533"/>
      <w:r>
        <w:rPr>
          <w:rFonts w:hint="eastAsia" w:ascii="Times New Roman" w:hAnsi="Times New Roman" w:cs="Times New Roman"/>
          <w:b/>
          <w:bCs/>
          <w:snapToGrid/>
          <w:color w:val="auto"/>
          <w:sz w:val="28"/>
          <w:szCs w:val="32"/>
          <w:lang w:eastAsia="zh-CN"/>
        </w:rPr>
        <w:t>6.1.5施工期生态环境保护措施</w:t>
      </w:r>
      <w:bookmarkEnd w:id="773"/>
      <w:bookmarkEnd w:id="774"/>
      <w:bookmarkEnd w:id="775"/>
    </w:p>
    <w:p w14:paraId="71458EA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（1）厂区进行土地平整时应严格控制施工面积，减少扰动地表面积。</w:t>
      </w:r>
    </w:p>
    <w:p w14:paraId="147F956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（2）本项目施工必须在划定的施工区域中进行。施工结束后</w:t>
      </w:r>
      <w:r>
        <w:rPr>
          <w:rFonts w:hint="eastAsia" w:ascii="Times New Roman" w:hAnsi="Times New Roman"/>
          <w:snapToGrid/>
          <w:color w:val="auto"/>
          <w:sz w:val="24"/>
          <w:szCs w:val="24"/>
          <w:lang w:eastAsia="zh-CN"/>
        </w:rPr>
        <w:t>做好</w:t>
      </w:r>
      <w:r>
        <w:rPr>
          <w:rFonts w:ascii="Times New Roman" w:hAnsi="Times New Roman"/>
          <w:snapToGrid/>
          <w:color w:val="auto"/>
          <w:sz w:val="24"/>
          <w:szCs w:val="24"/>
          <w:lang w:eastAsia="zh-CN"/>
        </w:rPr>
        <w:t>施工迹地的恢复，</w:t>
      </w:r>
      <w:r>
        <w:rPr>
          <w:rFonts w:hint="eastAsia" w:ascii="Times New Roman" w:hAnsi="Times New Roman"/>
          <w:snapToGrid/>
          <w:color w:val="auto"/>
          <w:sz w:val="24"/>
          <w:szCs w:val="24"/>
          <w:lang w:eastAsia="zh-CN"/>
        </w:rPr>
        <w:t>做到</w:t>
      </w:r>
      <w:r>
        <w:rPr>
          <w:rFonts w:ascii="Times New Roman" w:hAnsi="Times New Roman"/>
          <w:snapToGrid/>
          <w:color w:val="auto"/>
          <w:sz w:val="24"/>
          <w:szCs w:val="24"/>
          <w:lang w:eastAsia="zh-CN"/>
        </w:rPr>
        <w:t>工完、料净、场地清。</w:t>
      </w:r>
    </w:p>
    <w:p w14:paraId="7D939BB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（3）施工期</w:t>
      </w:r>
      <w:r>
        <w:rPr>
          <w:rFonts w:hint="eastAsia" w:ascii="Times New Roman" w:hAnsi="Times New Roman"/>
          <w:snapToGrid/>
          <w:color w:val="auto"/>
          <w:sz w:val="24"/>
          <w:szCs w:val="24"/>
          <w:lang w:eastAsia="zh-CN"/>
        </w:rPr>
        <w:t>做到</w:t>
      </w:r>
      <w:r>
        <w:rPr>
          <w:rFonts w:ascii="Times New Roman" w:hAnsi="Times New Roman"/>
          <w:snapToGrid/>
          <w:color w:val="auto"/>
          <w:sz w:val="24"/>
          <w:szCs w:val="24"/>
          <w:lang w:eastAsia="zh-CN"/>
        </w:rPr>
        <w:t>文明施工，在施工中做好土方平衡，减少临时占地用量，减少露天堆放面积。</w:t>
      </w:r>
    </w:p>
    <w:p w14:paraId="0B52F7C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39" w:type="default"/>
          <w:footerReference r:id="rId40" w:type="default"/>
          <w:pgSz w:w="11906" w:h="16838"/>
          <w:pgMar w:top="1136" w:right="1756" w:bottom="1157" w:left="1771" w:header="868" w:footer="994" w:gutter="0"/>
          <w:pgBorders>
            <w:top w:val="none" w:sz="0" w:space="0"/>
            <w:left w:val="none" w:sz="0" w:space="0"/>
            <w:bottom w:val="none" w:sz="0" w:space="0"/>
            <w:right w:val="none" w:sz="0" w:space="0"/>
          </w:pgBorders>
          <w:cols w:space="720" w:num="1"/>
        </w:sectPr>
      </w:pPr>
    </w:p>
    <w:p w14:paraId="22CCB4AF">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776" w:name="bookmark37"/>
      <w:bookmarkEnd w:id="776"/>
      <w:bookmarkStart w:id="777" w:name="_Toc844"/>
      <w:bookmarkStart w:id="778" w:name="_Toc19507"/>
      <w:bookmarkStart w:id="779" w:name="_Toc29353"/>
      <w:r>
        <w:rPr>
          <w:rFonts w:hint="eastAsia" w:ascii="Times New Roman" w:hAnsi="Times New Roman" w:eastAsia="宋体"/>
          <w:snapToGrid/>
          <w:color w:val="auto"/>
          <w:lang w:eastAsia="zh-CN"/>
        </w:rPr>
        <w:t>6.2运营期污染防治措施分析</w:t>
      </w:r>
      <w:bookmarkEnd w:id="777"/>
      <w:bookmarkEnd w:id="778"/>
      <w:bookmarkEnd w:id="779"/>
    </w:p>
    <w:p w14:paraId="223C6475">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780" w:name="_Toc540"/>
      <w:bookmarkStart w:id="781" w:name="_Toc5872"/>
      <w:bookmarkStart w:id="782" w:name="_Toc22834"/>
      <w:r>
        <w:rPr>
          <w:rFonts w:hint="eastAsia" w:ascii="Times New Roman" w:hAnsi="Times New Roman" w:cs="Times New Roman"/>
          <w:b/>
          <w:bCs/>
          <w:snapToGrid/>
          <w:color w:val="auto"/>
          <w:sz w:val="28"/>
          <w:szCs w:val="32"/>
          <w:lang w:eastAsia="zh-CN"/>
        </w:rPr>
        <w:t>6.2.1废气污染防治措施及技术经济可行性论证</w:t>
      </w:r>
      <w:bookmarkEnd w:id="780"/>
      <w:bookmarkEnd w:id="781"/>
      <w:bookmarkEnd w:id="782"/>
    </w:p>
    <w:p w14:paraId="01E6AFE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本项目运营后产生的废气主要为卸车及物料堆存粉尘、滴灌带生产产生的投料粉尘、废旧塑料颗粒加工生产过程造粒工序和滴灌带生产过程挤出成型工序中产生的有机废气及臭气浓度</w:t>
      </w:r>
    </w:p>
    <w:p w14:paraId="09F6EAC4">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"file:///C:\\Users\\jobezho\\AppData\\Local\\Temp\\Rar$DIa13476.12779\\6.2.1.1" </w:instrText>
      </w:r>
      <w:r>
        <w:rPr>
          <w:color w:val="auto"/>
        </w:rPr>
        <w:fldChar w:fldCharType="separate"/>
      </w:r>
      <w:r>
        <w:rPr>
          <w:rFonts w:hint="eastAsia" w:ascii="Times New Roman" w:hAnsi="Times New Roman" w:eastAsia="宋体"/>
          <w:snapToGrid/>
          <w:color w:val="auto"/>
          <w:sz w:val="24"/>
          <w:lang w:eastAsia="zh-CN"/>
        </w:rPr>
        <w:t>6.2.1.1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有组织废气防治措施</w:t>
      </w:r>
    </w:p>
    <w:p w14:paraId="60991D5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度控制在不发生裂解的温度条件下，故无裂解废气产生，但在实际操作过程中，因料筒局部过热等</w:t>
      </w:r>
      <w:r>
        <w:rPr>
          <w:rFonts w:hint="eastAsia" w:ascii="Times New Roman" w:hAnsi="Times New Roman"/>
          <w:snapToGrid/>
          <w:color w:val="auto"/>
          <w:sz w:val="24"/>
          <w:szCs w:val="24"/>
          <w:lang w:eastAsia="zh-CN"/>
        </w:rPr>
        <w:t>其他</w:t>
      </w:r>
      <w:r>
        <w:rPr>
          <w:rFonts w:ascii="Times New Roman" w:hAnsi="Times New Roman"/>
          <w:snapToGrid/>
          <w:color w:val="auto"/>
          <w:sz w:val="24"/>
          <w:szCs w:val="24"/>
          <w:lang w:eastAsia="zh-CN"/>
        </w:rPr>
        <w:t>原因，会有少量单体产生，主要为乙烯单体。因此热熔挤出过程中会产生一定量的废气，主要为有机废气VOCs。</w:t>
      </w:r>
    </w:p>
    <w:p w14:paraId="6D08B0D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在满足污染达标排放的前提下，减少生产工艺及环保设施产生的污染物种类及数量，降低环境风险等，本项目</w:t>
      </w:r>
      <w:r>
        <w:rPr>
          <w:rFonts w:hint="eastAsia" w:ascii="Times New Roman" w:hAnsi="Times New Roman"/>
          <w:snapToGrid/>
          <w:color w:val="auto"/>
          <w:sz w:val="24"/>
          <w:szCs w:val="24"/>
          <w:lang w:eastAsia="zh-CN"/>
        </w:rPr>
        <w:t>生产</w:t>
      </w:r>
      <w:r>
        <w:rPr>
          <w:rFonts w:ascii="Times New Roman" w:hAnsi="Times New Roman"/>
          <w:snapToGrid/>
          <w:color w:val="auto"/>
          <w:sz w:val="24"/>
          <w:szCs w:val="24"/>
          <w:lang w:eastAsia="zh-CN"/>
        </w:rPr>
        <w:t>车间对有机废气采用“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装置”装置处理工艺进行处理；根据《排污许可证申请与核发技术规范</w:t>
      </w:r>
      <w:r>
        <w:rPr>
          <w:rFonts w:hint="eastAsia"/>
          <w:color w:val="auto"/>
          <w:lang w:val="en-US" w:eastAsia="zh-CN"/>
        </w:rPr>
        <w:t xml:space="preserve"> </w:t>
      </w:r>
      <w:r>
        <w:rPr>
          <w:rFonts w:ascii="Times New Roman" w:hAnsi="Times New Roman"/>
          <w:snapToGrid/>
          <w:color w:val="auto"/>
          <w:sz w:val="24"/>
          <w:szCs w:val="24"/>
          <w:lang w:eastAsia="zh-CN"/>
        </w:rPr>
        <w:t>废弃资源加工工业》（HJ1034-2019）和《排污许可证申请与核发技术规范</w:t>
      </w:r>
      <w:r>
        <w:rPr>
          <w:rFonts w:hint="eastAsia"/>
          <w:color w:val="auto"/>
          <w:lang w:val="en-US" w:eastAsia="zh-CN"/>
        </w:rPr>
        <w:t xml:space="preserve"> </w:t>
      </w:r>
      <w:r>
        <w:rPr>
          <w:rFonts w:ascii="Times New Roman" w:hAnsi="Times New Roman"/>
          <w:snapToGrid/>
          <w:color w:val="auto"/>
          <w:sz w:val="24"/>
          <w:szCs w:val="24"/>
          <w:lang w:eastAsia="zh-CN"/>
        </w:rPr>
        <w:t>橡胶及塑料制品业》（HJ1122-2020）中提出的污染防治，“</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装置”装置（处理效率为</w:t>
      </w:r>
      <w:r>
        <w:rPr>
          <w:rFonts w:hint="eastAsia" w:ascii="Times New Roman" w:hAnsi="Times New Roman"/>
          <w:snapToGrid/>
          <w:color w:val="auto"/>
          <w:sz w:val="24"/>
          <w:szCs w:val="24"/>
          <w:lang w:val="en-US" w:eastAsia="zh-CN"/>
        </w:rPr>
        <w:t>85%</w:t>
      </w:r>
      <w:r>
        <w:rPr>
          <w:rFonts w:ascii="Times New Roman" w:hAnsi="Times New Roman"/>
          <w:snapToGrid/>
          <w:color w:val="auto"/>
          <w:sz w:val="24"/>
          <w:szCs w:val="24"/>
          <w:lang w:eastAsia="zh-CN"/>
        </w:rPr>
        <w:t>），达标后由</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根15m高排气筒排放。</w:t>
      </w:r>
    </w:p>
    <w:p w14:paraId="0176571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783" w:name="_Toc12935"/>
      <w:bookmarkStart w:id="784" w:name="_Toc31861"/>
      <w:bookmarkStart w:id="785" w:name="_Toc18403"/>
      <w:r>
        <w:rPr>
          <w:rFonts w:ascii="Times New Roman" w:hAnsi="Times New Roman"/>
          <w:snapToGrid/>
          <w:color w:val="auto"/>
          <w:sz w:val="24"/>
          <w:szCs w:val="24"/>
          <w:lang w:eastAsia="zh-CN"/>
        </w:rPr>
        <w:t>1、处理措施可行性分析</w:t>
      </w:r>
      <w:bookmarkEnd w:id="783"/>
      <w:bookmarkEnd w:id="784"/>
      <w:bookmarkEnd w:id="785"/>
    </w:p>
    <w:p w14:paraId="33F805C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有机废气净化的</w:t>
      </w:r>
      <w:r>
        <w:rPr>
          <w:rFonts w:hint="eastAsia" w:ascii="Times New Roman" w:hAnsi="Times New Roman"/>
          <w:snapToGrid/>
          <w:color w:val="auto"/>
          <w:sz w:val="24"/>
          <w:szCs w:val="24"/>
          <w:lang w:eastAsia="zh-CN"/>
        </w:rPr>
        <w:t>方法</w:t>
      </w:r>
      <w:r>
        <w:rPr>
          <w:rFonts w:ascii="Times New Roman" w:hAnsi="Times New Roman"/>
          <w:snapToGrid/>
          <w:color w:val="auto"/>
          <w:sz w:val="24"/>
          <w:szCs w:val="24"/>
          <w:lang w:eastAsia="zh-CN"/>
        </w:rPr>
        <w:t>主要包括水喷淋、静电除油等预处理技术，吸附、燃烧、吸收、冷凝及其组合治理技术等。常见VOCs控制技术之优缺点比较见表6.2-1。</w:t>
      </w:r>
    </w:p>
    <w:p w14:paraId="4D020612">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表6.2-1常见VOCs控制技术之优缺点比较</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2183"/>
        <w:gridCol w:w="1739"/>
        <w:gridCol w:w="1741"/>
        <w:gridCol w:w="1741"/>
      </w:tblGrid>
      <w:tr w14:paraId="463BB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61AFCC06">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方法</w:t>
            </w:r>
          </w:p>
        </w:tc>
        <w:tc>
          <w:tcPr>
            <w:tcW w:w="1254" w:type="pct"/>
            <w:tcBorders>
              <w:tl2br w:val="nil"/>
              <w:tr2bl w:val="nil"/>
            </w:tcBorders>
            <w:shd w:val="clear" w:color="auto" w:fill="auto"/>
            <w:vAlign w:val="center"/>
          </w:tcPr>
          <w:p w14:paraId="3032DE7E">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原理</w:t>
            </w:r>
          </w:p>
        </w:tc>
        <w:tc>
          <w:tcPr>
            <w:tcW w:w="999" w:type="pct"/>
            <w:tcBorders>
              <w:tl2br w:val="nil"/>
              <w:tr2bl w:val="nil"/>
            </w:tcBorders>
            <w:shd w:val="clear" w:color="auto" w:fill="auto"/>
            <w:vAlign w:val="center"/>
          </w:tcPr>
          <w:p w14:paraId="2A8E5939">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优点</w:t>
            </w:r>
          </w:p>
        </w:tc>
        <w:tc>
          <w:tcPr>
            <w:tcW w:w="1000" w:type="pct"/>
            <w:tcBorders>
              <w:tl2br w:val="nil"/>
              <w:tr2bl w:val="nil"/>
            </w:tcBorders>
            <w:shd w:val="clear" w:color="auto" w:fill="auto"/>
            <w:vAlign w:val="center"/>
          </w:tcPr>
          <w:p w14:paraId="3201A431">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缺点</w:t>
            </w:r>
          </w:p>
        </w:tc>
        <w:tc>
          <w:tcPr>
            <w:tcW w:w="1000" w:type="pct"/>
            <w:tcBorders>
              <w:tl2br w:val="nil"/>
              <w:tr2bl w:val="nil"/>
            </w:tcBorders>
            <w:shd w:val="clear" w:color="auto" w:fill="auto"/>
            <w:vAlign w:val="center"/>
          </w:tcPr>
          <w:p w14:paraId="0404C665">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适用范围</w:t>
            </w:r>
          </w:p>
        </w:tc>
      </w:tr>
      <w:tr w14:paraId="6B40E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7B99F18B">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吸附法</w:t>
            </w:r>
          </w:p>
        </w:tc>
        <w:tc>
          <w:tcPr>
            <w:tcW w:w="1254" w:type="pct"/>
            <w:tcBorders>
              <w:tl2br w:val="nil"/>
              <w:tr2bl w:val="nil"/>
            </w:tcBorders>
            <w:shd w:val="clear" w:color="auto" w:fill="auto"/>
            <w:vAlign w:val="center"/>
          </w:tcPr>
          <w:p w14:paraId="5BD459D4">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当有机废气污染物质通过装有吸附剂的吸附器时，通过吸附剂大比表面积和多孔结构对污染物的物理吸附来实现净化废气的</w:t>
            </w:r>
          </w:p>
          <w:p w14:paraId="7C870F6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eastAsia="宋体" w:cs="Times New Roman"/>
                <w:snapToGrid/>
                <w:color w:val="auto"/>
                <w:sz w:val="21"/>
                <w:szCs w:val="21"/>
              </w:rPr>
              <w:t>目的</w:t>
            </w:r>
          </w:p>
        </w:tc>
        <w:tc>
          <w:tcPr>
            <w:tcW w:w="999" w:type="pct"/>
            <w:tcBorders>
              <w:tl2br w:val="nil"/>
              <w:tr2bl w:val="nil"/>
            </w:tcBorders>
            <w:shd w:val="clear" w:color="auto" w:fill="auto"/>
            <w:vAlign w:val="center"/>
          </w:tcPr>
          <w:p w14:paraId="6467BAA3">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可处理含有低浓度的碳氢化合物和低温废气；溶剂可回收，进行有效利用；处理程度可以控制</w:t>
            </w:r>
          </w:p>
        </w:tc>
        <w:tc>
          <w:tcPr>
            <w:tcW w:w="1000" w:type="pct"/>
            <w:tcBorders>
              <w:tl2br w:val="nil"/>
              <w:tr2bl w:val="nil"/>
            </w:tcBorders>
            <w:shd w:val="clear" w:color="auto" w:fill="auto"/>
            <w:vAlign w:val="center"/>
          </w:tcPr>
          <w:p w14:paraId="7A6FEABC">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需要不断更换</w:t>
            </w:r>
          </w:p>
        </w:tc>
        <w:tc>
          <w:tcPr>
            <w:tcW w:w="1000" w:type="pct"/>
            <w:tcBorders>
              <w:tl2br w:val="nil"/>
              <w:tr2bl w:val="nil"/>
            </w:tcBorders>
            <w:shd w:val="clear" w:color="auto" w:fill="auto"/>
            <w:vAlign w:val="center"/>
          </w:tcPr>
          <w:p w14:paraId="328D213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适用常温、浓度、废气量较小时的废气治理</w:t>
            </w:r>
          </w:p>
        </w:tc>
      </w:tr>
      <w:tr w14:paraId="6E731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34D91878">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UV光解催化净化法</w:t>
            </w:r>
          </w:p>
        </w:tc>
        <w:tc>
          <w:tcPr>
            <w:tcW w:w="1254" w:type="pct"/>
            <w:tcBorders>
              <w:tl2br w:val="nil"/>
              <w:tr2bl w:val="nil"/>
            </w:tcBorders>
            <w:shd w:val="clear" w:color="auto" w:fill="auto"/>
            <w:vAlign w:val="center"/>
          </w:tcPr>
          <w:p w14:paraId="078C8425">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利用特制的高能UV紫外线光束照射有机废气，裂解有机废气的分子键，瞬间打开断裂VOC类，非甲烷总烃、苯、甲苯、二甲苯的分子链结构，降解转变为低分子化学物，如二氧化碳和水等物质</w:t>
            </w:r>
          </w:p>
        </w:tc>
        <w:tc>
          <w:tcPr>
            <w:tcW w:w="999" w:type="pct"/>
            <w:tcBorders>
              <w:tl2br w:val="nil"/>
              <w:tr2bl w:val="nil"/>
            </w:tcBorders>
            <w:shd w:val="clear" w:color="auto" w:fill="auto"/>
            <w:vAlign w:val="center"/>
          </w:tcPr>
          <w:p w14:paraId="34B63D09">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适应性强，处理效率高、无需添加任何辅助物质、无二次污染、设备配置安装灵活、运行成本低</w:t>
            </w:r>
          </w:p>
        </w:tc>
        <w:tc>
          <w:tcPr>
            <w:tcW w:w="1000" w:type="pct"/>
            <w:tcBorders>
              <w:tl2br w:val="nil"/>
              <w:tr2bl w:val="nil"/>
            </w:tcBorders>
            <w:shd w:val="clear" w:color="auto" w:fill="auto"/>
            <w:vAlign w:val="center"/>
          </w:tcPr>
          <w:p w14:paraId="4E504195">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无明显缺点</w:t>
            </w:r>
          </w:p>
        </w:tc>
        <w:tc>
          <w:tcPr>
            <w:tcW w:w="1000" w:type="pct"/>
            <w:tcBorders>
              <w:tl2br w:val="nil"/>
              <w:tr2bl w:val="nil"/>
            </w:tcBorders>
            <w:shd w:val="clear" w:color="auto" w:fill="auto"/>
            <w:vAlign w:val="center"/>
          </w:tcPr>
          <w:p w14:paraId="77F0DD9F">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适用范围广泛、适用于高浓度、大气量、不同工业有机废气处理</w:t>
            </w:r>
          </w:p>
        </w:tc>
      </w:tr>
      <w:tr w14:paraId="61267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51420071">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低温等离子法</w:t>
            </w:r>
          </w:p>
        </w:tc>
        <w:tc>
          <w:tcPr>
            <w:tcW w:w="1254" w:type="pct"/>
            <w:tcBorders>
              <w:tl2br w:val="nil"/>
              <w:tr2bl w:val="nil"/>
            </w:tcBorders>
            <w:shd w:val="clear" w:color="auto" w:fill="auto"/>
            <w:vAlign w:val="center"/>
          </w:tcPr>
          <w:p w14:paraId="6C17D4E0">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利用所产生的高能电子、自由基等活性粒子激活、电离、裂解废气中各组成</w:t>
            </w:r>
            <w:r>
              <w:rPr>
                <w:rFonts w:hint="eastAsia" w:eastAsia="宋体" w:cs="Times New Roman"/>
                <w:snapToGrid/>
                <w:color w:val="auto"/>
                <w:sz w:val="21"/>
                <w:szCs w:val="21"/>
                <w:lang w:eastAsia="zh-CN"/>
              </w:rPr>
              <w:t>分</w:t>
            </w:r>
            <w:r>
              <w:rPr>
                <w:rFonts w:eastAsia="宋体" w:cs="Times New Roman"/>
                <w:snapToGrid/>
                <w:color w:val="auto"/>
                <w:sz w:val="21"/>
                <w:szCs w:val="21"/>
                <w:lang w:eastAsia="zh-CN"/>
              </w:rPr>
              <w:t>，生成CO</w:t>
            </w:r>
            <w:r>
              <w:rPr>
                <w:rFonts w:eastAsia="宋体" w:cs="Times New Roman"/>
                <w:snapToGrid/>
                <w:color w:val="auto"/>
                <w:sz w:val="21"/>
                <w:szCs w:val="21"/>
                <w:vertAlign w:val="subscript"/>
                <w:lang w:eastAsia="zh-CN"/>
              </w:rPr>
              <w:t>2</w:t>
            </w:r>
            <w:r>
              <w:rPr>
                <w:rFonts w:eastAsia="宋体" w:cs="Times New Roman"/>
                <w:snapToGrid/>
                <w:color w:val="auto"/>
                <w:sz w:val="21"/>
                <w:szCs w:val="21"/>
                <w:lang w:eastAsia="zh-CN"/>
              </w:rPr>
              <w:t>和H</w:t>
            </w:r>
            <w:r>
              <w:rPr>
                <w:rFonts w:eastAsia="宋体" w:cs="Times New Roman"/>
                <w:snapToGrid/>
                <w:color w:val="auto"/>
                <w:sz w:val="21"/>
                <w:szCs w:val="21"/>
                <w:vertAlign w:val="subscript"/>
                <w:lang w:eastAsia="zh-CN"/>
              </w:rPr>
              <w:t>2</w:t>
            </w:r>
            <w:r>
              <w:rPr>
                <w:rFonts w:eastAsia="宋体" w:cs="Times New Roman"/>
                <w:snapToGrid/>
                <w:color w:val="auto"/>
                <w:sz w:val="21"/>
                <w:szCs w:val="21"/>
                <w:lang w:eastAsia="zh-CN"/>
              </w:rPr>
              <w:t>O，使废气净化</w:t>
            </w:r>
          </w:p>
        </w:tc>
        <w:tc>
          <w:tcPr>
            <w:tcW w:w="999" w:type="pct"/>
            <w:tcBorders>
              <w:tl2br w:val="nil"/>
              <w:tr2bl w:val="nil"/>
            </w:tcBorders>
            <w:shd w:val="clear" w:color="auto" w:fill="auto"/>
            <w:vAlign w:val="center"/>
          </w:tcPr>
          <w:p w14:paraId="694E8FCE">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具有处理效果好，运行费用低廉、无二次污染、运行稳定、操作管理简便、即开即用等优点</w:t>
            </w:r>
          </w:p>
        </w:tc>
        <w:tc>
          <w:tcPr>
            <w:tcW w:w="1000" w:type="pct"/>
            <w:tcBorders>
              <w:tl2br w:val="nil"/>
              <w:tr2bl w:val="nil"/>
            </w:tcBorders>
            <w:shd w:val="clear" w:color="auto" w:fill="auto"/>
            <w:vAlign w:val="center"/>
          </w:tcPr>
          <w:p w14:paraId="05EFCA8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对于一些易燃易爆废气的处理存在危险性；对设备部件的构型设计、制造精度、严密性等要求很高；一次性投资较高</w:t>
            </w:r>
          </w:p>
        </w:tc>
        <w:tc>
          <w:tcPr>
            <w:tcW w:w="1000" w:type="pct"/>
            <w:tcBorders>
              <w:tl2br w:val="nil"/>
              <w:tr2bl w:val="nil"/>
            </w:tcBorders>
            <w:shd w:val="clear" w:color="auto" w:fill="auto"/>
            <w:vAlign w:val="center"/>
          </w:tcPr>
          <w:p w14:paraId="5B3A283C">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适用于高、低浓度的废气治理</w:t>
            </w:r>
          </w:p>
        </w:tc>
      </w:tr>
      <w:tr w14:paraId="2D465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1C62D185">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催化燃烧法</w:t>
            </w:r>
          </w:p>
        </w:tc>
        <w:tc>
          <w:tcPr>
            <w:tcW w:w="1254" w:type="pct"/>
            <w:tcBorders>
              <w:tl2br w:val="nil"/>
              <w:tr2bl w:val="nil"/>
            </w:tcBorders>
            <w:shd w:val="clear" w:color="auto" w:fill="auto"/>
            <w:vAlign w:val="center"/>
          </w:tcPr>
          <w:p w14:paraId="160CADF7">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在催化剂作用下，使有机物废气在引燃点温度以下燃烧生成CO</w:t>
            </w:r>
            <w:r>
              <w:rPr>
                <w:rFonts w:eastAsia="宋体" w:cs="Times New Roman"/>
                <w:snapToGrid/>
                <w:color w:val="auto"/>
                <w:sz w:val="21"/>
                <w:szCs w:val="21"/>
                <w:vertAlign w:val="subscript"/>
                <w:lang w:eastAsia="zh-CN"/>
              </w:rPr>
              <w:t>2</w:t>
            </w:r>
            <w:r>
              <w:rPr>
                <w:rFonts w:eastAsia="宋体" w:cs="Times New Roman"/>
                <w:snapToGrid/>
                <w:color w:val="auto"/>
                <w:sz w:val="21"/>
                <w:szCs w:val="21"/>
                <w:lang w:eastAsia="zh-CN"/>
              </w:rPr>
              <w:t>和H</w:t>
            </w:r>
            <w:r>
              <w:rPr>
                <w:rFonts w:eastAsia="宋体" w:cs="Times New Roman"/>
                <w:snapToGrid/>
                <w:color w:val="auto"/>
                <w:sz w:val="21"/>
                <w:szCs w:val="21"/>
                <w:vertAlign w:val="subscript"/>
                <w:lang w:eastAsia="zh-CN"/>
              </w:rPr>
              <w:t>2</w:t>
            </w:r>
            <w:r>
              <w:rPr>
                <w:rFonts w:eastAsia="宋体" w:cs="Times New Roman"/>
                <w:snapToGrid/>
                <w:color w:val="auto"/>
                <w:sz w:val="21"/>
                <w:szCs w:val="21"/>
                <w:lang w:eastAsia="zh-CN"/>
              </w:rPr>
              <w:t>O而被净化</w:t>
            </w:r>
          </w:p>
        </w:tc>
        <w:tc>
          <w:tcPr>
            <w:tcW w:w="999" w:type="pct"/>
            <w:tcBorders>
              <w:tl2br w:val="nil"/>
              <w:tr2bl w:val="nil"/>
            </w:tcBorders>
            <w:shd w:val="clear" w:color="auto" w:fill="auto"/>
            <w:vAlign w:val="center"/>
          </w:tcPr>
          <w:p w14:paraId="7F7A9D9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与直接燃烧法相比，能在低温下氧化分解，燃料费可省1/2；装置占地面积小；NOx生成少</w:t>
            </w:r>
          </w:p>
        </w:tc>
        <w:tc>
          <w:tcPr>
            <w:tcW w:w="1000" w:type="pct"/>
            <w:tcBorders>
              <w:tl2br w:val="nil"/>
              <w:tr2bl w:val="nil"/>
            </w:tcBorders>
            <w:shd w:val="clear" w:color="auto" w:fill="auto"/>
            <w:vAlign w:val="center"/>
          </w:tcPr>
          <w:p w14:paraId="254DF1FE">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催化剂价格高，需考虑催化剂中毒和催化剂寿命；必须进行前处理除去尘埃、漆雾等；催化剂和设备价格高</w:t>
            </w:r>
          </w:p>
        </w:tc>
        <w:tc>
          <w:tcPr>
            <w:tcW w:w="1000" w:type="pct"/>
            <w:tcBorders>
              <w:tl2br w:val="nil"/>
              <w:tr2bl w:val="nil"/>
            </w:tcBorders>
            <w:shd w:val="clear" w:color="auto" w:fill="auto"/>
            <w:vAlign w:val="center"/>
          </w:tcPr>
          <w:p w14:paraId="3A4968C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适用于废气温度高、流量小、有机溶剂浓度高、含杂质少的场合</w:t>
            </w:r>
          </w:p>
        </w:tc>
      </w:tr>
      <w:tr w14:paraId="721C7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7F8D7A86">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吸收法</w:t>
            </w:r>
          </w:p>
        </w:tc>
        <w:tc>
          <w:tcPr>
            <w:tcW w:w="1254" w:type="pct"/>
            <w:tcBorders>
              <w:tl2br w:val="nil"/>
              <w:tr2bl w:val="nil"/>
            </w:tcBorders>
            <w:shd w:val="clear" w:color="auto" w:fill="auto"/>
            <w:vAlign w:val="center"/>
          </w:tcPr>
          <w:p w14:paraId="71A2606F">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液体作为吸收剂，使废气中有害气体被吸收剂所吸收从而达到净化</w:t>
            </w:r>
          </w:p>
        </w:tc>
        <w:tc>
          <w:tcPr>
            <w:tcW w:w="999" w:type="pct"/>
            <w:tcBorders>
              <w:tl2br w:val="nil"/>
              <w:tr2bl w:val="nil"/>
            </w:tcBorders>
            <w:shd w:val="clear" w:color="auto" w:fill="auto"/>
            <w:vAlign w:val="center"/>
          </w:tcPr>
          <w:p w14:paraId="7D5A88F8">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设备费用低，运转费用少；无爆炸、火灾等危险，安全性高；适宜处理喷漆室和挥发室排出废气</w:t>
            </w:r>
          </w:p>
        </w:tc>
        <w:tc>
          <w:tcPr>
            <w:tcW w:w="1000" w:type="pct"/>
            <w:tcBorders>
              <w:tl2br w:val="nil"/>
              <w:tr2bl w:val="nil"/>
            </w:tcBorders>
            <w:shd w:val="clear" w:color="auto" w:fill="auto"/>
            <w:vAlign w:val="center"/>
          </w:tcPr>
          <w:p w14:paraId="15457BAC">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吸收容量有限，需要二次处理，对涂料品种有限制</w:t>
            </w:r>
          </w:p>
        </w:tc>
        <w:tc>
          <w:tcPr>
            <w:tcW w:w="1000" w:type="pct"/>
            <w:tcBorders>
              <w:tl2br w:val="nil"/>
              <w:tr2bl w:val="nil"/>
            </w:tcBorders>
            <w:shd w:val="clear" w:color="auto" w:fill="auto"/>
            <w:vAlign w:val="center"/>
          </w:tcPr>
          <w:p w14:paraId="25A6266A">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适用于高、低浓度有机废气</w:t>
            </w:r>
          </w:p>
        </w:tc>
      </w:tr>
      <w:tr w14:paraId="26C43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shd w:val="clear" w:color="auto" w:fill="auto"/>
            <w:vAlign w:val="center"/>
          </w:tcPr>
          <w:p w14:paraId="49B843BD">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rPr>
            </w:pPr>
            <w:r>
              <w:rPr>
                <w:rFonts w:hint="eastAsia" w:eastAsia="宋体" w:cs="Times New Roman"/>
                <w:snapToGrid/>
                <w:color w:val="auto"/>
                <w:sz w:val="21"/>
                <w:szCs w:val="21"/>
              </w:rPr>
              <w:t>冷凝法</w:t>
            </w:r>
          </w:p>
        </w:tc>
        <w:tc>
          <w:tcPr>
            <w:tcW w:w="1254" w:type="pct"/>
            <w:tcBorders>
              <w:tl2br w:val="nil"/>
              <w:tr2bl w:val="nil"/>
            </w:tcBorders>
            <w:shd w:val="clear" w:color="auto" w:fill="auto"/>
            <w:vAlign w:val="center"/>
          </w:tcPr>
          <w:p w14:paraId="3D0B9196">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降低有害气体的温度，能使其某些成分冷凝成液体的原理</w:t>
            </w:r>
          </w:p>
        </w:tc>
        <w:tc>
          <w:tcPr>
            <w:tcW w:w="999" w:type="pct"/>
            <w:tcBorders>
              <w:tl2br w:val="nil"/>
              <w:tr2bl w:val="nil"/>
            </w:tcBorders>
            <w:shd w:val="clear" w:color="auto" w:fill="auto"/>
            <w:vAlign w:val="center"/>
          </w:tcPr>
          <w:p w14:paraId="7FDCFEDB">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设备、操作条件简单，回收物质纯度高。</w:t>
            </w:r>
          </w:p>
        </w:tc>
        <w:tc>
          <w:tcPr>
            <w:tcW w:w="1000" w:type="pct"/>
            <w:tcBorders>
              <w:tl2br w:val="nil"/>
              <w:tr2bl w:val="nil"/>
            </w:tcBorders>
            <w:shd w:val="clear" w:color="auto" w:fill="auto"/>
            <w:vAlign w:val="center"/>
          </w:tcPr>
          <w:p w14:paraId="5C2A0FD1">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净化效率低，不能达到标准要求</w:t>
            </w:r>
          </w:p>
        </w:tc>
        <w:tc>
          <w:tcPr>
            <w:tcW w:w="1000" w:type="pct"/>
            <w:tcBorders>
              <w:tl2br w:val="nil"/>
              <w:tr2bl w:val="nil"/>
            </w:tcBorders>
            <w:shd w:val="clear" w:color="auto" w:fill="auto"/>
            <w:vAlign w:val="center"/>
          </w:tcPr>
          <w:p w14:paraId="54ADB34B">
            <w:pPr>
              <w:pStyle w:val="47"/>
              <w:widowControl w:val="0"/>
              <w:shd w:val="clear"/>
              <w:autoSpaceDE/>
              <w:autoSpaceDN/>
              <w:adjustRightInd/>
              <w:snapToGrid/>
              <w:spacing w:line="360" w:lineRule="auto"/>
              <w:ind w:firstLine="0" w:firstLineChars="0"/>
              <w:jc w:val="center"/>
              <w:textAlignment w:val="auto"/>
              <w:rPr>
                <w:rFonts w:eastAsia="宋体" w:cs="Times New Roman"/>
                <w:snapToGrid/>
                <w:color w:val="auto"/>
                <w:sz w:val="21"/>
                <w:szCs w:val="21"/>
                <w:lang w:eastAsia="zh-CN"/>
              </w:rPr>
            </w:pPr>
            <w:r>
              <w:rPr>
                <w:rFonts w:eastAsia="宋体" w:cs="Times New Roman"/>
                <w:snapToGrid/>
                <w:color w:val="auto"/>
                <w:sz w:val="21"/>
                <w:szCs w:val="21"/>
                <w:lang w:eastAsia="zh-CN"/>
              </w:rPr>
              <w:t>适用于组分单一的高浓度有机废气</w:t>
            </w:r>
          </w:p>
        </w:tc>
      </w:tr>
    </w:tbl>
    <w:p w14:paraId="4FF63ECE">
      <w:pPr>
        <w:pStyle w:val="2"/>
        <w:widowControl w:val="0"/>
        <w:shd w:val="clear"/>
        <w:kinsoku/>
        <w:autoSpaceDE/>
        <w:autoSpaceDN/>
        <w:adjustRightInd/>
        <w:snapToGrid/>
        <w:spacing w:line="360" w:lineRule="auto"/>
        <w:ind w:firstLine="480" w:firstLineChars="200"/>
        <w:jc w:val="both"/>
        <w:textAlignment w:val="auto"/>
        <w:rPr>
          <w:color w:val="FF0000"/>
        </w:rPr>
      </w:pPr>
      <w:r>
        <w:rPr>
          <w:rFonts w:ascii="Times New Roman" w:hAnsi="Times New Roman"/>
          <w:snapToGrid/>
          <w:color w:val="FF0000"/>
          <w:sz w:val="24"/>
          <w:szCs w:val="24"/>
          <w:lang w:eastAsia="zh-CN"/>
        </w:rPr>
        <w:t>根据比选，本项目选用较易操作的活性炭</w:t>
      </w:r>
      <w:r>
        <w:rPr>
          <w:rFonts w:hint="eastAsia" w:ascii="Times New Roman" w:hAnsi="Times New Roman"/>
          <w:snapToGrid/>
          <w:color w:val="FF0000"/>
          <w:sz w:val="24"/>
          <w:szCs w:val="24"/>
          <w:lang w:val="en-US" w:eastAsia="zh-CN"/>
        </w:rPr>
        <w:t>吸附+催化燃烧法</w:t>
      </w:r>
      <w:r>
        <w:rPr>
          <w:rFonts w:ascii="Times New Roman" w:hAnsi="Times New Roman"/>
          <w:snapToGrid/>
          <w:color w:val="FF0000"/>
          <w:sz w:val="24"/>
          <w:szCs w:val="24"/>
          <w:lang w:eastAsia="zh-CN"/>
        </w:rPr>
        <w:t>对非甲烷总烃有机废气进行吸附处理。</w:t>
      </w:r>
      <w:r>
        <w:rPr>
          <w:rFonts w:hint="eastAsia" w:ascii="Times New Roman" w:hAnsi="Times New Roman"/>
          <w:snapToGrid/>
          <w:color w:val="FF0000"/>
          <w:sz w:val="24"/>
          <w:szCs w:val="24"/>
          <w:lang w:val="en-US" w:eastAsia="zh-CN"/>
        </w:rPr>
        <w:t>此方法具有</w:t>
      </w:r>
      <w:r>
        <w:rPr>
          <w:rFonts w:ascii="Times New Roman" w:hAnsi="Times New Roman"/>
          <w:snapToGrid/>
          <w:color w:val="FF0000"/>
          <w:sz w:val="24"/>
          <w:szCs w:val="24"/>
          <w:lang w:eastAsia="zh-CN"/>
        </w:rPr>
        <w:t>操作简易</w:t>
      </w:r>
      <w:r>
        <w:rPr>
          <w:rFonts w:hint="eastAsia" w:ascii="Times New Roman" w:hAnsi="Times New Roman"/>
          <w:snapToGrid/>
          <w:color w:val="FF0000"/>
          <w:sz w:val="24"/>
          <w:szCs w:val="24"/>
          <w:lang w:eastAsia="zh-CN"/>
        </w:rPr>
        <w:t>、</w:t>
      </w:r>
      <w:r>
        <w:rPr>
          <w:rFonts w:hint="eastAsia" w:ascii="Times New Roman" w:hAnsi="Times New Roman"/>
          <w:snapToGrid/>
          <w:color w:val="FF0000"/>
          <w:sz w:val="24"/>
          <w:szCs w:val="24"/>
          <w:lang w:val="en-US" w:eastAsia="zh-CN"/>
        </w:rPr>
        <w:t>适用于温度高的场合并且对有机废气具有较强的净化作用</w:t>
      </w:r>
      <w:r>
        <w:rPr>
          <w:rFonts w:ascii="Times New Roman" w:hAnsi="Times New Roman"/>
          <w:snapToGrid/>
          <w:color w:val="FF0000"/>
          <w:sz w:val="24"/>
          <w:szCs w:val="24"/>
          <w:lang w:eastAsia="zh-CN"/>
        </w:rPr>
        <w:t>，具有很强的可操作和适用性。</w:t>
      </w:r>
    </w:p>
    <w:p w14:paraId="3AE7870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具体工艺流程如下：</w:t>
      </w:r>
    </w:p>
    <w:p w14:paraId="5AD6FA7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①预处理过滤器</w:t>
      </w:r>
    </w:p>
    <w:p w14:paraId="6700528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高效纤维过滤器滤料采用超细合成纤维，具有容尘量大、高效率、低压损的优点，对次微米粉尘过滤效率特别良好。废气进入高效过滤器的粉尘颗粒和水雾，一般随气流作惯性运动或无规则布朗运动或受某种场力的作用而移动，当微粒运动撞到纤维介质时，由于范德力的作用使得微粒粘到纤维表面。进入过滤介质的颗粒有较多撞击介质的机会，撞上介质就会被粘住，较小的颗粒相互碰撞会相互</w:t>
      </w:r>
      <w:r>
        <w:rPr>
          <w:rFonts w:hint="eastAsia" w:ascii="Times New Roman" w:hAnsi="Times New Roman"/>
          <w:color w:val="FF0000"/>
          <w:sz w:val="24"/>
          <w:lang w:eastAsia="zh-CN"/>
        </w:rPr>
        <w:t>黏结</w:t>
      </w:r>
      <w:r>
        <w:rPr>
          <w:rFonts w:ascii="Times New Roman" w:hAnsi="Times New Roman"/>
          <w:color w:val="FF0000"/>
          <w:sz w:val="24"/>
          <w:lang w:eastAsia="zh-CN"/>
        </w:rPr>
        <w:t>形成较大颗粒而沉降。通过上述作用实现对粉尘、水雾的拦截过滤。</w:t>
      </w:r>
    </w:p>
    <w:p w14:paraId="7821F6F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②吸附</w:t>
      </w:r>
    </w:p>
    <w:p w14:paraId="698B52E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去除尘杂后的废气，经过合理的布风，使其均匀地通过固定吸附床内的蜂窝活性炭层的过流断面，在一定的停留时间，由于活性炭表面与有机废气分子间相互引力的作用产生。</w:t>
      </w:r>
    </w:p>
    <w:p w14:paraId="14749B8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物理吸附，从而将废气中的有机成分吸附在活性炭的表面积，从而使废气得到净化，净化后的洁净气体通过风机及烟囱达标排放；系统设两台吸附床，即废气从其中一台吸附床经过，另一台处于脱附再生阶段或备用阶段，从而使吸附过程可连续进行，不影响车间生产。</w:t>
      </w:r>
    </w:p>
    <w:p w14:paraId="1BF1A01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③脱附</w:t>
      </w:r>
      <w:r>
        <w:rPr>
          <w:rFonts w:hint="eastAsia" w:ascii="Times New Roman" w:hAnsi="Times New Roman"/>
          <w:color w:val="FF0000"/>
          <w:sz w:val="24"/>
          <w:lang w:eastAsia="zh-CN"/>
        </w:rPr>
        <w:t>——</w:t>
      </w:r>
      <w:r>
        <w:rPr>
          <w:rFonts w:ascii="Times New Roman" w:hAnsi="Times New Roman"/>
          <w:color w:val="FF0000"/>
          <w:sz w:val="24"/>
          <w:lang w:eastAsia="zh-CN"/>
        </w:rPr>
        <w:t>催化燃烧反应方程式如下：</w:t>
      </w:r>
    </w:p>
    <w:p w14:paraId="54B23CF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color w:val="FF0000"/>
          <w:sz w:val="24"/>
          <w:lang w:eastAsia="zh-CN"/>
        </w:rPr>
      </w:pPr>
      <w:r>
        <w:rPr>
          <w:rFonts w:ascii="Times New Roman" w:hAnsi="Times New Roman"/>
          <w:color w:val="FF0000"/>
          <w:sz w:val="24"/>
          <w:lang w:eastAsia="zh-CN"/>
        </w:rPr>
        <w:t>贵金属催化剂200～300℃CxHyOz+（x+y/4-z/2）O</w:t>
      </w:r>
      <w:r>
        <w:rPr>
          <w:rFonts w:ascii="Times New Roman" w:hAnsi="Times New Roman"/>
          <w:color w:val="FF0000"/>
          <w:sz w:val="24"/>
          <w:vertAlign w:val="subscript"/>
          <w:lang w:eastAsia="zh-CN"/>
        </w:rPr>
        <w:t>2</w:t>
      </w:r>
      <w:r>
        <w:rPr>
          <w:rFonts w:ascii="Times New Roman" w:hAnsi="Times New Roman"/>
          <w:color w:val="FF0000"/>
          <w:sz w:val="24"/>
          <w:lang w:eastAsia="zh-CN"/>
        </w:rPr>
        <w:t>xCO</w:t>
      </w:r>
      <w:r>
        <w:rPr>
          <w:rFonts w:ascii="Times New Roman" w:hAnsi="Times New Roman"/>
          <w:color w:val="FF0000"/>
          <w:sz w:val="24"/>
          <w:vertAlign w:val="subscript"/>
          <w:lang w:eastAsia="zh-CN"/>
        </w:rPr>
        <w:t>2</w:t>
      </w:r>
      <w:r>
        <w:rPr>
          <w:rFonts w:ascii="Times New Roman" w:hAnsi="Times New Roman"/>
          <w:color w:val="FF0000"/>
          <w:sz w:val="24"/>
          <w:lang w:eastAsia="zh-CN"/>
        </w:rPr>
        <w:t>+y/2H</w:t>
      </w:r>
      <w:r>
        <w:rPr>
          <w:rFonts w:ascii="Times New Roman" w:hAnsi="Times New Roman"/>
          <w:color w:val="FF0000"/>
          <w:sz w:val="24"/>
          <w:vertAlign w:val="subscript"/>
          <w:lang w:eastAsia="zh-CN"/>
        </w:rPr>
        <w:t>2</w:t>
      </w:r>
      <w:r>
        <w:rPr>
          <w:rFonts w:ascii="Times New Roman" w:hAnsi="Times New Roman"/>
          <w:color w:val="FF0000"/>
          <w:sz w:val="24"/>
          <w:lang w:eastAsia="zh-CN"/>
        </w:rPr>
        <w:t>O达到饱和状态的吸附床应停止吸附，通过阀门切换进入脱附状态，过程如下：启动脱附风机、开启相应阀门和远红外电加热器，对催化燃烧床内部的催化剂进行预热，同时产生一定量的热空气，当床层温度达到设定值时将热空气送入吸附床，活性炭受热解吸出高浓度的有机气体，经脱附风机引入催化燃烧床，在贵金属催化剂的作用下于一个较低的温度进行无焰催化燃烧，将有机成分转化为无毒、无害的CO2和H2O，同时释放出大量的热量，可维持催化燃烧所需的起燃温度，使废气燃烧过程基本不需外加的能耗（电能），并将部分热量回用于吸附床内活性炭的解吸再生，从而大大降低了能耗。净化系统催化燃烧床内，有远红外电加热器多组，预热时远红外电加热器全部开启，可实现在较短时间内将废气从室温加热到既定温度；而在稳定燃烧阶段，由于燃烧过程发出大量能量，电加热器只需开启一小部分或无需开启，从而达到节能降耗的控制目标。当燃烧废气浓度较高、反应温度较高时，混流风机自动开启，补充新鲜的冷空气以降低温度、确保催化燃烧床安全、高效运行。</w:t>
      </w:r>
    </w:p>
    <w:p w14:paraId="140330D6">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color w:val="auto"/>
        </w:rPr>
      </w:pPr>
      <w:r>
        <w:rPr>
          <w:color w:val="FF0000"/>
          <w:position w:val="-83"/>
        </w:rPr>
        <mc:AlternateContent>
          <mc:Choice Requires="wpg">
            <w:drawing>
              <wp:inline distT="0" distB="0" distL="114300" distR="114300">
                <wp:extent cx="4749800" cy="2643505"/>
                <wp:effectExtent l="12700" t="0" r="19050" b="29845"/>
                <wp:docPr id="18" name="组合 18"/>
                <wp:cNvGraphicFramePr/>
                <a:graphic xmlns:a="http://schemas.openxmlformats.org/drawingml/2006/main">
                  <a:graphicData uri="http://schemas.microsoft.com/office/word/2010/wordprocessingGroup">
                    <wpg:wgp>
                      <wpg:cNvGrpSpPr/>
                      <wpg:grpSpPr>
                        <a:xfrm>
                          <a:off x="0" y="0"/>
                          <a:ext cx="4749800" cy="2643505"/>
                          <a:chOff x="0" y="0"/>
                          <a:chExt cx="7480" cy="4162"/>
                        </a:xfrm>
                      </wpg:grpSpPr>
                      <pic:pic xmlns:pic="http://schemas.openxmlformats.org/drawingml/2006/picture">
                        <pic:nvPicPr>
                          <pic:cNvPr id="16" name="图片 3"/>
                          <pic:cNvPicPr>
                            <a:picLocks noChangeAspect="1"/>
                          </pic:cNvPicPr>
                        </pic:nvPicPr>
                        <pic:blipFill>
                          <a:blip r:embed="rId81"/>
                          <a:stretch>
                            <a:fillRect/>
                          </a:stretch>
                        </pic:blipFill>
                        <pic:spPr>
                          <a:xfrm>
                            <a:off x="15" y="15"/>
                            <a:ext cx="7450" cy="4132"/>
                          </a:xfrm>
                          <a:prstGeom prst="rect">
                            <a:avLst/>
                          </a:prstGeom>
                          <a:noFill/>
                          <a:ln>
                            <a:noFill/>
                          </a:ln>
                        </pic:spPr>
                      </pic:pic>
                      <wps:wsp>
                        <wps:cNvPr id="17" name="文本框 17"/>
                        <wps:cNvSpPr txBox="1"/>
                        <wps:spPr>
                          <a:xfrm>
                            <a:off x="-20" y="-20"/>
                            <a:ext cx="7520" cy="4202"/>
                          </a:xfrm>
                          <a:prstGeom prst="rect">
                            <a:avLst/>
                          </a:prstGeom>
                          <a:noFill/>
                          <a:ln>
                            <a:noFill/>
                          </a:ln>
                        </wps:spPr>
                        <wps:txbx>
                          <w:txbxContent>
                            <w:p w14:paraId="1DEEE44A">
                              <w:pPr>
                                <w:spacing w:line="20" w:lineRule="exact"/>
                              </w:pPr>
                            </w:p>
                            <w:tbl>
                              <w:tblPr>
                                <w:tblStyle w:val="36"/>
                                <w:tblW w:w="746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469"/>
                              </w:tblGrid>
                              <w:tr w14:paraId="24238FA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42" w:hRule="atLeast"/>
                                </w:trPr>
                                <w:tc>
                                  <w:tcPr>
                                    <w:tcW w:w="7469" w:type="dxa"/>
                                    <w:noWrap w:val="0"/>
                                    <w:vAlign w:val="top"/>
                                  </w:tcPr>
                                  <w:p w14:paraId="4F8233A4">
                                    <w:pPr>
                                      <w:keepNext w:val="0"/>
                                      <w:keepLines w:val="0"/>
                                      <w:pageBreakBefore w:val="0"/>
                                      <w:widowControl w:val="0"/>
                                      <w:kinsoku/>
                                      <w:wordWrap/>
                                      <w:overflowPunct/>
                                      <w:topLinePunct w:val="0"/>
                                      <w:bidi w:val="0"/>
                                      <w:adjustRightInd/>
                                      <w:snapToGrid/>
                                      <w:jc w:val="center"/>
                                      <w:textAlignment w:val="auto"/>
                                      <w:rPr>
                                        <w:rFonts w:ascii="Arial"/>
                                        <w:sz w:val="21"/>
                                      </w:rPr>
                                    </w:pPr>
                                  </w:p>
                                </w:tc>
                              </w:tr>
                            </w:tbl>
                            <w:p w14:paraId="0C7FB1BE">
                              <w:pPr>
                                <w:rPr>
                                  <w:rFonts w:ascii="Arial"/>
                                  <w:sz w:val="21"/>
                                </w:rPr>
                              </w:pPr>
                            </w:p>
                          </w:txbxContent>
                        </wps:txbx>
                        <wps:bodyPr lIns="0" tIns="0" rIns="0" bIns="0" upright="1"/>
                      </wps:wsp>
                    </wpg:wgp>
                  </a:graphicData>
                </a:graphic>
              </wp:inline>
            </w:drawing>
          </mc:Choice>
          <mc:Fallback>
            <w:pict>
              <v:group id="_x0000_s1026" o:spid="_x0000_s1026" o:spt="203" style="height:208.15pt;width:374pt;" coordsize="7480,4162" o:gfxdata="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">
                <o:lock v:ext="edit" aspectratio="f"/>
                <v:shape id="图片 3" o:spid="_x0000_s1026" o:spt="75" type="#_x0000_t75" style="position:absolute;left:15;top:15;height:4132;width:7450;" filled="f" o:preferrelative="t" stroked="f" coordsize="21600,21600" o:gfxdata="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engZugAAANsA&#10;AAAPAAAAAAAAAAEAIAAAACIAAABkcnMvZG93bnJldi54bWxQSwECFAAUAAAACACHTuJAMy8FnjsA&#10;AAA5AAAAEAAAAAAAAAABACAAAAAJAQAAZHJzL3NoYXBleG1sLnhtbFBLBQYAAAAABgAGAFsBAACz&#10;AwAAAAA=&#10;">
                  <v:fill on="f" focussize="0,0"/>
                  <v:stroke on="f"/>
                  <v:imagedata r:id="rId81" o:title=""/>
                  <o:lock v:ext="edit" aspectratio="t"/>
                </v:shape>
                <v:shape id="_x0000_s1026" o:spid="_x0000_s1026" o:spt="202" type="#_x0000_t202" style="position:absolute;left:-20;top:-20;height:4202;width:7520;"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DEEE44A">
                        <w:pPr>
                          <w:spacing w:line="20" w:lineRule="exact"/>
                        </w:pPr>
                      </w:p>
                      <w:tbl>
                        <w:tblPr>
                          <w:tblStyle w:val="36"/>
                          <w:tblW w:w="746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469"/>
                        </w:tblGrid>
                        <w:tr w14:paraId="24238FA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42" w:hRule="atLeast"/>
                          </w:trPr>
                          <w:tc>
                            <w:tcPr>
                              <w:tcW w:w="7469" w:type="dxa"/>
                              <w:noWrap w:val="0"/>
                              <w:vAlign w:val="top"/>
                            </w:tcPr>
                            <w:p w14:paraId="4F8233A4">
                              <w:pPr>
                                <w:keepNext w:val="0"/>
                                <w:keepLines w:val="0"/>
                                <w:pageBreakBefore w:val="0"/>
                                <w:widowControl w:val="0"/>
                                <w:kinsoku/>
                                <w:wordWrap/>
                                <w:overflowPunct/>
                                <w:topLinePunct w:val="0"/>
                                <w:bidi w:val="0"/>
                                <w:adjustRightInd/>
                                <w:snapToGrid/>
                                <w:jc w:val="center"/>
                                <w:textAlignment w:val="auto"/>
                                <w:rPr>
                                  <w:rFonts w:ascii="Arial"/>
                                  <w:sz w:val="21"/>
                                </w:rPr>
                              </w:pPr>
                            </w:p>
                          </w:tc>
                        </w:tr>
                      </w:tbl>
                      <w:p w14:paraId="0C7FB1BE">
                        <w:pPr>
                          <w:rPr>
                            <w:rFonts w:ascii="Arial"/>
                            <w:sz w:val="21"/>
                          </w:rPr>
                        </w:pPr>
                      </w:p>
                    </w:txbxContent>
                  </v:textbox>
                </v:shape>
                <w10:wrap type="none"/>
                <w10:anchorlock/>
              </v:group>
            </w:pict>
          </mc:Fallback>
        </mc:AlternateContent>
      </w:r>
    </w:p>
    <w:p w14:paraId="2A684179">
      <w:pPr>
        <w:pStyle w:val="37"/>
        <w:keepNext w:val="0"/>
        <w:keepLines w:val="0"/>
        <w:pageBreakBefore w:val="0"/>
        <w:widowControl w:val="0"/>
        <w:kinsoku/>
        <w:wordWrap/>
        <w:overflowPunct/>
        <w:topLinePunct w:val="0"/>
        <w:autoSpaceDE/>
        <w:autoSpaceDN/>
        <w:bidi w:val="0"/>
        <w:adjustRightInd/>
        <w:snapToGrid/>
        <w:spacing w:line="360" w:lineRule="auto"/>
        <w:ind w:left="0" w:firstLine="0"/>
        <w:jc w:val="center"/>
        <w:textAlignment w:val="auto"/>
        <w:rPr>
          <w:rFonts w:ascii="Times New Roman" w:hAnsi="Times New Roman" w:eastAsia="宋体"/>
          <w:b/>
          <w:color w:val="auto"/>
          <w:sz w:val="24"/>
        </w:rPr>
      </w:pPr>
      <w:r>
        <w:rPr>
          <w:rFonts w:ascii="Times New Roman" w:hAnsi="Times New Roman" w:eastAsia="宋体"/>
          <w:b/>
          <w:bCs/>
          <w:color w:val="auto"/>
          <w:spacing w:val="-4"/>
          <w:sz w:val="24"/>
        </w:rPr>
        <w:t>催化燃烧脱附工艺流程图</w:t>
      </w:r>
    </w:p>
    <w:p w14:paraId="34D44CFD">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786" w:name="_Toc4841"/>
      <w:bookmarkStart w:id="787" w:name="_Toc2976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"C:\\Users\\jobezho\\AppData\\Local\\Temp\\Rar$DIa13476.12779\\6.2.1.2"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6.2.1.2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无组织排放控制措施</w:t>
      </w:r>
      <w:bookmarkEnd w:id="786"/>
      <w:bookmarkEnd w:id="787"/>
    </w:p>
    <w:p w14:paraId="4F9A4BD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88" w:name="_Toc13676"/>
      <w:bookmarkStart w:id="789" w:name="_Toc15176"/>
      <w:r>
        <w:rPr>
          <w:rFonts w:ascii="Times New Roman" w:hAnsi="Times New Roman"/>
          <w:snapToGrid/>
          <w:color w:val="auto"/>
          <w:sz w:val="24"/>
          <w:szCs w:val="24"/>
          <w:lang w:eastAsia="zh-CN"/>
        </w:rPr>
        <w:t>（1）无组织粉尘</w:t>
      </w:r>
      <w:bookmarkEnd w:id="788"/>
      <w:bookmarkEnd w:id="789"/>
    </w:p>
    <w:p w14:paraId="6D5B7C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项目运行过程无组织粉尘主要为原料堆场产生的粉尘：</w:t>
      </w:r>
    </w:p>
    <w:p w14:paraId="69D073B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①废旧塑料贮存场所必须为封闭或半封闭型设施，应有防雨、防晒、防渗、防尘、防扬散和防火措施，严禁敞开式作业，废旧塑料堆放区采用半封闭堆场；</w:t>
      </w:r>
    </w:p>
    <w:p w14:paraId="7CF3C47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②设置洒水车，定期对物料运输道路、卸料区进行洒水降尘，减少扬尘。要求</w:t>
      </w:r>
      <w:r>
        <w:rPr>
          <w:rFonts w:hint="eastAsia" w:ascii="Times New Roman" w:hAnsi="Times New Roman"/>
          <w:snapToGrid/>
          <w:color w:val="auto"/>
          <w:sz w:val="24"/>
          <w:szCs w:val="24"/>
          <w:lang w:eastAsia="zh-CN"/>
        </w:rPr>
        <w:t>场内</w:t>
      </w:r>
      <w:r>
        <w:rPr>
          <w:rFonts w:ascii="Times New Roman" w:hAnsi="Times New Roman"/>
          <w:snapToGrid/>
          <w:color w:val="auto"/>
          <w:sz w:val="24"/>
          <w:szCs w:val="24"/>
          <w:lang w:eastAsia="zh-CN"/>
        </w:rPr>
        <w:t>运输道路设专人负责清扫、洒水，对运输车辆和装卸要加强规范操作，减少装卸原料过程中的无组织排放。地面粉尘要及时清理，防止二次扬尘污染。</w:t>
      </w:r>
    </w:p>
    <w:p w14:paraId="2EC5D22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本项目要对回收的废旧滴灌带进行破碎，由于废旧滴灌带中含有一定量的土和杂质，故在破碎过程中会产生一定量的颗粒物。颗粒物产生量较小。本次环评采用湿式破碎机，经处理后只产生含尘废水，几乎不产生粉尘颗粒物。</w:t>
      </w:r>
    </w:p>
    <w:p w14:paraId="761C7EA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90" w:name="_Toc10090"/>
      <w:bookmarkStart w:id="791" w:name="_Toc15733"/>
      <w:r>
        <w:rPr>
          <w:rFonts w:ascii="Times New Roman" w:hAnsi="Times New Roman"/>
          <w:snapToGrid/>
          <w:color w:val="auto"/>
          <w:sz w:val="24"/>
          <w:szCs w:val="24"/>
          <w:lang w:eastAsia="zh-CN"/>
        </w:rPr>
        <w:t>（2）无组织有机废气</w:t>
      </w:r>
      <w:bookmarkEnd w:id="790"/>
      <w:bookmarkEnd w:id="791"/>
    </w:p>
    <w:p w14:paraId="3E34C8D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项目生产过程会产生有机废气，环评要求在产气点均设置有集气设施，要求集气设施设计收集效率不低于90%，根据《挥发性有机物无组织排放控制标准》</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GB37822-2019</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要求集气罩的设计安装严格按照GB/T16758-2008相关要求进行，废气收集系统要求与生产设备同步运行，废气收集设备故障状态应立即停止生产设备，待检修完毕后同步投入使用，项目生产过程产生的有机废气在严格采取环评所提收集处置措施后可有效控制无组织排放。</w:t>
      </w:r>
    </w:p>
    <w:p w14:paraId="0A0A45EA">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792" w:name="_Toc15874"/>
      <w:bookmarkStart w:id="793" w:name="_Toc7731"/>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"C:\\Users\\jobezho\\AppData\\Local\\Temp\\Rar$DIa13476.12779\\6.2.1.3"</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6.2.1.3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达标性分析</w:t>
      </w:r>
      <w:bookmarkEnd w:id="792"/>
      <w:bookmarkEnd w:id="793"/>
    </w:p>
    <w:p w14:paraId="4728D90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根据《挥发性有机物</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VOCs</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污染防治技术政策》，VOCs污染防治应遵循源头和过程控制与末端治理相结合的综合防治原则。</w:t>
      </w:r>
    </w:p>
    <w:p w14:paraId="0519E1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94" w:name="_Toc31823"/>
      <w:bookmarkStart w:id="795" w:name="_Toc19455"/>
      <w:r>
        <w:rPr>
          <w:rFonts w:ascii="Times New Roman" w:hAnsi="Times New Roman"/>
          <w:snapToGrid/>
          <w:color w:val="auto"/>
          <w:sz w:val="24"/>
          <w:szCs w:val="24"/>
          <w:lang w:eastAsia="zh-CN"/>
        </w:rPr>
        <w:t>（1）有组织废气</w:t>
      </w:r>
      <w:bookmarkEnd w:id="794"/>
      <w:bookmarkEnd w:id="795"/>
    </w:p>
    <w:p w14:paraId="4CF2281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本项目运营后产生的废气主要为废旧塑料颗粒加工生产造粒工序和滴灌带生产过程挤出成型工序中产生的有机废气（主要为非甲烷总烃），以及滴灌带投料工序产生的颗粒物。</w:t>
      </w:r>
    </w:p>
    <w:p w14:paraId="00F900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本项目VOCs</w:t>
      </w:r>
      <w:r>
        <w:rPr>
          <w:rFonts w:hint="eastAsia" w:ascii="Times New Roman" w:hAnsi="Times New Roman"/>
          <w:snapToGrid/>
          <w:color w:val="auto"/>
          <w:sz w:val="24"/>
          <w:szCs w:val="24"/>
          <w:lang w:eastAsia="zh-CN"/>
        </w:rPr>
        <w:t>生产</w:t>
      </w:r>
      <w:r>
        <w:rPr>
          <w:rFonts w:ascii="Times New Roman" w:hAnsi="Times New Roman"/>
          <w:snapToGrid/>
          <w:color w:val="auto"/>
          <w:sz w:val="24"/>
          <w:szCs w:val="24"/>
          <w:lang w:eastAsia="zh-CN"/>
        </w:rPr>
        <w:t>点主要在挤出出口，本项目</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个生产车间：</w:t>
      </w:r>
    </w:p>
    <w:p w14:paraId="6B97074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FF0000"/>
          <w:sz w:val="24"/>
          <w:szCs w:val="24"/>
          <w:lang w:eastAsia="zh-CN"/>
        </w:rPr>
      </w:pPr>
      <w:r>
        <w:rPr>
          <w:rFonts w:ascii="Times New Roman" w:hAnsi="Times New Roman"/>
          <w:snapToGrid/>
          <w:color w:val="FF0000"/>
          <w:sz w:val="24"/>
          <w:szCs w:val="24"/>
          <w:lang w:eastAsia="zh-CN"/>
        </w:rPr>
        <w:t>①生产车间有</w:t>
      </w:r>
      <w:r>
        <w:rPr>
          <w:rFonts w:hint="eastAsia" w:ascii="Times New Roman" w:hAnsi="Times New Roman"/>
          <w:snapToGrid/>
          <w:color w:val="FF0000"/>
          <w:sz w:val="24"/>
          <w:szCs w:val="24"/>
          <w:lang w:eastAsia="zh-CN"/>
        </w:rPr>
        <w:t>1</w:t>
      </w:r>
      <w:r>
        <w:rPr>
          <w:rFonts w:hint="eastAsia" w:ascii="Times New Roman" w:hAnsi="Times New Roman"/>
          <w:snapToGrid/>
          <w:color w:val="FF0000"/>
          <w:sz w:val="24"/>
          <w:szCs w:val="24"/>
          <w:lang w:val="en-US" w:eastAsia="zh-CN"/>
        </w:rPr>
        <w:t>条造粒生产线</w:t>
      </w:r>
      <w:r>
        <w:rPr>
          <w:rFonts w:ascii="Times New Roman" w:hAnsi="Times New Roman"/>
          <w:snapToGrid/>
          <w:color w:val="FF0000"/>
          <w:sz w:val="24"/>
          <w:szCs w:val="24"/>
          <w:lang w:eastAsia="zh-CN"/>
        </w:rPr>
        <w:t>，每台设备产气口上方安装一个负压集气罩，共安装</w:t>
      </w:r>
      <w:r>
        <w:rPr>
          <w:rFonts w:hint="eastAsia" w:ascii="Times New Roman" w:hAnsi="Times New Roman"/>
          <w:snapToGrid/>
          <w:color w:val="FF0000"/>
          <w:sz w:val="24"/>
          <w:szCs w:val="24"/>
          <w:lang w:val="en-US" w:eastAsia="zh-CN"/>
        </w:rPr>
        <w:t>1</w:t>
      </w:r>
      <w:r>
        <w:rPr>
          <w:rFonts w:hint="eastAsia" w:ascii="Times New Roman" w:hAnsi="Times New Roman"/>
          <w:snapToGrid/>
          <w:color w:val="FF0000"/>
          <w:sz w:val="24"/>
          <w:szCs w:val="24"/>
          <w:lang w:eastAsia="zh-CN"/>
        </w:rPr>
        <w:t>个</w:t>
      </w:r>
      <w:r>
        <w:rPr>
          <w:rFonts w:ascii="Times New Roman" w:hAnsi="Times New Roman"/>
          <w:snapToGrid/>
          <w:color w:val="FF0000"/>
          <w:sz w:val="24"/>
          <w:szCs w:val="24"/>
          <w:lang w:eastAsia="zh-CN"/>
        </w:rPr>
        <w:t>负压集气罩，</w:t>
      </w:r>
      <w:r>
        <w:rPr>
          <w:rFonts w:hint="eastAsia" w:ascii="Times New Roman" w:hAnsi="Times New Roman"/>
          <w:snapToGrid/>
          <w:color w:val="FF0000"/>
          <w:sz w:val="24"/>
          <w:szCs w:val="24"/>
          <w:lang w:eastAsia="zh-CN"/>
        </w:rPr>
        <w:t>设置引风机（风量为</w:t>
      </w:r>
      <w:r>
        <w:rPr>
          <w:rFonts w:hint="eastAsia" w:ascii="Times New Roman" w:hAnsi="Times New Roman"/>
          <w:snapToGrid/>
          <w:color w:val="FF0000"/>
          <w:sz w:val="24"/>
          <w:szCs w:val="24"/>
          <w:lang w:val="en-US" w:eastAsia="zh-CN"/>
        </w:rPr>
        <w:t>60</w:t>
      </w:r>
      <w:r>
        <w:rPr>
          <w:rFonts w:hint="eastAsia" w:ascii="Times New Roman" w:hAnsi="Times New Roman"/>
          <w:snapToGrid/>
          <w:color w:val="FF0000"/>
          <w:sz w:val="24"/>
          <w:szCs w:val="24"/>
          <w:lang w:eastAsia="zh-CN"/>
        </w:rPr>
        <w:t>00m</w:t>
      </w:r>
      <w:r>
        <w:rPr>
          <w:rFonts w:hint="eastAsia" w:ascii="Times New Roman" w:hAnsi="Times New Roman"/>
          <w:snapToGrid/>
          <w:color w:val="FF0000"/>
          <w:sz w:val="24"/>
          <w:szCs w:val="24"/>
          <w:vertAlign w:val="superscript"/>
          <w:lang w:eastAsia="zh-CN"/>
        </w:rPr>
        <w:t>3</w:t>
      </w:r>
      <w:r>
        <w:rPr>
          <w:rFonts w:hint="eastAsia" w:ascii="Times New Roman" w:hAnsi="Times New Roman"/>
          <w:snapToGrid/>
          <w:color w:val="FF0000"/>
          <w:sz w:val="24"/>
          <w:szCs w:val="24"/>
          <w:lang w:eastAsia="zh-CN"/>
        </w:rPr>
        <w:t>/h），</w:t>
      </w:r>
      <w:r>
        <w:rPr>
          <w:rFonts w:hint="eastAsia" w:ascii="Times New Roman" w:hAnsi="Times New Roman"/>
          <w:snapToGrid/>
          <w:color w:val="FF0000"/>
          <w:sz w:val="24"/>
          <w:szCs w:val="24"/>
          <w:lang w:val="en-US" w:eastAsia="zh-CN"/>
        </w:rPr>
        <w:t>10条滴灌带生产线，每台设备</w:t>
      </w:r>
      <w:r>
        <w:rPr>
          <w:rFonts w:ascii="Times New Roman" w:hAnsi="Times New Roman"/>
          <w:snapToGrid/>
          <w:color w:val="FF0000"/>
          <w:sz w:val="24"/>
          <w:szCs w:val="24"/>
          <w:lang w:eastAsia="zh-CN"/>
        </w:rPr>
        <w:t>集气罩产气口上方安装一个负压集气罩</w:t>
      </w:r>
      <w:r>
        <w:rPr>
          <w:rFonts w:hint="eastAsia" w:ascii="Times New Roman" w:hAnsi="Times New Roman"/>
          <w:snapToGrid/>
          <w:color w:val="FF0000"/>
          <w:sz w:val="24"/>
          <w:szCs w:val="24"/>
          <w:lang w:eastAsia="zh-CN"/>
        </w:rPr>
        <w:t>，</w:t>
      </w:r>
      <w:r>
        <w:rPr>
          <w:rFonts w:hint="eastAsia" w:ascii="Times New Roman" w:hAnsi="Times New Roman"/>
          <w:snapToGrid/>
          <w:color w:val="FF0000"/>
          <w:sz w:val="24"/>
          <w:szCs w:val="24"/>
          <w:lang w:val="en-US" w:eastAsia="zh-CN"/>
        </w:rPr>
        <w:t>共安装10个负压集气罩。每个负压集气罩设置1台引风机（风量为6000m</w:t>
      </w:r>
      <w:r>
        <w:rPr>
          <w:rFonts w:hint="eastAsia" w:ascii="Times New Roman" w:hAnsi="Times New Roman"/>
          <w:snapToGrid/>
          <w:color w:val="FF0000"/>
          <w:sz w:val="24"/>
          <w:szCs w:val="24"/>
          <w:vertAlign w:val="superscript"/>
          <w:lang w:val="en-US" w:eastAsia="zh-CN"/>
        </w:rPr>
        <w:t>3</w:t>
      </w:r>
      <w:r>
        <w:rPr>
          <w:rFonts w:hint="eastAsia" w:ascii="Times New Roman" w:hAnsi="Times New Roman"/>
          <w:snapToGrid/>
          <w:color w:val="FF0000"/>
          <w:sz w:val="24"/>
          <w:szCs w:val="24"/>
          <w:lang w:val="en-US" w:eastAsia="zh-CN"/>
        </w:rPr>
        <w:t>/h）。</w:t>
      </w:r>
      <w:r>
        <w:rPr>
          <w:rFonts w:ascii="Times New Roman" w:hAnsi="Times New Roman"/>
          <w:snapToGrid/>
          <w:color w:val="FF0000"/>
          <w:sz w:val="24"/>
          <w:szCs w:val="24"/>
          <w:lang w:eastAsia="zh-CN"/>
        </w:rPr>
        <w:t>收集效率按90%计算，则仍有10%的废气以无组织形式排放，VOCs经负压集气罩收集后通过一根连通管道共同进入1套“</w:t>
      </w:r>
      <w:r>
        <w:rPr>
          <w:rFonts w:hint="eastAsia" w:ascii="Times New Roman" w:hAnsi="Times New Roman"/>
          <w:snapToGrid/>
          <w:color w:val="FF0000"/>
          <w:sz w:val="24"/>
          <w:szCs w:val="24"/>
          <w:lang w:eastAsia="zh-CN"/>
        </w:rPr>
        <w:t>活性炭吸附+蓄热式催化燃烧</w:t>
      </w:r>
      <w:r>
        <w:rPr>
          <w:rFonts w:ascii="Times New Roman" w:hAnsi="Times New Roman"/>
          <w:snapToGrid/>
          <w:color w:val="FF0000"/>
          <w:sz w:val="24"/>
          <w:szCs w:val="24"/>
          <w:lang w:eastAsia="zh-CN"/>
        </w:rPr>
        <w:t>”处理后，由1根15m高排气筒（DA001）排放。</w:t>
      </w:r>
    </w:p>
    <w:p w14:paraId="1BFEF1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根据工程分析计算，工序产生非甲烷总烃经处理后排放量为</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t/a，排放速率为</w:t>
      </w:r>
      <w:r>
        <w:rPr>
          <w:rFonts w:hint="eastAsia" w:ascii="Times New Roman" w:hAnsi="Times New Roman"/>
          <w:snapToGrid/>
          <w:color w:val="auto"/>
          <w:sz w:val="24"/>
          <w:szCs w:val="24"/>
          <w:lang w:eastAsia="zh-CN"/>
        </w:rPr>
        <w:t>0.16</w:t>
      </w:r>
      <w:r>
        <w:rPr>
          <w:rFonts w:ascii="Times New Roman" w:hAnsi="Times New Roman"/>
          <w:snapToGrid/>
          <w:color w:val="auto"/>
          <w:sz w:val="24"/>
          <w:szCs w:val="24"/>
          <w:lang w:eastAsia="zh-CN"/>
        </w:rPr>
        <w:t>kg/h，排放浓度为</w:t>
      </w:r>
      <w:r>
        <w:rPr>
          <w:rFonts w:hint="eastAsia" w:ascii="Times New Roman" w:hAnsi="Times New Roman"/>
          <w:snapToGrid/>
          <w:color w:val="auto"/>
          <w:sz w:val="24"/>
          <w:szCs w:val="24"/>
          <w:lang w:eastAsia="zh-CN"/>
        </w:rPr>
        <w:t>3.2</w:t>
      </w:r>
      <w:r>
        <w:rPr>
          <w:rFonts w:ascii="Times New Roman" w:hAnsi="Times New Roman"/>
          <w:snapToGrid/>
          <w:color w:val="auto"/>
          <w:sz w:val="24"/>
          <w:szCs w:val="24"/>
          <w:lang w:eastAsia="zh-CN"/>
        </w:rPr>
        <w:t>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；本项目VOCs（非甲烷总烃）有组织排放浓度满足《合成树脂工业污染物排放标准》（</w:t>
      </w:r>
      <w:r>
        <w:rPr>
          <w:rFonts w:hint="eastAsia" w:ascii="Times New Roman" w:hAnsi="Times New Roman"/>
          <w:snapToGrid/>
          <w:color w:val="auto"/>
          <w:sz w:val="24"/>
          <w:szCs w:val="24"/>
          <w:lang w:eastAsia="zh-CN"/>
        </w:rPr>
        <w:t>GB 31572-2015，含2024年修改单</w:t>
      </w:r>
      <w:r>
        <w:rPr>
          <w:rFonts w:ascii="Times New Roman" w:hAnsi="Times New Roman"/>
          <w:snapToGrid/>
          <w:color w:val="auto"/>
          <w:sz w:val="24"/>
          <w:szCs w:val="24"/>
          <w:lang w:eastAsia="zh-CN"/>
        </w:rPr>
        <w:t>）表4排放限值100mg/m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w:t>
      </w:r>
    </w:p>
    <w:p w14:paraId="1E7FF43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综上所述，本项目有机废气采用“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”处理挤出造粒工序及滴灌带挤出工序中产生的有机废气，工艺技术较为成熟，运行维护较为简单，净化效果较为稳定可靠，能够确保尾气达标排放，所采取的措施是可行的。</w:t>
      </w:r>
    </w:p>
    <w:p w14:paraId="2DC93FE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96" w:name="_Toc25304"/>
      <w:bookmarkStart w:id="797" w:name="_Toc16888"/>
      <w:r>
        <w:rPr>
          <w:rFonts w:ascii="Times New Roman" w:hAnsi="Times New Roman"/>
          <w:snapToGrid/>
          <w:color w:val="auto"/>
          <w:sz w:val="24"/>
          <w:szCs w:val="24"/>
          <w:lang w:eastAsia="zh-CN"/>
        </w:rPr>
        <w:t>（2）无组织有机废气</w:t>
      </w:r>
      <w:bookmarkEnd w:id="796"/>
      <w:bookmarkEnd w:id="797"/>
    </w:p>
    <w:p w14:paraId="1CA5F4F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无组织排放有机废气主要在造粒高温挤塑与塑化成型工序，项目采用集气罩收集高温加工过程中产生的有机废气，集气罩效率为90%，剩余10%以无组织形式排放。加强对无组织排放废气的控制监管，尽量减少无组织废气的排放，具体应做到以下几个方面：</w:t>
      </w:r>
    </w:p>
    <w:p w14:paraId="25B34BF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①生产开线先启动环保措施设施再开启加工机组，停线先停止生产机组再关闭环保设施设备；</w:t>
      </w:r>
    </w:p>
    <w:p w14:paraId="6A774C2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②经常检查设备工况，保证设备的完好率，防止</w:t>
      </w:r>
      <w:r>
        <w:rPr>
          <w:rFonts w:hint="eastAsia" w:ascii="Times New Roman" w:hAnsi="Times New Roman"/>
          <w:snapToGrid/>
          <w:color w:val="auto"/>
          <w:sz w:val="24"/>
          <w:szCs w:val="24"/>
          <w:lang w:eastAsia="zh-CN"/>
        </w:rPr>
        <w:t>泄漏</w:t>
      </w:r>
      <w:r>
        <w:rPr>
          <w:rFonts w:ascii="Times New Roman" w:hAnsi="Times New Roman"/>
          <w:snapToGrid/>
          <w:color w:val="auto"/>
          <w:sz w:val="24"/>
          <w:szCs w:val="24"/>
          <w:lang w:eastAsia="zh-CN"/>
        </w:rPr>
        <w:t>；</w:t>
      </w:r>
    </w:p>
    <w:p w14:paraId="7DB252A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③在生产过程中加强对废气收集装置的维护，保证有组织废气捕集效率，以尽量将无组织排放的废气</w:t>
      </w:r>
      <w:r>
        <w:rPr>
          <w:rFonts w:hint="eastAsia" w:ascii="Times New Roman" w:hAnsi="Times New Roman"/>
          <w:snapToGrid/>
          <w:color w:val="auto"/>
          <w:sz w:val="24"/>
          <w:szCs w:val="24"/>
          <w:lang w:eastAsia="zh-CN"/>
        </w:rPr>
        <w:t>量减少</w:t>
      </w:r>
      <w:r>
        <w:rPr>
          <w:rFonts w:ascii="Times New Roman" w:hAnsi="Times New Roman"/>
          <w:snapToGrid/>
          <w:color w:val="auto"/>
          <w:sz w:val="24"/>
          <w:szCs w:val="24"/>
          <w:lang w:eastAsia="zh-CN"/>
        </w:rPr>
        <w:t>到最低限度；</w:t>
      </w:r>
    </w:p>
    <w:p w14:paraId="3D1AD27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④加强车间通排风，通过加强车间气流通畅，为员工配备必要的防护用品。</w:t>
      </w:r>
    </w:p>
    <w:p w14:paraId="4909502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⑤在废旧滴灌带造粒及滴灌带生产车间设置换气扇将废气引风排出，做好车间通风换气工作以改善空气环境；同时加强操作工人的自我防护，配备必要的劳保用品（口罩、眼镜等），并严格按照相关劳动规范作业，以尽量减轻废气排放对环境空气及员工健康的影响。</w:t>
      </w:r>
    </w:p>
    <w:p w14:paraId="055422F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采取上述措施后，</w:t>
      </w:r>
      <w:r>
        <w:rPr>
          <w:rFonts w:hint="eastAsia" w:ascii="Times New Roman" w:hAnsi="Times New Roman"/>
          <w:snapToGrid/>
          <w:color w:val="auto"/>
          <w:sz w:val="24"/>
          <w:szCs w:val="24"/>
          <w:lang w:eastAsia="zh-CN"/>
        </w:rPr>
        <w:t>N</w:t>
      </w:r>
      <w:r>
        <w:rPr>
          <w:rFonts w:ascii="Times New Roman" w:hAnsi="Times New Roman"/>
          <w:snapToGrid/>
          <w:color w:val="auto"/>
          <w:sz w:val="24"/>
          <w:szCs w:val="24"/>
          <w:lang w:eastAsia="zh-CN"/>
        </w:rPr>
        <w:t>MHC（非甲烷总烃）厂界浓度可以满足</w:t>
      </w:r>
      <w:r>
        <w:rPr>
          <w:rFonts w:hint="eastAsia" w:ascii="Times New Roman" w:hAnsi="Times New Roman"/>
          <w:snapToGrid/>
          <w:color w:val="auto"/>
          <w:sz w:val="24"/>
          <w:szCs w:val="24"/>
          <w:lang w:eastAsia="zh-CN"/>
        </w:rPr>
        <w:t>《合成树脂工业污染物排放标准》（GB 31572-2015，含2024年修改单）</w:t>
      </w:r>
      <w:r>
        <w:rPr>
          <w:rFonts w:ascii="Times New Roman" w:hAnsi="Times New Roman"/>
          <w:snapToGrid/>
          <w:color w:val="auto"/>
          <w:sz w:val="24"/>
          <w:szCs w:val="24"/>
          <w:lang w:eastAsia="zh-CN"/>
        </w:rPr>
        <w:t>中表9企业边界非甲烷总烃无组织排放浓度4.0mg/m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w:t>
      </w:r>
      <w:r>
        <w:rPr>
          <w:rFonts w:hint="eastAsia" w:ascii="Times New Roman" w:hAnsi="Times New Roman"/>
          <w:snapToGrid/>
          <w:color w:val="auto"/>
          <w:sz w:val="24"/>
          <w:szCs w:val="24"/>
          <w:lang w:eastAsia="zh-CN"/>
        </w:rPr>
        <w:t>N</w:t>
      </w:r>
      <w:r>
        <w:rPr>
          <w:rFonts w:ascii="Times New Roman" w:hAnsi="Times New Roman"/>
          <w:snapToGrid/>
          <w:color w:val="auto"/>
          <w:sz w:val="24"/>
          <w:szCs w:val="24"/>
          <w:lang w:eastAsia="zh-CN"/>
        </w:rPr>
        <w:t>MHC（非甲烷总烃）厂区内浓度可以满足《挥发性有机物无组织排放控制标准》（GB37822-2019）中表A.1厂区内VOCs无组织特别排放限值20mg/m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的要求。</w:t>
      </w:r>
    </w:p>
    <w:p w14:paraId="07CD0AF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通过以上分析，采取以上无组织有机废气控制措施后，无组织有机废气外排对周围环境影响较轻，即项目无组织有机废气治理工艺可行。</w:t>
      </w:r>
    </w:p>
    <w:p w14:paraId="602A349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798" w:name="_Toc31104"/>
      <w:bookmarkStart w:id="799" w:name="_Toc28159"/>
      <w:r>
        <w:rPr>
          <w:rFonts w:ascii="Times New Roman" w:hAnsi="Times New Roman"/>
          <w:snapToGrid/>
          <w:color w:val="auto"/>
          <w:sz w:val="24"/>
          <w:szCs w:val="24"/>
          <w:lang w:eastAsia="zh-CN"/>
        </w:rPr>
        <w:t>（3）无组织粉尘</w:t>
      </w:r>
      <w:bookmarkEnd w:id="798"/>
      <w:bookmarkEnd w:id="799"/>
    </w:p>
    <w:p w14:paraId="4E2F772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项目废旧滴灌带在厂内卸车、堆存、作业过程中以及破碎过</w:t>
      </w:r>
      <w:r>
        <w:rPr>
          <w:rFonts w:hint="eastAsia" w:ascii="Times New Roman" w:hAnsi="Times New Roman"/>
          <w:snapToGrid/>
          <w:color w:val="auto"/>
          <w:sz w:val="24"/>
          <w:szCs w:val="24"/>
          <w:lang w:eastAsia="zh-CN"/>
        </w:rPr>
        <w:t>程中</w:t>
      </w:r>
      <w:r>
        <w:rPr>
          <w:rFonts w:ascii="Times New Roman" w:hAnsi="Times New Roman"/>
          <w:snapToGrid/>
          <w:color w:val="auto"/>
          <w:sz w:val="24"/>
          <w:szCs w:val="24"/>
          <w:lang w:eastAsia="zh-CN"/>
        </w:rPr>
        <w:t>会产生粉尘，环评要求建设单位对废旧滴灌带堆场采用半封闭的原料堆场，堆场地面进行硬化，周边设置围挡并使用篷布进行遮盖，严禁敞开式作业，保证周围环境整洁；运输车辆进行苫布遮盖，并且降低卸车高度，卸车过程辅以洒水措施。在采取上述措施后，可有效防止堆存粉尘的污染，并有效抑制扬尘，产生极少量的无组织扬尘。</w:t>
      </w:r>
    </w:p>
    <w:p w14:paraId="0DFB73F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要对回收的废旧滴灌带进行破碎，由于废旧滴灌带中含有一定量的土和杂质，故在破碎过程中会产生一定量的颗粒物。颗粒物产生量较小。本次环评采用湿式破碎机，经处理后只产生含尘废水，几乎不产生粉尘颗粒物。</w:t>
      </w:r>
    </w:p>
    <w:p w14:paraId="029C2E7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采取以上措施后，根据工程分析，废气排放厂界</w:t>
      </w:r>
      <w:r>
        <w:rPr>
          <w:rFonts w:hint="eastAsia" w:ascii="Times New Roman" w:hAnsi="Times New Roman"/>
          <w:snapToGrid/>
          <w:color w:val="auto"/>
          <w:sz w:val="24"/>
          <w:szCs w:val="24"/>
          <w:lang w:val="en-US" w:eastAsia="zh-CN"/>
        </w:rPr>
        <w:t>颗粒物浓度</w:t>
      </w:r>
      <w:r>
        <w:rPr>
          <w:rFonts w:ascii="Times New Roman" w:hAnsi="Times New Roman"/>
          <w:snapToGrid/>
          <w:color w:val="auto"/>
          <w:sz w:val="24"/>
          <w:szCs w:val="24"/>
          <w:lang w:eastAsia="zh-CN"/>
        </w:rPr>
        <w:t>可满足《合成树脂工业污染物排放标准》（</w:t>
      </w:r>
      <w:r>
        <w:rPr>
          <w:rFonts w:hint="eastAsia" w:ascii="Times New Roman" w:hAnsi="Times New Roman"/>
          <w:snapToGrid/>
          <w:color w:val="auto"/>
          <w:sz w:val="24"/>
          <w:szCs w:val="24"/>
          <w:lang w:eastAsia="zh-CN"/>
        </w:rPr>
        <w:t>GB 31572-2015，含2024年修改单</w:t>
      </w:r>
      <w:r>
        <w:rPr>
          <w:rFonts w:ascii="Times New Roman" w:hAnsi="Times New Roman"/>
          <w:snapToGrid/>
          <w:color w:val="auto"/>
          <w:sz w:val="24"/>
          <w:szCs w:val="24"/>
          <w:lang w:eastAsia="zh-CN"/>
        </w:rPr>
        <w:t>）表9中厂界浓度限值（即1.0mg/m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w:t>
      </w:r>
    </w:p>
    <w:p w14:paraId="3CB0128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综上所述，通过严格落实并且认真执行上述大气环境保护和污染防治措施后，本项目运营期间产</w:t>
      </w:r>
      <w:r>
        <w:rPr>
          <w:rFonts w:hint="eastAsia" w:ascii="Times New Roman" w:hAnsi="Times New Roman"/>
          <w:snapToGrid/>
          <w:color w:val="auto"/>
          <w:sz w:val="24"/>
          <w:szCs w:val="24"/>
          <w:lang w:eastAsia="zh-CN"/>
        </w:rPr>
        <w:t>生的</w:t>
      </w:r>
      <w:r>
        <w:rPr>
          <w:rFonts w:ascii="Times New Roman" w:hAnsi="Times New Roman"/>
          <w:snapToGrid/>
          <w:color w:val="auto"/>
          <w:sz w:val="24"/>
          <w:szCs w:val="24"/>
          <w:lang w:eastAsia="zh-CN"/>
        </w:rPr>
        <w:t>废气实现达标排放，对项目区及周边附近区</w:t>
      </w:r>
      <w:r>
        <w:rPr>
          <w:rFonts w:hint="eastAsia" w:ascii="Times New Roman" w:hAnsi="Times New Roman"/>
          <w:snapToGrid/>
          <w:color w:val="auto"/>
          <w:sz w:val="24"/>
          <w:szCs w:val="24"/>
          <w:lang w:eastAsia="zh-CN"/>
        </w:rPr>
        <w:t>域的</w:t>
      </w:r>
      <w:r>
        <w:rPr>
          <w:rFonts w:ascii="Times New Roman" w:hAnsi="Times New Roman"/>
          <w:snapToGrid/>
          <w:color w:val="auto"/>
          <w:sz w:val="24"/>
          <w:szCs w:val="24"/>
          <w:lang w:eastAsia="zh-CN"/>
        </w:rPr>
        <w:t>大气环境和人群产生影响较小，采取的大气环境保护和污染防治措施是可行的。</w:t>
      </w:r>
    </w:p>
    <w:p w14:paraId="49C3A9D3">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00" w:name="_Toc14041"/>
      <w:bookmarkStart w:id="801" w:name="_Toc1231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"C:\\Users\\jobezho\\AppData\\Local\\Temp\\Rar$DIa13476.12779\\6.2.1.4"</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6.2.1.4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食堂油烟</w:t>
      </w:r>
      <w:bookmarkEnd w:id="800"/>
      <w:bookmarkEnd w:id="801"/>
    </w:p>
    <w:p w14:paraId="7256D9E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本项目食堂采用小型普通吸排油烟机，风机量为2000m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/h，去除油烟率为60%，则油烟排放量2.3kg/a，排放浓度为1.06mg/m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，油烟能够满足《饮食业油烟排放标准（试行）》（GB18483-2001），油烟最高允许排放浓度≤2mg/m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w:t>
      </w:r>
    </w:p>
    <w:p w14:paraId="08F202A8">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02" w:name="_Toc14351"/>
      <w:bookmarkStart w:id="803" w:name="_Toc27052"/>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"C:\\Users\\jobezho\\AppData\\Local\\Temp\\Rar$DIa13476.12779\\6.2.1.5"</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6.2.1.5</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小结</w:t>
      </w:r>
      <w:bookmarkEnd w:id="802"/>
      <w:bookmarkEnd w:id="803"/>
    </w:p>
    <w:p w14:paraId="475CA03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在生产过程使用电加热设备，从源头上消减污染物的排放量，废气经废气处理系统后达标排放。同时对装置区生产设备密闭、车间通风、原料堆场进行半封闭，厂区四周加强绿化、合理布局，以尽量减少无组织废气的排放。经过以上措施治理后，项目产生的废气可以实现达标排放，废气治理措施可行。项目产生的废气污染物对大气环境的影响较小。</w:t>
      </w:r>
    </w:p>
    <w:p w14:paraId="477AB512">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804" w:name="_Toc3197"/>
      <w:bookmarkStart w:id="805" w:name="_Toc2719"/>
      <w:bookmarkStart w:id="806" w:name="_Toc8285"/>
      <w:r>
        <w:rPr>
          <w:rFonts w:hint="eastAsia" w:ascii="Times New Roman" w:hAnsi="Times New Roman" w:cs="Times New Roman"/>
          <w:b/>
          <w:bCs/>
          <w:snapToGrid/>
          <w:color w:val="auto"/>
          <w:sz w:val="28"/>
          <w:szCs w:val="32"/>
          <w:lang w:eastAsia="zh-CN"/>
        </w:rPr>
        <w:t>6.2.2运营期水污染防治对策和措施</w:t>
      </w:r>
      <w:bookmarkEnd w:id="804"/>
      <w:bookmarkEnd w:id="805"/>
      <w:bookmarkEnd w:id="806"/>
    </w:p>
    <w:p w14:paraId="498146A2">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07" w:name="_Toc2014"/>
      <w:bookmarkStart w:id="808" w:name="_Toc1908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"C:\\Users\\jobezho\\AppData\\Local\\Temp\\Rar$DIa13476.12779\\6.2.2.1"</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6.2.2.1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污水处理及综合利用</w:t>
      </w:r>
      <w:bookmarkEnd w:id="807"/>
      <w:bookmarkEnd w:id="808"/>
    </w:p>
    <w:p w14:paraId="7F7F9F8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本项目废水主要为生活污水和生产废水，生活污水</w:t>
      </w:r>
      <w:r>
        <w:rPr>
          <w:rFonts w:hint="eastAsia" w:ascii="Times New Roman" w:hAnsi="Times New Roman"/>
          <w:snapToGrid/>
          <w:color w:val="auto"/>
          <w:sz w:val="24"/>
          <w:szCs w:val="24"/>
          <w:lang w:eastAsia="zh-CN"/>
        </w:rPr>
        <w:t>排入防渗化粪池，定期抽运至木垒哈萨克自治县污水处理厂处理</w:t>
      </w:r>
      <w:r>
        <w:rPr>
          <w:rFonts w:ascii="Times New Roman" w:hAnsi="Times New Roman"/>
          <w:snapToGrid/>
          <w:color w:val="auto"/>
          <w:sz w:val="24"/>
          <w:szCs w:val="24"/>
          <w:lang w:eastAsia="zh-CN"/>
        </w:rPr>
        <w:t>。生产废水为清洗废水和循环冷却水，循环使用不外排，定期补充新鲜水，无生产废水产生。停产后废水在处理池内自然蒸发耗散。</w:t>
      </w:r>
    </w:p>
    <w:p w14:paraId="5E18B0DF">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09" w:name="_Toc26929"/>
      <w:bookmarkStart w:id="810" w:name="_Toc16159"/>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"C:\\Users\\jobezho\\AppData\\Local\\Temp\\Rar$DIa13476.12779\\6.2.2.2"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生产废水防治措施可行性</w:t>
      </w:r>
      <w:bookmarkEnd w:id="809"/>
      <w:bookmarkEnd w:id="810"/>
    </w:p>
    <w:p w14:paraId="7446545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利用废塑料作为原料，生产废水主要成分为原料带入的细沙、泥土等无机物，有机物含量较少；污水先排入集水池，经集水池收集后再排入沉淀池，沉淀池内设一个隔断，污水经过三级沉淀后再排入清水池；在二级沉淀后，水中悬浮的颗粒大部分沉淀下来，当粒径小到一定程度时，其布朗运动的能量足以阻止重力的作用，而使颗粒不发生沉降，这种悬浮液可以长时间保持稳定状态，而且，悬浮颗粒表面往往带电（常常是负电），颗粒间同种电荷的斥力使颗粒不易合并变大，从而增加了悬浮液的稳定性，为提高沉淀效果，本项目向三级沉淀池内添加混凝剂聚合氯化铝，其机理是加入带正电的混凝剂去中和颗粒表面的负电，使颗粒“脱稳”，于是，颗粒间通过碰撞、表面吸附、范德瓦耳斯力等作用，互相结合变大，以利于从水中分离，沉淀后的水排入清水池作为原料清洗水使用，沉淀池污泥压滤机压滤后外运填埋。</w:t>
      </w:r>
    </w:p>
    <w:p w14:paraId="491DAA8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据本项目废旧滴灌带中泥沙量及用水量及实际生产数据计算，本项目初沉池总悬浮物（SS）浓度：</w:t>
      </w:r>
      <w:r>
        <w:rPr>
          <w:rFonts w:ascii="Times New Roman" w:hAnsi="Times New Roman"/>
          <w:snapToGrid/>
          <w:color w:val="auto"/>
          <w:sz w:val="24"/>
          <w:szCs w:val="24"/>
          <w:lang w:eastAsia="zh-CN"/>
        </w:rPr>
        <w:t>2260</w:t>
      </w:r>
      <w:r>
        <w:rPr>
          <w:rFonts w:hint="eastAsia" w:ascii="Times New Roman" w:hAnsi="Times New Roman"/>
          <w:snapToGrid/>
          <w:color w:val="auto"/>
          <w:sz w:val="24"/>
          <w:szCs w:val="24"/>
          <w:lang w:eastAsia="zh-CN"/>
        </w:rPr>
        <w:t>mg/L，经初沉池沉淀后，总悬浮物（SS）去除率约7</w:t>
      </w:r>
      <w:r>
        <w:rPr>
          <w:rFonts w:ascii="Times New Roman" w:hAnsi="Times New Roman"/>
          <w:snapToGrid/>
          <w:color w:val="auto"/>
          <w:sz w:val="24"/>
          <w:szCs w:val="24"/>
          <w:lang w:eastAsia="zh-CN"/>
        </w:rPr>
        <w:t>5%</w:t>
      </w:r>
      <w:r>
        <w:rPr>
          <w:rFonts w:hint="eastAsia" w:ascii="Times New Roman" w:hAnsi="Times New Roman"/>
          <w:snapToGrid/>
          <w:color w:val="auto"/>
          <w:sz w:val="24"/>
          <w:szCs w:val="24"/>
          <w:lang w:eastAsia="zh-CN"/>
        </w:rPr>
        <w:t>，二次沉淀池入口总悬浮物（SS）浓度：</w:t>
      </w:r>
      <w:r>
        <w:rPr>
          <w:rFonts w:ascii="Times New Roman" w:hAnsi="Times New Roman"/>
          <w:snapToGrid/>
          <w:color w:val="auto"/>
          <w:sz w:val="24"/>
          <w:szCs w:val="24"/>
          <w:lang w:eastAsia="zh-CN"/>
        </w:rPr>
        <w:t>565</w:t>
      </w:r>
      <w:r>
        <w:rPr>
          <w:rFonts w:hint="eastAsia" w:ascii="Times New Roman" w:hAnsi="Times New Roman"/>
          <w:snapToGrid/>
          <w:color w:val="auto"/>
          <w:sz w:val="24"/>
          <w:szCs w:val="24"/>
          <w:lang w:eastAsia="zh-CN"/>
        </w:rPr>
        <w:t>mg/L；经过二级（SS去除率约</w:t>
      </w:r>
      <w:r>
        <w:rPr>
          <w:rFonts w:ascii="Times New Roman" w:hAnsi="Times New Roman"/>
          <w:snapToGrid/>
          <w:color w:val="auto"/>
          <w:sz w:val="24"/>
          <w:szCs w:val="24"/>
          <w:lang w:eastAsia="zh-CN"/>
        </w:rPr>
        <w:t>70</w:t>
      </w:r>
      <w:r>
        <w:rPr>
          <w:rFonts w:hint="eastAsia" w:ascii="Times New Roman" w:hAnsi="Times New Roman"/>
          <w:snapToGrid/>
          <w:color w:val="auto"/>
          <w:sz w:val="24"/>
          <w:szCs w:val="24"/>
          <w:lang w:eastAsia="zh-CN"/>
        </w:rPr>
        <w:t>%）及三级（SS去除率约</w:t>
      </w:r>
      <w:r>
        <w:rPr>
          <w:rFonts w:ascii="Times New Roman" w:hAnsi="Times New Roman"/>
          <w:snapToGrid/>
          <w:color w:val="auto"/>
          <w:sz w:val="24"/>
          <w:szCs w:val="24"/>
          <w:lang w:eastAsia="zh-CN"/>
        </w:rPr>
        <w:t>60%</w:t>
      </w:r>
      <w:r>
        <w:rPr>
          <w:rFonts w:hint="eastAsia" w:ascii="Times New Roman" w:hAnsi="Times New Roman"/>
          <w:snapToGrid/>
          <w:color w:val="auto"/>
          <w:sz w:val="24"/>
          <w:szCs w:val="24"/>
          <w:lang w:eastAsia="zh-CN"/>
        </w:rPr>
        <w:t>）后，最终排水浓度：</w:t>
      </w:r>
      <w:r>
        <w:rPr>
          <w:rFonts w:ascii="Times New Roman" w:hAnsi="Times New Roman"/>
          <w:snapToGrid/>
          <w:color w:val="auto"/>
          <w:sz w:val="24"/>
          <w:szCs w:val="24"/>
          <w:lang w:eastAsia="zh-CN"/>
        </w:rPr>
        <w:t>67.8</w:t>
      </w:r>
      <w:r>
        <w:rPr>
          <w:rFonts w:hint="eastAsia" w:ascii="Times New Roman" w:hAnsi="Times New Roman"/>
          <w:snapToGrid/>
          <w:color w:val="auto"/>
          <w:sz w:val="24"/>
          <w:szCs w:val="24"/>
          <w:lang w:eastAsia="zh-CN"/>
        </w:rPr>
        <w:t>mg/L，对SS的总去除率可达9</w:t>
      </w:r>
      <w:r>
        <w:rPr>
          <w:rFonts w:ascii="Times New Roman" w:hAnsi="Times New Roman"/>
          <w:snapToGrid/>
          <w:color w:val="auto"/>
          <w:sz w:val="24"/>
          <w:szCs w:val="24"/>
          <w:lang w:eastAsia="zh-CN"/>
        </w:rPr>
        <w:t>7</w:t>
      </w:r>
      <w:r>
        <w:rPr>
          <w:rFonts w:hint="eastAsia" w:ascii="Times New Roman" w:hAnsi="Times New Roman"/>
          <w:snapToGrid/>
          <w:color w:val="auto"/>
          <w:sz w:val="24"/>
          <w:szCs w:val="24"/>
          <w:lang w:eastAsia="zh-CN"/>
        </w:rPr>
        <w:t>%左右。</w:t>
      </w:r>
    </w:p>
    <w:p w14:paraId="1224B8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利用废塑料作为原料，生产废水主要成分为细沙、泥土，回用水水质要求不高，废水经过混凝沉淀处理后完全可以满足生产用水水质要求，出水稳定，从水质角度分析，生产过程中原料清洗废水、循环冷却水均排入沉淀池，混凝沉淀后循环使用是可行的。</w:t>
      </w:r>
    </w:p>
    <w:p w14:paraId="25BDE8C3">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11" w:name="_Toc29384"/>
      <w:bookmarkStart w:id="812" w:name="_Toc3588"/>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"C:\\Users\\jobezho\\AppData\\Local\\Temp\\Rar$DIa13476.12779\\6.2.2.3"</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6.2.2.3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生活污水防治措施可行性</w:t>
      </w:r>
      <w:bookmarkEnd w:id="811"/>
      <w:bookmarkEnd w:id="812"/>
    </w:p>
    <w:p w14:paraId="0197557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本项目生活污水排入化粪池（200m</w:t>
      </w:r>
      <w:r>
        <w:rPr>
          <w:rFonts w:hint="eastAsia" w:ascii="Times New Roman" w:hAnsi="Times New Roman"/>
          <w:snapToGrid/>
          <w:color w:val="auto"/>
          <w:sz w:val="24"/>
          <w:szCs w:val="24"/>
          <w:vertAlign w:val="superscript"/>
          <w:lang w:eastAsia="zh-CN"/>
        </w:rPr>
        <w:t>3</w:t>
      </w:r>
      <w:r>
        <w:rPr>
          <w:rFonts w:hint="eastAsia" w:ascii="Times New Roman" w:hAnsi="Times New Roman"/>
          <w:snapToGrid/>
          <w:color w:val="auto"/>
          <w:sz w:val="24"/>
          <w:szCs w:val="24"/>
          <w:lang w:eastAsia="zh-CN"/>
        </w:rPr>
        <w:t>）中，定期拉运至木垒哈萨克自治县污水处理厂处理，本项目生活污水排放量为</w:t>
      </w:r>
      <w:r>
        <w:rPr>
          <w:rFonts w:ascii="Times New Roman" w:hAnsi="Times New Roman"/>
          <w:snapToGrid/>
          <w:color w:val="auto"/>
          <w:sz w:val="24"/>
          <w:szCs w:val="24"/>
          <w:lang w:eastAsia="zh-CN"/>
        </w:rPr>
        <w:t>134.7m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p>
    <w:p w14:paraId="3A2E4125">
      <w:pPr>
        <w:widowControl w:val="0"/>
        <w:shd w:val="clear"/>
        <w:spacing w:line="360" w:lineRule="auto"/>
        <w:ind w:firstLine="480" w:firstLineChars="200"/>
        <w:jc w:val="both"/>
        <w:rPr>
          <w:rFonts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木垒哈萨克自治县</w:t>
      </w:r>
      <w:r>
        <w:rPr>
          <w:rFonts w:ascii="Times New Roman" w:hAnsi="Times New Roman" w:eastAsia="宋体" w:cs="宋体"/>
          <w:color w:val="auto"/>
          <w:sz w:val="24"/>
          <w:szCs w:val="24"/>
          <w:lang w:eastAsia="zh-CN"/>
        </w:rPr>
        <w:t>城污水处理厂于</w:t>
      </w:r>
      <w:r>
        <w:rPr>
          <w:rFonts w:hint="eastAsia" w:ascii="Times New Roman" w:hAnsi="Times New Roman" w:eastAsia="宋体" w:cs="宋体"/>
          <w:color w:val="auto"/>
          <w:sz w:val="24"/>
          <w:szCs w:val="24"/>
          <w:lang w:eastAsia="zh-CN"/>
        </w:rPr>
        <w:t>2018</w:t>
      </w:r>
      <w:r>
        <w:rPr>
          <w:rFonts w:ascii="Times New Roman" w:hAnsi="Times New Roman" w:eastAsia="宋体" w:cs="宋体"/>
          <w:color w:val="auto"/>
          <w:sz w:val="24"/>
          <w:szCs w:val="24"/>
          <w:lang w:eastAsia="zh-CN"/>
        </w:rPr>
        <w:t>年10月正式运行，</w:t>
      </w:r>
      <w:r>
        <w:rPr>
          <w:rFonts w:hint="eastAsia" w:ascii="Times New Roman" w:hAnsi="Times New Roman" w:eastAsia="宋体" w:cs="宋体"/>
          <w:color w:val="auto"/>
          <w:sz w:val="24"/>
          <w:szCs w:val="24"/>
          <w:lang w:eastAsia="zh-CN"/>
        </w:rPr>
        <w:t>2017</w:t>
      </w:r>
      <w:r>
        <w:rPr>
          <w:rFonts w:ascii="Times New Roman" w:hAnsi="Times New Roman" w:eastAsia="宋体" w:cs="宋体"/>
          <w:color w:val="auto"/>
          <w:sz w:val="24"/>
          <w:szCs w:val="24"/>
          <w:lang w:eastAsia="zh-CN"/>
        </w:rPr>
        <w:t>年</w:t>
      </w:r>
      <w:r>
        <w:rPr>
          <w:rFonts w:hint="eastAsia" w:ascii="Times New Roman" w:hAnsi="Times New Roman" w:eastAsia="宋体" w:cs="宋体"/>
          <w:color w:val="auto"/>
          <w:sz w:val="24"/>
          <w:szCs w:val="24"/>
          <w:lang w:eastAsia="zh-CN"/>
        </w:rPr>
        <w:t>6月</w:t>
      </w:r>
      <w:r>
        <w:rPr>
          <w:rFonts w:ascii="Times New Roman" w:hAnsi="Times New Roman" w:eastAsia="宋体" w:cs="宋体"/>
          <w:color w:val="auto"/>
          <w:sz w:val="24"/>
          <w:szCs w:val="24"/>
          <w:lang w:eastAsia="zh-CN"/>
        </w:rPr>
        <w:t>取得原</w:t>
      </w:r>
      <w:r>
        <w:rPr>
          <w:rFonts w:hint="eastAsia" w:ascii="Times New Roman" w:hAnsi="Times New Roman" w:eastAsia="宋体" w:cs="宋体"/>
          <w:color w:val="auto"/>
          <w:sz w:val="24"/>
          <w:szCs w:val="24"/>
          <w:lang w:eastAsia="zh-CN"/>
        </w:rPr>
        <w:t>新疆维吾尔自治区环境保护厅</w:t>
      </w:r>
      <w:r>
        <w:rPr>
          <w:rFonts w:ascii="Times New Roman" w:hAnsi="Times New Roman" w:eastAsia="宋体" w:cs="宋体"/>
          <w:color w:val="auto"/>
          <w:sz w:val="24"/>
          <w:szCs w:val="24"/>
          <w:lang w:eastAsia="zh-CN"/>
        </w:rPr>
        <w:t>下发</w:t>
      </w:r>
      <w:r>
        <w:rPr>
          <w:rFonts w:hint="eastAsia" w:ascii="Times New Roman" w:hAnsi="Times New Roman" w:eastAsia="宋体" w:cs="宋体"/>
          <w:color w:val="auto"/>
          <w:sz w:val="24"/>
          <w:szCs w:val="24"/>
          <w:lang w:eastAsia="zh-CN"/>
        </w:rPr>
        <w:t>新环函</w:t>
      </w:r>
      <w:r>
        <w:rPr>
          <w:rFonts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eastAsia="zh-CN"/>
        </w:rPr>
        <w:t>2017</w:t>
      </w:r>
      <w:r>
        <w:rPr>
          <w:rFonts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eastAsia="zh-CN"/>
        </w:rPr>
        <w:t>657</w:t>
      </w:r>
      <w:r>
        <w:rPr>
          <w:rFonts w:ascii="Times New Roman" w:hAnsi="Times New Roman" w:eastAsia="宋体" w:cs="宋体"/>
          <w:color w:val="auto"/>
          <w:sz w:val="24"/>
          <w:szCs w:val="24"/>
          <w:lang w:eastAsia="zh-CN"/>
        </w:rPr>
        <w:t>号文件，同意该项目通过建设项目竣工环境保护验收</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lang w:eastAsia="zh-CN"/>
        </w:rPr>
        <w:t>由</w:t>
      </w:r>
      <w:r>
        <w:rPr>
          <w:rFonts w:hint="eastAsia" w:ascii="Times New Roman" w:hAnsi="Times New Roman" w:eastAsia="宋体" w:cs="宋体"/>
          <w:color w:val="auto"/>
          <w:sz w:val="24"/>
          <w:szCs w:val="24"/>
          <w:lang w:eastAsia="zh-CN"/>
        </w:rPr>
        <w:t>木垒哈萨克自治县科发再生水有限公司</w:t>
      </w:r>
      <w:r>
        <w:rPr>
          <w:rFonts w:ascii="Times New Roman" w:hAnsi="Times New Roman" w:eastAsia="宋体" w:cs="宋体"/>
          <w:color w:val="auto"/>
          <w:sz w:val="24"/>
          <w:szCs w:val="24"/>
          <w:lang w:eastAsia="zh-CN"/>
        </w:rPr>
        <w:t>开发建设，日处理规模</w:t>
      </w:r>
      <w:r>
        <w:rPr>
          <w:rFonts w:hint="eastAsia" w:ascii="Times New Roman" w:hAnsi="Times New Roman" w:eastAsia="宋体" w:cs="宋体"/>
          <w:color w:val="auto"/>
          <w:sz w:val="24"/>
          <w:szCs w:val="24"/>
          <w:lang w:eastAsia="zh-CN"/>
        </w:rPr>
        <w:t>10000</w:t>
      </w:r>
      <w:r>
        <w:rPr>
          <w:rFonts w:ascii="Times New Roman" w:hAnsi="Times New Roman" w:eastAsia="宋体" w:cs="宋体"/>
          <w:color w:val="auto"/>
          <w:sz w:val="24"/>
          <w:szCs w:val="24"/>
          <w:lang w:eastAsia="zh-CN"/>
        </w:rPr>
        <w:t>m</w:t>
      </w:r>
      <w:r>
        <w:rPr>
          <w:rFonts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lang w:eastAsia="zh-CN"/>
        </w:rPr>
        <w:t>该污水处理厂采用</w:t>
      </w:r>
      <w:r>
        <w:rPr>
          <w:rFonts w:hint="eastAsia" w:ascii="Times New Roman" w:hAnsi="Times New Roman" w:eastAsia="宋体" w:cs="宋体"/>
          <w:color w:val="auto"/>
          <w:sz w:val="24"/>
          <w:szCs w:val="24"/>
          <w:lang w:eastAsia="zh-CN"/>
        </w:rPr>
        <w:t>“水解酸化+A</w:t>
      </w:r>
      <w:r>
        <w:rPr>
          <w:rFonts w:hint="eastAsia" w:ascii="Times New Roman" w:hAnsi="Times New Roman" w:eastAsia="宋体" w:cs="宋体"/>
          <w:color w:val="auto"/>
          <w:sz w:val="24"/>
          <w:szCs w:val="24"/>
          <w:vertAlign w:val="superscript"/>
          <w:lang w:eastAsia="zh-CN"/>
        </w:rPr>
        <w:t>2</w:t>
      </w:r>
      <w:r>
        <w:rPr>
          <w:rFonts w:hint="eastAsia" w:ascii="Times New Roman" w:hAnsi="Times New Roman" w:eastAsia="宋体" w:cs="宋体"/>
          <w:color w:val="auto"/>
          <w:sz w:val="24"/>
          <w:szCs w:val="24"/>
          <w:lang w:eastAsia="zh-CN"/>
        </w:rPr>
        <w:t>/O+MBR”</w:t>
      </w:r>
      <w:r>
        <w:rPr>
          <w:rFonts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eastAsia="zh-CN"/>
        </w:rPr>
        <w:t>接水水质达到《污水综合排放标准》（GB8978-1996）三级标准。</w:t>
      </w:r>
      <w:r>
        <w:rPr>
          <w:rFonts w:ascii="Times New Roman" w:hAnsi="Times New Roman" w:eastAsia="宋体" w:cs="宋体"/>
          <w:color w:val="auto"/>
          <w:sz w:val="24"/>
          <w:szCs w:val="24"/>
          <w:lang w:eastAsia="zh-CN"/>
        </w:rPr>
        <w:t>出水水质达到《城镇污水处理厂污染物排放标准》一级A标准</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lang w:eastAsia="zh-CN"/>
        </w:rPr>
        <w:t>原污水由管道进入粗格栅去除较大粒径悬浮物，经提升泵进入细格栅后进入改良A-A-O池由厌氧菌和好氧菌进一步去除COD、BOD、氨氮和少量磷，然后进入二沉池进行污泥分离，部分污泥回流至好氧池</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lang w:eastAsia="zh-CN"/>
        </w:rPr>
        <w:t>二沉池出水进入除磷池进行脱磷处理，最后经过接触消毒池消毒后达标外排</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lang w:eastAsia="zh-CN"/>
        </w:rPr>
        <w:t>经污水处理厂处理后</w:t>
      </w:r>
      <w:r>
        <w:rPr>
          <w:rFonts w:hint="eastAsia" w:ascii="Times New Roman" w:hAnsi="Times New Roman" w:eastAsia="宋体" w:cs="宋体"/>
          <w:color w:val="auto"/>
          <w:sz w:val="24"/>
          <w:szCs w:val="24"/>
          <w:lang w:eastAsia="zh-CN"/>
        </w:rPr>
        <w:t>排入下游湿地公园作为林地绿化灌溉用水。</w:t>
      </w:r>
      <w:r>
        <w:rPr>
          <w:rFonts w:ascii="Times New Roman" w:hAnsi="Times New Roman" w:eastAsia="宋体" w:cs="宋体"/>
          <w:color w:val="auto"/>
          <w:sz w:val="24"/>
          <w:szCs w:val="24"/>
          <w:lang w:eastAsia="zh-CN"/>
        </w:rPr>
        <w:t>目前，该污水处理厂运行状况良好，出水水质达标</w:t>
      </w:r>
      <w:r>
        <w:rPr>
          <w:rFonts w:hint="eastAsia" w:ascii="Times New Roman" w:hAnsi="Times New Roman" w:eastAsia="宋体" w:cs="宋体"/>
          <w:color w:val="auto"/>
          <w:sz w:val="24"/>
          <w:szCs w:val="24"/>
          <w:lang w:eastAsia="zh-CN"/>
        </w:rPr>
        <w:t>。</w:t>
      </w:r>
    </w:p>
    <w:p w14:paraId="1B860E4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color w:val="auto"/>
          <w:sz w:val="24"/>
          <w:szCs w:val="24"/>
          <w:lang w:eastAsia="zh-CN"/>
        </w:rPr>
        <w:t>本项目废水</w:t>
      </w:r>
      <w:r>
        <w:rPr>
          <w:rFonts w:hint="eastAsia" w:ascii="Times New Roman" w:hAnsi="Times New Roman"/>
          <w:color w:val="auto"/>
          <w:sz w:val="24"/>
          <w:szCs w:val="24"/>
          <w:lang w:eastAsia="zh-CN"/>
        </w:rPr>
        <w:t>出水水质</w:t>
      </w:r>
      <w:r>
        <w:rPr>
          <w:rFonts w:ascii="Times New Roman" w:hAnsi="Times New Roman"/>
          <w:color w:val="auto"/>
          <w:sz w:val="24"/>
          <w:szCs w:val="24"/>
          <w:lang w:eastAsia="zh-CN"/>
        </w:rPr>
        <w:t>符合</w:t>
      </w:r>
      <w:r>
        <w:rPr>
          <w:rFonts w:hint="eastAsia" w:ascii="Times New Roman" w:hAnsi="Times New Roman"/>
          <w:color w:val="auto"/>
          <w:sz w:val="24"/>
          <w:szCs w:val="24"/>
          <w:lang w:eastAsia="zh-CN"/>
        </w:rPr>
        <w:t>木垒哈萨克自治县</w:t>
      </w:r>
      <w:r>
        <w:rPr>
          <w:rFonts w:ascii="Times New Roman" w:hAnsi="Times New Roman"/>
          <w:color w:val="auto"/>
          <w:sz w:val="24"/>
          <w:szCs w:val="24"/>
          <w:lang w:eastAsia="zh-CN"/>
        </w:rPr>
        <w:t>城污水处理厂纳污标准</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本项目日排水量较小，平时仅为职工生活污水，排水量为</w:t>
      </w:r>
      <w:r>
        <w:rPr>
          <w:rFonts w:hint="eastAsia" w:ascii="Times New Roman" w:hAnsi="Times New Roman"/>
          <w:color w:val="auto"/>
          <w:sz w:val="24"/>
          <w:szCs w:val="24"/>
          <w:lang w:eastAsia="zh-CN"/>
        </w:rPr>
        <w:t>0.56</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/d，</w:t>
      </w:r>
      <w:r>
        <w:rPr>
          <w:rFonts w:hint="eastAsia" w:ascii="Times New Roman" w:hAnsi="Times New Roman"/>
          <w:color w:val="auto"/>
          <w:sz w:val="24"/>
          <w:szCs w:val="24"/>
          <w:lang w:eastAsia="zh-CN"/>
        </w:rPr>
        <w:t>目前木垒哈萨克自治县污水处理厂稳定运行，日处理污水量约为4700m</w:t>
      </w:r>
      <w:r>
        <w:rPr>
          <w:rFonts w:hint="eastAsia"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，日处理污水余量约为5300m</w:t>
      </w:r>
      <w:r>
        <w:rPr>
          <w:rFonts w:hint="eastAsia"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，本项目污水排水量约为0.56m</w:t>
      </w:r>
      <w:r>
        <w:rPr>
          <w:rFonts w:hint="eastAsia"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/d。</w:t>
      </w:r>
      <w:r>
        <w:rPr>
          <w:rFonts w:ascii="Times New Roman" w:hAnsi="Times New Roman"/>
          <w:color w:val="auto"/>
          <w:sz w:val="24"/>
          <w:szCs w:val="24"/>
          <w:lang w:eastAsia="zh-CN"/>
        </w:rPr>
        <w:t>因此符合</w:t>
      </w:r>
      <w:r>
        <w:rPr>
          <w:rFonts w:hint="eastAsia" w:ascii="Times New Roman" w:hAnsi="Times New Roman"/>
          <w:color w:val="auto"/>
          <w:sz w:val="24"/>
          <w:szCs w:val="24"/>
          <w:lang w:eastAsia="zh-CN"/>
        </w:rPr>
        <w:t>木垒哈萨克自治县</w:t>
      </w:r>
      <w:r>
        <w:rPr>
          <w:rFonts w:ascii="Times New Roman" w:hAnsi="Times New Roman"/>
          <w:color w:val="auto"/>
          <w:sz w:val="24"/>
          <w:szCs w:val="24"/>
          <w:lang w:eastAsia="zh-CN"/>
        </w:rPr>
        <w:t>城污水处理厂处理负荷</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因此，本项目排水方案可行</w:t>
      </w:r>
      <w:r>
        <w:rPr>
          <w:rFonts w:hint="eastAsia" w:ascii="Times New Roman" w:hAnsi="Times New Roman"/>
          <w:color w:val="auto"/>
          <w:sz w:val="24"/>
          <w:szCs w:val="24"/>
          <w:lang w:eastAsia="zh-CN"/>
        </w:rPr>
        <w:t>。</w:t>
      </w:r>
    </w:p>
    <w:p w14:paraId="00DFB10A">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13" w:name="_Toc18475"/>
      <w:bookmarkStart w:id="814" w:name="_Toc1519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"C:\\Users\\jobezho\\AppData\\Local\\Temp\\Rar$DIa13476.12779\\6.2.2.4"</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6.2.2.4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地下水环境保护措施</w:t>
      </w:r>
      <w:bookmarkEnd w:id="813"/>
      <w:bookmarkEnd w:id="814"/>
    </w:p>
    <w:p w14:paraId="209772E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15" w:name="_Toc19592"/>
      <w:bookmarkStart w:id="816" w:name="_Toc29044"/>
      <w:r>
        <w:rPr>
          <w:rFonts w:ascii="Times New Roman" w:hAnsi="Times New Roman"/>
          <w:snapToGrid/>
          <w:color w:val="auto"/>
          <w:sz w:val="24"/>
          <w:szCs w:val="24"/>
          <w:lang w:eastAsia="zh-CN"/>
        </w:rPr>
        <w:t>（1）地下水污染途径及防治措施分析</w:t>
      </w:r>
      <w:bookmarkEnd w:id="815"/>
      <w:bookmarkEnd w:id="816"/>
    </w:p>
    <w:p w14:paraId="6D209A9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污染物从污染源进入地下水所经</w:t>
      </w:r>
      <w:r>
        <w:rPr>
          <w:rFonts w:hint="eastAsia" w:ascii="Times New Roman" w:hAnsi="Times New Roman"/>
          <w:snapToGrid/>
          <w:color w:val="auto"/>
          <w:sz w:val="24"/>
          <w:szCs w:val="24"/>
          <w:lang w:eastAsia="zh-CN"/>
        </w:rPr>
        <w:t>过的</w:t>
      </w:r>
      <w:r>
        <w:rPr>
          <w:rFonts w:ascii="Times New Roman" w:hAnsi="Times New Roman"/>
          <w:snapToGrid/>
          <w:color w:val="auto"/>
          <w:sz w:val="24"/>
          <w:szCs w:val="24"/>
          <w:lang w:eastAsia="zh-CN"/>
        </w:rPr>
        <w:t>路径称为地下水污染途径，地下水污染途径是多种多样的。本项目运营期环境影响因素主要为生活污水。以上污染因素如不加以管理，事故池存在下渗污染地下水的隐患；生活垃圾乱堆放，可能</w:t>
      </w:r>
      <w:r>
        <w:rPr>
          <w:rFonts w:hint="eastAsia" w:ascii="Times New Roman" w:hAnsi="Times New Roman"/>
          <w:snapToGrid/>
          <w:color w:val="auto"/>
          <w:sz w:val="24"/>
          <w:szCs w:val="24"/>
          <w:lang w:eastAsia="zh-CN"/>
        </w:rPr>
        <w:t>侵入</w:t>
      </w:r>
      <w:r>
        <w:rPr>
          <w:rFonts w:ascii="Times New Roman" w:hAnsi="Times New Roman"/>
          <w:snapToGrid/>
          <w:color w:val="auto"/>
          <w:sz w:val="24"/>
          <w:szCs w:val="24"/>
          <w:lang w:eastAsia="zh-CN"/>
        </w:rPr>
        <w:t>环境空气或地表水体，并通过下渗影响到地下水环境。</w:t>
      </w:r>
    </w:p>
    <w:p w14:paraId="16D80D9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17" w:name="_Toc10731"/>
      <w:bookmarkStart w:id="818" w:name="_Toc15471"/>
      <w:r>
        <w:rPr>
          <w:rFonts w:ascii="Times New Roman" w:hAnsi="Times New Roman"/>
          <w:snapToGrid/>
          <w:color w:val="auto"/>
          <w:sz w:val="24"/>
          <w:szCs w:val="24"/>
          <w:lang w:eastAsia="zh-CN"/>
        </w:rPr>
        <w:t>（2）预防地下水污染物的要求及环境管理建议</w:t>
      </w:r>
      <w:bookmarkEnd w:id="817"/>
      <w:bookmarkEnd w:id="818"/>
    </w:p>
    <w:p w14:paraId="798EB4B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在施工阶段，应充分做好排污管理的防渗处理，杜绝污水渗漏，确保污水收集处理系统衔接良好，严格用水管理。针对本项目可能对地下水造成的污染情况，本评价要求建设单位拟采取防止地下水污染的保护措施如下：</w:t>
      </w:r>
    </w:p>
    <w:p w14:paraId="72B7E6A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1）分区防渗方案</w:t>
      </w:r>
    </w:p>
    <w:p w14:paraId="1417D55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因本项目投产后，项目在运营过程中会产生</w:t>
      </w:r>
      <w:r>
        <w:rPr>
          <w:rFonts w:hint="eastAsia" w:ascii="Times New Roman" w:hAnsi="Times New Roman"/>
          <w:snapToGrid/>
          <w:color w:val="auto"/>
          <w:sz w:val="24"/>
          <w:szCs w:val="24"/>
          <w:lang w:eastAsia="zh-CN"/>
        </w:rPr>
        <w:t>含油废水</w:t>
      </w:r>
      <w:r>
        <w:rPr>
          <w:rFonts w:ascii="Times New Roman" w:hAnsi="Times New Roman"/>
          <w:snapToGrid/>
          <w:color w:val="auto"/>
          <w:sz w:val="24"/>
          <w:szCs w:val="24"/>
          <w:lang w:eastAsia="zh-CN"/>
        </w:rPr>
        <w:t>沉淀污泥、废润滑油和废活性炭等废物，拟针对生产工序和污染因子以及对地下水环境的危害程度的不同进行分区，分为简单防渗区和重点防渗区，从而采取不同的防渗措施。</w:t>
      </w:r>
    </w:p>
    <w:p w14:paraId="7160CB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19" w:name="_Toc22627"/>
      <w:bookmarkStart w:id="820" w:name="_Toc12970"/>
      <w:r>
        <w:rPr>
          <w:rFonts w:ascii="Times New Roman" w:hAnsi="Times New Roman"/>
          <w:snapToGrid/>
          <w:color w:val="auto"/>
          <w:sz w:val="24"/>
          <w:szCs w:val="24"/>
          <w:lang w:eastAsia="zh-CN"/>
        </w:rPr>
        <w:t>（2）其他环节管理方案</w:t>
      </w:r>
      <w:bookmarkEnd w:id="819"/>
      <w:bookmarkEnd w:id="820"/>
    </w:p>
    <w:p w14:paraId="2964B24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加强生产和设备运行管理，从原料产品储存、生产、运输、污染处理设施等全过程控制各种有害材料、产品泄漏，采取行之有效的防渗措施，定期检查污染源</w:t>
      </w:r>
      <w:r>
        <w:rPr>
          <w:rFonts w:hint="eastAsia" w:ascii="Times New Roman" w:hAnsi="Times New Roman"/>
          <w:snapToGrid/>
          <w:color w:val="auto"/>
          <w:sz w:val="24"/>
          <w:szCs w:val="24"/>
          <w:lang w:eastAsia="zh-CN"/>
        </w:rPr>
        <w:t>项目</w:t>
      </w:r>
      <w:r>
        <w:rPr>
          <w:rFonts w:ascii="Times New Roman" w:hAnsi="Times New Roman"/>
          <w:snapToGrid/>
          <w:color w:val="auto"/>
          <w:sz w:val="24"/>
          <w:szCs w:val="24"/>
          <w:lang w:eastAsia="zh-CN"/>
        </w:rPr>
        <w:t>地下水保护设施，及时消除污染隐患，杜绝跑冒滴漏现象；</w:t>
      </w:r>
      <w:r>
        <w:rPr>
          <w:rFonts w:hint="eastAsia" w:ascii="Times New Roman" w:hAnsi="Times New Roman"/>
          <w:snapToGrid/>
          <w:color w:val="auto"/>
          <w:sz w:val="24"/>
          <w:szCs w:val="24"/>
          <w:lang w:eastAsia="zh-CN"/>
        </w:rPr>
        <w:t>发生</w:t>
      </w:r>
      <w:r>
        <w:rPr>
          <w:rFonts w:ascii="Times New Roman" w:hAnsi="Times New Roman"/>
          <w:snapToGrid/>
          <w:color w:val="auto"/>
          <w:sz w:val="24"/>
          <w:szCs w:val="24"/>
          <w:lang w:eastAsia="zh-CN"/>
        </w:rPr>
        <w:t>污染物泄漏或渗漏，采取清理污染物和修补漏洞（缝）等补救措施。</w:t>
      </w:r>
    </w:p>
    <w:p w14:paraId="1718FFB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本工程厂区生产车间地面现状下应采取的防渗措施如下：</w:t>
      </w:r>
    </w:p>
    <w:p w14:paraId="35174E8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1）项目重点防渗区的防腐防渗措施</w:t>
      </w:r>
    </w:p>
    <w:p w14:paraId="5A2D31B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危废暂存间应按照有关防渗要求建设必须做好防渗措施，防渗层防渗性能不能低于6米厚，渗透系数≤10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厘米/秒的防渗性能，防止渗滤液泄漏污染地下水；危废暂存间应严格按照《危险废物贮存污染控制标准》（GB18957-2023）中有关规定进行建设。</w:t>
      </w:r>
    </w:p>
    <w:p w14:paraId="12DA1A8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2）一般防渗区</w:t>
      </w:r>
    </w:p>
    <w:p w14:paraId="54391C2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冷却水池、沉淀池、生活污水处理设施及储存池采用一般防渗方式，要求防渗性能达到渗透系数＜10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cm/s的防渗性能，冷却水池已进行防渗处置，本次主要针对沉淀池设施进行防渗。</w:t>
      </w:r>
    </w:p>
    <w:p w14:paraId="2DF95C2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3）简单防渗区防腐防渗措施</w:t>
      </w:r>
    </w:p>
    <w:p w14:paraId="5251448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产车间、库房地面采用水泥硬化防渗，并用防渗材料进行防渗。厂区其他地面除绿化用地、预留空地外均采取灰土铺底，再在上层铺10～15cm的混凝土进行硬化。此外，要求企业应充分做好污水管道的防渗处理，杜绝污水渗漏，确保污水收集处理系统衔接良好，严格用水管理，防止污水“跑、冒、滴、漏”现象的发生，这样可以保证项目区内产生的全部废水汇集后纳管，可以很大程度的消除周边地区污染物排放对地下水环境的影响。</w:t>
      </w:r>
    </w:p>
    <w:p w14:paraId="12BE81E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21" w:name="_Toc19655"/>
      <w:bookmarkStart w:id="822" w:name="_Toc1897"/>
      <w:r>
        <w:rPr>
          <w:rFonts w:ascii="Times New Roman" w:hAnsi="Times New Roman"/>
          <w:snapToGrid/>
          <w:color w:val="auto"/>
          <w:sz w:val="24"/>
          <w:szCs w:val="24"/>
          <w:lang w:eastAsia="zh-CN"/>
        </w:rPr>
        <w:t>（3）管理措施</w:t>
      </w:r>
      <w:bookmarkEnd w:id="821"/>
      <w:bookmarkEnd w:id="822"/>
    </w:p>
    <w:p w14:paraId="318B323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成立事故处理组织，一旦发生废水事故排放，应立即对设备进行维修，同时对废水进行回收、拦截，以防止污染地下水；</w:t>
      </w:r>
    </w:p>
    <w:p w14:paraId="441369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所述，本项目严格执行上述措施后，杜绝了厂区污水下渗的途径，绝大部分污染物得到有效控制，可有效避免本项目对地下水的影响。生产过程中产生的危险固废均能得到处置，处置途径可行，不会对环境产生二次污染。本评价认为建设单位采取的地下水污染防治措施在技术上是可行的。</w:t>
      </w:r>
    </w:p>
    <w:p w14:paraId="37D107FF">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823" w:name="_Toc1565"/>
      <w:r>
        <w:rPr>
          <w:rFonts w:hint="eastAsia" w:ascii="Times New Roman" w:hAnsi="Times New Roman" w:cs="Times New Roman"/>
          <w:b/>
          <w:bCs/>
          <w:snapToGrid/>
          <w:color w:val="auto"/>
          <w:sz w:val="28"/>
          <w:szCs w:val="32"/>
          <w:lang w:eastAsia="zh-CN"/>
        </w:rPr>
        <w:t>6.2.3营运期噪声污染防治对策及措施</w:t>
      </w:r>
      <w:bookmarkEnd w:id="823"/>
    </w:p>
    <w:p w14:paraId="692C8AC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本项目噪声源主要为破碎机、搅拌机、造粒机、切粒机、挤出机、风机等生产设备产生的噪声，声级为60～90dB</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之间。采取防治措施如下：</w:t>
      </w:r>
    </w:p>
    <w:p w14:paraId="6CD465D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（1）合理布局，要充分考虑各机械设备及各生产工序的性能特点，高噪声设备尽量放置在厂房中部集中布置。在厂区总体布置上利用建筑物、构筑物等阻隔声波的传播；</w:t>
      </w:r>
    </w:p>
    <w:p w14:paraId="2B53740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24" w:name="_Toc13606"/>
      <w:bookmarkStart w:id="825" w:name="_Toc27658"/>
      <w:r>
        <w:rPr>
          <w:rFonts w:ascii="Times New Roman" w:hAnsi="Times New Roman"/>
          <w:snapToGrid/>
          <w:color w:val="auto"/>
          <w:sz w:val="24"/>
          <w:szCs w:val="24"/>
          <w:lang w:eastAsia="zh-CN"/>
        </w:rPr>
        <w:t>（2）选用低噪声设备，基础减振、采取厂房隔音等措施降噪。</w:t>
      </w:r>
      <w:bookmarkEnd w:id="824"/>
      <w:bookmarkEnd w:id="825"/>
    </w:p>
    <w:p w14:paraId="3B97B7E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（3）建立设备定期维护、保养的管理制度，防止设备故障形成的非正常生产噪声，同时确保环保措施发挥最佳降噪功能。</w:t>
      </w:r>
    </w:p>
    <w:p w14:paraId="467777C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采取上述噪声污染防治措施后，厂界外昼夜间噪声值可满足《工业企业厂界环境噪声排放标准》（GB12348-2008）中</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类标准的要求，噪声防治措施可行。</w:t>
      </w:r>
    </w:p>
    <w:p w14:paraId="703A0898">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826" w:name="_Toc23942"/>
      <w:r>
        <w:rPr>
          <w:rFonts w:hint="eastAsia" w:ascii="Times New Roman" w:hAnsi="Times New Roman" w:cs="Times New Roman"/>
          <w:b/>
          <w:bCs/>
          <w:snapToGrid/>
          <w:color w:val="auto"/>
          <w:sz w:val="28"/>
          <w:szCs w:val="32"/>
          <w:lang w:eastAsia="zh-CN"/>
        </w:rPr>
        <w:t>6.2.4营运期固体废物防治对策及措施</w:t>
      </w:r>
      <w:bookmarkEnd w:id="826"/>
    </w:p>
    <w:p w14:paraId="7D68951E">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27" w:name="_Toc14843"/>
      <w:bookmarkStart w:id="828" w:name="_Toc7321"/>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"C:\\Users\\jobezho\\AppData\\Local\\Temp\\Rar$DIa13476.12779\\6.2.4.1"</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6.2.4.1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固体废物种类及处置方式</w:t>
      </w:r>
      <w:bookmarkEnd w:id="827"/>
      <w:bookmarkEnd w:id="828"/>
    </w:p>
    <w:p w14:paraId="302DA14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塑料颗粒加工生产线产生的固体废物为废旧滴灌带清洗产生的泥沙、造粒工段产生的废滤网；滴灌带生产线产生的不合格产品及边角料；另外还有活性炭吸附装置产生的废活性炭、设备维护产生的废润滑油及工作人员产生的生活垃圾等。</w:t>
      </w:r>
    </w:p>
    <w:p w14:paraId="6191D51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29" w:name="_Toc28925"/>
      <w:bookmarkStart w:id="830" w:name="_Toc19902"/>
      <w:bookmarkStart w:id="831" w:name="_Toc12121"/>
      <w:r>
        <w:rPr>
          <w:rFonts w:ascii="Times New Roman" w:hAnsi="Times New Roman"/>
          <w:snapToGrid/>
          <w:color w:val="auto"/>
          <w:sz w:val="24"/>
          <w:szCs w:val="24"/>
          <w:lang w:eastAsia="zh-CN"/>
        </w:rPr>
        <w:t>1、一般固废</w:t>
      </w:r>
      <w:bookmarkEnd w:id="829"/>
      <w:bookmarkEnd w:id="830"/>
      <w:bookmarkEnd w:id="831"/>
    </w:p>
    <w:p w14:paraId="32A9F16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32" w:name="_Toc20038"/>
      <w:bookmarkStart w:id="833" w:name="_Toc31133"/>
      <w:r>
        <w:rPr>
          <w:rFonts w:ascii="Times New Roman" w:hAnsi="Times New Roman"/>
          <w:snapToGrid/>
          <w:color w:val="auto"/>
          <w:sz w:val="24"/>
          <w:szCs w:val="24"/>
          <w:lang w:eastAsia="zh-CN"/>
        </w:rPr>
        <w:t>（1）</w:t>
      </w:r>
      <w:r>
        <w:rPr>
          <w:rFonts w:hint="eastAsia" w:ascii="Times New Roman" w:hAnsi="Times New Roman"/>
          <w:snapToGrid/>
          <w:color w:val="auto"/>
          <w:sz w:val="24"/>
          <w:szCs w:val="24"/>
          <w:lang w:eastAsia="zh-CN"/>
        </w:rPr>
        <w:t>分拣废物、</w:t>
      </w:r>
      <w:r>
        <w:rPr>
          <w:rFonts w:ascii="Times New Roman" w:hAnsi="Times New Roman"/>
          <w:snapToGrid/>
          <w:color w:val="auto"/>
          <w:sz w:val="24"/>
          <w:szCs w:val="24"/>
          <w:lang w:eastAsia="zh-CN"/>
        </w:rPr>
        <w:t>清洗废渣及泥沙</w:t>
      </w:r>
      <w:bookmarkEnd w:id="832"/>
      <w:bookmarkEnd w:id="833"/>
    </w:p>
    <w:p w14:paraId="3C9F193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废旧滴灌带在田间回收后直接运回厂区进行破碎清洗，因此，清洗过程会产生废渣及泥沙，本项目废旧滴灌带清洗废渣及泥沙产生量约为307.75t/a，主要成分为泥土，待生产季结束后统一清掏，泥土经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w:t>
      </w:r>
      <w:r>
        <w:rPr>
          <w:rFonts w:hint="eastAsia" w:ascii="Times New Roman" w:hAnsi="Times New Roman"/>
          <w:snapToGrid/>
          <w:color w:val="auto"/>
          <w:sz w:val="24"/>
          <w:szCs w:val="24"/>
          <w:lang w:eastAsia="zh-CN"/>
        </w:rPr>
        <w:t>同分拣废物</w:t>
      </w:r>
      <w:r>
        <w:rPr>
          <w:rFonts w:ascii="Times New Roman" w:hAnsi="Times New Roman"/>
          <w:snapToGrid/>
          <w:color w:val="auto"/>
          <w:sz w:val="24"/>
          <w:szCs w:val="24"/>
          <w:lang w:eastAsia="zh-CN"/>
        </w:rPr>
        <w:t>交由环卫部门外运填埋处理。</w:t>
      </w:r>
    </w:p>
    <w:p w14:paraId="3E98400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34" w:name="_Toc30463"/>
      <w:bookmarkStart w:id="835" w:name="_Toc1004"/>
      <w:r>
        <w:rPr>
          <w:rFonts w:ascii="Times New Roman" w:hAnsi="Times New Roman"/>
          <w:snapToGrid/>
          <w:color w:val="auto"/>
          <w:sz w:val="24"/>
          <w:szCs w:val="24"/>
          <w:lang w:eastAsia="zh-CN"/>
        </w:rPr>
        <w:t>（2）滴灌带残次品及边角料</w:t>
      </w:r>
      <w:bookmarkEnd w:id="834"/>
      <w:bookmarkEnd w:id="835"/>
    </w:p>
    <w:p w14:paraId="71DD4AF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滴灌带加工生产定型时会产生残次品及边角料，边角料、残次品产生量为52.05t/a，全部回至破碎工序再次破碎造粒循环利用。</w:t>
      </w:r>
    </w:p>
    <w:p w14:paraId="5191102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36" w:name="_Toc2881"/>
      <w:bookmarkStart w:id="837" w:name="_Toc12573"/>
      <w:r>
        <w:rPr>
          <w:rFonts w:ascii="Times New Roman" w:hAnsi="Times New Roman"/>
          <w:snapToGrid/>
          <w:color w:val="auto"/>
          <w:sz w:val="24"/>
          <w:szCs w:val="24"/>
          <w:lang w:eastAsia="zh-CN"/>
        </w:rPr>
        <w:t>（3）废滤网</w:t>
      </w:r>
      <w:bookmarkEnd w:id="836"/>
      <w:bookmarkEnd w:id="837"/>
    </w:p>
    <w:p w14:paraId="4525E49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废旧塑料在造粒工段需要进行加热融化，为保证再生颗粒料的质量，需要对熔融态废料进行过滤后再进行造粒，所使用的滤网随着使用时间的延长，网眼会逐渐变小，直至不能使用，根据同类项目调查，本项目滤网每天更换2次，每次20张，每张过滤网重约0.25kg，则本项目废旧滤网产生量约为2.4t/a。滤网上主要为熔融废塑料的杂质，是一般工业废物，经收集后定期由厂家回收。</w:t>
      </w:r>
    </w:p>
    <w:p w14:paraId="59C02E3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38" w:name="_Toc10347"/>
      <w:bookmarkStart w:id="839" w:name="_Toc29349"/>
      <w:bookmarkStart w:id="840" w:name="_Toc28382"/>
      <w:r>
        <w:rPr>
          <w:rFonts w:ascii="Times New Roman" w:hAnsi="Times New Roman"/>
          <w:snapToGrid/>
          <w:color w:val="auto"/>
          <w:sz w:val="24"/>
          <w:szCs w:val="24"/>
          <w:lang w:eastAsia="zh-CN"/>
        </w:rPr>
        <w:t>2、危险废物</w:t>
      </w:r>
      <w:bookmarkEnd w:id="838"/>
      <w:bookmarkEnd w:id="839"/>
      <w:bookmarkEnd w:id="840"/>
    </w:p>
    <w:p w14:paraId="3CB9728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41" w:name="_Toc8624"/>
      <w:bookmarkStart w:id="842" w:name="_Toc6609"/>
      <w:r>
        <w:rPr>
          <w:rFonts w:ascii="Times New Roman" w:hAnsi="Times New Roman"/>
          <w:snapToGrid/>
          <w:color w:val="auto"/>
          <w:sz w:val="24"/>
          <w:szCs w:val="24"/>
          <w:lang w:eastAsia="zh-CN"/>
        </w:rPr>
        <w:t>（1）废润滑油</w:t>
      </w:r>
      <w:bookmarkEnd w:id="841"/>
      <w:bookmarkEnd w:id="842"/>
    </w:p>
    <w:p w14:paraId="316CA07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本项目生产过程中使用的机械设备需定期更换润滑油以保证设备正常运转，预计每年需更换润滑油500kg。根据《国家危险废物名录》</w:t>
      </w:r>
      <w:r>
        <w:rPr>
          <w:rFonts w:hint="eastAsia" w:ascii="Times New Roman" w:hAnsi="Times New Roman"/>
          <w:snapToGrid/>
          <w:color w:val="auto"/>
          <w:sz w:val="24"/>
          <w:szCs w:val="24"/>
          <w:lang w:eastAsia="zh-CN"/>
        </w:rPr>
        <w:t>（2025年版）</w:t>
      </w:r>
      <w:r>
        <w:rPr>
          <w:rFonts w:hint="default" w:ascii="Times New Roman" w:hAnsi="Times New Roman"/>
          <w:snapToGrid/>
          <w:color w:val="auto"/>
          <w:sz w:val="24"/>
          <w:szCs w:val="24"/>
          <w:lang w:val="en-US" w:eastAsia="zh-CN"/>
        </w:rPr>
        <w:t>本项目产生的废润滑油、废润滑油桶属于HW08废矿物油与含矿物油废物，废物代码分别为900-217-08、900-249-08。</w:t>
      </w:r>
      <w:r>
        <w:rPr>
          <w:rFonts w:hint="default" w:ascii="Times New Roman" w:hAnsi="Times New Roman"/>
          <w:snapToGrid/>
          <w:color w:val="auto"/>
          <w:sz w:val="24"/>
          <w:szCs w:val="24"/>
          <w:lang w:eastAsia="zh-CN"/>
        </w:rPr>
        <w:t>厂区设危废暂存间，项目产生的</w:t>
      </w:r>
      <w:r>
        <w:rPr>
          <w:rFonts w:hint="default" w:ascii="Times New Roman" w:hAnsi="Times New Roman"/>
          <w:snapToGrid/>
          <w:color w:val="auto"/>
          <w:sz w:val="24"/>
          <w:szCs w:val="24"/>
          <w:lang w:val="en-US" w:eastAsia="zh-CN"/>
        </w:rPr>
        <w:t>废润滑油采用桶装收集储存，同废润滑油桶分类暂存于</w:t>
      </w:r>
      <w:r>
        <w:rPr>
          <w:rFonts w:hint="default" w:ascii="Times New Roman" w:hAnsi="Times New Roman"/>
          <w:snapToGrid/>
          <w:color w:val="auto"/>
          <w:sz w:val="24"/>
          <w:szCs w:val="24"/>
          <w:lang w:eastAsia="zh-CN"/>
        </w:rPr>
        <w:t>危废暂存间，</w:t>
      </w:r>
      <w:r>
        <w:rPr>
          <w:rFonts w:hint="default" w:ascii="Times New Roman" w:hAnsi="Times New Roman"/>
          <w:snapToGrid/>
          <w:color w:val="auto"/>
          <w:sz w:val="24"/>
          <w:szCs w:val="24"/>
          <w:lang w:val="en-US" w:eastAsia="zh-CN"/>
        </w:rPr>
        <w:t>定期</w:t>
      </w:r>
      <w:r>
        <w:rPr>
          <w:rFonts w:hint="default" w:ascii="Times New Roman" w:hAnsi="Times New Roman"/>
          <w:snapToGrid/>
          <w:color w:val="auto"/>
          <w:sz w:val="24"/>
          <w:szCs w:val="24"/>
          <w:lang w:eastAsia="zh-CN"/>
        </w:rPr>
        <w:t>委托有资质单位进行处置。</w:t>
      </w:r>
    </w:p>
    <w:p w14:paraId="2F5561E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843" w:name="_Toc17790"/>
      <w:bookmarkStart w:id="844" w:name="_Toc12252"/>
      <w:r>
        <w:rPr>
          <w:rFonts w:ascii="Times New Roman" w:hAnsi="Times New Roman"/>
          <w:snapToGrid/>
          <w:color w:val="auto"/>
          <w:sz w:val="24"/>
          <w:szCs w:val="24"/>
          <w:lang w:eastAsia="zh-CN"/>
        </w:rPr>
        <w:t>（2）废活性炭</w:t>
      </w:r>
      <w:bookmarkEnd w:id="843"/>
      <w:bookmarkEnd w:id="844"/>
    </w:p>
    <w:p w14:paraId="799AB9B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项目生产过程产生的非甲烷总烃采用</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进行处置，</w:t>
      </w:r>
      <w:r>
        <w:rPr>
          <w:rFonts w:hint="eastAsia" w:ascii="Times New Roman" w:hAnsi="Times New Roman"/>
          <w:snapToGrid/>
          <w:color w:val="auto"/>
          <w:sz w:val="24"/>
          <w:szCs w:val="24"/>
          <w:lang w:eastAsia="zh-CN"/>
        </w:rPr>
        <w:t>活性炭</w:t>
      </w:r>
      <w:r>
        <w:rPr>
          <w:rFonts w:ascii="Times New Roman" w:hAnsi="Times New Roman"/>
          <w:snapToGrid/>
          <w:color w:val="auto"/>
          <w:sz w:val="24"/>
          <w:szCs w:val="24"/>
          <w:lang w:eastAsia="zh-CN"/>
        </w:rPr>
        <w:t>在运行再生一段时间后处置效率会有所降低，因此需要更换新的</w:t>
      </w:r>
      <w:r>
        <w:rPr>
          <w:rFonts w:hint="eastAsia" w:ascii="Times New Roman" w:hAnsi="Times New Roman"/>
          <w:snapToGrid/>
          <w:color w:val="auto"/>
          <w:sz w:val="24"/>
          <w:szCs w:val="24"/>
          <w:lang w:eastAsia="zh-CN"/>
        </w:rPr>
        <w:t>活性炭</w:t>
      </w:r>
      <w:r>
        <w:rPr>
          <w:rFonts w:ascii="Times New Roman" w:hAnsi="Times New Roman"/>
          <w:snapToGrid/>
          <w:color w:val="auto"/>
          <w:sz w:val="24"/>
          <w:szCs w:val="24"/>
          <w:lang w:eastAsia="zh-CN"/>
        </w:rPr>
        <w:t>。项目运营期产生废活性炭</w:t>
      </w:r>
      <w:r>
        <w:rPr>
          <w:rFonts w:hint="eastAsia" w:ascii="Times New Roman" w:hAnsi="Times New Roman"/>
          <w:snapToGrid/>
          <w:color w:val="auto"/>
          <w:sz w:val="24"/>
          <w:szCs w:val="24"/>
          <w:lang w:val="en-US" w:eastAsia="zh-CN"/>
        </w:rPr>
        <w:t>6.48</w:t>
      </w:r>
      <w:r>
        <w:rPr>
          <w:rFonts w:ascii="Times New Roman" w:hAnsi="Times New Roman"/>
          <w:snapToGrid/>
          <w:color w:val="auto"/>
          <w:sz w:val="24"/>
          <w:szCs w:val="24"/>
          <w:lang w:eastAsia="zh-CN"/>
        </w:rPr>
        <w:t>t/a。根据《国家危险废物名录》</w:t>
      </w:r>
      <w:r>
        <w:rPr>
          <w:rFonts w:hint="eastAsia" w:ascii="Times New Roman" w:hAnsi="Times New Roman"/>
          <w:snapToGrid/>
          <w:color w:val="auto"/>
          <w:sz w:val="24"/>
          <w:szCs w:val="24"/>
          <w:lang w:eastAsia="zh-CN"/>
        </w:rPr>
        <w:t>（2025年版）</w:t>
      </w:r>
      <w:r>
        <w:rPr>
          <w:rFonts w:ascii="Times New Roman" w:hAnsi="Times New Roman"/>
          <w:snapToGrid/>
          <w:color w:val="auto"/>
          <w:sz w:val="24"/>
          <w:szCs w:val="24"/>
          <w:lang w:eastAsia="zh-CN"/>
        </w:rPr>
        <w:t>，危险废物类别为HW49，废物代码为900-039-49。</w:t>
      </w:r>
    </w:p>
    <w:p w14:paraId="24D1961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snapToGrid/>
          <w:color w:val="auto"/>
          <w:sz w:val="24"/>
          <w:szCs w:val="24"/>
          <w:lang w:val="en-US" w:eastAsia="zh-CN"/>
        </w:rPr>
      </w:pPr>
      <w:bookmarkStart w:id="845" w:name="_Toc4767"/>
      <w:bookmarkStart w:id="846" w:name="_Toc29899"/>
      <w:bookmarkStart w:id="847" w:name="_Toc10841"/>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3</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废催化剂</w:t>
      </w:r>
    </w:p>
    <w:p w14:paraId="0E181E9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本项目挥发性有机物采用“活性炭吸附脱附+蓄热催化燃烧（RCO）一体化装置”处置，根据催化剂的使用寿命，一般2年更换1次，每次更换产生废催化剂0.24吨，折算到年均则废催化剂产生量约为0.12吨/年。根据《国家危险废物名录》（2025版）规定，废催化剂属于危险废物，危废类别为HW49其他废物，废物代码：900-041-49，集中收集在危废暂存间内，定期交由具有相关资质的单位进行清运处置。</w:t>
      </w:r>
    </w:p>
    <w:p w14:paraId="3FD425B5">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3、生活垃圾</w:t>
      </w:r>
      <w:bookmarkEnd w:id="845"/>
      <w:bookmarkEnd w:id="846"/>
      <w:bookmarkEnd w:id="847"/>
    </w:p>
    <w:p w14:paraId="48B7647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本项目工作人员生活垃圾的产生量为2.4t/a。厂区设置垃圾桶，生活垃圾经分类集中收集后，由环卫部门定期拉运统一处置。</w:t>
      </w:r>
    </w:p>
    <w:p w14:paraId="3E95657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本次评价要求建设单位设置危废暂存间（</w:t>
      </w:r>
      <w:r>
        <w:rPr>
          <w:rFonts w:hint="eastAsia" w:ascii="Times New Roman" w:hAnsi="Times New Roman"/>
          <w:snapToGrid/>
          <w:color w:val="auto"/>
          <w:sz w:val="24"/>
          <w:szCs w:val="24"/>
          <w:lang w:eastAsia="zh-CN"/>
        </w:rPr>
        <w:t>5</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2</w:t>
      </w:r>
      <w:r>
        <w:rPr>
          <w:rFonts w:ascii="Times New Roman" w:hAnsi="Times New Roman"/>
          <w:snapToGrid/>
          <w:color w:val="auto"/>
          <w:sz w:val="24"/>
          <w:szCs w:val="24"/>
          <w:lang w:eastAsia="zh-CN"/>
        </w:rPr>
        <w:t>），用于暂存废润滑油和废活性炭，并进行分区防雨、防晒、防渗，防火措施。建设单位生产中产生的危险废物应增设分类收纳装置，并与具有危废处置资质单位签订清运处置协议，确保危废去向明确，并做好危废转移联单、台账。</w:t>
      </w:r>
    </w:p>
    <w:p w14:paraId="04638B30">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48" w:name="_Toc25843"/>
      <w:bookmarkStart w:id="849" w:name="_Toc32220"/>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"C:\\Users\\jobezho\\AppData\\Local\\Temp\\Rar$DIa13476.12779\\6.2.4.2"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6.2.4.2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固体废物临时储存场所的控制要求</w:t>
      </w:r>
      <w:bookmarkEnd w:id="848"/>
      <w:bookmarkEnd w:id="849"/>
    </w:p>
    <w:p w14:paraId="79DF5FF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50" w:name="_Toc22219"/>
      <w:bookmarkStart w:id="851" w:name="_Toc21489"/>
      <w:r>
        <w:rPr>
          <w:rFonts w:ascii="Times New Roman" w:hAnsi="Times New Roman"/>
          <w:snapToGrid/>
          <w:color w:val="auto"/>
          <w:sz w:val="24"/>
          <w:szCs w:val="24"/>
          <w:lang w:eastAsia="zh-CN"/>
        </w:rPr>
        <w:t>（1）一般工业固废</w:t>
      </w:r>
      <w:bookmarkEnd w:id="850"/>
      <w:bookmarkEnd w:id="851"/>
    </w:p>
    <w:p w14:paraId="0970808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固废暂存设施应做好防渗，防渗等级应达到《一般工业固体废物贮存和填埋污染控制标准》（GB18599-2020）中规定的渗透系数不大于10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cm/s的要求，防止污水下渗污染地下水。</w:t>
      </w:r>
    </w:p>
    <w:p w14:paraId="3BFFD57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52" w:name="_Toc31926"/>
      <w:bookmarkStart w:id="853" w:name="_Toc6984"/>
      <w:r>
        <w:rPr>
          <w:rFonts w:ascii="Times New Roman" w:hAnsi="Times New Roman"/>
          <w:snapToGrid/>
          <w:color w:val="auto"/>
          <w:sz w:val="24"/>
          <w:szCs w:val="24"/>
          <w:lang w:eastAsia="zh-CN"/>
        </w:rPr>
        <w:t>（2）危险废物</w:t>
      </w:r>
      <w:bookmarkEnd w:id="852"/>
      <w:bookmarkEnd w:id="853"/>
    </w:p>
    <w:p w14:paraId="60AD444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评价要求建设单位设置危废暂存间，用于暂存废润滑油和废活性炭，定期交由有资质单位处置。危废暂存间的设置严格按照《危险废物贮存污染控制标准》（GB18957-2023）中有关规定，危险废物存放期间，使用完好无损容器盛装；用于存放装置危险废物容器的地方必须有耐腐蚀的硬化地面，且表面无裂痕。储存容器上必须粘贴该标准中规定的危险废物标签；容器材质与危险废物本身相容（不相互反应）；基础做防渗，防渗层为至少1m粘土层（渗透系数小于等于1×10</w:t>
      </w:r>
      <w:r>
        <w:rPr>
          <w:rFonts w:ascii="Times New Roman" w:hAnsi="Times New Roman"/>
          <w:snapToGrid/>
          <w:color w:val="auto"/>
          <w:sz w:val="24"/>
          <w:szCs w:val="24"/>
          <w:vertAlign w:val="superscript"/>
          <w:lang w:eastAsia="zh-CN"/>
        </w:rPr>
        <w:t>-7</w:t>
      </w:r>
      <w:r>
        <w:rPr>
          <w:rFonts w:ascii="Times New Roman" w:hAnsi="Times New Roman"/>
          <w:snapToGrid/>
          <w:color w:val="auto"/>
          <w:sz w:val="24"/>
          <w:szCs w:val="24"/>
          <w:lang w:eastAsia="zh-CN"/>
        </w:rPr>
        <w:t>cm/s）。废润滑油储存周围设置围堰，防止废液溢流。危废暂存间设置危险废物识别标志，并设置“双人双锁”制度管理。设有专人管理危险废物，并在产生、贮存、利用、处置等环节建立危险废物</w:t>
      </w:r>
      <w:r>
        <w:rPr>
          <w:rFonts w:hint="eastAsia" w:ascii="Times New Roman" w:hAnsi="Times New Roman"/>
          <w:snapToGrid/>
          <w:color w:val="auto"/>
          <w:sz w:val="24"/>
          <w:szCs w:val="24"/>
          <w:lang w:eastAsia="zh-CN"/>
        </w:rPr>
        <w:t>管理</w:t>
      </w:r>
      <w:r>
        <w:rPr>
          <w:rFonts w:ascii="Times New Roman" w:hAnsi="Times New Roman"/>
          <w:snapToGrid/>
          <w:color w:val="auto"/>
          <w:sz w:val="24"/>
          <w:szCs w:val="24"/>
          <w:lang w:eastAsia="zh-CN"/>
        </w:rPr>
        <w:t>台账。</w:t>
      </w:r>
    </w:p>
    <w:p w14:paraId="7221DA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危险废物贮存容器应满足：</w:t>
      </w:r>
    </w:p>
    <w:p w14:paraId="17B7C2C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①使用符合标准的容器盛装危险废物；应定期对暂时贮存危险废物包装及设施进行检查，发现破损，及时采取措施清理更换；</w:t>
      </w:r>
    </w:p>
    <w:p w14:paraId="7FB8F9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②装载危险废物的容器及材质要满足相应的强度要求；</w:t>
      </w:r>
    </w:p>
    <w:p w14:paraId="7645CB5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③装载危险废物的容器必须完好无损；</w:t>
      </w:r>
    </w:p>
    <w:p w14:paraId="6E960B6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盛装危险废物的容器材质和衬里要与危险废物相容，不相互反应。危险废物堆放场所选址、平面布置、设计原则及危险废物的堆放要求等，必须满足《危险废物储存污染控制标准》（GB18597-2023）的相关要求。危险废物贮存间必须按（GB15562.2）的规定设置警示标志，周围应设置围墙或</w:t>
      </w:r>
      <w:r>
        <w:rPr>
          <w:rFonts w:hint="eastAsia" w:ascii="Times New Roman" w:hAnsi="Times New Roman"/>
          <w:snapToGrid/>
          <w:color w:val="auto"/>
          <w:sz w:val="24"/>
          <w:szCs w:val="24"/>
          <w:lang w:eastAsia="zh-CN"/>
        </w:rPr>
        <w:t>其他</w:t>
      </w:r>
      <w:r>
        <w:rPr>
          <w:rFonts w:ascii="Times New Roman" w:hAnsi="Times New Roman"/>
          <w:snapToGrid/>
          <w:color w:val="auto"/>
          <w:sz w:val="24"/>
          <w:szCs w:val="24"/>
          <w:lang w:eastAsia="zh-CN"/>
        </w:rPr>
        <w:t>防护栅栏，配备通讯设备、照明设施、安全防护服装及工具，并设有应急防护设施。</w:t>
      </w:r>
    </w:p>
    <w:p w14:paraId="0D3FC5E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14:paraId="62973EC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综上分析，对固体废物采取相应治理措施后，固废可以得到合理处置，措施合理可行。</w:t>
      </w:r>
    </w:p>
    <w:p w14:paraId="5F4F28CF">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854" w:name="_Toc29413"/>
      <w:r>
        <w:rPr>
          <w:rFonts w:hint="eastAsia" w:ascii="Times New Roman" w:hAnsi="Times New Roman" w:cs="Times New Roman"/>
          <w:b/>
          <w:bCs/>
          <w:snapToGrid/>
          <w:color w:val="auto"/>
          <w:sz w:val="28"/>
          <w:szCs w:val="32"/>
          <w:lang w:eastAsia="zh-CN"/>
        </w:rPr>
        <w:t>6.2.5土壤环境保护措施</w:t>
      </w:r>
      <w:bookmarkEnd w:id="854"/>
    </w:p>
    <w:p w14:paraId="7ADD7DF7">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55" w:name="_Toc20529"/>
      <w:bookmarkStart w:id="856" w:name="_Toc14033"/>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"C:\\Users\\jobezho\\AppData\\Local\\Temp\\Rar$DIa13476.12779\\6.2.5.1"</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6.2.5.1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保护对象及目标</w:t>
      </w:r>
      <w:bookmarkEnd w:id="855"/>
      <w:bookmarkEnd w:id="856"/>
    </w:p>
    <w:p w14:paraId="1E3654B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本项目保护对象为厂界外50m范围内的用地。项目施工运营期间，</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满足《土壤环境质量</w:t>
      </w:r>
      <w:r>
        <w:rPr>
          <w:rFonts w:hint="eastAsia"/>
          <w:color w:val="auto"/>
          <w:lang w:val="en-US" w:eastAsia="zh-CN"/>
        </w:rPr>
        <w:t xml:space="preserve"> </w:t>
      </w:r>
      <w:r>
        <w:rPr>
          <w:rFonts w:ascii="Times New Roman" w:hAnsi="Times New Roman"/>
          <w:snapToGrid/>
          <w:color w:val="auto"/>
          <w:sz w:val="24"/>
          <w:szCs w:val="24"/>
          <w:lang w:eastAsia="zh-CN"/>
        </w:rPr>
        <w:t>建设用地土壤污染风险管控标准（试行）》</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GB36600-2018</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中第二类用地相关标准。</w:t>
      </w:r>
    </w:p>
    <w:p w14:paraId="255D6845">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57" w:name="_Toc27232"/>
      <w:bookmarkStart w:id="858" w:name="_Toc6555"/>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"C:\\Users\\jobezho\\AppData\\Local\\Temp\\Rar$DIa13476.12779\\6.2.5.2"</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6.2.5.2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源头控制措施</w:t>
      </w:r>
      <w:bookmarkEnd w:id="857"/>
      <w:bookmarkEnd w:id="858"/>
    </w:p>
    <w:p w14:paraId="0B75ECD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项目建设运营过程中，对土壤污染的主要途径为水污染物垂直入渗进入土壤环境。故本项目对产生的废水应进行合理的治理和综合利用，尽可能从源头上减少可能污染物产生；严格按照国家相关规</w:t>
      </w:r>
      <w:r>
        <w:rPr>
          <w:rFonts w:hint="eastAsia" w:ascii="Times New Roman" w:hAnsi="Times New Roman"/>
          <w:snapToGrid/>
          <w:color w:val="auto"/>
          <w:sz w:val="24"/>
          <w:szCs w:val="24"/>
          <w:lang w:eastAsia="zh-CN"/>
        </w:rPr>
        <w:t>范的</w:t>
      </w:r>
      <w:r>
        <w:rPr>
          <w:rFonts w:ascii="Times New Roman" w:hAnsi="Times New Roman"/>
          <w:snapToGrid/>
          <w:color w:val="auto"/>
          <w:sz w:val="24"/>
          <w:szCs w:val="24"/>
          <w:lang w:eastAsia="zh-CN"/>
        </w:rPr>
        <w:t>要求，对该厂区采取相应的措施，以防止和降低可能污染物的跑、冒、滴、漏，将水污染物泄漏的环境风险事故降低到最低程度。</w:t>
      </w:r>
    </w:p>
    <w:p w14:paraId="460BE2C6">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59" w:name="_Toc14784"/>
      <w:bookmarkStart w:id="860" w:name="_Toc10775"/>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"C:\\Users\\jobezho\\AppData\\Local\\Temp\\Rar$DIa13476.12779\\6.2.5.3"</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6.2.5.3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防渗措施</w:t>
      </w:r>
      <w:bookmarkEnd w:id="859"/>
      <w:bookmarkEnd w:id="860"/>
    </w:p>
    <w:p w14:paraId="5107AAA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根据工序特点采取了相应的防腐防渗措施：污水收集设施采用混凝土整体浇筑，循环沉淀池采用混凝土整体浇筑+内壁环氧沥青防腐，</w:t>
      </w:r>
      <w:r>
        <w:rPr>
          <w:rFonts w:hint="eastAsia" w:ascii="Times New Roman" w:hAnsi="Times New Roman"/>
          <w:snapToGrid/>
          <w:color w:val="auto"/>
          <w:sz w:val="24"/>
          <w:szCs w:val="24"/>
          <w:lang w:eastAsia="zh-CN"/>
        </w:rPr>
        <w:t>其他</w:t>
      </w:r>
      <w:r>
        <w:rPr>
          <w:rFonts w:ascii="Times New Roman" w:hAnsi="Times New Roman"/>
          <w:snapToGrid/>
          <w:color w:val="auto"/>
          <w:sz w:val="24"/>
          <w:szCs w:val="24"/>
          <w:lang w:eastAsia="zh-CN"/>
        </w:rPr>
        <w:t>区域全部采用混凝土硬化。危险废物暂存间应采用钢筋混凝土加防渗剂的防渗地坪+人工材料（HDPE）防渗层，应确保其渗透系数小于1.0×10</w:t>
      </w:r>
      <w:r>
        <w:rPr>
          <w:rFonts w:ascii="Times New Roman" w:hAnsi="Times New Roman"/>
          <w:snapToGrid/>
          <w:color w:val="auto"/>
          <w:sz w:val="24"/>
          <w:szCs w:val="24"/>
          <w:vertAlign w:val="superscript"/>
          <w:lang w:eastAsia="zh-CN"/>
        </w:rPr>
        <w:t>-10</w:t>
      </w:r>
      <w:r>
        <w:rPr>
          <w:rFonts w:ascii="Times New Roman" w:hAnsi="Times New Roman"/>
          <w:snapToGrid/>
          <w:color w:val="auto"/>
          <w:sz w:val="24"/>
          <w:szCs w:val="24"/>
          <w:lang w:eastAsia="zh-CN"/>
        </w:rPr>
        <w:t>cm/s。</w:t>
      </w:r>
    </w:p>
    <w:p w14:paraId="2E29E77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当综合废水收集池发生泄漏后，危险废物包装破裂泄漏后，污染物和危险废物会进入土壤环境造成一定影响。因此，企业应该加强厂区重点部位防腐防渗措施的检查，发现防渗层开裂、破损、腐蚀等情况应及时修缮，确保防渗效果。</w:t>
      </w:r>
    </w:p>
    <w:p w14:paraId="18A269B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本项目污水地下管道、循环沉淀池、危险废物暂存间地面按照重点防渗区进行防渗。</w:t>
      </w:r>
    </w:p>
    <w:p w14:paraId="29BDAFDA">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61" w:name="_Toc743"/>
      <w:bookmarkStart w:id="862" w:name="_Toc7778"/>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"C:\\Users\\jobezho\\AppData\\Local\\Temp\\Rar$DIa13476.12779\\6.2.5.4"</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6.2.5.4</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跟踪监测措施</w:t>
      </w:r>
      <w:bookmarkEnd w:id="861"/>
      <w:bookmarkEnd w:id="862"/>
    </w:p>
    <w:p w14:paraId="6D0FFE0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了及时准确掌握场区及周边土壤环境质量状况和土壤中污染物的动态变化，项目覆盖全场的土壤环境长期监控系统，包括科学、合理地设置土壤污染监控点，建立完善的监测制度，配备先进的检测仪器和设备，以便及时发现并及时控制。</w:t>
      </w:r>
    </w:p>
    <w:p w14:paraId="19916FD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63" w:name="_Toc10332"/>
      <w:bookmarkStart w:id="864" w:name="_Toc1383"/>
      <w:r>
        <w:rPr>
          <w:rFonts w:ascii="Times New Roman" w:hAnsi="Times New Roman"/>
          <w:snapToGrid/>
          <w:color w:val="auto"/>
          <w:sz w:val="24"/>
          <w:szCs w:val="24"/>
          <w:lang w:eastAsia="zh-CN"/>
        </w:rPr>
        <w:t>（1）跟踪监测点布置</w:t>
      </w:r>
      <w:bookmarkEnd w:id="863"/>
      <w:bookmarkEnd w:id="864"/>
    </w:p>
    <w:p w14:paraId="7B7B88F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依据《环境影响评价技术导则土壤环境（试行）》（HJ964-2018）的要求，结合项目区地质条件，项目布设土壤监测点1处。</w:t>
      </w:r>
    </w:p>
    <w:p w14:paraId="4D41E549">
      <w:pPr>
        <w:pStyle w:val="2"/>
        <w:widowControl w:val="0"/>
        <w:shd w:val="clear"/>
        <w:kinsoku/>
        <w:autoSpaceDE/>
        <w:autoSpaceDN/>
        <w:adjustRightInd/>
        <w:snapToGrid/>
        <w:spacing w:line="360" w:lineRule="auto"/>
        <w:jc w:val="center"/>
        <w:textAlignment w:val="auto"/>
        <w:rPr>
          <w:rFonts w:ascii="Times New Roman" w:hAnsi="Times New Roman"/>
          <w:snapToGrid/>
          <w:color w:val="auto"/>
        </w:rPr>
      </w:pPr>
      <w:r>
        <w:rPr>
          <w:rFonts w:ascii="Times New Roman" w:hAnsi="Times New Roman"/>
          <w:b/>
          <w:bCs/>
          <w:snapToGrid/>
          <w:color w:val="auto"/>
          <w:sz w:val="24"/>
        </w:rPr>
        <w:t>表6.2-</w:t>
      </w:r>
      <w:r>
        <w:rPr>
          <w:rFonts w:hint="eastAsia" w:ascii="Times New Roman" w:hAnsi="Times New Roman"/>
          <w:b/>
          <w:bCs/>
          <w:snapToGrid/>
          <w:color w:val="auto"/>
          <w:sz w:val="24"/>
          <w:lang w:eastAsia="zh-CN"/>
        </w:rPr>
        <w:t>2</w:t>
      </w:r>
      <w:r>
        <w:rPr>
          <w:rFonts w:ascii="Times New Roman" w:hAnsi="Times New Roman"/>
          <w:b/>
          <w:bCs/>
          <w:snapToGrid/>
          <w:color w:val="auto"/>
          <w:sz w:val="24"/>
        </w:rPr>
        <w:t>土壤环境监测计划</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10"/>
        <w:gridCol w:w="2044"/>
        <w:gridCol w:w="1090"/>
        <w:gridCol w:w="2182"/>
        <w:gridCol w:w="1984"/>
      </w:tblGrid>
      <w:tr w14:paraId="54E91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11" w:type="pct"/>
            <w:tcBorders>
              <w:tl2br w:val="nil"/>
              <w:tr2bl w:val="nil"/>
            </w:tcBorders>
          </w:tcPr>
          <w:p w14:paraId="74060A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监测点号</w:t>
            </w:r>
          </w:p>
        </w:tc>
        <w:tc>
          <w:tcPr>
            <w:tcW w:w="1200" w:type="pct"/>
            <w:tcBorders>
              <w:tl2br w:val="nil"/>
              <w:tr2bl w:val="nil"/>
            </w:tcBorders>
          </w:tcPr>
          <w:p w14:paraId="26BC30B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监测点位置</w:t>
            </w:r>
          </w:p>
        </w:tc>
        <w:tc>
          <w:tcPr>
            <w:tcW w:w="640" w:type="pct"/>
            <w:tcBorders>
              <w:tl2br w:val="nil"/>
              <w:tr2bl w:val="nil"/>
            </w:tcBorders>
          </w:tcPr>
          <w:p w14:paraId="1CA6E6D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样品类型</w:t>
            </w:r>
          </w:p>
        </w:tc>
        <w:tc>
          <w:tcPr>
            <w:tcW w:w="1281" w:type="pct"/>
            <w:tcBorders>
              <w:tl2br w:val="nil"/>
              <w:tr2bl w:val="nil"/>
            </w:tcBorders>
          </w:tcPr>
          <w:p w14:paraId="49F22B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监测频率</w:t>
            </w:r>
          </w:p>
        </w:tc>
        <w:tc>
          <w:tcPr>
            <w:tcW w:w="1165" w:type="pct"/>
            <w:tcBorders>
              <w:tl2br w:val="nil"/>
              <w:tr2bl w:val="nil"/>
            </w:tcBorders>
          </w:tcPr>
          <w:p w14:paraId="6A8A40E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监测因子</w:t>
            </w:r>
          </w:p>
        </w:tc>
      </w:tr>
      <w:tr w14:paraId="259D16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11" w:type="pct"/>
            <w:tcBorders>
              <w:tl2br w:val="nil"/>
              <w:tr2bl w:val="nil"/>
            </w:tcBorders>
          </w:tcPr>
          <w:p w14:paraId="0C94213F">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T1#</w:t>
            </w:r>
          </w:p>
        </w:tc>
        <w:tc>
          <w:tcPr>
            <w:tcW w:w="1200" w:type="pct"/>
            <w:tcBorders>
              <w:tl2br w:val="nil"/>
              <w:tr2bl w:val="nil"/>
            </w:tcBorders>
          </w:tcPr>
          <w:p w14:paraId="29CC1A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厂区外靠近循环沉淀池和危废间位置</w:t>
            </w:r>
          </w:p>
        </w:tc>
        <w:tc>
          <w:tcPr>
            <w:tcW w:w="640" w:type="pct"/>
            <w:tcBorders>
              <w:tl2br w:val="nil"/>
              <w:tr2bl w:val="nil"/>
            </w:tcBorders>
          </w:tcPr>
          <w:p w14:paraId="1628E9F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柱状样品</w:t>
            </w:r>
          </w:p>
        </w:tc>
        <w:tc>
          <w:tcPr>
            <w:tcW w:w="1281" w:type="pct"/>
            <w:tcBorders>
              <w:tl2br w:val="nil"/>
              <w:tr2bl w:val="nil"/>
            </w:tcBorders>
          </w:tcPr>
          <w:p w14:paraId="3AA497A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每五年开展一次监测</w:t>
            </w:r>
          </w:p>
        </w:tc>
        <w:tc>
          <w:tcPr>
            <w:tcW w:w="1165" w:type="pct"/>
            <w:tcBorders>
              <w:tl2br w:val="nil"/>
              <w:tr2bl w:val="nil"/>
            </w:tcBorders>
          </w:tcPr>
          <w:p w14:paraId="5759A85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pH</w:t>
            </w:r>
            <w:r>
              <w:rPr>
                <w:rFonts w:eastAsia="宋体" w:cs="宋体"/>
                <w:snapToGrid/>
                <w:color w:val="auto"/>
              </w:rPr>
              <w:t>、</w:t>
            </w:r>
            <w:r>
              <w:rPr>
                <w:rFonts w:eastAsia="宋体"/>
                <w:snapToGrid/>
                <w:color w:val="auto"/>
              </w:rPr>
              <w:t>COD</w:t>
            </w:r>
            <w:r>
              <w:rPr>
                <w:rFonts w:eastAsia="宋体" w:cs="宋体"/>
                <w:snapToGrid/>
                <w:color w:val="auto"/>
              </w:rPr>
              <w:t>、石油类</w:t>
            </w:r>
          </w:p>
        </w:tc>
      </w:tr>
    </w:tbl>
    <w:p w14:paraId="167FE16F">
      <w:pPr>
        <w:pStyle w:val="2"/>
        <w:widowControl w:val="0"/>
        <w:shd w:val="clear"/>
        <w:kinsoku/>
        <w:autoSpaceDE/>
        <w:autoSpaceDN/>
        <w:adjustRightInd/>
        <w:snapToGrid/>
        <w:spacing w:before="75" w:line="221" w:lineRule="auto"/>
        <w:ind w:left="396"/>
        <w:textAlignment w:val="auto"/>
        <w:rPr>
          <w:rFonts w:ascii="Times New Roman" w:hAnsi="Times New Roman"/>
          <w:snapToGrid/>
          <w:color w:val="auto"/>
          <w:lang w:eastAsia="zh-CN"/>
        </w:rPr>
      </w:pPr>
      <w:r>
        <w:rPr>
          <w:rFonts w:ascii="Times New Roman" w:hAnsi="Times New Roman"/>
          <w:snapToGrid/>
          <w:color w:val="auto"/>
          <w:lang w:eastAsia="zh-CN"/>
        </w:rPr>
        <w:t>注：厂区（厂房）已完成硬化和防渗工作，因此无法进行土壤跟踪监测。</w:t>
      </w:r>
    </w:p>
    <w:p w14:paraId="42F80C9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65" w:name="_Toc31809"/>
      <w:bookmarkStart w:id="866" w:name="_Toc10759"/>
      <w:r>
        <w:rPr>
          <w:rFonts w:ascii="Times New Roman" w:hAnsi="Times New Roman"/>
          <w:snapToGrid/>
          <w:color w:val="auto"/>
          <w:sz w:val="24"/>
          <w:szCs w:val="24"/>
          <w:lang w:eastAsia="zh-CN"/>
        </w:rPr>
        <w:t>（2）监测数据管理</w:t>
      </w:r>
      <w:bookmarkEnd w:id="865"/>
      <w:bookmarkEnd w:id="866"/>
    </w:p>
    <w:p w14:paraId="41077EE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上述监测结果应按项目有关规定及时建立档案，并定期向场安全环保部门汇报，对于常规监测数据应该进行公开。如发现异常或发生事故，加密监测频次，改为每年监测一次，并分析污染原因，确定泄漏污染源，及时采取应急措施。</w:t>
      </w:r>
    </w:p>
    <w:p w14:paraId="579B53E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进行质量体系认证，实现“质量、安全、环境”三位一体的全面质量管理目标。设立土壤动态监测小组，负责对土壤环境监测和管理，或者委托专业的机构完成。建立有关规章制度和岗位责任制。制定风险预警方案，设立应急设施减少环境污染影响。</w:t>
      </w:r>
    </w:p>
    <w:p w14:paraId="7CEEC0C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①管理措施</w:t>
      </w:r>
    </w:p>
    <w:p w14:paraId="6E664F6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防止土壤污染管理的职责属于环境保护管理部门的职责之一。环境保护管理部门指派专人负责防治土壤污染管理工作。</w:t>
      </w:r>
    </w:p>
    <w:p w14:paraId="660237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B</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环境保护管理部门应委托具有监测资质的单位负责土壤环境质量监测工作，按要求及时分析整理原始资料、监测报告的编写工作。</w:t>
      </w:r>
    </w:p>
    <w:p w14:paraId="7E1A218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C</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建立土壤监测数据信息管理系统，与环境管理系统相联系。</w:t>
      </w:r>
    </w:p>
    <w:p w14:paraId="4B84CA7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D</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根据实际情况，按事故的性质、类型、影响范围、严重后果分等级地制订相应的预案。在制定预案时要根据本场环境污染事故潜在威胁的情况，认真细致地考虑各项影响因素，适当的时候组织有关部门、人员进行演练，不断补充完善。</w:t>
      </w:r>
    </w:p>
    <w:p w14:paraId="4058782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②技术措施</w:t>
      </w:r>
    </w:p>
    <w:p w14:paraId="1D06FF4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按照要求，及时上报监测数据和有关表格。</w:t>
      </w:r>
    </w:p>
    <w:p w14:paraId="307B678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在日常例行监测中，一旦发现土壤环境监测数据异常，应尽快核查数据，确保数据的正确性。并将核查过的监测</w:t>
      </w:r>
      <w:r>
        <w:rPr>
          <w:rFonts w:hint="eastAsia" w:ascii="Times New Roman" w:hAnsi="Times New Roman"/>
          <w:snapToGrid/>
          <w:color w:val="auto"/>
          <w:sz w:val="24"/>
          <w:szCs w:val="24"/>
          <w:lang w:eastAsia="zh-CN"/>
        </w:rPr>
        <w:t>数据报告</w:t>
      </w:r>
      <w:r>
        <w:rPr>
          <w:rFonts w:ascii="Times New Roman" w:hAnsi="Times New Roman"/>
          <w:snapToGrid/>
          <w:color w:val="auto"/>
          <w:sz w:val="24"/>
          <w:szCs w:val="24"/>
          <w:lang w:eastAsia="zh-CN"/>
        </w:rPr>
        <w:t>场安全环保部门，由专人负责对数据进行分析、核实，并密切关注生产设施的运行情况，为防止土壤污染采取措施提供正确的依据。应采取的措施如下：</w:t>
      </w:r>
    </w:p>
    <w:p w14:paraId="0940B7F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a）了解全场生产是否出现异常情况，出现异常情况的装置、原因。加大监测密度，如监测频率由每五年一次临时加密为每年一次或更多，连续多月，分析变化动向；b）周期性地编写土壤动态监测报告；c）定期对污染区的生产装置进行检查。</w:t>
      </w:r>
    </w:p>
    <w:p w14:paraId="12DE182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67" w:name="_Toc30712"/>
      <w:bookmarkStart w:id="868" w:name="_Toc9679"/>
      <w:r>
        <w:rPr>
          <w:rFonts w:ascii="Times New Roman" w:hAnsi="Times New Roman"/>
          <w:snapToGrid/>
          <w:color w:val="auto"/>
          <w:sz w:val="24"/>
          <w:szCs w:val="24"/>
          <w:lang w:eastAsia="zh-CN"/>
        </w:rPr>
        <w:t>（3）土壤环境质量信息公开计划</w:t>
      </w:r>
      <w:bookmarkEnd w:id="867"/>
      <w:bookmarkEnd w:id="868"/>
    </w:p>
    <w:p w14:paraId="6D5099E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①土壤环境跟踪监测报告</w:t>
      </w:r>
    </w:p>
    <w:p w14:paraId="482E278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69" w:name="bookmark81"/>
      <w:bookmarkEnd w:id="869"/>
      <w:r>
        <w:rPr>
          <w:rFonts w:ascii="Times New Roman" w:hAnsi="Times New Roman"/>
          <w:snapToGrid/>
          <w:color w:val="auto"/>
          <w:sz w:val="24"/>
          <w:szCs w:val="24"/>
          <w:lang w:eastAsia="zh-CN"/>
        </w:rPr>
        <w:t>应以建设单位为项目跟踪监测的责任主体，进行项目营运期的土壤跟踪监测工作，并按照要求进行土壤跟踪监测报告的编制工作。土壤环境跟踪监测报告的内容，一般应包括：</w:t>
      </w:r>
    </w:p>
    <w:p w14:paraId="2DAF982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建设项目所在场地及其影响区土壤环境跟踪监测数据，排放污染物的种类、数量、浓度。</w:t>
      </w:r>
    </w:p>
    <w:p w14:paraId="446CBA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B</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生产设备、管廊或管线、贮存与运输装置、污染物贮存与处理装置、事故应急装置等设施的运行状况、跑冒滴漏记录、维护记录。</w:t>
      </w:r>
    </w:p>
    <w:p w14:paraId="1A38D28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②土壤环境跟踪监测信息公开</w:t>
      </w:r>
    </w:p>
    <w:p w14:paraId="10F119E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根据土壤导则要求，项目应制定土壤环境跟踪监测的信息公开计划，定期公开土壤环境质量现状，公布内容应包括建设项目特征因子的土壤环境监测值。</w:t>
      </w:r>
    </w:p>
    <w:p w14:paraId="0C7A6CE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本次土壤环境跟踪监测信息公开计划的内容根据2015年1月1日施行《企业事业单位环境信息公开办法》（</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令第31号）的相关要求及规定进行要求。</w:t>
      </w:r>
    </w:p>
    <w:p w14:paraId="4FAFF1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70" w:name="_Toc4625"/>
      <w:bookmarkStart w:id="871" w:name="_Toc20852"/>
      <w:r>
        <w:rPr>
          <w:rFonts w:ascii="Times New Roman" w:hAnsi="Times New Roman"/>
          <w:snapToGrid/>
          <w:color w:val="auto"/>
          <w:sz w:val="24"/>
          <w:szCs w:val="24"/>
          <w:lang w:eastAsia="zh-CN"/>
        </w:rPr>
        <w:t>A</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土壤跟踪监测信息公开的内容</w:t>
      </w:r>
      <w:bookmarkEnd w:id="870"/>
      <w:bookmarkEnd w:id="871"/>
    </w:p>
    <w:p w14:paraId="2BBE1B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建设项目可单独公开土壤跟踪监测信息或随项目其他环境公开信息一同公开发布，公开的主要内容应包括以下方面：</w:t>
      </w:r>
    </w:p>
    <w:p w14:paraId="3728E05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（1）基础信息，包括单位名称、组织机构代码、法定代表人、生产地址、联系方式，以及生产经营和管理服务的主要内容、产品及规模；</w:t>
      </w:r>
    </w:p>
    <w:p w14:paraId="36340F6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（2）排污信息，包括主要污染物及特征污染物的名称、排放方式、排放口数量和分布情况、排放浓度和总量、超标情况，以及执行的污染物排放标准、核定的排放总量；</w:t>
      </w:r>
    </w:p>
    <w:p w14:paraId="063F9E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（3）防治污染设施的建设和运行情况；</w:t>
      </w:r>
    </w:p>
    <w:p w14:paraId="519F95C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（4）建设项目环境影响评价及其他环境保护行政许可情况；</w:t>
      </w:r>
    </w:p>
    <w:p w14:paraId="724164C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（5）突发环境事件应急预案；</w:t>
      </w:r>
    </w:p>
    <w:p w14:paraId="51C3372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（6）其他应当公开的环境信息。B、土壤跟踪监测信息公开方式</w:t>
      </w:r>
    </w:p>
    <w:p w14:paraId="492884F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可通过其网站、企业事业单位环境信息公开平台或者当地报刊等便于公众知晓的方式公开环境信息，采取以下一种或者几种方式予以公开：</w:t>
      </w:r>
    </w:p>
    <w:p w14:paraId="328142A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（1）公告或者公开发行的信息专刊；</w:t>
      </w:r>
    </w:p>
    <w:p w14:paraId="23E7F65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（2）广播、电视等新闻媒体；</w:t>
      </w:r>
    </w:p>
    <w:p w14:paraId="14E215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（3）信息公开服务、监督热线电话；</w:t>
      </w:r>
    </w:p>
    <w:p w14:paraId="404CF0C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（4）本单位的资料索取点、信息公开栏、信息亭、电子屏幕、电子触摸屏等场所或者设施；</w:t>
      </w:r>
    </w:p>
    <w:p w14:paraId="62BDD03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72" w:name="_Toc445"/>
      <w:bookmarkStart w:id="873" w:name="_Toc7613"/>
      <w:r>
        <w:rPr>
          <w:rFonts w:ascii="Times New Roman" w:hAnsi="Times New Roman"/>
          <w:snapToGrid/>
          <w:color w:val="auto"/>
          <w:sz w:val="24"/>
          <w:szCs w:val="24"/>
          <w:lang w:eastAsia="zh-CN"/>
        </w:rPr>
        <w:t>（5）其他便于公众及时、准确获得信息的方式。C、土壤跟踪监测信息公开时间</w:t>
      </w:r>
      <w:bookmarkEnd w:id="872"/>
      <w:bookmarkEnd w:id="873"/>
    </w:p>
    <w:p w14:paraId="26E9CA9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如项目纳入为市重点排污单位企业，需在环境保护主管部门公布重点排污单位名录后90日内公开其环境信息。环境信息有新生成或者发生变更的，重点排污单位应当自环境信息生成或者变更之日起30日内予以公开。</w:t>
      </w:r>
    </w:p>
    <w:p w14:paraId="720DB8F3">
      <w:pPr>
        <w:pStyle w:val="7"/>
        <w:widowControl w:val="0"/>
        <w:shd w:val="clear"/>
        <w:kinsoku/>
        <w:autoSpaceDE/>
        <w:autoSpaceDN/>
        <w:adjustRightInd/>
        <w:snapToGrid/>
        <w:spacing w:line="360" w:lineRule="auto"/>
        <w:ind w:firstLine="482" w:firstLineChars="200"/>
        <w:jc w:val="both"/>
        <w:textAlignment w:val="auto"/>
        <w:rPr>
          <w:rFonts w:ascii="Times New Roman" w:hAnsi="Times New Roman" w:eastAsia="宋体"/>
          <w:snapToGrid/>
          <w:color w:val="auto"/>
          <w:sz w:val="24"/>
          <w:lang w:eastAsia="zh-CN"/>
        </w:rPr>
      </w:pPr>
      <w:bookmarkStart w:id="874" w:name="_Toc1986"/>
      <w:bookmarkStart w:id="875" w:name="_Toc1704"/>
      <w:r>
        <w:rPr>
          <w:rFonts w:hint="eastAsia" w:ascii="Times New Roman" w:hAnsi="Times New Roman" w:eastAsia="宋体"/>
          <w:snapToGrid/>
          <w:color w:val="auto"/>
          <w:sz w:val="24"/>
          <w:lang w:eastAsia="zh-CN"/>
        </w:rPr>
        <w:fldChar w:fldCharType="begin"/>
      </w:r>
      <w:r>
        <w:rPr>
          <w:rFonts w:hint="eastAsia" w:ascii="Times New Roman" w:hAnsi="Times New Roman" w:eastAsia="宋体"/>
          <w:snapToGrid/>
          <w:color w:val="auto"/>
          <w:sz w:val="24"/>
          <w:lang w:eastAsia="zh-CN"/>
        </w:rPr>
        <w:instrText xml:space="preserve">HYPERLINK "C:\\Users\\jobezho\\AppData\\Local\\Temp\\Rar$DIa13476.12779\\6.2.5.5"</w:instrText>
      </w:r>
      <w:r>
        <w:rPr>
          <w:rFonts w:hint="eastAsia" w:ascii="Times New Roman" w:hAnsi="Times New Roman" w:eastAsia="宋体"/>
          <w:snapToGrid/>
          <w:color w:val="auto"/>
          <w:sz w:val="24"/>
          <w:lang w:eastAsia="zh-CN"/>
        </w:rPr>
        <w:fldChar w:fldCharType="separate"/>
      </w:r>
      <w:r>
        <w:rPr>
          <w:rFonts w:hint="eastAsia" w:ascii="Times New Roman" w:hAnsi="Times New Roman" w:eastAsia="宋体"/>
          <w:snapToGrid/>
          <w:color w:val="auto"/>
          <w:sz w:val="24"/>
          <w:lang w:eastAsia="zh-CN"/>
        </w:rPr>
        <w:t>6.2.5.5</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结论</w:t>
      </w:r>
      <w:bookmarkEnd w:id="874"/>
      <w:bookmarkEnd w:id="875"/>
    </w:p>
    <w:p w14:paraId="137D480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本次土壤质量现状监测结果显示，土壤各采样区相关因子均满足相应的标准要求，工程按照设计要求进行防渗处理，本项目对土壤环境影响程度较小。</w:t>
      </w:r>
    </w:p>
    <w:p w14:paraId="4840F0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本项目应按照设计要求进行防渗处理，对工程中可能造成污染的装置、</w:t>
      </w:r>
      <w:r>
        <w:rPr>
          <w:rFonts w:hint="eastAsia" w:ascii="Times New Roman" w:hAnsi="Times New Roman"/>
          <w:snapToGrid/>
          <w:color w:val="auto"/>
          <w:sz w:val="24"/>
          <w:szCs w:val="24"/>
          <w:lang w:eastAsia="zh-CN"/>
        </w:rPr>
        <w:t>设施</w:t>
      </w:r>
      <w:r>
        <w:rPr>
          <w:rFonts w:ascii="Times New Roman" w:hAnsi="Times New Roman"/>
          <w:snapToGrid/>
          <w:color w:val="auto"/>
          <w:sz w:val="24"/>
          <w:szCs w:val="24"/>
          <w:lang w:eastAsia="zh-CN"/>
        </w:rPr>
        <w:t>加大检修、维护力度，尽可能杜绝事故发生。</w:t>
      </w:r>
    </w:p>
    <w:p w14:paraId="054946F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41" w:type="default"/>
          <w:footerReference r:id="rId42" w:type="default"/>
          <w:pgSz w:w="11906" w:h="16838"/>
          <w:pgMar w:top="1136" w:right="1712" w:bottom="1157" w:left="1711" w:header="868" w:footer="994" w:gutter="0"/>
          <w:pgBorders>
            <w:top w:val="none" w:sz="0" w:space="0"/>
            <w:left w:val="none" w:sz="0" w:space="0"/>
            <w:bottom w:val="none" w:sz="0" w:space="0"/>
            <w:right w:val="none" w:sz="0" w:space="0"/>
          </w:pgBorders>
          <w:cols w:space="720" w:num="1"/>
        </w:sectPr>
      </w:pPr>
    </w:p>
    <w:p w14:paraId="054638E7">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876" w:name="bookmark82"/>
      <w:bookmarkEnd w:id="876"/>
      <w:bookmarkStart w:id="877" w:name="bookmark38"/>
      <w:bookmarkEnd w:id="877"/>
      <w:bookmarkStart w:id="878" w:name="_Toc2499"/>
      <w:bookmarkStart w:id="879" w:name="_Toc25006"/>
      <w:bookmarkStart w:id="880" w:name="_Toc28736"/>
      <w:r>
        <w:rPr>
          <w:rFonts w:hint="eastAsia" w:ascii="Times New Roman" w:hAnsi="Times New Roman" w:eastAsia="宋体" w:cs="Times New Roman"/>
          <w:snapToGrid/>
          <w:color w:val="auto"/>
          <w:lang w:eastAsia="zh-CN"/>
        </w:rPr>
        <w:t>7、环境影响经济损益分析</w:t>
      </w:r>
      <w:bookmarkEnd w:id="878"/>
      <w:bookmarkEnd w:id="879"/>
      <w:bookmarkEnd w:id="880"/>
    </w:p>
    <w:p w14:paraId="7201A3B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项目的环境经济损益分析，是从经济学的角度来分析项目的环境效益和社会效益，是根据项目的特性、总投资及生产规模分析其所采取的环保措施而引起的投资费用和得到经济、环境和社会效益进行经济分析。充分体现经济效益、社会效益与环境效益对立与统一的关系。通过环境经济损益的分析可以说明环保综合效益状况，而且可从环境效益、经济效益和社会效益相协调统一的角度来讨论项目建设的意义。本项目环境经济损益分析着重对项目环保投资和项目投产后的效益进行分析。</w:t>
      </w:r>
    </w:p>
    <w:p w14:paraId="43F1E331">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881" w:name="bookmark39"/>
      <w:bookmarkEnd w:id="881"/>
      <w:bookmarkStart w:id="882" w:name="_Toc23901"/>
      <w:bookmarkStart w:id="883" w:name="_Toc25016"/>
      <w:bookmarkStart w:id="884" w:name="_Toc19971"/>
      <w:r>
        <w:rPr>
          <w:rFonts w:hint="eastAsia" w:ascii="Times New Roman" w:hAnsi="Times New Roman" w:eastAsia="宋体"/>
          <w:snapToGrid/>
          <w:color w:val="auto"/>
          <w:lang w:eastAsia="zh-CN"/>
        </w:rPr>
        <w:t>7.1环境效益分析</w:t>
      </w:r>
      <w:bookmarkEnd w:id="882"/>
      <w:bookmarkEnd w:id="883"/>
      <w:bookmarkEnd w:id="884"/>
    </w:p>
    <w:p w14:paraId="31A5AEA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建设项目环保措施主要是体现国家环保政策，贯彻“总量控制</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达标排放”污染控制原则，达到保护环境的目的。通过治理措施，本项目产生的有机废气等可以实现达标排放，厂界噪声达标。这些措施的实施产生的环境效益较明显。</w:t>
      </w:r>
    </w:p>
    <w:p w14:paraId="3C2962E8">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885" w:name="_Toc7161"/>
      <w:bookmarkStart w:id="886" w:name="_Toc19285"/>
      <w:bookmarkStart w:id="887" w:name="_Toc5001"/>
      <w:r>
        <w:rPr>
          <w:rFonts w:hint="eastAsia" w:ascii="Times New Roman" w:hAnsi="Times New Roman" w:cs="Times New Roman"/>
          <w:b/>
          <w:bCs/>
          <w:snapToGrid/>
          <w:color w:val="auto"/>
          <w:sz w:val="28"/>
          <w:szCs w:val="32"/>
          <w:lang w:eastAsia="zh-CN"/>
        </w:rPr>
        <w:t>7.1.1环保投资</w:t>
      </w:r>
      <w:bookmarkEnd w:id="885"/>
      <w:bookmarkEnd w:id="886"/>
      <w:bookmarkEnd w:id="887"/>
    </w:p>
    <w:p w14:paraId="1AC420E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环保投资是与治理预防污染有关的基建工程投资。它既包括治理污染保护环境的设施费用，又包括既为生产所需又为治理污染服务，但主要目的是为改善环境质量的设施费用。</w:t>
      </w:r>
    </w:p>
    <w:p w14:paraId="712EB70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bCs/>
          <w:snapToGrid/>
          <w:color w:val="auto"/>
          <w:sz w:val="24"/>
          <w:lang w:eastAsia="zh-CN"/>
        </w:rPr>
      </w:pPr>
      <w:r>
        <w:rPr>
          <w:rFonts w:ascii="Times New Roman" w:hAnsi="Times New Roman"/>
          <w:snapToGrid/>
          <w:color w:val="auto"/>
          <w:sz w:val="24"/>
          <w:szCs w:val="24"/>
          <w:lang w:eastAsia="zh-CN"/>
        </w:rPr>
        <w:t>本项目总投资</w:t>
      </w:r>
      <w:r>
        <w:rPr>
          <w:rFonts w:hint="eastAsia" w:ascii="Times New Roman" w:hAnsi="Times New Roman"/>
          <w:snapToGrid/>
          <w:color w:val="auto"/>
          <w:sz w:val="24"/>
          <w:szCs w:val="24"/>
          <w:lang w:eastAsia="zh-CN"/>
        </w:rPr>
        <w:t>393万元</w:t>
      </w:r>
      <w:r>
        <w:rPr>
          <w:rFonts w:ascii="Times New Roman" w:hAnsi="Times New Roman"/>
          <w:snapToGrid/>
          <w:color w:val="auto"/>
          <w:sz w:val="24"/>
          <w:szCs w:val="24"/>
          <w:lang w:eastAsia="zh-CN"/>
        </w:rPr>
        <w:t>，环保投资为</w:t>
      </w:r>
      <w:r>
        <w:rPr>
          <w:rFonts w:hint="eastAsia" w:ascii="Times New Roman" w:hAnsi="Times New Roman"/>
          <w:snapToGrid/>
          <w:color w:val="auto"/>
          <w:sz w:val="24"/>
          <w:szCs w:val="24"/>
          <w:lang w:val="en-US" w:eastAsia="zh-CN"/>
        </w:rPr>
        <w:t>75</w:t>
      </w:r>
      <w:r>
        <w:rPr>
          <w:rFonts w:ascii="Times New Roman" w:hAnsi="Times New Roman"/>
          <w:snapToGrid/>
          <w:color w:val="auto"/>
          <w:sz w:val="24"/>
          <w:szCs w:val="24"/>
          <w:lang w:eastAsia="zh-CN"/>
        </w:rPr>
        <w:t>万元，工程环保投资占总投资比例为</w:t>
      </w:r>
      <w:r>
        <w:rPr>
          <w:rFonts w:hint="eastAsia" w:ascii="Times New Roman" w:hAnsi="Times New Roman"/>
          <w:snapToGrid/>
          <w:color w:val="auto"/>
          <w:sz w:val="24"/>
          <w:szCs w:val="24"/>
          <w:lang w:val="en-US" w:eastAsia="zh-CN"/>
        </w:rPr>
        <w:t>19%</w:t>
      </w:r>
      <w:r>
        <w:rPr>
          <w:rFonts w:ascii="Times New Roman" w:hAnsi="Times New Roman"/>
          <w:snapToGrid/>
          <w:color w:val="auto"/>
          <w:sz w:val="24"/>
          <w:szCs w:val="24"/>
          <w:lang w:eastAsia="zh-CN"/>
        </w:rPr>
        <w:t>。环保投资</w:t>
      </w:r>
      <w:r>
        <w:rPr>
          <w:rFonts w:ascii="Times New Roman" w:hAnsi="Times New Roman"/>
          <w:bCs/>
          <w:snapToGrid/>
          <w:color w:val="auto"/>
          <w:sz w:val="24"/>
          <w:lang w:eastAsia="zh-CN"/>
        </w:rPr>
        <w:t>估算见表7.</w:t>
      </w:r>
      <w:r>
        <w:rPr>
          <w:rFonts w:hint="eastAsia" w:ascii="Times New Roman" w:hAnsi="Times New Roman"/>
          <w:bCs/>
          <w:snapToGrid/>
          <w:color w:val="auto"/>
          <w:sz w:val="24"/>
          <w:lang w:eastAsia="zh-CN"/>
        </w:rPr>
        <w:t>1</w:t>
      </w:r>
      <w:r>
        <w:rPr>
          <w:rFonts w:ascii="Times New Roman" w:hAnsi="Times New Roman"/>
          <w:bCs/>
          <w:snapToGrid/>
          <w:color w:val="auto"/>
          <w:sz w:val="24"/>
          <w:lang w:eastAsia="zh-CN"/>
        </w:rPr>
        <w:t>-1。</w:t>
      </w:r>
    </w:p>
    <w:p w14:paraId="2830461C">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表7.</w:t>
      </w:r>
      <w:r>
        <w:rPr>
          <w:rFonts w:hint="eastAsia" w:ascii="Times New Roman" w:hAnsi="Times New Roman"/>
          <w:b/>
          <w:bCs/>
          <w:snapToGrid/>
          <w:color w:val="auto"/>
          <w:sz w:val="24"/>
          <w:lang w:eastAsia="zh-CN"/>
        </w:rPr>
        <w:t>1</w:t>
      </w:r>
      <w:r>
        <w:rPr>
          <w:rFonts w:ascii="Times New Roman" w:hAnsi="Times New Roman"/>
          <w:b/>
          <w:bCs/>
          <w:snapToGrid/>
          <w:color w:val="auto"/>
          <w:sz w:val="24"/>
          <w:lang w:eastAsia="zh-CN"/>
        </w:rPr>
        <w:t>-1环保投资情况一览表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301"/>
        <w:gridCol w:w="5308"/>
        <w:gridCol w:w="1439"/>
      </w:tblGrid>
      <w:tr w14:paraId="7AD49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1E3A43B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val="0"/>
                <w:color w:val="auto"/>
                <w:sz w:val="21"/>
              </w:rPr>
            </w:pPr>
            <w:bookmarkStart w:id="888" w:name="_Toc9343"/>
            <w:bookmarkStart w:id="889" w:name="_Toc22265"/>
            <w:bookmarkStart w:id="890" w:name="_Toc18162"/>
            <w:r>
              <w:rPr>
                <w:rFonts w:hint="eastAsia" w:ascii="Times New Roman" w:hAnsi="Times New Roman" w:eastAsia="宋体"/>
                <w:b/>
                <w:bCs w:val="0"/>
                <w:color w:val="auto"/>
                <w:sz w:val="21"/>
              </w:rPr>
              <w:t>时段</w:t>
            </w:r>
          </w:p>
        </w:tc>
        <w:tc>
          <w:tcPr>
            <w:tcW w:w="745" w:type="pct"/>
            <w:tcBorders>
              <w:tl2br w:val="nil"/>
              <w:tr2bl w:val="nil"/>
            </w:tcBorders>
            <w:noWrap w:val="0"/>
            <w:vAlign w:val="center"/>
          </w:tcPr>
          <w:p w14:paraId="5364222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val="0"/>
                <w:color w:val="auto"/>
                <w:sz w:val="21"/>
              </w:rPr>
            </w:pPr>
            <w:r>
              <w:rPr>
                <w:rFonts w:hint="eastAsia" w:ascii="Times New Roman" w:hAnsi="Times New Roman" w:eastAsia="宋体"/>
                <w:b/>
                <w:bCs w:val="0"/>
                <w:color w:val="auto"/>
                <w:sz w:val="21"/>
              </w:rPr>
              <w:t>项目</w:t>
            </w:r>
          </w:p>
        </w:tc>
        <w:tc>
          <w:tcPr>
            <w:tcW w:w="3040" w:type="pct"/>
            <w:tcBorders>
              <w:tl2br w:val="nil"/>
              <w:tr2bl w:val="nil"/>
            </w:tcBorders>
            <w:noWrap w:val="0"/>
            <w:vAlign w:val="center"/>
          </w:tcPr>
          <w:p w14:paraId="510F4E4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val="0"/>
                <w:color w:val="auto"/>
                <w:sz w:val="21"/>
              </w:rPr>
            </w:pPr>
            <w:r>
              <w:rPr>
                <w:rFonts w:hint="eastAsia" w:ascii="Times New Roman" w:hAnsi="Times New Roman" w:eastAsia="宋体"/>
                <w:b/>
                <w:bCs w:val="0"/>
                <w:color w:val="auto"/>
                <w:sz w:val="21"/>
              </w:rPr>
              <w:t>主要环保措施</w:t>
            </w:r>
          </w:p>
        </w:tc>
        <w:tc>
          <w:tcPr>
            <w:tcW w:w="824" w:type="pct"/>
            <w:tcBorders>
              <w:tl2br w:val="nil"/>
              <w:tr2bl w:val="nil"/>
            </w:tcBorders>
            <w:noWrap w:val="0"/>
            <w:vAlign w:val="center"/>
          </w:tcPr>
          <w:p w14:paraId="4A16133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b/>
                <w:bCs w:val="0"/>
                <w:color w:val="auto"/>
                <w:sz w:val="21"/>
              </w:rPr>
            </w:pPr>
            <w:r>
              <w:rPr>
                <w:rFonts w:hint="eastAsia" w:ascii="Times New Roman" w:hAnsi="Times New Roman" w:eastAsia="宋体"/>
                <w:b/>
                <w:bCs w:val="0"/>
                <w:color w:val="auto"/>
                <w:sz w:val="21"/>
              </w:rPr>
              <w:t>投资（万元）</w:t>
            </w:r>
          </w:p>
        </w:tc>
      </w:tr>
      <w:tr w14:paraId="38259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restart"/>
            <w:tcBorders>
              <w:tl2br w:val="nil"/>
              <w:tr2bl w:val="nil"/>
            </w:tcBorders>
            <w:noWrap w:val="0"/>
            <w:vAlign w:val="center"/>
          </w:tcPr>
          <w:p w14:paraId="676EC79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施</w:t>
            </w:r>
          </w:p>
          <w:p w14:paraId="23B3DD3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工</w:t>
            </w:r>
          </w:p>
          <w:p w14:paraId="5CAC33C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期</w:t>
            </w:r>
          </w:p>
        </w:tc>
        <w:tc>
          <w:tcPr>
            <w:tcW w:w="745" w:type="pct"/>
            <w:tcBorders>
              <w:tl2br w:val="nil"/>
              <w:tr2bl w:val="nil"/>
            </w:tcBorders>
            <w:noWrap w:val="0"/>
            <w:vAlign w:val="center"/>
          </w:tcPr>
          <w:p w14:paraId="58F2EE8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废气治理</w:t>
            </w:r>
          </w:p>
        </w:tc>
        <w:tc>
          <w:tcPr>
            <w:tcW w:w="3040" w:type="pct"/>
            <w:tcBorders>
              <w:tl2br w:val="nil"/>
              <w:tr2bl w:val="nil"/>
            </w:tcBorders>
            <w:noWrap w:val="0"/>
            <w:vAlign w:val="center"/>
          </w:tcPr>
          <w:p w14:paraId="4F5B12D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设置施工围挡、洒水等措施</w:t>
            </w:r>
          </w:p>
        </w:tc>
        <w:tc>
          <w:tcPr>
            <w:tcW w:w="824" w:type="pct"/>
            <w:tcBorders>
              <w:tl2br w:val="nil"/>
              <w:tr2bl w:val="nil"/>
            </w:tcBorders>
            <w:noWrap w:val="0"/>
            <w:vAlign w:val="top"/>
          </w:tcPr>
          <w:p w14:paraId="19761001">
            <w:pPr>
              <w:pStyle w:val="37"/>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eastAsia="zh-CN"/>
              </w:rPr>
            </w:pPr>
            <w:r>
              <w:rPr>
                <w:rFonts w:ascii="Times New Roman" w:hAnsi="Times New Roman" w:eastAsia="宋体"/>
                <w:snapToGrid/>
                <w:color w:val="auto"/>
                <w:sz w:val="21"/>
              </w:rPr>
              <w:t>2.0</w:t>
            </w:r>
          </w:p>
        </w:tc>
      </w:tr>
      <w:tr w14:paraId="3A91F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09806E5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1AD5D1C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废水治理</w:t>
            </w:r>
          </w:p>
        </w:tc>
        <w:tc>
          <w:tcPr>
            <w:tcW w:w="3040" w:type="pct"/>
            <w:tcBorders>
              <w:tl2br w:val="nil"/>
              <w:tr2bl w:val="nil"/>
            </w:tcBorders>
            <w:noWrap w:val="0"/>
            <w:vAlign w:val="center"/>
          </w:tcPr>
          <w:p w14:paraId="1D73EDE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rPr>
              <w:t>施工废水经隔油、沉淀处理后用作施工现场降尘用水；</w:t>
            </w:r>
          </w:p>
        </w:tc>
        <w:tc>
          <w:tcPr>
            <w:tcW w:w="824" w:type="pct"/>
            <w:tcBorders>
              <w:tl2br w:val="nil"/>
              <w:tr2bl w:val="nil"/>
            </w:tcBorders>
            <w:noWrap w:val="0"/>
            <w:vAlign w:val="top"/>
          </w:tcPr>
          <w:p w14:paraId="26A2591E">
            <w:pPr>
              <w:pStyle w:val="37"/>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eastAsia="zh-CN"/>
              </w:rPr>
            </w:pPr>
            <w:r>
              <w:rPr>
                <w:rFonts w:ascii="Times New Roman" w:hAnsi="Times New Roman" w:eastAsia="宋体"/>
                <w:snapToGrid/>
                <w:color w:val="auto"/>
                <w:sz w:val="21"/>
              </w:rPr>
              <w:t>2.5</w:t>
            </w:r>
          </w:p>
        </w:tc>
      </w:tr>
      <w:tr w14:paraId="4C592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63932CB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2050FEB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固废治理</w:t>
            </w:r>
          </w:p>
        </w:tc>
        <w:tc>
          <w:tcPr>
            <w:tcW w:w="3040" w:type="pct"/>
            <w:tcBorders>
              <w:tl2br w:val="nil"/>
              <w:tr2bl w:val="nil"/>
            </w:tcBorders>
            <w:noWrap w:val="0"/>
            <w:vAlign w:val="center"/>
          </w:tcPr>
          <w:p w14:paraId="6F86ACA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建筑垃圾按照《城市建筑垃圾管理规定》，向城市市容卫生管理部门申报，妥善弃置消纳；生活垃圾集中收集后由环卫部门统一清运至</w:t>
            </w:r>
            <w:r>
              <w:rPr>
                <w:rFonts w:hint="eastAsia" w:ascii="Times New Roman" w:hAnsi="Times New Roman" w:eastAsia="宋体"/>
                <w:color w:val="auto"/>
                <w:sz w:val="21"/>
                <w:lang w:eastAsia="zh-CN"/>
              </w:rPr>
              <w:t>铁门关</w:t>
            </w:r>
            <w:r>
              <w:rPr>
                <w:rFonts w:hint="eastAsia" w:ascii="Times New Roman" w:hAnsi="Times New Roman" w:eastAsia="宋体"/>
                <w:color w:val="auto"/>
                <w:sz w:val="21"/>
              </w:rPr>
              <w:t>垃圾填埋场填埋处置</w:t>
            </w:r>
          </w:p>
        </w:tc>
        <w:tc>
          <w:tcPr>
            <w:tcW w:w="824" w:type="pct"/>
            <w:tcBorders>
              <w:tl2br w:val="nil"/>
              <w:tr2bl w:val="nil"/>
            </w:tcBorders>
            <w:noWrap w:val="0"/>
            <w:vAlign w:val="top"/>
          </w:tcPr>
          <w:p w14:paraId="3EADDFCE">
            <w:pPr>
              <w:pStyle w:val="37"/>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snapToGrid/>
                <w:color w:val="auto"/>
                <w:sz w:val="21"/>
                <w:lang w:val="en-US" w:eastAsia="zh-CN"/>
              </w:rPr>
              <w:t>2.5</w:t>
            </w:r>
          </w:p>
        </w:tc>
      </w:tr>
      <w:tr w14:paraId="208EB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645DE10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785" w:type="pct"/>
            <w:gridSpan w:val="2"/>
            <w:tcBorders>
              <w:tl2br w:val="nil"/>
              <w:tr2bl w:val="nil"/>
            </w:tcBorders>
            <w:noWrap w:val="0"/>
            <w:vAlign w:val="center"/>
          </w:tcPr>
          <w:p w14:paraId="7D7E316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小计</w:t>
            </w:r>
          </w:p>
        </w:tc>
        <w:tc>
          <w:tcPr>
            <w:tcW w:w="824" w:type="pct"/>
            <w:tcBorders>
              <w:tl2br w:val="nil"/>
              <w:tr2bl w:val="nil"/>
            </w:tcBorders>
            <w:noWrap w:val="0"/>
            <w:vAlign w:val="center"/>
          </w:tcPr>
          <w:p w14:paraId="093701C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7</w:t>
            </w:r>
          </w:p>
        </w:tc>
      </w:tr>
      <w:tr w14:paraId="528B1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restart"/>
            <w:tcBorders>
              <w:tl2br w:val="nil"/>
              <w:tr2bl w:val="nil"/>
            </w:tcBorders>
            <w:noWrap w:val="0"/>
            <w:vAlign w:val="center"/>
          </w:tcPr>
          <w:p w14:paraId="542B2B6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运</w:t>
            </w:r>
          </w:p>
          <w:p w14:paraId="1CBA79E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营</w:t>
            </w:r>
          </w:p>
          <w:p w14:paraId="6FAC066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期</w:t>
            </w:r>
          </w:p>
        </w:tc>
        <w:tc>
          <w:tcPr>
            <w:tcW w:w="745" w:type="pct"/>
            <w:vMerge w:val="restart"/>
            <w:tcBorders>
              <w:tl2br w:val="nil"/>
              <w:tr2bl w:val="nil"/>
            </w:tcBorders>
            <w:noWrap w:val="0"/>
            <w:vAlign w:val="center"/>
          </w:tcPr>
          <w:p w14:paraId="73E332A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废气治理</w:t>
            </w:r>
          </w:p>
        </w:tc>
        <w:tc>
          <w:tcPr>
            <w:tcW w:w="3040" w:type="pct"/>
            <w:tcBorders>
              <w:tl2br w:val="nil"/>
              <w:tr2bl w:val="nil"/>
            </w:tcBorders>
            <w:noWrap w:val="0"/>
            <w:vAlign w:val="top"/>
          </w:tcPr>
          <w:p w14:paraId="4720C283">
            <w:pPr>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rPr>
            </w:pPr>
            <w:r>
              <w:rPr>
                <w:rFonts w:ascii="Times New Roman" w:hAnsi="Times New Roman" w:eastAsia="宋体" w:cs="宋体"/>
                <w:snapToGrid/>
                <w:color w:val="auto"/>
                <w:sz w:val="21"/>
              </w:rPr>
              <w:t>半封闭式堆棚</w:t>
            </w:r>
          </w:p>
        </w:tc>
        <w:tc>
          <w:tcPr>
            <w:tcW w:w="824" w:type="pct"/>
            <w:tcBorders>
              <w:tl2br w:val="nil"/>
              <w:tr2bl w:val="nil"/>
            </w:tcBorders>
            <w:noWrap w:val="0"/>
            <w:vAlign w:val="center"/>
          </w:tcPr>
          <w:p w14:paraId="1325157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rPr>
            </w:pPr>
            <w:r>
              <w:rPr>
                <w:rFonts w:hint="eastAsia" w:ascii="Times New Roman" w:hAnsi="Times New Roman" w:eastAsia="宋体"/>
                <w:color w:val="auto"/>
                <w:sz w:val="21"/>
                <w:lang w:val="en-US" w:eastAsia="zh-CN"/>
              </w:rPr>
              <w:t>5</w:t>
            </w:r>
          </w:p>
        </w:tc>
      </w:tr>
      <w:tr w14:paraId="2FA03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7485A02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1E2BA30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040" w:type="pct"/>
            <w:tcBorders>
              <w:tl2br w:val="nil"/>
              <w:tr2bl w:val="nil"/>
            </w:tcBorders>
            <w:noWrap w:val="0"/>
            <w:vAlign w:val="top"/>
          </w:tcPr>
          <w:p w14:paraId="3844A4BB">
            <w:pPr>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rPr>
            </w:pPr>
            <w:r>
              <w:rPr>
                <w:rFonts w:ascii="Times New Roman" w:hAnsi="Times New Roman" w:eastAsia="宋体" w:cs="宋体"/>
                <w:snapToGrid/>
                <w:color w:val="auto"/>
                <w:sz w:val="21"/>
                <w:lang w:eastAsia="zh-CN"/>
              </w:rPr>
              <w:t>车间密封，破碎采用湿法破碎工艺</w:t>
            </w:r>
          </w:p>
        </w:tc>
        <w:tc>
          <w:tcPr>
            <w:tcW w:w="824" w:type="pct"/>
            <w:tcBorders>
              <w:tl2br w:val="nil"/>
              <w:tr2bl w:val="nil"/>
            </w:tcBorders>
            <w:noWrap w:val="0"/>
            <w:vAlign w:val="center"/>
          </w:tcPr>
          <w:p w14:paraId="3156C46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rPr>
            </w:pPr>
            <w:r>
              <w:rPr>
                <w:rFonts w:hint="eastAsia" w:ascii="Times New Roman" w:hAnsi="Times New Roman" w:eastAsia="宋体"/>
                <w:color w:val="auto"/>
                <w:sz w:val="21"/>
                <w:lang w:val="en-US" w:eastAsia="zh-CN"/>
              </w:rPr>
              <w:t>3</w:t>
            </w:r>
          </w:p>
        </w:tc>
      </w:tr>
      <w:tr w14:paraId="2D605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695E7FB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3F904CB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040" w:type="pct"/>
            <w:tcBorders>
              <w:tl2br w:val="nil"/>
              <w:tr2bl w:val="nil"/>
            </w:tcBorders>
            <w:noWrap w:val="0"/>
            <w:vAlign w:val="top"/>
          </w:tcPr>
          <w:p w14:paraId="31DBA39C">
            <w:pPr>
              <w:pStyle w:val="37"/>
              <w:widowControl w:val="0"/>
              <w:shd w:val="clear"/>
              <w:kinsoku/>
              <w:autoSpaceDE/>
              <w:autoSpaceDN/>
              <w:adjustRightInd/>
              <w:snapToGrid/>
              <w:spacing w:line="360" w:lineRule="auto"/>
              <w:jc w:val="center"/>
              <w:textAlignment w:val="auto"/>
              <w:rPr>
                <w:rFonts w:hint="default" w:ascii="Times New Roman" w:hAnsi="Times New Roman" w:eastAsia="宋体"/>
                <w:color w:val="auto"/>
                <w:sz w:val="21"/>
                <w:lang w:val="en-US" w:eastAsia="zh-CN"/>
              </w:rPr>
            </w:pPr>
            <w:r>
              <w:rPr>
                <w:rFonts w:ascii="Times New Roman" w:hAnsi="Times New Roman" w:eastAsia="宋体"/>
                <w:snapToGrid/>
                <w:color w:val="auto"/>
                <w:sz w:val="21"/>
                <w:lang w:eastAsia="zh-CN"/>
              </w:rPr>
              <w:t>1</w:t>
            </w:r>
            <w:r>
              <w:rPr>
                <w:rFonts w:ascii="Times New Roman" w:hAnsi="Times New Roman" w:eastAsia="宋体" w:cs="宋体"/>
                <w:snapToGrid/>
                <w:color w:val="auto"/>
                <w:sz w:val="21"/>
                <w:lang w:eastAsia="zh-CN"/>
              </w:rPr>
              <w:t>套“</w:t>
            </w:r>
            <w:r>
              <w:rPr>
                <w:rFonts w:hint="eastAsia" w:eastAsia="宋体" w:cs="宋体"/>
                <w:snapToGrid/>
                <w:color w:val="auto"/>
                <w:sz w:val="21"/>
                <w:lang w:eastAsia="zh-CN"/>
              </w:rPr>
              <w:t>活性炭吸附+蓄热式催化燃烧</w:t>
            </w:r>
            <w:r>
              <w:rPr>
                <w:rFonts w:ascii="Times New Roman" w:hAnsi="Times New Roman" w:eastAsia="宋体" w:cs="宋体"/>
                <w:snapToGrid/>
                <w:color w:val="auto"/>
                <w:sz w:val="21"/>
                <w:lang w:eastAsia="zh-CN"/>
              </w:rPr>
              <w:t>”净化处理后通过</w:t>
            </w:r>
            <w:r>
              <w:rPr>
                <w:rFonts w:ascii="Times New Roman" w:hAnsi="Times New Roman" w:eastAsia="宋体"/>
                <w:snapToGrid/>
                <w:color w:val="auto"/>
                <w:sz w:val="21"/>
                <w:lang w:eastAsia="zh-CN"/>
              </w:rPr>
              <w:t>1</w:t>
            </w:r>
            <w:r>
              <w:rPr>
                <w:rFonts w:ascii="Times New Roman" w:hAnsi="Times New Roman" w:eastAsia="宋体" w:cs="宋体"/>
                <w:snapToGrid/>
                <w:color w:val="auto"/>
                <w:sz w:val="21"/>
                <w:lang w:eastAsia="zh-CN"/>
              </w:rPr>
              <w:t>根</w:t>
            </w:r>
            <w:r>
              <w:rPr>
                <w:rFonts w:ascii="Times New Roman" w:hAnsi="Times New Roman" w:eastAsia="宋体"/>
                <w:snapToGrid/>
                <w:color w:val="auto"/>
                <w:sz w:val="21"/>
                <w:lang w:eastAsia="zh-CN"/>
              </w:rPr>
              <w:t>15m</w:t>
            </w:r>
            <w:r>
              <w:rPr>
                <w:rFonts w:ascii="Times New Roman" w:hAnsi="Times New Roman" w:eastAsia="宋体" w:cs="宋体"/>
                <w:snapToGrid/>
                <w:color w:val="auto"/>
                <w:sz w:val="21"/>
                <w:lang w:eastAsia="zh-CN"/>
              </w:rPr>
              <w:t>高排气筒（</w:t>
            </w:r>
            <w:r>
              <w:rPr>
                <w:rFonts w:ascii="Times New Roman" w:hAnsi="Times New Roman" w:eastAsia="宋体"/>
                <w:snapToGrid/>
                <w:color w:val="auto"/>
                <w:sz w:val="21"/>
                <w:lang w:eastAsia="zh-CN"/>
              </w:rPr>
              <w:t>DA001</w:t>
            </w:r>
            <w:r>
              <w:rPr>
                <w:rFonts w:ascii="Times New Roman" w:hAnsi="Times New Roman" w:eastAsia="宋体" w:cs="宋体"/>
                <w:snapToGrid/>
                <w:color w:val="auto"/>
                <w:sz w:val="21"/>
                <w:lang w:eastAsia="zh-CN"/>
              </w:rPr>
              <w:t>）外排</w:t>
            </w:r>
          </w:p>
        </w:tc>
        <w:tc>
          <w:tcPr>
            <w:tcW w:w="824" w:type="pct"/>
            <w:tcBorders>
              <w:tl2br w:val="nil"/>
              <w:tr2bl w:val="nil"/>
            </w:tcBorders>
            <w:noWrap w:val="0"/>
            <w:vAlign w:val="center"/>
          </w:tcPr>
          <w:p w14:paraId="5DA3138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30</w:t>
            </w:r>
          </w:p>
        </w:tc>
      </w:tr>
      <w:tr w14:paraId="1CBD8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2725324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589AEF9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040" w:type="pct"/>
            <w:tcBorders>
              <w:tl2br w:val="nil"/>
              <w:tr2bl w:val="nil"/>
            </w:tcBorders>
            <w:noWrap w:val="0"/>
            <w:vAlign w:val="top"/>
          </w:tcPr>
          <w:p w14:paraId="1C23BB0C">
            <w:pPr>
              <w:pStyle w:val="37"/>
              <w:widowControl w:val="0"/>
              <w:shd w:val="clear"/>
              <w:kinsoku/>
              <w:autoSpaceDE/>
              <w:autoSpaceDN/>
              <w:adjustRightInd/>
              <w:snapToGrid/>
              <w:spacing w:line="360" w:lineRule="auto"/>
              <w:jc w:val="center"/>
              <w:textAlignment w:val="auto"/>
              <w:rPr>
                <w:rFonts w:ascii="Times New Roman" w:hAnsi="Times New Roman" w:eastAsia="宋体"/>
                <w:snapToGrid/>
                <w:color w:val="auto"/>
                <w:sz w:val="21"/>
                <w:lang w:eastAsia="zh-CN"/>
              </w:rPr>
            </w:pPr>
            <w:r>
              <w:rPr>
                <w:rFonts w:ascii="Times New Roman" w:hAnsi="Times New Roman" w:eastAsia="宋体" w:cs="宋体"/>
                <w:snapToGrid/>
                <w:color w:val="auto"/>
                <w:sz w:val="21"/>
                <w:lang w:eastAsia="zh-CN"/>
              </w:rPr>
              <w:t>废旧塑料颗粒加工车间和滴灌带生产车间设置换气扇，通风装置</w:t>
            </w:r>
          </w:p>
        </w:tc>
        <w:tc>
          <w:tcPr>
            <w:tcW w:w="824" w:type="pct"/>
            <w:tcBorders>
              <w:tl2br w:val="nil"/>
              <w:tr2bl w:val="nil"/>
            </w:tcBorders>
            <w:noWrap w:val="0"/>
            <w:vAlign w:val="center"/>
          </w:tcPr>
          <w:p w14:paraId="4E547C0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val="en-US" w:eastAsia="zh-CN"/>
              </w:rPr>
            </w:pPr>
            <w:r>
              <w:rPr>
                <w:rFonts w:ascii="Times New Roman" w:hAnsi="Times New Roman" w:eastAsia="宋体"/>
                <w:snapToGrid/>
                <w:color w:val="auto"/>
                <w:sz w:val="21"/>
              </w:rPr>
              <w:t>1.5</w:t>
            </w:r>
          </w:p>
        </w:tc>
      </w:tr>
      <w:tr w14:paraId="12ADF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4DC0D3B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restart"/>
            <w:tcBorders>
              <w:tl2br w:val="nil"/>
              <w:tr2bl w:val="nil"/>
            </w:tcBorders>
            <w:noWrap w:val="0"/>
            <w:vAlign w:val="center"/>
          </w:tcPr>
          <w:p w14:paraId="2E1EE77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废水治理</w:t>
            </w:r>
          </w:p>
        </w:tc>
        <w:tc>
          <w:tcPr>
            <w:tcW w:w="3040" w:type="pct"/>
            <w:tcBorders>
              <w:tl2br w:val="nil"/>
              <w:tr2bl w:val="nil"/>
            </w:tcBorders>
            <w:noWrap w:val="0"/>
            <w:vAlign w:val="top"/>
          </w:tcPr>
          <w:p w14:paraId="5C5BFDDB">
            <w:pPr>
              <w:pStyle w:val="37"/>
              <w:widowControl w:val="0"/>
              <w:shd w:val="clear"/>
              <w:kinsoku/>
              <w:autoSpaceDE/>
              <w:autoSpaceDN/>
              <w:adjustRightInd/>
              <w:snapToGrid/>
              <w:spacing w:line="360" w:lineRule="auto"/>
              <w:jc w:val="center"/>
              <w:textAlignment w:val="auto"/>
              <w:rPr>
                <w:rFonts w:ascii="Times New Roman" w:hAnsi="Times New Roman" w:eastAsia="宋体"/>
                <w:color w:val="auto"/>
                <w:sz w:val="21"/>
              </w:rPr>
            </w:pPr>
            <w:r>
              <w:rPr>
                <w:rFonts w:hint="eastAsia" w:ascii="Times New Roman" w:hAnsi="Times New Roman" w:eastAsia="宋体"/>
                <w:snapToGrid/>
                <w:color w:val="auto"/>
                <w:sz w:val="21"/>
                <w:lang w:eastAsia="zh-CN"/>
              </w:rPr>
              <w:t>1</w:t>
            </w:r>
            <w:r>
              <w:rPr>
                <w:rFonts w:ascii="Times New Roman" w:hAnsi="Times New Roman" w:eastAsia="宋体" w:cs="宋体"/>
                <w:snapToGrid/>
                <w:color w:val="auto"/>
                <w:sz w:val="21"/>
                <w:lang w:eastAsia="zh-CN"/>
              </w:rPr>
              <w:t>座防渗沉淀池（</w:t>
            </w:r>
            <w:r>
              <w:rPr>
                <w:rFonts w:ascii="Times New Roman" w:hAnsi="Times New Roman" w:eastAsia="宋体"/>
                <w:snapToGrid/>
                <w:color w:val="auto"/>
                <w:sz w:val="21"/>
                <w:lang w:eastAsia="zh-CN"/>
              </w:rPr>
              <w:t>200m</w:t>
            </w:r>
            <w:r>
              <w:rPr>
                <w:rFonts w:ascii="Times New Roman" w:hAnsi="Times New Roman" w:eastAsia="宋体"/>
                <w:snapToGrid/>
                <w:color w:val="auto"/>
                <w:sz w:val="21"/>
                <w:szCs w:val="13"/>
                <w:vertAlign w:val="superscript"/>
                <w:lang w:eastAsia="zh-CN"/>
              </w:rPr>
              <w:t>3</w:t>
            </w:r>
            <w:r>
              <w:rPr>
                <w:rFonts w:ascii="Times New Roman" w:hAnsi="Times New Roman" w:eastAsia="宋体"/>
                <w:snapToGrid/>
                <w:color w:val="auto"/>
                <w:sz w:val="21"/>
                <w:lang w:eastAsia="zh-CN"/>
              </w:rPr>
              <w:t>/</w:t>
            </w:r>
            <w:r>
              <w:rPr>
                <w:rFonts w:ascii="Times New Roman" w:hAnsi="Times New Roman" w:eastAsia="宋体" w:cs="宋体"/>
                <w:snapToGrid/>
                <w:color w:val="auto"/>
                <w:sz w:val="21"/>
                <w:lang w:eastAsia="zh-CN"/>
              </w:rPr>
              <w:t>座）</w:t>
            </w:r>
          </w:p>
        </w:tc>
        <w:tc>
          <w:tcPr>
            <w:tcW w:w="824" w:type="pct"/>
            <w:vMerge w:val="restart"/>
            <w:tcBorders>
              <w:tl2br w:val="nil"/>
              <w:tr2bl w:val="nil"/>
            </w:tcBorders>
            <w:noWrap w:val="0"/>
            <w:vAlign w:val="center"/>
          </w:tcPr>
          <w:p w14:paraId="737B2A6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计入主体工程</w:t>
            </w:r>
          </w:p>
        </w:tc>
      </w:tr>
      <w:tr w14:paraId="05F0C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4AAC84F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4ECC892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040" w:type="pct"/>
            <w:tcBorders>
              <w:tl2br w:val="nil"/>
              <w:tr2bl w:val="nil"/>
            </w:tcBorders>
            <w:noWrap w:val="0"/>
            <w:vAlign w:val="top"/>
          </w:tcPr>
          <w:p w14:paraId="56D51655">
            <w:pPr>
              <w:pStyle w:val="37"/>
              <w:widowControl w:val="0"/>
              <w:shd w:val="clear"/>
              <w:kinsoku/>
              <w:autoSpaceDE/>
              <w:autoSpaceDN/>
              <w:adjustRightInd/>
              <w:snapToGrid/>
              <w:spacing w:line="360" w:lineRule="auto"/>
              <w:jc w:val="center"/>
              <w:textAlignment w:val="auto"/>
              <w:rPr>
                <w:rFonts w:hint="eastAsia" w:ascii="Times New Roman" w:hAnsi="Times New Roman" w:eastAsia="宋体"/>
                <w:color w:val="auto"/>
                <w:sz w:val="21"/>
                <w:lang w:val="en-US" w:eastAsia="zh-CN"/>
              </w:rPr>
            </w:pPr>
            <w:r>
              <w:rPr>
                <w:rFonts w:ascii="Times New Roman" w:hAnsi="Times New Roman" w:eastAsia="宋体"/>
                <w:snapToGrid/>
                <w:color w:val="auto"/>
                <w:sz w:val="21"/>
              </w:rPr>
              <w:t>1</w:t>
            </w:r>
            <w:r>
              <w:rPr>
                <w:rFonts w:ascii="Times New Roman" w:hAnsi="Times New Roman" w:eastAsia="宋体" w:cs="宋体"/>
                <w:snapToGrid/>
                <w:color w:val="auto"/>
                <w:sz w:val="21"/>
              </w:rPr>
              <w:t>座</w:t>
            </w:r>
            <w:r>
              <w:rPr>
                <w:rFonts w:ascii="Times New Roman" w:hAnsi="Times New Roman" w:eastAsia="宋体"/>
                <w:snapToGrid/>
                <w:color w:val="auto"/>
                <w:sz w:val="21"/>
              </w:rPr>
              <w:t>60m</w:t>
            </w:r>
            <w:r>
              <w:rPr>
                <w:rFonts w:ascii="Times New Roman" w:hAnsi="Times New Roman" w:eastAsia="宋体"/>
                <w:snapToGrid/>
                <w:color w:val="auto"/>
                <w:sz w:val="21"/>
                <w:szCs w:val="13"/>
                <w:vertAlign w:val="superscript"/>
              </w:rPr>
              <w:t>3</w:t>
            </w:r>
            <w:r>
              <w:rPr>
                <w:rFonts w:ascii="Times New Roman" w:hAnsi="Times New Roman" w:eastAsia="宋体" w:cs="宋体"/>
                <w:snapToGrid/>
                <w:color w:val="auto"/>
                <w:sz w:val="21"/>
              </w:rPr>
              <w:t>防渗循环水池</w:t>
            </w:r>
          </w:p>
        </w:tc>
        <w:tc>
          <w:tcPr>
            <w:tcW w:w="824" w:type="pct"/>
            <w:vMerge w:val="continue"/>
            <w:tcBorders>
              <w:tl2br w:val="nil"/>
              <w:tr2bl w:val="nil"/>
            </w:tcBorders>
            <w:noWrap w:val="0"/>
            <w:vAlign w:val="center"/>
          </w:tcPr>
          <w:p w14:paraId="4C0AC0D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p>
        </w:tc>
      </w:tr>
      <w:tr w14:paraId="7E2AD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1ECA969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7B313C93">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040" w:type="pct"/>
            <w:tcBorders>
              <w:tl2br w:val="nil"/>
              <w:tr2bl w:val="nil"/>
            </w:tcBorders>
            <w:noWrap w:val="0"/>
            <w:vAlign w:val="center"/>
          </w:tcPr>
          <w:p w14:paraId="3E1DC3F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1个60m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eastAsia="zh-CN"/>
              </w:rPr>
              <w:t>防渗化粪池</w:t>
            </w:r>
          </w:p>
        </w:tc>
        <w:tc>
          <w:tcPr>
            <w:tcW w:w="824" w:type="pct"/>
            <w:tcBorders>
              <w:tl2br w:val="nil"/>
              <w:tr2bl w:val="nil"/>
            </w:tcBorders>
            <w:noWrap w:val="0"/>
            <w:vAlign w:val="center"/>
          </w:tcPr>
          <w:p w14:paraId="60A5180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w:t>
            </w:r>
          </w:p>
        </w:tc>
      </w:tr>
      <w:tr w14:paraId="5CEC1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0D47ECF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2B43820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噪声治理</w:t>
            </w:r>
          </w:p>
        </w:tc>
        <w:tc>
          <w:tcPr>
            <w:tcW w:w="3040" w:type="pct"/>
            <w:tcBorders>
              <w:tl2br w:val="nil"/>
              <w:tr2bl w:val="nil"/>
            </w:tcBorders>
            <w:noWrap w:val="0"/>
            <w:vAlign w:val="center"/>
          </w:tcPr>
          <w:p w14:paraId="687A069B">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安装减振基础、减振垫、消声器等</w:t>
            </w:r>
          </w:p>
        </w:tc>
        <w:tc>
          <w:tcPr>
            <w:tcW w:w="824" w:type="pct"/>
            <w:tcBorders>
              <w:tl2br w:val="nil"/>
              <w:tr2bl w:val="nil"/>
            </w:tcBorders>
            <w:noWrap w:val="0"/>
            <w:vAlign w:val="center"/>
          </w:tcPr>
          <w:p w14:paraId="6F042C1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2.5</w:t>
            </w:r>
          </w:p>
        </w:tc>
      </w:tr>
      <w:tr w14:paraId="34888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6924C1C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restart"/>
            <w:tcBorders>
              <w:tl2br w:val="nil"/>
              <w:tr2bl w:val="nil"/>
            </w:tcBorders>
            <w:noWrap w:val="0"/>
            <w:vAlign w:val="center"/>
          </w:tcPr>
          <w:p w14:paraId="27B66FD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固废治理</w:t>
            </w:r>
          </w:p>
        </w:tc>
        <w:tc>
          <w:tcPr>
            <w:tcW w:w="3040" w:type="pct"/>
            <w:tcBorders>
              <w:tl2br w:val="nil"/>
              <w:tr2bl w:val="nil"/>
            </w:tcBorders>
            <w:noWrap w:val="0"/>
            <w:vAlign w:val="center"/>
          </w:tcPr>
          <w:p w14:paraId="4275918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设置一般</w:t>
            </w:r>
            <w:r>
              <w:rPr>
                <w:rFonts w:hint="eastAsia" w:ascii="Times New Roman" w:hAnsi="Times New Roman" w:eastAsia="宋体"/>
                <w:color w:val="auto"/>
                <w:sz w:val="21"/>
                <w:lang w:eastAsia="zh-CN"/>
              </w:rPr>
              <w:t>固废暂存区、垃圾桶、垃圾箱</w:t>
            </w:r>
          </w:p>
        </w:tc>
        <w:tc>
          <w:tcPr>
            <w:tcW w:w="824" w:type="pct"/>
            <w:tcBorders>
              <w:tl2br w:val="nil"/>
              <w:tr2bl w:val="nil"/>
            </w:tcBorders>
            <w:noWrap w:val="0"/>
            <w:vAlign w:val="center"/>
          </w:tcPr>
          <w:p w14:paraId="4C574185">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1</w:t>
            </w:r>
          </w:p>
        </w:tc>
      </w:tr>
      <w:tr w14:paraId="44DA5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436E99F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vMerge w:val="continue"/>
            <w:tcBorders>
              <w:tl2br w:val="nil"/>
              <w:tr2bl w:val="nil"/>
            </w:tcBorders>
            <w:noWrap w:val="0"/>
            <w:vAlign w:val="center"/>
          </w:tcPr>
          <w:p w14:paraId="5E122C0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rPr>
            </w:pPr>
          </w:p>
        </w:tc>
        <w:tc>
          <w:tcPr>
            <w:tcW w:w="3040" w:type="pct"/>
            <w:tcBorders>
              <w:tl2br w:val="nil"/>
              <w:tr2bl w:val="nil"/>
            </w:tcBorders>
            <w:noWrap w:val="0"/>
            <w:vAlign w:val="center"/>
          </w:tcPr>
          <w:p w14:paraId="45C76D4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危险废物在厂区危废暂存间内暂存，废润滑油委托有资质单位定期进行处置</w:t>
            </w:r>
          </w:p>
        </w:tc>
        <w:tc>
          <w:tcPr>
            <w:tcW w:w="824" w:type="pct"/>
            <w:tcBorders>
              <w:tl2br w:val="nil"/>
              <w:tr2bl w:val="nil"/>
            </w:tcBorders>
            <w:noWrap w:val="0"/>
            <w:vAlign w:val="center"/>
          </w:tcPr>
          <w:p w14:paraId="43285866">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w:t>
            </w:r>
          </w:p>
        </w:tc>
      </w:tr>
      <w:tr w14:paraId="2A83B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70FFC3C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72E2E7D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地下水污染防治</w:t>
            </w:r>
          </w:p>
        </w:tc>
        <w:tc>
          <w:tcPr>
            <w:tcW w:w="3040" w:type="pct"/>
            <w:tcBorders>
              <w:tl2br w:val="nil"/>
              <w:tr2bl w:val="nil"/>
            </w:tcBorders>
            <w:noWrap w:val="0"/>
            <w:vAlign w:val="center"/>
          </w:tcPr>
          <w:p w14:paraId="62818D87">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厂区分区防渗</w:t>
            </w:r>
          </w:p>
        </w:tc>
        <w:tc>
          <w:tcPr>
            <w:tcW w:w="824" w:type="pct"/>
            <w:tcBorders>
              <w:tl2br w:val="nil"/>
              <w:tr2bl w:val="nil"/>
            </w:tcBorders>
            <w:noWrap w:val="0"/>
            <w:vAlign w:val="center"/>
          </w:tcPr>
          <w:p w14:paraId="7A1E01C9">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r>
      <w:tr w14:paraId="4D4CF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4D1EA9BF">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225580F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生态</w:t>
            </w:r>
          </w:p>
        </w:tc>
        <w:tc>
          <w:tcPr>
            <w:tcW w:w="3040" w:type="pct"/>
            <w:tcBorders>
              <w:tl2br w:val="nil"/>
              <w:tr2bl w:val="nil"/>
            </w:tcBorders>
            <w:noWrap w:val="0"/>
            <w:vAlign w:val="center"/>
          </w:tcPr>
          <w:p w14:paraId="7F3D2A6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厂区绿化</w:t>
            </w:r>
          </w:p>
        </w:tc>
        <w:tc>
          <w:tcPr>
            <w:tcW w:w="824" w:type="pct"/>
            <w:tcBorders>
              <w:tl2br w:val="nil"/>
              <w:tr2bl w:val="nil"/>
            </w:tcBorders>
            <w:noWrap w:val="0"/>
            <w:vAlign w:val="center"/>
          </w:tcPr>
          <w:p w14:paraId="7A58544A">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w:t>
            </w:r>
          </w:p>
        </w:tc>
      </w:tr>
      <w:tr w14:paraId="1F78F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4188313D">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745" w:type="pct"/>
            <w:tcBorders>
              <w:tl2br w:val="nil"/>
              <w:tr2bl w:val="nil"/>
            </w:tcBorders>
            <w:noWrap w:val="0"/>
            <w:vAlign w:val="center"/>
          </w:tcPr>
          <w:p w14:paraId="0769BC54">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环境监测与管理</w:t>
            </w:r>
          </w:p>
        </w:tc>
        <w:tc>
          <w:tcPr>
            <w:tcW w:w="3040" w:type="pct"/>
            <w:tcBorders>
              <w:tl2br w:val="nil"/>
              <w:tr2bl w:val="nil"/>
            </w:tcBorders>
            <w:noWrap w:val="0"/>
            <w:vAlign w:val="center"/>
          </w:tcPr>
          <w:p w14:paraId="3C7BF39C">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ascii="Times New Roman" w:hAnsi="Times New Roman" w:eastAsia="宋体"/>
                <w:color w:val="auto"/>
                <w:sz w:val="21"/>
              </w:rPr>
              <w:t>/</w:t>
            </w:r>
          </w:p>
        </w:tc>
        <w:tc>
          <w:tcPr>
            <w:tcW w:w="824" w:type="pct"/>
            <w:tcBorders>
              <w:tl2br w:val="nil"/>
              <w:tr2bl w:val="nil"/>
            </w:tcBorders>
            <w:noWrap w:val="0"/>
            <w:vAlign w:val="center"/>
          </w:tcPr>
          <w:p w14:paraId="2168AF58">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3</w:t>
            </w:r>
          </w:p>
        </w:tc>
      </w:tr>
      <w:tr w14:paraId="00D87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35B4B230">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p>
        </w:tc>
        <w:tc>
          <w:tcPr>
            <w:tcW w:w="3785" w:type="pct"/>
            <w:gridSpan w:val="2"/>
            <w:tcBorders>
              <w:tl2br w:val="nil"/>
              <w:tr2bl w:val="nil"/>
            </w:tcBorders>
            <w:noWrap w:val="0"/>
            <w:vAlign w:val="center"/>
          </w:tcPr>
          <w:p w14:paraId="478A893E">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小计</w:t>
            </w:r>
          </w:p>
        </w:tc>
        <w:tc>
          <w:tcPr>
            <w:tcW w:w="824" w:type="pct"/>
            <w:tcBorders>
              <w:tl2br w:val="nil"/>
              <w:tr2bl w:val="nil"/>
            </w:tcBorders>
            <w:noWrap w:val="0"/>
            <w:vAlign w:val="center"/>
          </w:tcPr>
          <w:p w14:paraId="521B18E2">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49</w:t>
            </w:r>
          </w:p>
        </w:tc>
      </w:tr>
      <w:tr w14:paraId="1A044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5" w:type="pct"/>
            <w:gridSpan w:val="3"/>
            <w:tcBorders>
              <w:tl2br w:val="nil"/>
              <w:tr2bl w:val="nil"/>
            </w:tcBorders>
            <w:noWrap w:val="0"/>
            <w:vAlign w:val="center"/>
          </w:tcPr>
          <w:p w14:paraId="68348E9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Times New Roman" w:hAnsi="Times New Roman" w:eastAsia="宋体"/>
                <w:color w:val="auto"/>
                <w:sz w:val="21"/>
              </w:rPr>
            </w:pPr>
            <w:r>
              <w:rPr>
                <w:rFonts w:hint="eastAsia" w:ascii="Times New Roman" w:hAnsi="Times New Roman" w:eastAsia="宋体"/>
                <w:color w:val="auto"/>
                <w:sz w:val="21"/>
              </w:rPr>
              <w:t>总计</w:t>
            </w:r>
          </w:p>
        </w:tc>
        <w:tc>
          <w:tcPr>
            <w:tcW w:w="824" w:type="pct"/>
            <w:tcBorders>
              <w:tl2br w:val="nil"/>
              <w:tr2bl w:val="nil"/>
            </w:tcBorders>
            <w:noWrap w:val="0"/>
            <w:vAlign w:val="center"/>
          </w:tcPr>
          <w:p w14:paraId="1E74E0E1">
            <w:pPr>
              <w:pStyle w:val="5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75</w:t>
            </w:r>
          </w:p>
        </w:tc>
      </w:tr>
    </w:tbl>
    <w:p w14:paraId="2C8177DD">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r>
        <w:rPr>
          <w:rFonts w:hint="eastAsia" w:ascii="Times New Roman" w:hAnsi="Times New Roman" w:cs="Times New Roman"/>
          <w:b/>
          <w:bCs/>
          <w:snapToGrid/>
          <w:color w:val="auto"/>
          <w:sz w:val="28"/>
          <w:szCs w:val="32"/>
          <w:lang w:eastAsia="zh-CN"/>
        </w:rPr>
        <w:t>7.1.2环境效益分析</w:t>
      </w:r>
      <w:bookmarkEnd w:id="888"/>
      <w:bookmarkEnd w:id="889"/>
      <w:bookmarkEnd w:id="890"/>
    </w:p>
    <w:p w14:paraId="7DE0306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根据工程分析，采取各项治理措施后，拟建工程的各污染物的排放浓度均能达到相关标准的要求，有效地削减了污染物的排放量。所以拟建工程的环保投资是合理的，在实现经济效益的同时，也保护了环境。</w:t>
      </w:r>
    </w:p>
    <w:p w14:paraId="1CAEA8F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①本工程利用废旧滴灌带等，减少了固废对环境的影响，将固废重新利用，变废为宝；</w:t>
      </w:r>
    </w:p>
    <w:p w14:paraId="73946D1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②本工程生产线经负压集气罩收集，废气经收集后由通风管道进入“</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”净化处理，经处理后的废气通过1根15m高的排气筒（DA001）排放。采取以上措施后本项目的运营对周围环境影响较小；</w:t>
      </w:r>
    </w:p>
    <w:p w14:paraId="2029B3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③项目冷却水循环使用不外排，定期补充新鲜水，无生产废水排放，既节约了水资源，又减轻了对环境的污染，具有比较明显的环境效益；</w:t>
      </w:r>
    </w:p>
    <w:p w14:paraId="7ADE767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④工程噪声源经采取隔声减振等消声、降噪处理措施后，对厂界噪声贡献值能达到相关的标准要求，生产噪声对外环境的影响将减轻；</w:t>
      </w:r>
    </w:p>
    <w:p w14:paraId="4373C12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⑤固体废物均得到有效的处置，对环境的影响较小，在可接受范围内。</w:t>
      </w:r>
    </w:p>
    <w:p w14:paraId="4AC5837B">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891" w:name="bookmark40"/>
      <w:bookmarkEnd w:id="891"/>
      <w:bookmarkStart w:id="892" w:name="_Toc7541"/>
      <w:bookmarkStart w:id="893" w:name="_Toc32669"/>
      <w:bookmarkStart w:id="894" w:name="_Toc19214"/>
      <w:r>
        <w:rPr>
          <w:rFonts w:hint="eastAsia" w:ascii="Times New Roman" w:hAnsi="Times New Roman" w:eastAsia="宋体"/>
          <w:snapToGrid/>
          <w:color w:val="auto"/>
          <w:lang w:eastAsia="zh-CN"/>
        </w:rPr>
        <w:t>7.2社会效益分析</w:t>
      </w:r>
      <w:bookmarkEnd w:id="892"/>
      <w:bookmarkEnd w:id="893"/>
      <w:bookmarkEnd w:id="894"/>
    </w:p>
    <w:p w14:paraId="1651D3C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本项目实施后的社会效益主要体现在以下几方面：</w:t>
      </w:r>
    </w:p>
    <w:p w14:paraId="5C359D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895" w:name="_Toc7894"/>
      <w:bookmarkStart w:id="896" w:name="_Toc9024"/>
      <w:r>
        <w:rPr>
          <w:rFonts w:ascii="Times New Roman" w:hAnsi="Times New Roman"/>
          <w:snapToGrid/>
          <w:color w:val="auto"/>
          <w:sz w:val="24"/>
          <w:szCs w:val="24"/>
          <w:lang w:eastAsia="zh-CN"/>
        </w:rPr>
        <w:t>（1）项目建成后正常年份可</w:t>
      </w:r>
      <w:r>
        <w:rPr>
          <w:rFonts w:hint="eastAsia" w:ascii="Times New Roman" w:hAnsi="Times New Roman"/>
          <w:snapToGrid/>
          <w:color w:val="auto"/>
          <w:sz w:val="24"/>
          <w:szCs w:val="24"/>
          <w:lang w:eastAsia="zh-CN"/>
        </w:rPr>
        <w:t>上缴税款</w:t>
      </w:r>
      <w:r>
        <w:rPr>
          <w:rFonts w:ascii="Times New Roman" w:hAnsi="Times New Roman"/>
          <w:snapToGrid/>
          <w:color w:val="auto"/>
          <w:sz w:val="24"/>
          <w:szCs w:val="24"/>
          <w:lang w:eastAsia="zh-CN"/>
        </w:rPr>
        <w:t>，带动当地经济发展。</w:t>
      </w:r>
      <w:bookmarkEnd w:id="895"/>
      <w:bookmarkEnd w:id="896"/>
    </w:p>
    <w:p w14:paraId="0FEE0A4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（2）项目的实施有利于加快</w:t>
      </w:r>
      <w:r>
        <w:rPr>
          <w:rFonts w:hint="eastAsia" w:ascii="Times New Roman" w:hAnsi="Times New Roman"/>
          <w:snapToGrid/>
          <w:color w:val="auto"/>
          <w:sz w:val="24"/>
          <w:szCs w:val="24"/>
          <w:lang w:eastAsia="zh-CN"/>
        </w:rPr>
        <w:t>木垒哈萨克自治县</w:t>
      </w:r>
      <w:r>
        <w:rPr>
          <w:rFonts w:ascii="Times New Roman" w:hAnsi="Times New Roman"/>
          <w:snapToGrid/>
          <w:color w:val="auto"/>
          <w:sz w:val="24"/>
          <w:szCs w:val="24"/>
          <w:lang w:eastAsia="zh-CN"/>
        </w:rPr>
        <w:t>废旧塑料产业化进程，生产过程中采用国内外高新技术，尤其是针对关键生产环节，进行改造升级，从而减少原材料、动力及燃料的消耗，减少三废的排放，</w:t>
      </w:r>
      <w:r>
        <w:rPr>
          <w:rFonts w:hint="eastAsia" w:ascii="Times New Roman" w:hAnsi="Times New Roman"/>
          <w:snapToGrid/>
          <w:color w:val="auto"/>
          <w:sz w:val="24"/>
          <w:szCs w:val="24"/>
          <w:lang w:eastAsia="zh-CN"/>
        </w:rPr>
        <w:t>更好地</w:t>
      </w:r>
      <w:r>
        <w:rPr>
          <w:rFonts w:ascii="Times New Roman" w:hAnsi="Times New Roman"/>
          <w:snapToGrid/>
          <w:color w:val="auto"/>
          <w:sz w:val="24"/>
          <w:szCs w:val="24"/>
          <w:lang w:eastAsia="zh-CN"/>
        </w:rPr>
        <w:t>满足广大消费者的需求。同时通过建立废旧塑料产业，有利于带动当地现代产业的发展。</w:t>
      </w:r>
    </w:p>
    <w:p w14:paraId="3A0C196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（3）本项目的实施可以直接或间接的增加许多就业机会，促进社会的安定团结。</w:t>
      </w:r>
    </w:p>
    <w:p w14:paraId="7D36A02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（4）项目的实施可以增加当地政府的税收，促进当地经济发展和人民生活质量的提高。</w:t>
      </w:r>
    </w:p>
    <w:p w14:paraId="33AB43C0">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897" w:name="bookmark41"/>
      <w:bookmarkEnd w:id="897"/>
      <w:bookmarkStart w:id="898" w:name="_Toc24496"/>
      <w:bookmarkStart w:id="899" w:name="_Toc21066"/>
      <w:bookmarkStart w:id="900" w:name="_Toc4584"/>
      <w:r>
        <w:rPr>
          <w:rFonts w:hint="eastAsia" w:ascii="Times New Roman" w:hAnsi="Times New Roman" w:eastAsia="宋体"/>
          <w:snapToGrid/>
          <w:color w:val="auto"/>
          <w:lang w:eastAsia="zh-CN"/>
        </w:rPr>
        <w:t>7.3小结</w:t>
      </w:r>
      <w:bookmarkEnd w:id="898"/>
      <w:bookmarkEnd w:id="899"/>
      <w:bookmarkEnd w:id="900"/>
    </w:p>
    <w:p w14:paraId="4C52E42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分析，本项目的实施在促进地方经济发展的同时又具有良好的社会效益。该项目市场前景良好，能促进当地经济的发展，将为周围群众扩大就业机会，能提高群众的生活质量，所以从社会经济角度看是可行的。同时，项目在保证环保投资的前提下，能够实现达标排放，环境效益比较明显，因此从环境经济角度来看也是合理可行的。本项目具有较好的经济效益、社会效益和环境效益。</w:t>
      </w:r>
    </w:p>
    <w:p w14:paraId="6B71FD2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43" w:type="default"/>
          <w:footerReference r:id="rId44" w:type="default"/>
          <w:pgSz w:w="11906" w:h="16838"/>
          <w:pgMar w:top="1136" w:right="1679" w:bottom="1157" w:left="1711" w:header="868" w:footer="994" w:gutter="0"/>
          <w:pgBorders>
            <w:top w:val="none" w:sz="0" w:space="0"/>
            <w:left w:val="none" w:sz="0" w:space="0"/>
            <w:bottom w:val="none" w:sz="0" w:space="0"/>
            <w:right w:val="none" w:sz="0" w:space="0"/>
          </w:pgBorders>
          <w:cols w:space="720" w:num="1"/>
        </w:sectPr>
      </w:pPr>
    </w:p>
    <w:p w14:paraId="7904E353">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901" w:name="bookmark42"/>
      <w:bookmarkEnd w:id="901"/>
      <w:bookmarkStart w:id="902" w:name="bookmark84"/>
      <w:bookmarkEnd w:id="902"/>
      <w:bookmarkStart w:id="903" w:name="_Toc4866"/>
      <w:bookmarkStart w:id="904" w:name="_Toc4220"/>
      <w:bookmarkStart w:id="905" w:name="_Toc24447"/>
      <w:r>
        <w:rPr>
          <w:rFonts w:hint="eastAsia" w:ascii="Times New Roman" w:hAnsi="Times New Roman" w:eastAsia="宋体" w:cs="Times New Roman"/>
          <w:snapToGrid/>
          <w:color w:val="auto"/>
          <w:lang w:eastAsia="zh-CN"/>
        </w:rPr>
        <w:t>8、环境管理与监测计划</w:t>
      </w:r>
      <w:bookmarkEnd w:id="903"/>
      <w:bookmarkEnd w:id="904"/>
      <w:bookmarkEnd w:id="905"/>
    </w:p>
    <w:p w14:paraId="4B91F2A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管理是环境保护工作的重要内容之一，也是企业管理的重要组成部分，它利用行政、经济、技术、法律、教育等手段，对企业生产、经营发展、环境保护的关系进行协调，将其列入企业的议事日程，对生产过程中产生的或可能发生的环境问题进行深入细致的研究，制定合理的污染治理方案，以达到既发展生产、增加经济效益，又保护环境的目的。</w:t>
      </w:r>
    </w:p>
    <w:p w14:paraId="39176C5A">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906" w:name="bookmark43"/>
      <w:bookmarkEnd w:id="906"/>
      <w:bookmarkStart w:id="907" w:name="_Toc21285"/>
      <w:bookmarkStart w:id="908" w:name="_Toc25939"/>
      <w:bookmarkStart w:id="909" w:name="_Toc25374"/>
      <w:r>
        <w:rPr>
          <w:rFonts w:hint="eastAsia" w:ascii="Times New Roman" w:hAnsi="Times New Roman" w:eastAsia="宋体"/>
          <w:snapToGrid/>
          <w:color w:val="auto"/>
          <w:lang w:eastAsia="zh-CN"/>
        </w:rPr>
        <w:t>8.1环境管理体制</w:t>
      </w:r>
      <w:bookmarkEnd w:id="907"/>
      <w:bookmarkEnd w:id="908"/>
      <w:bookmarkEnd w:id="909"/>
    </w:p>
    <w:p w14:paraId="52A4978E">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10" w:name="_Toc5679"/>
      <w:bookmarkStart w:id="911" w:name="_Toc4482"/>
      <w:bookmarkStart w:id="912" w:name="_Toc6512"/>
      <w:r>
        <w:rPr>
          <w:rFonts w:hint="eastAsia" w:ascii="Times New Roman" w:hAnsi="Times New Roman" w:cs="Times New Roman"/>
          <w:b/>
          <w:bCs/>
          <w:snapToGrid/>
          <w:color w:val="auto"/>
          <w:sz w:val="28"/>
          <w:szCs w:val="32"/>
          <w:lang w:eastAsia="zh-CN"/>
        </w:rPr>
        <w:t>8.1.1环境管理的任务</w:t>
      </w:r>
      <w:bookmarkEnd w:id="910"/>
      <w:bookmarkEnd w:id="911"/>
      <w:bookmarkEnd w:id="912"/>
    </w:p>
    <w:p w14:paraId="0F56FAC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对于项目来说，环境管理的基本任务是：控制污染物排放量，避免污染物对环境质量的损害。</w:t>
      </w:r>
    </w:p>
    <w:p w14:paraId="16DF761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为了控制污染物的排放，就需要加强计划、生产、技术、质量、设备、劳动、财务等方面的管理，把环境管理渗透到整个企业管理中，将环境管理融合在一起，以减少从生产过程中各环节排出的污染物。</w:t>
      </w:r>
    </w:p>
    <w:p w14:paraId="15C31DD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项目应该将环境管理作为工业企业管理的重要组成部分，建立环境污染管理系统、制度、环境规划、协调发展生</w:t>
      </w:r>
      <w:r>
        <w:rPr>
          <w:rFonts w:hint="eastAsia" w:ascii="Times New Roman" w:hAnsi="Times New Roman"/>
          <w:snapToGrid/>
          <w:color w:val="auto"/>
          <w:sz w:val="24"/>
          <w:szCs w:val="24"/>
          <w:lang w:eastAsia="zh-CN"/>
        </w:rPr>
        <w:t>产和</w:t>
      </w:r>
      <w:r>
        <w:rPr>
          <w:rFonts w:ascii="Times New Roman" w:hAnsi="Times New Roman"/>
          <w:snapToGrid/>
          <w:color w:val="auto"/>
          <w:sz w:val="24"/>
          <w:szCs w:val="24"/>
          <w:lang w:eastAsia="zh-CN"/>
        </w:rPr>
        <w:t>保护环境的关系，使生产管理系统、制度、环境污染规划协调生产与保护环境的关系，使生产目标与环境目标统一起来，经济效益与环境效益统一起来。</w:t>
      </w:r>
    </w:p>
    <w:p w14:paraId="795D6D44">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13" w:name="_Toc7302"/>
      <w:bookmarkStart w:id="914" w:name="_Toc21342"/>
      <w:bookmarkStart w:id="915" w:name="_Toc32622"/>
      <w:r>
        <w:rPr>
          <w:rFonts w:hint="eastAsia" w:ascii="Times New Roman" w:hAnsi="Times New Roman" w:cs="Times New Roman"/>
          <w:b/>
          <w:bCs/>
          <w:snapToGrid/>
          <w:color w:val="auto"/>
          <w:sz w:val="28"/>
          <w:szCs w:val="32"/>
          <w:lang w:eastAsia="zh-CN"/>
        </w:rPr>
        <w:t>8.1.2环境管理机构</w:t>
      </w:r>
      <w:bookmarkEnd w:id="913"/>
      <w:bookmarkEnd w:id="914"/>
      <w:bookmarkEnd w:id="915"/>
    </w:p>
    <w:p w14:paraId="1035BC9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项目进入运营期后，要将环境管理纳入企业管理的体系中。环境管理机构的设置，</w:t>
      </w:r>
      <w:r>
        <w:rPr>
          <w:rFonts w:hint="eastAsia" w:ascii="Times New Roman" w:hAnsi="Times New Roman"/>
          <w:snapToGrid/>
          <w:color w:val="auto"/>
          <w:sz w:val="24"/>
          <w:szCs w:val="24"/>
          <w:lang w:eastAsia="zh-CN"/>
        </w:rPr>
        <w:t>目的是</w:t>
      </w:r>
      <w:r>
        <w:rPr>
          <w:rFonts w:ascii="Times New Roman" w:hAnsi="Times New Roman"/>
          <w:snapToGrid/>
          <w:color w:val="auto"/>
          <w:sz w:val="24"/>
          <w:szCs w:val="24"/>
          <w:lang w:eastAsia="zh-CN"/>
        </w:rPr>
        <w:t>贯彻执行中华人民共和国环境保护法的有关</w:t>
      </w:r>
      <w:r>
        <w:rPr>
          <w:rFonts w:hint="eastAsia" w:ascii="Times New Roman" w:hAnsi="Times New Roman"/>
          <w:snapToGrid/>
          <w:color w:val="auto"/>
          <w:sz w:val="24"/>
          <w:szCs w:val="24"/>
          <w:lang w:eastAsia="zh-CN"/>
        </w:rPr>
        <w:t>法律法规</w:t>
      </w:r>
      <w:r>
        <w:rPr>
          <w:rFonts w:ascii="Times New Roman" w:hAnsi="Times New Roman"/>
          <w:snapToGrid/>
          <w:color w:val="auto"/>
          <w:sz w:val="24"/>
          <w:szCs w:val="24"/>
          <w:lang w:eastAsia="zh-CN"/>
        </w:rPr>
        <w:t>，全面落实《国务院关于环境保护若干问题的决定》的有关规定，对项目“三废”排放实行监控，确保建设项</w:t>
      </w:r>
      <w:r>
        <w:rPr>
          <w:rFonts w:hint="eastAsia" w:ascii="Times New Roman" w:hAnsi="Times New Roman"/>
          <w:snapToGrid/>
          <w:color w:val="auto"/>
          <w:sz w:val="24"/>
          <w:szCs w:val="24"/>
          <w:lang w:eastAsia="zh-CN"/>
        </w:rPr>
        <w:t>目的</w:t>
      </w:r>
      <w:r>
        <w:rPr>
          <w:rFonts w:ascii="Times New Roman" w:hAnsi="Times New Roman"/>
          <w:snapToGrid/>
          <w:color w:val="auto"/>
          <w:sz w:val="24"/>
          <w:szCs w:val="24"/>
          <w:lang w:eastAsia="zh-CN"/>
        </w:rPr>
        <w:t>经济、环境和社会效益协调发展；协调地方生态环境部门工作，为企业的生产管理和环境管理提供保证，针对拟建项目的具体情况，为加强环境管理，应设置环境管理机构，并尽相应的职责。通过环境管理，才能严格执行环评中提出的各项环保措施，真正达到保护环境的目的。由本项目建设单位实行主要领导负责制，其主要环境管理职责如下：</w:t>
      </w:r>
    </w:p>
    <w:p w14:paraId="788FF20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（1）对工程的环境保护工作实行监督、管理，贯彻、执行有关环境保护法规和标准；</w:t>
      </w:r>
    </w:p>
    <w:p w14:paraId="45459B5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916" w:name="bookmark85"/>
      <w:bookmarkEnd w:id="916"/>
      <w:r>
        <w:rPr>
          <w:rFonts w:ascii="Times New Roman" w:hAnsi="Times New Roman"/>
          <w:snapToGrid/>
          <w:color w:val="auto"/>
          <w:sz w:val="24"/>
          <w:szCs w:val="24"/>
          <w:lang w:eastAsia="zh-CN"/>
        </w:rPr>
        <w:t>（2）制定并组织实施环境保护规划和计划，组织制定和修改本企业的环境保护管理规章制度，并监督执行；</w:t>
      </w:r>
    </w:p>
    <w:p w14:paraId="1A6612E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（3）执行“三同时”制度，使环境保护工程与主体工程同时设计、同时施工、同时投产，以保证有效的污染控制；</w:t>
      </w:r>
    </w:p>
    <w:p w14:paraId="58F10DA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（4）领导和组织本单位的环境监测，建立监控档案；</w:t>
      </w:r>
    </w:p>
    <w:p w14:paraId="32A492C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（5）检查本单位环境保护设施的运行情况、协同当地环保主管部门解答和处理与本项目环境保护有关的意见和问题；</w:t>
      </w:r>
    </w:p>
    <w:p w14:paraId="6EA0E75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（6）组织开展职工的环保教育，提供职工的环保意识；</w:t>
      </w:r>
    </w:p>
    <w:p w14:paraId="2DD6D94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（7）处理污染事故。</w:t>
      </w:r>
    </w:p>
    <w:p w14:paraId="265A6451">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17" w:name="_Toc14274"/>
      <w:bookmarkStart w:id="918" w:name="_Toc27431"/>
      <w:bookmarkStart w:id="919" w:name="_Toc24306"/>
      <w:r>
        <w:rPr>
          <w:rFonts w:hint="eastAsia" w:ascii="Times New Roman" w:hAnsi="Times New Roman" w:cs="Times New Roman"/>
          <w:b/>
          <w:bCs/>
          <w:snapToGrid/>
          <w:color w:val="auto"/>
          <w:sz w:val="28"/>
          <w:szCs w:val="32"/>
          <w:lang w:eastAsia="zh-CN"/>
        </w:rPr>
        <w:t>8.1.3环境管理手段和措施</w:t>
      </w:r>
      <w:bookmarkEnd w:id="917"/>
      <w:bookmarkEnd w:id="918"/>
      <w:bookmarkEnd w:id="919"/>
    </w:p>
    <w:p w14:paraId="74C7440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为了使环境管理工作科学化、规范化、合理化，确保各项环保措施落实到位，企业在环境管理方面采取以下措施：</w:t>
      </w:r>
    </w:p>
    <w:p w14:paraId="1B88A6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（1）制订环境保护岗位目标责任制，将环境管理纳入生产管理体系，环保评估与经济效益评估相结合，建立严格的奖惩机制；</w:t>
      </w:r>
    </w:p>
    <w:p w14:paraId="645F58B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（2）加强环境保护宣传教育工作，进行岗位培训，使全体职工能够意识到环境保护的重要意义，包括与企业生产、生存和发展的关系，全公司应有危机感和责任感，把环保工作落实到实处，落实到每一位员工；</w:t>
      </w:r>
    </w:p>
    <w:p w14:paraId="38DA5DE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（3）加强环境监测数据的统计工作，建立全厂完善的污染源及物料流失档案，严格控制污染物排放总量，确保污染物排放指标达到设计要求；</w:t>
      </w:r>
    </w:p>
    <w:p w14:paraId="2C5184C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（4）强化对环保设施运行监督、管理的职能，建立全厂完善的环保设施运行、维护、维修等技术档案，以及加强对环保设施操作人员的技术培训，确保环境设施处于正常运行情况，污染物排放连续达标；</w:t>
      </w:r>
    </w:p>
    <w:p w14:paraId="4E602EB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（5）制订应急预案。</w:t>
      </w:r>
    </w:p>
    <w:p w14:paraId="5AED33EA">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20" w:name="_Toc20747"/>
      <w:bookmarkStart w:id="921" w:name="_Toc30411"/>
      <w:bookmarkStart w:id="922" w:name="_Toc32357"/>
      <w:r>
        <w:rPr>
          <w:rFonts w:hint="eastAsia" w:ascii="Times New Roman" w:hAnsi="Times New Roman" w:cs="Times New Roman"/>
          <w:b/>
          <w:bCs/>
          <w:snapToGrid/>
          <w:color w:val="auto"/>
          <w:sz w:val="28"/>
          <w:szCs w:val="32"/>
          <w:lang w:eastAsia="zh-CN"/>
        </w:rPr>
        <w:t>8.1.4投产前的环境管理</w:t>
      </w:r>
      <w:bookmarkEnd w:id="920"/>
      <w:bookmarkEnd w:id="921"/>
      <w:bookmarkEnd w:id="922"/>
    </w:p>
    <w:p w14:paraId="58ED878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（1）落实环保投资，确保污染治理措施执行“三同时”和各项治理与环保措施达到设计要求；</w:t>
      </w:r>
    </w:p>
    <w:p w14:paraId="2B741E2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（2）组织环保设施竣工验收，并向环保部门报备。</w:t>
      </w:r>
    </w:p>
    <w:p w14:paraId="20B4AFA8">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23" w:name="_Toc31442"/>
      <w:bookmarkStart w:id="924" w:name="_Toc13210"/>
      <w:bookmarkStart w:id="925" w:name="_Toc7374"/>
      <w:r>
        <w:rPr>
          <w:rFonts w:hint="eastAsia" w:ascii="Times New Roman" w:hAnsi="Times New Roman" w:cs="Times New Roman"/>
          <w:b/>
          <w:bCs/>
          <w:snapToGrid/>
          <w:color w:val="auto"/>
          <w:sz w:val="28"/>
          <w:szCs w:val="32"/>
          <w:lang w:eastAsia="zh-CN"/>
        </w:rPr>
        <w:t>8.1.5运行期的环境保护管理</w:t>
      </w:r>
      <w:bookmarkEnd w:id="923"/>
      <w:bookmarkEnd w:id="924"/>
      <w:bookmarkEnd w:id="925"/>
    </w:p>
    <w:p w14:paraId="4EC3877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（1）根据国家环保政策、标准及环境监测要求，制定该项目运行期环保管理规章制度、各种污染物排放控制指标；</w:t>
      </w:r>
    </w:p>
    <w:p w14:paraId="3E2FB18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（2）废旧滴灌带运输过程</w:t>
      </w:r>
      <w:r>
        <w:rPr>
          <w:rFonts w:hint="eastAsia" w:ascii="Times New Roman" w:hAnsi="Times New Roman"/>
          <w:snapToGrid/>
          <w:color w:val="auto"/>
          <w:sz w:val="24"/>
          <w:szCs w:val="24"/>
          <w:lang w:eastAsia="zh-CN"/>
        </w:rPr>
        <w:t>中</w:t>
      </w:r>
      <w:r>
        <w:rPr>
          <w:rFonts w:ascii="Times New Roman" w:hAnsi="Times New Roman"/>
          <w:snapToGrid/>
          <w:color w:val="auto"/>
          <w:sz w:val="24"/>
          <w:szCs w:val="24"/>
          <w:lang w:eastAsia="zh-CN"/>
        </w:rPr>
        <w:t>车辆采取篷布遮盖，防止运输过程中大风起尘。厂区道路进行硬化，采取洒水降尘等措施；</w:t>
      </w:r>
    </w:p>
    <w:p w14:paraId="46B93ED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（3）环保设施应先于其对应的生产设施运转，后于对应设施关闭，保证在生产设施运行波动情况下仍能正常运转，实现达标排放；</w:t>
      </w:r>
    </w:p>
    <w:p w14:paraId="4BAD631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14:paraId="55BEB1F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（5）加强固体废物收集、贮存、利用、处置等各环节的环境管理，一般工业固体废物和危险废物暂存应采取措施有效防止渗漏、流失和扬散；</w:t>
      </w:r>
    </w:p>
    <w:p w14:paraId="0FBEE17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（6）生产过程中产生的可自行利用的固体废物应尽可能进行综合利用，不能利用的固体废物按照法规标准进行处理处置；</w:t>
      </w:r>
    </w:p>
    <w:p w14:paraId="28DC990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（7）危险废物应按照相关规定严格执行危险废物转移联单制度；</w:t>
      </w:r>
    </w:p>
    <w:p w14:paraId="31E7729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（8）对危险废物的储存采取相应的防渗漏、泄漏措施；对危险废物的防渗要求，应满足国家和地方标准、防渗技术规范要求；防止污染土壤及地下水。</w:t>
      </w:r>
    </w:p>
    <w:p w14:paraId="1724DF6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（9）负责该项目内所有环保设施的日常运行管理，保障各环保设施的正常运行，并对环保设施的改进提出积极的建议；</w:t>
      </w:r>
    </w:p>
    <w:p w14:paraId="7C9B619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（10）负责该项目运行期环境监测工作，及时掌握该项目污染状况，整理监测数据，建立污染源档案；</w:t>
      </w:r>
    </w:p>
    <w:p w14:paraId="6FFC8CC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（11）该项目运行期的环境管理由安全环保专员负责；负责该项目内所有环保设施的日常运行管理，保障各环保设施的正常运行，并对环保设施的改进提出积极的建议；</w:t>
      </w:r>
    </w:p>
    <w:p w14:paraId="46B2099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（12）负责对职工进行环保宣传教育工作，以及检查、监督各单位环保制度的执行情况；</w:t>
      </w:r>
    </w:p>
    <w:p w14:paraId="372772A0">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926" w:name="bookmark44"/>
      <w:bookmarkEnd w:id="926"/>
      <w:bookmarkStart w:id="927" w:name="_Toc10053"/>
      <w:bookmarkStart w:id="928" w:name="_Toc19002"/>
      <w:bookmarkStart w:id="929" w:name="_Toc16725"/>
      <w:r>
        <w:rPr>
          <w:rFonts w:hint="eastAsia" w:ascii="Times New Roman" w:hAnsi="Times New Roman" w:eastAsia="宋体"/>
          <w:snapToGrid/>
          <w:color w:val="auto"/>
          <w:lang w:eastAsia="zh-CN"/>
        </w:rPr>
        <w:t>8.2环境管理制度制定</w:t>
      </w:r>
      <w:bookmarkEnd w:id="927"/>
      <w:bookmarkEnd w:id="928"/>
      <w:bookmarkEnd w:id="929"/>
    </w:p>
    <w:p w14:paraId="7F652C8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按照ISO1</w:t>
      </w:r>
      <w:r>
        <w:rPr>
          <w:rFonts w:hint="eastAsia" w:ascii="Times New Roman" w:hAnsi="Times New Roman"/>
          <w:snapToGrid/>
          <w:color w:val="auto"/>
          <w:sz w:val="24"/>
          <w:szCs w:val="24"/>
          <w:lang w:eastAsia="zh-CN"/>
        </w:rPr>
        <w:t>796.64</w:t>
      </w:r>
      <w:r>
        <w:rPr>
          <w:rFonts w:ascii="Times New Roman" w:hAnsi="Times New Roman"/>
          <w:snapToGrid/>
          <w:color w:val="auto"/>
          <w:sz w:val="24"/>
          <w:szCs w:val="24"/>
          <w:lang w:eastAsia="zh-CN"/>
        </w:rPr>
        <w:t>的要求，建立完善的环境管理体系，健全内部环境管理制度，加强日常环境管理工作，对整个生产过程实施全程环境管理，杜绝生产过程中环境污染事故的发生，保护环境。</w:t>
      </w:r>
    </w:p>
    <w:p w14:paraId="67693C8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加强建设项目的环境管理，根据本报告提出的污染防治措施和对策，制定出切实可行的环境污染防治方法和措施；做好环境教育和宣传工作，</w:t>
      </w:r>
      <w:r>
        <w:rPr>
          <w:rFonts w:hint="eastAsia" w:ascii="Times New Roman" w:hAnsi="Times New Roman"/>
          <w:snapToGrid/>
          <w:color w:val="auto"/>
          <w:sz w:val="24"/>
          <w:szCs w:val="24"/>
          <w:lang w:eastAsia="zh-CN"/>
        </w:rPr>
        <w:t>提高</w:t>
      </w:r>
      <w:r>
        <w:rPr>
          <w:rFonts w:ascii="Times New Roman" w:hAnsi="Times New Roman"/>
          <w:snapToGrid/>
          <w:color w:val="auto"/>
          <w:sz w:val="24"/>
          <w:szCs w:val="24"/>
          <w:lang w:eastAsia="zh-CN"/>
        </w:rPr>
        <w:t>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主管部门的管理、监督和指导。</w:t>
      </w:r>
    </w:p>
    <w:p w14:paraId="4B442E5C">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930" w:name="bookmark45"/>
      <w:bookmarkEnd w:id="930"/>
      <w:bookmarkStart w:id="931" w:name="bookmark86"/>
      <w:bookmarkEnd w:id="931"/>
      <w:bookmarkStart w:id="932" w:name="_Toc17544"/>
      <w:bookmarkStart w:id="933" w:name="_Toc11914"/>
      <w:bookmarkStart w:id="934" w:name="_Toc31720"/>
      <w:r>
        <w:rPr>
          <w:rFonts w:hint="eastAsia" w:ascii="Times New Roman" w:hAnsi="Times New Roman" w:eastAsia="宋体"/>
          <w:snapToGrid/>
          <w:color w:val="auto"/>
          <w:lang w:eastAsia="zh-CN"/>
        </w:rPr>
        <w:t>8.3环境监测</w:t>
      </w:r>
      <w:bookmarkEnd w:id="932"/>
      <w:bookmarkEnd w:id="933"/>
      <w:bookmarkEnd w:id="934"/>
    </w:p>
    <w:p w14:paraId="11B34A0E">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35" w:name="_Toc1235"/>
      <w:bookmarkStart w:id="936" w:name="_Toc7531"/>
      <w:bookmarkStart w:id="937" w:name="_Toc25888"/>
      <w:r>
        <w:rPr>
          <w:rFonts w:hint="eastAsia" w:ascii="Times New Roman" w:hAnsi="Times New Roman" w:cs="Times New Roman"/>
          <w:b/>
          <w:bCs/>
          <w:snapToGrid/>
          <w:color w:val="auto"/>
          <w:sz w:val="28"/>
          <w:szCs w:val="32"/>
          <w:lang w:eastAsia="zh-CN"/>
        </w:rPr>
        <w:t>8.3.1环境监测目的</w:t>
      </w:r>
      <w:bookmarkEnd w:id="935"/>
      <w:bookmarkEnd w:id="936"/>
      <w:bookmarkEnd w:id="937"/>
    </w:p>
    <w:p w14:paraId="262CAB4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监测是企业搞好环境管理，促进污染治理设施正常运行的主要保障。通过定期的环境监测，了解项目所在区域的环境质量状况，可以及时发现问题、解决问题，从而有利于监督各项环保措施的落实，并根据监测结果适时调整环境保护计划。</w:t>
      </w:r>
    </w:p>
    <w:p w14:paraId="1AB321AD">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38" w:name="_Toc10269"/>
      <w:bookmarkStart w:id="939" w:name="_Toc15932"/>
      <w:bookmarkStart w:id="940" w:name="_Toc14756"/>
      <w:r>
        <w:rPr>
          <w:rFonts w:hint="eastAsia" w:ascii="Times New Roman" w:hAnsi="Times New Roman" w:cs="Times New Roman"/>
          <w:b/>
          <w:bCs/>
          <w:snapToGrid/>
          <w:color w:val="auto"/>
          <w:sz w:val="28"/>
          <w:szCs w:val="32"/>
          <w:lang w:eastAsia="zh-CN"/>
        </w:rPr>
        <w:t>8.3.2环境监测工作</w:t>
      </w:r>
      <w:bookmarkEnd w:id="938"/>
      <w:bookmarkEnd w:id="939"/>
      <w:bookmarkEnd w:id="940"/>
    </w:p>
    <w:p w14:paraId="651FB8B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本项目环境监测工作由本企业委托有资质的检（监）测机构承担，监测结果按次、月、季、年编制报表，并由综合办公室派专人管理并存档，本企业配备专职人员。</w:t>
      </w:r>
    </w:p>
    <w:p w14:paraId="0CFF5B7F">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41" w:name="_Toc31456"/>
      <w:bookmarkStart w:id="942" w:name="_Toc20869"/>
      <w:bookmarkStart w:id="943" w:name="_Toc19298"/>
      <w:r>
        <w:rPr>
          <w:rFonts w:hint="eastAsia" w:ascii="Times New Roman" w:hAnsi="Times New Roman" w:cs="Times New Roman"/>
          <w:b/>
          <w:bCs/>
          <w:snapToGrid/>
          <w:color w:val="auto"/>
          <w:sz w:val="28"/>
          <w:szCs w:val="32"/>
          <w:lang w:eastAsia="zh-CN"/>
        </w:rPr>
        <w:t>8.3.3监测计划</w:t>
      </w:r>
      <w:bookmarkEnd w:id="941"/>
      <w:bookmarkEnd w:id="942"/>
      <w:bookmarkEnd w:id="943"/>
    </w:p>
    <w:p w14:paraId="3B65BE0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根据本项目的污染源监测，监测项目包括废水、废气、固废和噪声。</w:t>
      </w:r>
      <w:r>
        <w:rPr>
          <w:rFonts w:hint="eastAsia" w:ascii="Times New Roman" w:hAnsi="Times New Roman"/>
          <w:snapToGrid/>
          <w:color w:val="auto"/>
          <w:sz w:val="24"/>
          <w:szCs w:val="24"/>
          <w:lang w:val="en-US" w:eastAsia="zh-CN"/>
        </w:rPr>
        <w:t>由雀仁乡人民政府定期委托有资质监测单位进行监测。</w:t>
      </w:r>
      <w:r>
        <w:rPr>
          <w:rFonts w:ascii="Times New Roman" w:hAnsi="Times New Roman"/>
          <w:snapToGrid/>
          <w:color w:val="auto"/>
          <w:sz w:val="24"/>
          <w:szCs w:val="24"/>
          <w:lang w:eastAsia="zh-CN"/>
        </w:rPr>
        <w:t>本项目监测计划见表8.3-1。</w:t>
      </w:r>
    </w:p>
    <w:p w14:paraId="4937D06F">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表8.3-1本项目环境监测计划一览表</w:t>
      </w:r>
    </w:p>
    <w:tbl>
      <w:tblPr>
        <w:tblStyle w:val="3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78"/>
        <w:gridCol w:w="409"/>
        <w:gridCol w:w="361"/>
        <w:gridCol w:w="909"/>
        <w:gridCol w:w="1820"/>
        <w:gridCol w:w="594"/>
        <w:gridCol w:w="502"/>
        <w:gridCol w:w="3635"/>
      </w:tblGrid>
      <w:tr w14:paraId="273C0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63" w:type="pct"/>
            <w:tcBorders>
              <w:tl2br w:val="nil"/>
              <w:tr2bl w:val="nil"/>
            </w:tcBorders>
          </w:tcPr>
          <w:p w14:paraId="7D440D8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分类</w:t>
            </w:r>
          </w:p>
        </w:tc>
        <w:tc>
          <w:tcPr>
            <w:tcW w:w="240" w:type="pct"/>
            <w:tcBorders>
              <w:tl2br w:val="nil"/>
              <w:tr2bl w:val="nil"/>
            </w:tcBorders>
          </w:tcPr>
          <w:p w14:paraId="36C7369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检测对象</w:t>
            </w:r>
          </w:p>
        </w:tc>
        <w:tc>
          <w:tcPr>
            <w:tcW w:w="212" w:type="pct"/>
            <w:tcBorders>
              <w:tl2br w:val="nil"/>
              <w:tr2bl w:val="nil"/>
            </w:tcBorders>
          </w:tcPr>
          <w:p w14:paraId="13868DE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污染源</w:t>
            </w:r>
          </w:p>
        </w:tc>
        <w:tc>
          <w:tcPr>
            <w:tcW w:w="534" w:type="pct"/>
            <w:tcBorders>
              <w:tl2br w:val="nil"/>
              <w:tr2bl w:val="nil"/>
            </w:tcBorders>
          </w:tcPr>
          <w:p w14:paraId="2BFDEC1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监测项目</w:t>
            </w:r>
          </w:p>
        </w:tc>
        <w:tc>
          <w:tcPr>
            <w:tcW w:w="1069" w:type="pct"/>
            <w:tcBorders>
              <w:tl2br w:val="nil"/>
              <w:tr2bl w:val="nil"/>
            </w:tcBorders>
          </w:tcPr>
          <w:p w14:paraId="475647A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监测位置</w:t>
            </w:r>
          </w:p>
        </w:tc>
        <w:tc>
          <w:tcPr>
            <w:tcW w:w="349" w:type="pct"/>
            <w:tcBorders>
              <w:tl2br w:val="nil"/>
              <w:tr2bl w:val="nil"/>
            </w:tcBorders>
          </w:tcPr>
          <w:p w14:paraId="5406C43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采样频次</w:t>
            </w:r>
          </w:p>
        </w:tc>
        <w:tc>
          <w:tcPr>
            <w:tcW w:w="295" w:type="pct"/>
            <w:tcBorders>
              <w:tl2br w:val="nil"/>
              <w:tr2bl w:val="nil"/>
            </w:tcBorders>
          </w:tcPr>
          <w:p w14:paraId="22A1DB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监测单位</w:t>
            </w:r>
          </w:p>
        </w:tc>
        <w:tc>
          <w:tcPr>
            <w:tcW w:w="2135" w:type="pct"/>
            <w:tcBorders>
              <w:tl2br w:val="nil"/>
              <w:tr2bl w:val="nil"/>
            </w:tcBorders>
          </w:tcPr>
          <w:p w14:paraId="36604B7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执行标准</w:t>
            </w:r>
          </w:p>
        </w:tc>
      </w:tr>
      <w:tr w14:paraId="36218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63" w:type="pct"/>
            <w:vMerge w:val="restart"/>
            <w:tcBorders>
              <w:tl2br w:val="nil"/>
              <w:tr2bl w:val="nil"/>
            </w:tcBorders>
          </w:tcPr>
          <w:p w14:paraId="445395B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w:t>
            </w:r>
          </w:p>
        </w:tc>
        <w:tc>
          <w:tcPr>
            <w:tcW w:w="240" w:type="pct"/>
            <w:tcBorders>
              <w:tl2br w:val="nil"/>
              <w:tr2bl w:val="nil"/>
            </w:tcBorders>
          </w:tcPr>
          <w:p w14:paraId="55A4682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有组织排放</w:t>
            </w:r>
          </w:p>
        </w:tc>
        <w:tc>
          <w:tcPr>
            <w:tcW w:w="212" w:type="pct"/>
            <w:tcBorders>
              <w:tl2br w:val="nil"/>
              <w:tr2bl w:val="nil"/>
            </w:tcBorders>
          </w:tcPr>
          <w:p w14:paraId="1F3D4B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排气筒</w:t>
            </w:r>
          </w:p>
        </w:tc>
        <w:tc>
          <w:tcPr>
            <w:tcW w:w="534" w:type="pct"/>
            <w:tcBorders>
              <w:tl2br w:val="nil"/>
              <w:tr2bl w:val="nil"/>
            </w:tcBorders>
          </w:tcPr>
          <w:p w14:paraId="0D7827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069" w:type="pct"/>
            <w:tcBorders>
              <w:tl2br w:val="nil"/>
              <w:tr2bl w:val="nil"/>
            </w:tcBorders>
          </w:tcPr>
          <w:p w14:paraId="558E474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排气筒外排口（</w:t>
            </w:r>
            <w:r>
              <w:rPr>
                <w:rFonts w:ascii="Times New Roman" w:hAnsi="Times New Roman" w:eastAsia="宋体"/>
                <w:snapToGrid/>
                <w:color w:val="auto"/>
              </w:rPr>
              <w:t>DA001</w:t>
            </w:r>
            <w:r>
              <w:rPr>
                <w:rFonts w:ascii="Times New Roman" w:hAnsi="Times New Roman" w:eastAsia="宋体" w:cs="宋体"/>
                <w:snapToGrid/>
                <w:color w:val="auto"/>
              </w:rPr>
              <w:t>）</w:t>
            </w:r>
          </w:p>
        </w:tc>
        <w:tc>
          <w:tcPr>
            <w:tcW w:w="349" w:type="pct"/>
            <w:tcBorders>
              <w:tl2br w:val="nil"/>
              <w:tr2bl w:val="nil"/>
            </w:tcBorders>
          </w:tcPr>
          <w:p w14:paraId="4E51938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次</w:t>
            </w:r>
            <w:r>
              <w:rPr>
                <w:rFonts w:eastAsia="宋体"/>
                <w:snapToGrid/>
                <w:color w:val="auto"/>
              </w:rPr>
              <w:t>/</w:t>
            </w:r>
            <w:r>
              <w:rPr>
                <w:rFonts w:eastAsia="宋体" w:cs="宋体"/>
                <w:snapToGrid/>
                <w:color w:val="auto"/>
              </w:rPr>
              <w:t>半年</w:t>
            </w:r>
          </w:p>
        </w:tc>
        <w:tc>
          <w:tcPr>
            <w:tcW w:w="295" w:type="pct"/>
            <w:tcBorders>
              <w:tl2br w:val="nil"/>
              <w:tr2bl w:val="nil"/>
            </w:tcBorders>
          </w:tcPr>
          <w:p w14:paraId="2A96BF3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有资质监测单位</w:t>
            </w:r>
          </w:p>
        </w:tc>
        <w:tc>
          <w:tcPr>
            <w:tcW w:w="2135" w:type="pct"/>
            <w:tcBorders>
              <w:tl2br w:val="nil"/>
              <w:tr2bl w:val="nil"/>
            </w:tcBorders>
          </w:tcPr>
          <w:p w14:paraId="7431D0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《合成树脂工业污染物排放标准》（GB 31572-2015，含2024年修改单）</w:t>
            </w:r>
            <w:r>
              <w:rPr>
                <w:rFonts w:ascii="Times New Roman" w:hAnsi="Times New Roman" w:eastAsia="宋体" w:cs="宋体"/>
                <w:snapToGrid/>
                <w:color w:val="auto"/>
                <w:lang w:eastAsia="zh-CN"/>
              </w:rPr>
              <w:t>表</w:t>
            </w:r>
            <w:r>
              <w:rPr>
                <w:rFonts w:ascii="Times New Roman" w:hAnsi="Times New Roman" w:eastAsia="宋体"/>
                <w:snapToGrid/>
                <w:color w:val="auto"/>
                <w:lang w:eastAsia="zh-CN"/>
              </w:rPr>
              <w:t>4</w:t>
            </w:r>
            <w:r>
              <w:rPr>
                <w:rFonts w:ascii="Times New Roman" w:hAnsi="Times New Roman" w:eastAsia="宋体" w:cs="宋体"/>
                <w:snapToGrid/>
                <w:color w:val="auto"/>
                <w:lang w:eastAsia="zh-CN"/>
              </w:rPr>
              <w:t>大气污染物排放限值要求</w:t>
            </w:r>
          </w:p>
        </w:tc>
      </w:tr>
      <w:tr w14:paraId="6150A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163" w:type="pct"/>
            <w:vMerge w:val="continue"/>
            <w:tcBorders>
              <w:tl2br w:val="nil"/>
              <w:tr2bl w:val="nil"/>
            </w:tcBorders>
            <w:textDirection w:val="tbRlV"/>
          </w:tcPr>
          <w:p w14:paraId="3E7311F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0" w:type="pct"/>
            <w:vMerge w:val="restart"/>
            <w:tcBorders>
              <w:tl2br w:val="nil"/>
              <w:tr2bl w:val="nil"/>
            </w:tcBorders>
          </w:tcPr>
          <w:p w14:paraId="5F84856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无组织排放</w:t>
            </w:r>
          </w:p>
        </w:tc>
        <w:tc>
          <w:tcPr>
            <w:tcW w:w="212" w:type="pct"/>
            <w:vMerge w:val="restart"/>
            <w:tcBorders>
              <w:tl2br w:val="nil"/>
              <w:tr2bl w:val="nil"/>
            </w:tcBorders>
          </w:tcPr>
          <w:p w14:paraId="79FF5A8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534" w:type="pct"/>
            <w:tcBorders>
              <w:tl2br w:val="nil"/>
              <w:tr2bl w:val="nil"/>
            </w:tcBorders>
          </w:tcPr>
          <w:p w14:paraId="54409BC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069" w:type="pct"/>
            <w:vMerge w:val="restart"/>
            <w:tcBorders>
              <w:tl2br w:val="nil"/>
              <w:tr2bl w:val="nil"/>
            </w:tcBorders>
          </w:tcPr>
          <w:p w14:paraId="4DA5C82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厂界上风向</w:t>
            </w:r>
            <w:r>
              <w:rPr>
                <w:rFonts w:ascii="Times New Roman" w:hAnsi="Times New Roman" w:eastAsia="宋体"/>
                <w:snapToGrid/>
                <w:color w:val="auto"/>
                <w:lang w:eastAsia="zh-CN"/>
              </w:rPr>
              <w:t>10m</w:t>
            </w:r>
            <w:r>
              <w:rPr>
                <w:rFonts w:ascii="Times New Roman" w:hAnsi="Times New Roman" w:eastAsia="宋体" w:cs="宋体"/>
                <w:snapToGrid/>
                <w:color w:val="auto"/>
                <w:lang w:eastAsia="zh-CN"/>
              </w:rPr>
              <w:t>处</w:t>
            </w:r>
            <w:r>
              <w:rPr>
                <w:rFonts w:ascii="Times New Roman" w:hAnsi="Times New Roman" w:eastAsia="宋体"/>
                <w:snapToGrid/>
                <w:color w:val="auto"/>
                <w:lang w:eastAsia="zh-CN"/>
              </w:rPr>
              <w:t>1</w:t>
            </w:r>
            <w:r>
              <w:rPr>
                <w:rFonts w:ascii="Times New Roman" w:hAnsi="Times New Roman" w:eastAsia="宋体" w:cs="宋体"/>
                <w:snapToGrid/>
                <w:color w:val="auto"/>
                <w:lang w:eastAsia="zh-CN"/>
              </w:rPr>
              <w:t>个点，下风向</w:t>
            </w:r>
            <w:r>
              <w:rPr>
                <w:rFonts w:ascii="Times New Roman" w:hAnsi="Times New Roman" w:eastAsia="宋体"/>
                <w:snapToGrid/>
                <w:color w:val="auto"/>
                <w:lang w:eastAsia="zh-CN"/>
              </w:rPr>
              <w:t>10m</w:t>
            </w:r>
            <w:r>
              <w:rPr>
                <w:rFonts w:ascii="Times New Roman" w:hAnsi="Times New Roman" w:eastAsia="宋体" w:cs="宋体"/>
                <w:snapToGrid/>
                <w:color w:val="auto"/>
                <w:lang w:eastAsia="zh-CN"/>
              </w:rPr>
              <w:t>内</w:t>
            </w:r>
            <w:r>
              <w:rPr>
                <w:rFonts w:ascii="Times New Roman" w:hAnsi="Times New Roman" w:eastAsia="宋体"/>
                <w:snapToGrid/>
                <w:color w:val="auto"/>
                <w:lang w:eastAsia="zh-CN"/>
              </w:rPr>
              <w:t>3</w:t>
            </w:r>
            <w:r>
              <w:rPr>
                <w:rFonts w:ascii="Times New Roman" w:hAnsi="Times New Roman" w:eastAsia="宋体" w:cs="宋体"/>
                <w:snapToGrid/>
                <w:color w:val="auto"/>
                <w:lang w:eastAsia="zh-CN"/>
              </w:rPr>
              <w:t>个点</w:t>
            </w:r>
          </w:p>
        </w:tc>
        <w:tc>
          <w:tcPr>
            <w:tcW w:w="349" w:type="pct"/>
            <w:vMerge w:val="restart"/>
            <w:tcBorders>
              <w:tl2br w:val="nil"/>
              <w:tr2bl w:val="nil"/>
            </w:tcBorders>
          </w:tcPr>
          <w:p w14:paraId="6BFBB72F">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次</w:t>
            </w:r>
            <w:r>
              <w:rPr>
                <w:rFonts w:eastAsia="宋体"/>
                <w:snapToGrid/>
                <w:color w:val="auto"/>
              </w:rPr>
              <w:t>/</w:t>
            </w:r>
            <w:r>
              <w:rPr>
                <w:rFonts w:eastAsia="宋体" w:cs="宋体"/>
                <w:snapToGrid/>
                <w:color w:val="auto"/>
              </w:rPr>
              <w:t>年</w:t>
            </w:r>
          </w:p>
        </w:tc>
        <w:tc>
          <w:tcPr>
            <w:tcW w:w="295" w:type="pct"/>
            <w:vMerge w:val="restart"/>
            <w:tcBorders>
              <w:tl2br w:val="nil"/>
              <w:tr2bl w:val="nil"/>
            </w:tcBorders>
          </w:tcPr>
          <w:p w14:paraId="32AF896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有资质监测单位</w:t>
            </w:r>
          </w:p>
        </w:tc>
        <w:tc>
          <w:tcPr>
            <w:tcW w:w="2135" w:type="pct"/>
            <w:vMerge w:val="restart"/>
            <w:tcBorders>
              <w:tl2br w:val="nil"/>
              <w:tr2bl w:val="nil"/>
            </w:tcBorders>
          </w:tcPr>
          <w:p w14:paraId="1337DE1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颗粒物和非甲烷总烃执行</w:t>
            </w:r>
            <w:r>
              <w:rPr>
                <w:rFonts w:hint="eastAsia" w:ascii="Times New Roman" w:hAnsi="Times New Roman" w:eastAsia="宋体" w:cs="宋体"/>
                <w:snapToGrid/>
                <w:color w:val="auto"/>
                <w:lang w:eastAsia="zh-CN"/>
              </w:rPr>
              <w:t>《合成树脂工业污染物排放标准》（GB 31572-2015，含2024年修改单）</w:t>
            </w:r>
            <w:r>
              <w:rPr>
                <w:rFonts w:ascii="Times New Roman" w:hAnsi="Times New Roman" w:eastAsia="宋体" w:cs="宋体"/>
                <w:snapToGrid/>
                <w:color w:val="auto"/>
                <w:lang w:eastAsia="zh-CN"/>
              </w:rPr>
              <w:t>表</w:t>
            </w:r>
            <w:r>
              <w:rPr>
                <w:rFonts w:ascii="Times New Roman" w:hAnsi="Times New Roman" w:eastAsia="宋体"/>
                <w:snapToGrid/>
                <w:color w:val="auto"/>
                <w:lang w:eastAsia="zh-CN"/>
              </w:rPr>
              <w:t>9</w:t>
            </w:r>
            <w:r>
              <w:rPr>
                <w:rFonts w:ascii="Times New Roman" w:hAnsi="Times New Roman" w:eastAsia="宋体" w:cs="宋体"/>
                <w:snapToGrid/>
                <w:color w:val="auto"/>
                <w:lang w:eastAsia="zh-CN"/>
              </w:rPr>
              <w:t>企业边界大气污染物浓度限值；</w:t>
            </w:r>
          </w:p>
        </w:tc>
      </w:tr>
      <w:tr w14:paraId="6280C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163" w:type="pct"/>
            <w:vMerge w:val="continue"/>
            <w:tcBorders>
              <w:tl2br w:val="nil"/>
              <w:tr2bl w:val="nil"/>
            </w:tcBorders>
            <w:textDirection w:val="tbRlV"/>
          </w:tcPr>
          <w:p w14:paraId="6DD2E564">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0" w:type="pct"/>
            <w:vMerge w:val="continue"/>
            <w:tcBorders>
              <w:tl2br w:val="nil"/>
              <w:tr2bl w:val="nil"/>
            </w:tcBorders>
          </w:tcPr>
          <w:p w14:paraId="4EB7255D">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12" w:type="pct"/>
            <w:vMerge w:val="continue"/>
            <w:tcBorders>
              <w:tl2br w:val="nil"/>
              <w:tr2bl w:val="nil"/>
            </w:tcBorders>
          </w:tcPr>
          <w:p w14:paraId="63213A53">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534" w:type="pct"/>
            <w:tcBorders>
              <w:tl2br w:val="nil"/>
              <w:tr2bl w:val="nil"/>
            </w:tcBorders>
          </w:tcPr>
          <w:p w14:paraId="0CC75E5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TSP</w:t>
            </w:r>
          </w:p>
        </w:tc>
        <w:tc>
          <w:tcPr>
            <w:tcW w:w="1069" w:type="pct"/>
            <w:vMerge w:val="continue"/>
            <w:tcBorders>
              <w:tl2br w:val="nil"/>
              <w:tr2bl w:val="nil"/>
            </w:tcBorders>
          </w:tcPr>
          <w:p w14:paraId="577A0CEF">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49" w:type="pct"/>
            <w:vMerge w:val="continue"/>
            <w:tcBorders>
              <w:tl2br w:val="nil"/>
              <w:tr2bl w:val="nil"/>
            </w:tcBorders>
          </w:tcPr>
          <w:p w14:paraId="004F1FE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95" w:type="pct"/>
            <w:vMerge w:val="continue"/>
            <w:tcBorders>
              <w:tl2br w:val="nil"/>
              <w:tr2bl w:val="nil"/>
            </w:tcBorders>
          </w:tcPr>
          <w:p w14:paraId="76882DD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135" w:type="pct"/>
            <w:vMerge w:val="continue"/>
            <w:tcBorders>
              <w:tl2br w:val="nil"/>
              <w:tr2bl w:val="nil"/>
            </w:tcBorders>
          </w:tcPr>
          <w:p w14:paraId="6153AF8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481096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63" w:type="pct"/>
            <w:vMerge w:val="continue"/>
            <w:tcBorders>
              <w:tl2br w:val="nil"/>
              <w:tr2bl w:val="nil"/>
            </w:tcBorders>
            <w:textDirection w:val="tbRlV"/>
          </w:tcPr>
          <w:p w14:paraId="02AA9003">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40" w:type="pct"/>
            <w:vMerge w:val="continue"/>
            <w:tcBorders>
              <w:tl2br w:val="nil"/>
              <w:tr2bl w:val="nil"/>
            </w:tcBorders>
          </w:tcPr>
          <w:p w14:paraId="646376D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12" w:type="pct"/>
            <w:vMerge w:val="continue"/>
            <w:tcBorders>
              <w:tl2br w:val="nil"/>
              <w:tr2bl w:val="nil"/>
            </w:tcBorders>
          </w:tcPr>
          <w:p w14:paraId="56D3E9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534" w:type="pct"/>
            <w:tcBorders>
              <w:tl2br w:val="nil"/>
              <w:tr2bl w:val="nil"/>
            </w:tcBorders>
          </w:tcPr>
          <w:p w14:paraId="1ABE704A">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ascii="Times New Roman" w:hAnsi="Times New Roman" w:eastAsia="宋体" w:cs="宋体"/>
                <w:snapToGrid/>
                <w:color w:val="auto"/>
              </w:rPr>
              <w:t>臭气浓度</w:t>
            </w:r>
            <w:r>
              <w:rPr>
                <w:rFonts w:hint="eastAsia" w:eastAsia="宋体"/>
                <w:color w:val="auto"/>
                <w:lang w:eastAsia="zh-CN"/>
              </w:rPr>
              <w:t>、</w:t>
            </w:r>
            <w:r>
              <w:rPr>
                <w:rFonts w:hint="eastAsia" w:eastAsia="宋体"/>
                <w:color w:val="auto"/>
                <w:lang w:val="en-US" w:eastAsia="zh-CN"/>
              </w:rPr>
              <w:t>恶臭</w:t>
            </w:r>
          </w:p>
        </w:tc>
        <w:tc>
          <w:tcPr>
            <w:tcW w:w="1069" w:type="pct"/>
            <w:vMerge w:val="continue"/>
            <w:tcBorders>
              <w:tl2br w:val="nil"/>
              <w:tr2bl w:val="nil"/>
            </w:tcBorders>
          </w:tcPr>
          <w:p w14:paraId="16E68D8B">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49" w:type="pct"/>
            <w:vMerge w:val="continue"/>
            <w:tcBorders>
              <w:tl2br w:val="nil"/>
              <w:tr2bl w:val="nil"/>
            </w:tcBorders>
          </w:tcPr>
          <w:p w14:paraId="25D0CBFD">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95" w:type="pct"/>
            <w:vMerge w:val="continue"/>
            <w:tcBorders>
              <w:tl2br w:val="nil"/>
              <w:tr2bl w:val="nil"/>
            </w:tcBorders>
          </w:tcPr>
          <w:p w14:paraId="562E6F1E">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135" w:type="pct"/>
            <w:tcBorders>
              <w:tl2br w:val="nil"/>
              <w:tr2bl w:val="nil"/>
            </w:tcBorders>
          </w:tcPr>
          <w:p w14:paraId="4E69B3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w:t>
            </w:r>
            <w:r>
              <w:rPr>
                <w:rFonts w:ascii="Times New Roman" w:hAnsi="Times New Roman" w:eastAsia="宋体" w:cs="宋体"/>
                <w:snapToGrid/>
                <w:color w:val="auto"/>
                <w:lang w:eastAsia="zh-CN"/>
              </w:rPr>
              <w:t>恶臭污染物排放标准》（</w:t>
            </w:r>
            <w:r>
              <w:rPr>
                <w:rFonts w:ascii="Times New Roman" w:hAnsi="Times New Roman" w:eastAsia="宋体"/>
                <w:snapToGrid/>
                <w:color w:val="auto"/>
                <w:lang w:eastAsia="zh-CN"/>
              </w:rPr>
              <w:t>GB14554-93</w:t>
            </w:r>
            <w:r>
              <w:rPr>
                <w:rFonts w:ascii="Times New Roman" w:hAnsi="Times New Roman" w:eastAsia="宋体" w:cs="宋体"/>
                <w:snapToGrid/>
                <w:color w:val="auto"/>
                <w:lang w:eastAsia="zh-CN"/>
              </w:rPr>
              <w:t>）中表</w:t>
            </w:r>
            <w:r>
              <w:rPr>
                <w:rFonts w:ascii="Times New Roman" w:hAnsi="Times New Roman" w:eastAsia="宋体"/>
                <w:snapToGrid/>
                <w:color w:val="auto"/>
                <w:lang w:eastAsia="zh-CN"/>
              </w:rPr>
              <w:t>1</w:t>
            </w:r>
            <w:r>
              <w:rPr>
                <w:rFonts w:ascii="Times New Roman" w:hAnsi="Times New Roman" w:eastAsia="宋体" w:cs="宋体"/>
                <w:snapToGrid/>
                <w:color w:val="auto"/>
                <w:lang w:eastAsia="zh-CN"/>
              </w:rPr>
              <w:t>限值要求</w:t>
            </w:r>
          </w:p>
        </w:tc>
      </w:tr>
      <w:tr w14:paraId="5E793F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4" w:hRule="atLeast"/>
        </w:trPr>
        <w:tc>
          <w:tcPr>
            <w:tcW w:w="163" w:type="pct"/>
            <w:vMerge w:val="continue"/>
            <w:tcBorders>
              <w:tl2br w:val="nil"/>
              <w:tr2bl w:val="nil"/>
            </w:tcBorders>
            <w:textDirection w:val="tbRlV"/>
          </w:tcPr>
          <w:p w14:paraId="3F61B43A">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0" w:type="pct"/>
            <w:vMerge w:val="continue"/>
            <w:tcBorders>
              <w:tl2br w:val="nil"/>
              <w:tr2bl w:val="nil"/>
            </w:tcBorders>
          </w:tcPr>
          <w:p w14:paraId="224BE2C6">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12" w:type="pct"/>
            <w:tcBorders>
              <w:tl2br w:val="nil"/>
              <w:tr2bl w:val="nil"/>
            </w:tcBorders>
          </w:tcPr>
          <w:p w14:paraId="544787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厂房</w:t>
            </w:r>
          </w:p>
        </w:tc>
        <w:tc>
          <w:tcPr>
            <w:tcW w:w="534" w:type="pct"/>
            <w:tcBorders>
              <w:tl2br w:val="nil"/>
              <w:tr2bl w:val="nil"/>
            </w:tcBorders>
          </w:tcPr>
          <w:p w14:paraId="571D248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069" w:type="pct"/>
            <w:tcBorders>
              <w:tl2br w:val="nil"/>
              <w:tr2bl w:val="nil"/>
            </w:tcBorders>
          </w:tcPr>
          <w:p w14:paraId="140F2D4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厂房外设置监控点</w:t>
            </w:r>
          </w:p>
        </w:tc>
        <w:tc>
          <w:tcPr>
            <w:tcW w:w="349" w:type="pct"/>
            <w:tcBorders>
              <w:tl2br w:val="nil"/>
              <w:tr2bl w:val="nil"/>
            </w:tcBorders>
          </w:tcPr>
          <w:p w14:paraId="2549D02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次</w:t>
            </w:r>
            <w:r>
              <w:rPr>
                <w:rFonts w:eastAsia="宋体"/>
                <w:snapToGrid/>
                <w:color w:val="auto"/>
              </w:rPr>
              <w:t>/</w:t>
            </w:r>
            <w:r>
              <w:rPr>
                <w:rFonts w:eastAsia="宋体" w:cs="宋体"/>
                <w:snapToGrid/>
                <w:color w:val="auto"/>
              </w:rPr>
              <w:t>年</w:t>
            </w:r>
          </w:p>
        </w:tc>
        <w:tc>
          <w:tcPr>
            <w:tcW w:w="295" w:type="pct"/>
            <w:tcBorders>
              <w:tl2br w:val="nil"/>
              <w:tr2bl w:val="nil"/>
            </w:tcBorders>
          </w:tcPr>
          <w:p w14:paraId="1BC2E7D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有资质监测单位</w:t>
            </w:r>
          </w:p>
        </w:tc>
        <w:tc>
          <w:tcPr>
            <w:tcW w:w="2135" w:type="pct"/>
            <w:tcBorders>
              <w:tl2br w:val="nil"/>
              <w:tr2bl w:val="nil"/>
            </w:tcBorders>
          </w:tcPr>
          <w:p w14:paraId="1F4613FB">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《挥发性有机物无组织排放控制标准》（</w:t>
            </w:r>
            <w:r>
              <w:rPr>
                <w:rFonts w:eastAsia="宋体"/>
                <w:snapToGrid/>
                <w:color w:val="auto"/>
                <w:lang w:eastAsia="zh-CN"/>
              </w:rPr>
              <w:t>GB37822-2019</w:t>
            </w:r>
            <w:r>
              <w:rPr>
                <w:rFonts w:eastAsia="宋体" w:cs="宋体"/>
                <w:snapToGrid/>
                <w:color w:val="auto"/>
                <w:lang w:eastAsia="zh-CN"/>
              </w:rPr>
              <w:t>）附录</w:t>
            </w:r>
            <w:r>
              <w:rPr>
                <w:rFonts w:eastAsia="宋体"/>
                <w:snapToGrid/>
                <w:color w:val="auto"/>
                <w:lang w:eastAsia="zh-CN"/>
              </w:rPr>
              <w:t>A.1</w:t>
            </w:r>
            <w:r>
              <w:rPr>
                <w:rFonts w:eastAsia="宋体" w:cs="宋体"/>
                <w:snapToGrid/>
                <w:color w:val="auto"/>
                <w:lang w:eastAsia="zh-CN"/>
              </w:rPr>
              <w:t>排放限值</w:t>
            </w:r>
          </w:p>
        </w:tc>
      </w:tr>
      <w:tr w14:paraId="18AB8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63" w:type="pct"/>
            <w:tcBorders>
              <w:tl2br w:val="nil"/>
              <w:tr2bl w:val="nil"/>
            </w:tcBorders>
          </w:tcPr>
          <w:p w14:paraId="6C9831B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240" w:type="pct"/>
            <w:tcBorders>
              <w:tl2br w:val="nil"/>
              <w:tr2bl w:val="nil"/>
            </w:tcBorders>
          </w:tcPr>
          <w:p w14:paraId="25B7EF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212" w:type="pct"/>
            <w:tcBorders>
              <w:tl2br w:val="nil"/>
              <w:tr2bl w:val="nil"/>
            </w:tcBorders>
          </w:tcPr>
          <w:p w14:paraId="1C69206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534" w:type="pct"/>
            <w:tcBorders>
              <w:tl2br w:val="nil"/>
              <w:tr2bl w:val="nil"/>
            </w:tcBorders>
          </w:tcPr>
          <w:p w14:paraId="080D20A2">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等效连续</w:t>
            </w:r>
            <w:r>
              <w:rPr>
                <w:rFonts w:eastAsia="宋体"/>
                <w:snapToGrid/>
                <w:color w:val="auto"/>
              </w:rPr>
              <w:t>A</w:t>
            </w:r>
            <w:r>
              <w:rPr>
                <w:rFonts w:eastAsia="宋体" w:cs="宋体"/>
                <w:snapToGrid/>
                <w:color w:val="auto"/>
              </w:rPr>
              <w:t>声级</w:t>
            </w:r>
          </w:p>
        </w:tc>
        <w:tc>
          <w:tcPr>
            <w:tcW w:w="1069" w:type="pct"/>
            <w:tcBorders>
              <w:tl2br w:val="nil"/>
              <w:tr2bl w:val="nil"/>
            </w:tcBorders>
          </w:tcPr>
          <w:p w14:paraId="7AA99B1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cs="宋体"/>
                <w:snapToGrid/>
                <w:color w:val="auto"/>
              </w:rPr>
              <w:t>厂界外</w:t>
            </w:r>
            <w:r>
              <w:rPr>
                <w:rFonts w:eastAsia="宋体"/>
                <w:snapToGrid/>
                <w:color w:val="auto"/>
              </w:rPr>
              <w:t>1m</w:t>
            </w:r>
          </w:p>
        </w:tc>
        <w:tc>
          <w:tcPr>
            <w:tcW w:w="349" w:type="pct"/>
            <w:tcBorders>
              <w:tl2br w:val="nil"/>
              <w:tr2bl w:val="nil"/>
            </w:tcBorders>
          </w:tcPr>
          <w:p w14:paraId="57AF18E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次</w:t>
            </w:r>
            <w:r>
              <w:rPr>
                <w:rFonts w:eastAsia="宋体"/>
                <w:snapToGrid/>
                <w:color w:val="auto"/>
              </w:rPr>
              <w:t>/</w:t>
            </w:r>
            <w:r>
              <w:rPr>
                <w:rFonts w:eastAsia="宋体" w:cs="宋体"/>
                <w:snapToGrid/>
                <w:color w:val="auto"/>
              </w:rPr>
              <w:t>半年</w:t>
            </w:r>
          </w:p>
        </w:tc>
        <w:tc>
          <w:tcPr>
            <w:tcW w:w="295" w:type="pct"/>
            <w:tcBorders>
              <w:tl2br w:val="nil"/>
              <w:tr2bl w:val="nil"/>
            </w:tcBorders>
          </w:tcPr>
          <w:p w14:paraId="735ADFB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有资质监测单位</w:t>
            </w:r>
          </w:p>
        </w:tc>
        <w:tc>
          <w:tcPr>
            <w:tcW w:w="2135" w:type="pct"/>
            <w:tcBorders>
              <w:tl2br w:val="nil"/>
              <w:tr2bl w:val="nil"/>
            </w:tcBorders>
          </w:tcPr>
          <w:p w14:paraId="00460146">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《工业企业厂界环境噪声排放标准》（</w:t>
            </w:r>
            <w:r>
              <w:rPr>
                <w:rFonts w:eastAsia="宋体"/>
                <w:snapToGrid/>
                <w:color w:val="auto"/>
                <w:lang w:eastAsia="zh-CN"/>
              </w:rPr>
              <w:t>GB12348-2008</w:t>
            </w:r>
            <w:r>
              <w:rPr>
                <w:rFonts w:eastAsia="宋体" w:cs="宋体"/>
                <w:snapToGrid/>
                <w:color w:val="auto"/>
                <w:lang w:eastAsia="zh-CN"/>
              </w:rPr>
              <w:t>）</w:t>
            </w:r>
            <w:r>
              <w:rPr>
                <w:rFonts w:eastAsia="宋体"/>
                <w:snapToGrid/>
                <w:color w:val="auto"/>
                <w:lang w:eastAsia="zh-CN"/>
              </w:rPr>
              <w:t>2</w:t>
            </w:r>
            <w:r>
              <w:rPr>
                <w:rFonts w:eastAsia="宋体" w:cs="宋体"/>
                <w:snapToGrid/>
                <w:color w:val="auto"/>
                <w:lang w:eastAsia="zh-CN"/>
              </w:rPr>
              <w:t>类</w:t>
            </w:r>
            <w:r>
              <w:rPr>
                <w:rFonts w:hint="eastAsia" w:eastAsia="宋体" w:cs="宋体"/>
                <w:snapToGrid/>
                <w:color w:val="auto"/>
                <w:lang w:eastAsia="zh-CN"/>
              </w:rPr>
              <w:t>标准</w:t>
            </w:r>
            <w:r>
              <w:rPr>
                <w:rFonts w:eastAsia="宋体" w:cs="宋体"/>
                <w:snapToGrid/>
                <w:color w:val="auto"/>
                <w:lang w:eastAsia="zh-CN"/>
              </w:rPr>
              <w:t>要求</w:t>
            </w:r>
          </w:p>
        </w:tc>
      </w:tr>
      <w:tr w14:paraId="4F67D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615" w:type="pct"/>
            <w:gridSpan w:val="3"/>
            <w:tcBorders>
              <w:tl2br w:val="nil"/>
              <w:tr2bl w:val="nil"/>
            </w:tcBorders>
          </w:tcPr>
          <w:p w14:paraId="06D1E19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土壤（柱状样品）</w:t>
            </w:r>
          </w:p>
        </w:tc>
        <w:tc>
          <w:tcPr>
            <w:tcW w:w="534" w:type="pct"/>
            <w:tcBorders>
              <w:tl2br w:val="nil"/>
              <w:tr2bl w:val="nil"/>
            </w:tcBorders>
          </w:tcPr>
          <w:p w14:paraId="3CC7BE2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pH</w:t>
            </w:r>
            <w:r>
              <w:rPr>
                <w:rFonts w:eastAsia="宋体" w:cs="宋体"/>
                <w:snapToGrid/>
                <w:color w:val="auto"/>
              </w:rPr>
              <w:t>、</w:t>
            </w:r>
            <w:r>
              <w:rPr>
                <w:rFonts w:eastAsia="宋体"/>
                <w:snapToGrid/>
                <w:color w:val="auto"/>
              </w:rPr>
              <w:t>COD</w:t>
            </w:r>
            <w:r>
              <w:rPr>
                <w:rFonts w:eastAsia="宋体" w:cs="宋体"/>
                <w:snapToGrid/>
                <w:color w:val="auto"/>
              </w:rPr>
              <w:t>、石油类</w:t>
            </w:r>
          </w:p>
        </w:tc>
        <w:tc>
          <w:tcPr>
            <w:tcW w:w="1069" w:type="pct"/>
            <w:tcBorders>
              <w:tl2br w:val="nil"/>
              <w:tr2bl w:val="nil"/>
            </w:tcBorders>
          </w:tcPr>
          <w:p w14:paraId="55D6532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厂区外靠近循环沉淀池和危废间位置</w:t>
            </w:r>
          </w:p>
        </w:tc>
        <w:tc>
          <w:tcPr>
            <w:tcW w:w="349" w:type="pct"/>
            <w:tcBorders>
              <w:tl2br w:val="nil"/>
              <w:tr2bl w:val="nil"/>
            </w:tcBorders>
          </w:tcPr>
          <w:p w14:paraId="1A402C8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每五年开展一次监测</w:t>
            </w:r>
          </w:p>
        </w:tc>
        <w:tc>
          <w:tcPr>
            <w:tcW w:w="295" w:type="pct"/>
            <w:tcBorders>
              <w:tl2br w:val="nil"/>
              <w:tr2bl w:val="nil"/>
            </w:tcBorders>
          </w:tcPr>
          <w:p w14:paraId="2AF8DD1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有资质监测单位</w:t>
            </w:r>
          </w:p>
        </w:tc>
        <w:tc>
          <w:tcPr>
            <w:tcW w:w="2135" w:type="pct"/>
            <w:tcBorders>
              <w:tl2br w:val="nil"/>
              <w:tr2bl w:val="nil"/>
            </w:tcBorders>
          </w:tcPr>
          <w:p w14:paraId="2847392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533BAA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3" w:type="pct"/>
            <w:gridSpan w:val="2"/>
            <w:vMerge w:val="restart"/>
            <w:tcBorders>
              <w:tl2br w:val="nil"/>
              <w:tr2bl w:val="nil"/>
            </w:tcBorders>
          </w:tcPr>
          <w:p w14:paraId="5D84A3E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固体废物</w:t>
            </w:r>
          </w:p>
        </w:tc>
        <w:tc>
          <w:tcPr>
            <w:tcW w:w="212" w:type="pct"/>
            <w:tcBorders>
              <w:tl2br w:val="nil"/>
              <w:tr2bl w:val="nil"/>
            </w:tcBorders>
          </w:tcPr>
          <w:p w14:paraId="4490B13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1603" w:type="pct"/>
            <w:gridSpan w:val="2"/>
            <w:vMerge w:val="restart"/>
            <w:tcBorders>
              <w:tl2br w:val="nil"/>
              <w:tr2bl w:val="nil"/>
            </w:tcBorders>
          </w:tcPr>
          <w:p w14:paraId="7DEBF5E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种类、产生量、处理方式、去向</w:t>
            </w:r>
          </w:p>
        </w:tc>
        <w:tc>
          <w:tcPr>
            <w:tcW w:w="349" w:type="pct"/>
            <w:vMerge w:val="restart"/>
            <w:tcBorders>
              <w:tl2br w:val="nil"/>
              <w:tr2bl w:val="nil"/>
            </w:tcBorders>
          </w:tcPr>
          <w:p w14:paraId="6044A396">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cs="宋体"/>
                <w:snapToGrid/>
                <w:color w:val="auto"/>
              </w:rPr>
              <w:t>自检</w:t>
            </w:r>
            <w:r>
              <w:rPr>
                <w:rFonts w:eastAsia="宋体"/>
                <w:snapToGrid/>
                <w:color w:val="auto"/>
              </w:rPr>
              <w:t>1</w:t>
            </w:r>
            <w:r>
              <w:rPr>
                <w:rFonts w:eastAsia="宋体" w:cs="宋体"/>
                <w:snapToGrid/>
                <w:color w:val="auto"/>
              </w:rPr>
              <w:t>次</w:t>
            </w:r>
            <w:r>
              <w:rPr>
                <w:rFonts w:eastAsia="宋体"/>
                <w:snapToGrid/>
                <w:color w:val="auto"/>
              </w:rPr>
              <w:t>/</w:t>
            </w:r>
            <w:r>
              <w:rPr>
                <w:rFonts w:eastAsia="宋体" w:cs="宋体"/>
                <w:snapToGrid/>
                <w:color w:val="auto"/>
              </w:rPr>
              <w:t>季</w:t>
            </w:r>
          </w:p>
        </w:tc>
        <w:tc>
          <w:tcPr>
            <w:tcW w:w="295" w:type="pct"/>
            <w:vMerge w:val="restart"/>
            <w:tcBorders>
              <w:tl2br w:val="nil"/>
              <w:tr2bl w:val="nil"/>
            </w:tcBorders>
          </w:tcPr>
          <w:p w14:paraId="44448C3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2135" w:type="pct"/>
            <w:vMerge w:val="restart"/>
            <w:tcBorders>
              <w:tl2br w:val="nil"/>
              <w:tr2bl w:val="nil"/>
            </w:tcBorders>
          </w:tcPr>
          <w:p w14:paraId="14C48C00">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4E056A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03" w:type="pct"/>
            <w:gridSpan w:val="2"/>
            <w:vMerge w:val="continue"/>
            <w:tcBorders>
              <w:tl2br w:val="nil"/>
              <w:tr2bl w:val="nil"/>
            </w:tcBorders>
          </w:tcPr>
          <w:p w14:paraId="33011EB2">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12" w:type="pct"/>
            <w:tcBorders>
              <w:tl2br w:val="nil"/>
              <w:tr2bl w:val="nil"/>
            </w:tcBorders>
          </w:tcPr>
          <w:p w14:paraId="4D035A8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603" w:type="pct"/>
            <w:gridSpan w:val="2"/>
            <w:vMerge w:val="continue"/>
            <w:tcBorders>
              <w:tl2br w:val="nil"/>
              <w:tr2bl w:val="nil"/>
            </w:tcBorders>
          </w:tcPr>
          <w:p w14:paraId="14B4819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349" w:type="pct"/>
            <w:vMerge w:val="continue"/>
            <w:tcBorders>
              <w:tl2br w:val="nil"/>
              <w:tr2bl w:val="nil"/>
            </w:tcBorders>
          </w:tcPr>
          <w:p w14:paraId="6BDBB56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95" w:type="pct"/>
            <w:vMerge w:val="continue"/>
            <w:tcBorders>
              <w:tl2br w:val="nil"/>
              <w:tr2bl w:val="nil"/>
            </w:tcBorders>
          </w:tcPr>
          <w:p w14:paraId="66CAF174">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135" w:type="pct"/>
            <w:vMerge w:val="continue"/>
            <w:tcBorders>
              <w:tl2br w:val="nil"/>
              <w:tr2bl w:val="nil"/>
            </w:tcBorders>
          </w:tcPr>
          <w:p w14:paraId="129DE27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bl>
    <w:p w14:paraId="40E24BC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在废气处理装置的进出口设置永久采样口，用法兰或盖板等封闭，便于在监测时开启使用。</w:t>
      </w:r>
    </w:p>
    <w:p w14:paraId="4481C571">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944" w:name="_Toc27972"/>
      <w:bookmarkStart w:id="945" w:name="_Toc29512"/>
      <w:bookmarkStart w:id="946" w:name="_Toc5567"/>
      <w:r>
        <w:rPr>
          <w:rFonts w:hint="eastAsia" w:ascii="Times New Roman" w:hAnsi="Times New Roman" w:cs="Times New Roman"/>
          <w:b/>
          <w:bCs/>
          <w:snapToGrid/>
          <w:color w:val="auto"/>
          <w:sz w:val="28"/>
          <w:szCs w:val="32"/>
          <w:lang w:eastAsia="zh-CN"/>
        </w:rPr>
        <w:t>8.3.4排污口规范化</w:t>
      </w:r>
      <w:bookmarkEnd w:id="944"/>
      <w:bookmarkEnd w:id="945"/>
      <w:bookmarkEnd w:id="946"/>
    </w:p>
    <w:p w14:paraId="41806A1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国家标准《环境保护图形标志排放口（源）》和国家环境保护总局《污染物规范化治理要求（试行）》的文件要求，企业所有排放口（包括水、气、声、渣）必须按照“便于采样、便于计量检测、便于日常现场监督检查”的原则和规范，设置与之相适应的环境保护图形标志牌，绘制企业排放口分布图，同时对污水排放口安装流量计和工业废水处理装置在线监测系统。</w:t>
      </w:r>
    </w:p>
    <w:p w14:paraId="7672359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47" w:name="_Toc1211"/>
      <w:bookmarkStart w:id="948" w:name="_Toc6299"/>
      <w:bookmarkStart w:id="949" w:name="_Toc2897"/>
      <w:r>
        <w:rPr>
          <w:rFonts w:ascii="Times New Roman" w:hAnsi="Times New Roman"/>
          <w:snapToGrid/>
          <w:color w:val="auto"/>
          <w:sz w:val="24"/>
          <w:szCs w:val="24"/>
          <w:lang w:eastAsia="zh-CN"/>
        </w:rPr>
        <w:t>1、废气烟囱（烟囱）规范化</w:t>
      </w:r>
      <w:bookmarkEnd w:id="947"/>
      <w:bookmarkEnd w:id="948"/>
      <w:bookmarkEnd w:id="949"/>
    </w:p>
    <w:p w14:paraId="167DCD4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烟囱的采样口的设置应符合《污染源监测技术规范》要求，废气排气筒设置便于采样，监测的采样口和采样平台，附近设置环境保护标志。</w:t>
      </w:r>
    </w:p>
    <w:p w14:paraId="7338C8E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50" w:name="_Toc2059"/>
      <w:bookmarkStart w:id="951" w:name="_Toc18174"/>
      <w:bookmarkStart w:id="952" w:name="_Toc14882"/>
      <w:r>
        <w:rPr>
          <w:rFonts w:ascii="Times New Roman" w:hAnsi="Times New Roman"/>
          <w:snapToGrid/>
          <w:color w:val="auto"/>
          <w:sz w:val="24"/>
          <w:szCs w:val="24"/>
          <w:lang w:eastAsia="zh-CN"/>
        </w:rPr>
        <w:t>2、固体废物贮存、堆放场规范化</w:t>
      </w:r>
      <w:bookmarkEnd w:id="950"/>
      <w:bookmarkEnd w:id="951"/>
      <w:bookmarkEnd w:id="952"/>
    </w:p>
    <w:p w14:paraId="6481056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生产车间、仓库均设置防雨、防渗设施，并采用水泥硬化。危废暂存间应设置明显的警示标志。</w:t>
      </w:r>
    </w:p>
    <w:p w14:paraId="44B97AC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53" w:name="_Toc12198"/>
      <w:bookmarkStart w:id="954" w:name="_Toc14947"/>
      <w:bookmarkStart w:id="955" w:name="_Toc13021"/>
      <w:r>
        <w:rPr>
          <w:rFonts w:ascii="Times New Roman" w:hAnsi="Times New Roman"/>
          <w:snapToGrid/>
          <w:color w:val="auto"/>
          <w:sz w:val="24"/>
          <w:szCs w:val="24"/>
          <w:lang w:eastAsia="zh-CN"/>
        </w:rPr>
        <w:t>3、排污口设置标志牌要求</w:t>
      </w:r>
      <w:bookmarkEnd w:id="953"/>
      <w:bookmarkEnd w:id="954"/>
      <w:bookmarkEnd w:id="955"/>
    </w:p>
    <w:p w14:paraId="1AA78114">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环境保护图形标志牌设置位置应距离污染物排放口及固体废物处置场或采样点较近且醒目处，设置高度一般为标志牌上缘距离地面约2m。</w:t>
      </w:r>
    </w:p>
    <w:p w14:paraId="270FA7D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规范化排污口的有关设置（如图形标志牌、计量装置、监控装置等）属环保设施，排污单位必须负责日常的维护保养，任何单位和个人不得擅自拆除，如需要变更的需报环境管理部门同意并办理变更手续。</w:t>
      </w:r>
    </w:p>
    <w:p w14:paraId="1EA7D40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环境保护图形标志具体设置图形见</w:t>
      </w:r>
      <w:r>
        <w:rPr>
          <w:rFonts w:ascii="Times New Roman" w:hAnsi="Times New Roman" w:cs="Times New Roman"/>
          <w:snapToGrid/>
          <w:color w:val="auto"/>
          <w:sz w:val="24"/>
          <w:szCs w:val="24"/>
          <w:lang w:eastAsia="zh-CN"/>
        </w:rPr>
        <w:t>8.3-1</w:t>
      </w:r>
      <w:r>
        <w:rPr>
          <w:rFonts w:ascii="Times New Roman" w:hAnsi="Times New Roman"/>
          <w:snapToGrid/>
          <w:color w:val="auto"/>
          <w:sz w:val="24"/>
          <w:szCs w:val="24"/>
          <w:lang w:eastAsia="zh-CN"/>
        </w:rPr>
        <w:t>。</w:t>
      </w:r>
    </w:p>
    <w:p w14:paraId="277EDFD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p w14:paraId="495E5B9A">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图8.3-1排放口图形标志</w:t>
      </w:r>
    </w:p>
    <w:p w14:paraId="43ECFFA2">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956" w:name="bookmark46"/>
      <w:bookmarkEnd w:id="956"/>
      <w:bookmarkStart w:id="957" w:name="_Toc20958"/>
      <w:bookmarkStart w:id="958" w:name="_Toc19216"/>
      <w:bookmarkStart w:id="959" w:name="_Toc10065"/>
      <w:r>
        <w:rPr>
          <w:rFonts w:hint="eastAsia" w:ascii="Times New Roman" w:hAnsi="Times New Roman" w:eastAsia="宋体"/>
          <w:snapToGrid/>
          <w:color w:val="auto"/>
          <w:lang w:eastAsia="zh-CN"/>
        </w:rPr>
        <w:t>8.4环境管理台账</w:t>
      </w:r>
      <w:bookmarkEnd w:id="957"/>
      <w:bookmarkEnd w:id="958"/>
      <w:bookmarkEnd w:id="959"/>
    </w:p>
    <w:p w14:paraId="7617B7C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根据参照《排污单位环境管理台账及排污许可执行报告技术规范</w:t>
      </w:r>
      <w:r>
        <w:rPr>
          <w:rFonts w:hint="eastAsia"/>
          <w:color w:val="auto"/>
          <w:lang w:val="en-US" w:eastAsia="zh-CN"/>
        </w:rPr>
        <w:t xml:space="preserve">  </w:t>
      </w:r>
      <w:r>
        <w:rPr>
          <w:rFonts w:ascii="Times New Roman" w:hAnsi="Times New Roman"/>
          <w:snapToGrid/>
          <w:color w:val="auto"/>
          <w:sz w:val="24"/>
          <w:szCs w:val="24"/>
          <w:lang w:eastAsia="zh-CN"/>
        </w:rPr>
        <w:t>总则》和</w:t>
      </w:r>
      <w:r>
        <w:rPr>
          <w:rFonts w:hint="eastAsia" w:ascii="Times New Roman" w:hAnsi="Times New Roman"/>
          <w:snapToGrid/>
          <w:color w:val="auto"/>
          <w:sz w:val="24"/>
          <w:szCs w:val="24"/>
          <w:lang w:eastAsia="zh-CN"/>
        </w:rPr>
        <w:t>《</w:t>
      </w:r>
      <w:r>
        <w:rPr>
          <w:rFonts w:ascii="Times New Roman" w:hAnsi="Times New Roman"/>
          <w:snapToGrid/>
          <w:color w:val="auto"/>
          <w:sz w:val="24"/>
          <w:szCs w:val="24"/>
          <w:lang w:eastAsia="zh-CN"/>
        </w:rPr>
        <w:t>排</w:t>
      </w:r>
      <w:bookmarkStart w:id="960" w:name="bookmark87"/>
      <w:bookmarkEnd w:id="960"/>
      <w:r>
        <w:rPr>
          <w:rFonts w:ascii="Times New Roman" w:hAnsi="Times New Roman"/>
          <w:snapToGrid/>
          <w:color w:val="auto"/>
          <w:sz w:val="24"/>
          <w:szCs w:val="24"/>
          <w:lang w:eastAsia="zh-CN"/>
        </w:rPr>
        <w:t>污许可证申请与核发技术规范</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废弃资源加工工业》（HJ1034-2019）、《排污许可证申请与核发技术规范</w:t>
      </w:r>
      <w:r>
        <w:rPr>
          <w:rFonts w:hint="eastAsia"/>
          <w:color w:val="auto"/>
          <w:lang w:val="en-US" w:eastAsia="zh-CN"/>
        </w:rPr>
        <w:t xml:space="preserve"> </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橡胶和塑料制品工业》（HJ1122-2020）要求建设单位建立环境管理台账记录制度，落实环境管理台账记录的责任部门和责任人，明确工作职责，包括台账的记录、整理、维护和管理等，并对环境管理台账的真实性、完整性和规范性负责。</w:t>
      </w:r>
    </w:p>
    <w:p w14:paraId="06F2238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环境管理台账应按照电子化储存和纸质储存两种形式同步管理。环境管理台账应记录基本信息、生产设施运行管理信息和污染防治设施运行管理信息、监测记录信息和其他环境管理信息等。</w:t>
      </w:r>
    </w:p>
    <w:p w14:paraId="124A1B4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61" w:name="_Toc726"/>
      <w:bookmarkStart w:id="962" w:name="_Toc10124"/>
      <w:bookmarkStart w:id="963" w:name="_Toc16222"/>
      <w:r>
        <w:rPr>
          <w:rFonts w:ascii="Times New Roman" w:hAnsi="Times New Roman"/>
          <w:snapToGrid/>
          <w:color w:val="auto"/>
          <w:sz w:val="24"/>
          <w:szCs w:val="24"/>
          <w:lang w:eastAsia="zh-CN"/>
        </w:rPr>
        <w:t>1、基本信息</w:t>
      </w:r>
      <w:bookmarkEnd w:id="961"/>
      <w:bookmarkEnd w:id="962"/>
      <w:bookmarkEnd w:id="963"/>
    </w:p>
    <w:p w14:paraId="400665B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基本信息主要</w:t>
      </w:r>
      <w:r>
        <w:rPr>
          <w:rFonts w:hint="eastAsia" w:ascii="Times New Roman" w:hAnsi="Times New Roman"/>
          <w:snapToGrid/>
          <w:color w:val="auto"/>
          <w:sz w:val="24"/>
          <w:szCs w:val="24"/>
          <w:lang w:eastAsia="zh-CN"/>
        </w:rPr>
        <w:t>包括</w:t>
      </w:r>
      <w:r>
        <w:rPr>
          <w:rFonts w:ascii="Times New Roman" w:hAnsi="Times New Roman"/>
          <w:snapToGrid/>
          <w:color w:val="auto"/>
          <w:sz w:val="24"/>
          <w:szCs w:val="24"/>
          <w:lang w:eastAsia="zh-CN"/>
        </w:rPr>
        <w:t>企业排污单位名称基本信息、生产设施基本信息、污染治理设施基本信息。如排污单位工艺、设施调整等发生变化的，应在基本信息台账记录表中进行相应修改，并将变化内容进行说明同时纳入执行报告中。</w:t>
      </w:r>
    </w:p>
    <w:p w14:paraId="5077EF6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64" w:name="_Toc16074"/>
      <w:bookmarkStart w:id="965" w:name="_Toc8034"/>
      <w:bookmarkStart w:id="966" w:name="_Toc31428"/>
      <w:r>
        <w:rPr>
          <w:rFonts w:ascii="Times New Roman" w:hAnsi="Times New Roman"/>
          <w:snapToGrid/>
          <w:color w:val="auto"/>
          <w:sz w:val="24"/>
          <w:szCs w:val="24"/>
          <w:lang w:eastAsia="zh-CN"/>
        </w:rPr>
        <w:t>2、生产设施运行管理信息</w:t>
      </w:r>
      <w:bookmarkEnd w:id="964"/>
      <w:bookmarkEnd w:id="965"/>
      <w:bookmarkEnd w:id="966"/>
    </w:p>
    <w:p w14:paraId="2428DDF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排污单位应定期记录生产设施运行状况并留档保存，应按班次至少记录以下内容：</w:t>
      </w:r>
    </w:p>
    <w:p w14:paraId="4ED7735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生产运行情况包括生产设施（设备）、公用单元和全厂运行情况，重点记录排污许可证中相关信息的实际情况及与污染物治理、排放相关的主要运行参数。正常情况各生产单元主要生产设施（设备）的累计生产时间，主要产品产量，原辅材料使用情况等数据。</w:t>
      </w:r>
    </w:p>
    <w:p w14:paraId="3A70B60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67" w:name="_Toc31694"/>
      <w:bookmarkStart w:id="968" w:name="_Toc15790"/>
      <w:r>
        <w:rPr>
          <w:rFonts w:ascii="Times New Roman" w:hAnsi="Times New Roman"/>
          <w:snapToGrid/>
          <w:color w:val="auto"/>
          <w:sz w:val="24"/>
          <w:szCs w:val="24"/>
          <w:lang w:eastAsia="zh-CN"/>
        </w:rPr>
        <w:t>（2）产品产量：记录统计时段内主要产品产量。</w:t>
      </w:r>
      <w:bookmarkEnd w:id="967"/>
      <w:bookmarkEnd w:id="968"/>
    </w:p>
    <w:p w14:paraId="1105350B">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（3）含挥发性有机物原辅材料：记录名称、单位、用量、挥发性有机物含量。</w:t>
      </w:r>
    </w:p>
    <w:p w14:paraId="0FD0A77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69" w:name="_Toc10860"/>
      <w:bookmarkStart w:id="970" w:name="_Toc16406"/>
      <w:bookmarkStart w:id="971" w:name="_Toc16147"/>
      <w:r>
        <w:rPr>
          <w:rFonts w:ascii="Times New Roman" w:hAnsi="Times New Roman"/>
          <w:snapToGrid/>
          <w:color w:val="auto"/>
          <w:sz w:val="24"/>
          <w:szCs w:val="24"/>
          <w:lang w:eastAsia="zh-CN"/>
        </w:rPr>
        <w:t>3、污染防治设施运行管理信息</w:t>
      </w:r>
      <w:bookmarkEnd w:id="969"/>
      <w:bookmarkEnd w:id="970"/>
      <w:bookmarkEnd w:id="971"/>
    </w:p>
    <w:p w14:paraId="52B42F4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（1）正常情况：污染防治设施运行信息应按照设施类别分别记录设施的实际运行相关参数和维护记录。</w:t>
      </w:r>
    </w:p>
    <w:p w14:paraId="6585B9F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①有组织废气治理设施记录设施运行时间、运行参数、污染排放情况等。</w:t>
      </w:r>
    </w:p>
    <w:p w14:paraId="563BFB0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72" w:name="_Toc5353"/>
      <w:bookmarkStart w:id="973" w:name="_Toc26384"/>
      <w:r>
        <w:rPr>
          <w:rFonts w:ascii="Times New Roman" w:hAnsi="Times New Roman"/>
          <w:snapToGrid/>
          <w:color w:val="auto"/>
          <w:sz w:val="24"/>
          <w:szCs w:val="24"/>
          <w:lang w:eastAsia="zh-CN"/>
        </w:rPr>
        <w:t>②无组织废气排放控制记录措施执行情况。</w:t>
      </w:r>
      <w:bookmarkEnd w:id="972"/>
      <w:bookmarkEnd w:id="973"/>
    </w:p>
    <w:p w14:paraId="561AA55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③废水处理设施应记录废水设施名称、编码、运行起止时间、污染排放情况等。</w:t>
      </w:r>
    </w:p>
    <w:p w14:paraId="574509D6">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非正常情况：污染防治设施非正常信息按工况记录，每工况期记录一次，内容应记录起止时段设施名称、编号、非正常起始时刻、非正常终止时刻、污染物排放量、排放浓度、事件原因、是否报告、应对措施等。</w:t>
      </w:r>
    </w:p>
    <w:p w14:paraId="0E9748C9">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74" w:name="_Toc26238"/>
      <w:bookmarkStart w:id="975" w:name="_Toc700"/>
      <w:bookmarkStart w:id="976" w:name="_Toc32413"/>
      <w:r>
        <w:rPr>
          <w:rFonts w:ascii="Times New Roman" w:hAnsi="Times New Roman"/>
          <w:snapToGrid/>
          <w:color w:val="auto"/>
          <w:sz w:val="24"/>
          <w:szCs w:val="24"/>
          <w:lang w:eastAsia="zh-CN"/>
        </w:rPr>
        <w:t>4、监测记录信息</w:t>
      </w:r>
      <w:bookmarkEnd w:id="974"/>
      <w:bookmarkEnd w:id="975"/>
      <w:bookmarkEnd w:id="976"/>
    </w:p>
    <w:p w14:paraId="5CD00C07">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及超标排放的超标原因。</w:t>
      </w:r>
    </w:p>
    <w:p w14:paraId="346A4D8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77" w:name="_Toc1888"/>
      <w:bookmarkStart w:id="978" w:name="_Toc6843"/>
      <w:bookmarkStart w:id="979" w:name="_Toc5381"/>
      <w:r>
        <w:rPr>
          <w:rFonts w:ascii="Times New Roman" w:hAnsi="Times New Roman"/>
          <w:snapToGrid/>
          <w:color w:val="auto"/>
          <w:sz w:val="24"/>
          <w:szCs w:val="24"/>
          <w:lang w:eastAsia="zh-CN"/>
        </w:rPr>
        <w:t>5、其他环境管理信息</w:t>
      </w:r>
      <w:bookmarkEnd w:id="977"/>
      <w:bookmarkEnd w:id="978"/>
      <w:bookmarkEnd w:id="979"/>
    </w:p>
    <w:p w14:paraId="6D2DC800">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排污单位在特殊时段应记录管理要求、执行情况（包括特殊时段生产设施运行管理</w:t>
      </w:r>
      <w:r>
        <w:rPr>
          <w:rFonts w:hint="eastAsia" w:ascii="Times New Roman" w:hAnsi="Times New Roman"/>
          <w:snapToGrid/>
          <w:color w:val="auto"/>
          <w:sz w:val="24"/>
          <w:szCs w:val="24"/>
          <w:lang w:eastAsia="zh-CN"/>
        </w:rPr>
        <w:t>信息</w:t>
      </w:r>
      <w:r>
        <w:rPr>
          <w:rFonts w:ascii="Times New Roman" w:hAnsi="Times New Roman"/>
          <w:snapToGrid/>
          <w:color w:val="auto"/>
          <w:sz w:val="24"/>
          <w:szCs w:val="24"/>
          <w:lang w:eastAsia="zh-CN"/>
        </w:rPr>
        <w:t>和污染防治设施运行管理信息）。</w:t>
      </w:r>
    </w:p>
    <w:p w14:paraId="105EA788">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排污单位还应根据环境管理要求和排污单位自行监测内容需求，自行增补记录。</w:t>
      </w:r>
    </w:p>
    <w:p w14:paraId="1A4DC5E1">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80" w:name="_Toc31873"/>
      <w:bookmarkStart w:id="981" w:name="_Toc9551"/>
      <w:bookmarkStart w:id="982" w:name="_Toc18955"/>
      <w:r>
        <w:rPr>
          <w:rFonts w:ascii="Times New Roman" w:hAnsi="Times New Roman"/>
          <w:snapToGrid/>
          <w:color w:val="auto"/>
          <w:sz w:val="24"/>
          <w:szCs w:val="24"/>
          <w:lang w:eastAsia="zh-CN"/>
        </w:rPr>
        <w:t>6、记录频次</w:t>
      </w:r>
      <w:bookmarkEnd w:id="980"/>
      <w:bookmarkEnd w:id="981"/>
      <w:bookmarkEnd w:id="982"/>
    </w:p>
    <w:p w14:paraId="34AD086E">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83" w:name="_Toc20420"/>
      <w:bookmarkStart w:id="984" w:name="_Toc22906"/>
      <w:r>
        <w:rPr>
          <w:rFonts w:ascii="Times New Roman" w:hAnsi="Times New Roman"/>
          <w:snapToGrid/>
          <w:color w:val="auto"/>
          <w:sz w:val="24"/>
          <w:szCs w:val="24"/>
          <w:lang w:eastAsia="zh-CN"/>
        </w:rPr>
        <w:t>（1）基本信息</w:t>
      </w:r>
      <w:bookmarkEnd w:id="983"/>
      <w:bookmarkEnd w:id="984"/>
    </w:p>
    <w:p w14:paraId="6D29269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对于未发生变化的基本信息，按年记录，1次/年；对于发生变化的基本信息，在发生变化时记录1次。</w:t>
      </w:r>
    </w:p>
    <w:p w14:paraId="5EB99B3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85" w:name="_Toc3484"/>
      <w:bookmarkStart w:id="986" w:name="_Toc29082"/>
      <w:r>
        <w:rPr>
          <w:rFonts w:ascii="Times New Roman" w:hAnsi="Times New Roman"/>
          <w:snapToGrid/>
          <w:color w:val="auto"/>
          <w:sz w:val="24"/>
          <w:szCs w:val="24"/>
          <w:lang w:eastAsia="zh-CN"/>
        </w:rPr>
        <w:t>（2）生产设施运行管理信息</w:t>
      </w:r>
      <w:bookmarkEnd w:id="985"/>
      <w:bookmarkEnd w:id="986"/>
    </w:p>
    <w:p w14:paraId="118531BA">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87" w:name="_Toc23104"/>
      <w:bookmarkStart w:id="988" w:name="_Toc20197"/>
      <w:r>
        <w:rPr>
          <w:rFonts w:ascii="Times New Roman" w:hAnsi="Times New Roman"/>
          <w:snapToGrid/>
          <w:color w:val="auto"/>
          <w:sz w:val="24"/>
          <w:szCs w:val="24"/>
          <w:lang w:eastAsia="zh-CN"/>
        </w:rPr>
        <w:t>1）正常工况</w:t>
      </w:r>
      <w:bookmarkEnd w:id="987"/>
      <w:bookmarkEnd w:id="988"/>
    </w:p>
    <w:p w14:paraId="3DD179BF">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①生产运行状况：按照排污单位生产批次记录，每批次记录1次。</w:t>
      </w:r>
    </w:p>
    <w:p w14:paraId="283871AD">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②产品产量：连续性生产的排污单位产品产量按照批次记录，每批次记录1次。周期性生产的设施按照一个周期进行记录，周期小于1日的按照1日记录。</w:t>
      </w:r>
    </w:p>
    <w:p w14:paraId="186DB2CC">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③原辅材料、涂料用量：按照批次记录，每批次记录1次。</w:t>
      </w:r>
    </w:p>
    <w:p w14:paraId="4370F162">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989" w:name="_Toc6825"/>
      <w:bookmarkStart w:id="990" w:name="_Toc15186"/>
      <w:r>
        <w:rPr>
          <w:rFonts w:ascii="Times New Roman" w:hAnsi="Times New Roman"/>
          <w:snapToGrid/>
          <w:color w:val="auto"/>
          <w:sz w:val="24"/>
          <w:szCs w:val="24"/>
          <w:lang w:eastAsia="zh-CN"/>
        </w:rPr>
        <w:t>2）非正常工况：按照工况期记录，每工况期记录1次。</w:t>
      </w:r>
      <w:bookmarkEnd w:id="989"/>
      <w:bookmarkEnd w:id="990"/>
    </w:p>
    <w:p w14:paraId="5EE91C0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991" w:name="_Toc547"/>
      <w:bookmarkStart w:id="992" w:name="_Toc17169"/>
      <w:r>
        <w:rPr>
          <w:rFonts w:ascii="Times New Roman" w:hAnsi="Times New Roman"/>
          <w:snapToGrid/>
          <w:color w:val="auto"/>
          <w:sz w:val="24"/>
          <w:szCs w:val="24"/>
          <w:lang w:eastAsia="zh-CN"/>
        </w:rPr>
        <w:t>（3）污染防治设施运行管理信息</w:t>
      </w:r>
      <w:bookmarkEnd w:id="991"/>
      <w:bookmarkEnd w:id="992"/>
    </w:p>
    <w:p w14:paraId="2FE6550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993" w:name="_Toc16001"/>
      <w:bookmarkStart w:id="994" w:name="_Toc30447"/>
      <w:r>
        <w:rPr>
          <w:rFonts w:ascii="Times New Roman" w:hAnsi="Times New Roman"/>
          <w:snapToGrid/>
          <w:color w:val="auto"/>
          <w:sz w:val="24"/>
          <w:szCs w:val="24"/>
          <w:lang w:eastAsia="zh-CN"/>
        </w:rPr>
        <w:t>1）正常情况：</w:t>
      </w:r>
      <w:bookmarkEnd w:id="993"/>
      <w:bookmarkEnd w:id="994"/>
    </w:p>
    <w:p w14:paraId="32589E6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①污染防治设施运行状况：每日记录1次。</w:t>
      </w:r>
    </w:p>
    <w:p w14:paraId="0CC173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②采取无组织废气污染控制措施的信息记录频次原则不小于1日。</w:t>
      </w:r>
    </w:p>
    <w:p w14:paraId="746630A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③污染物产排污情况：连续排放污染物的，按日记录，每日记录1次。非连续排放污染物的，按照产排污阶段记录，每个产排污阶段记录1次。安装自动监</w:t>
      </w:r>
      <w:bookmarkStart w:id="995" w:name="bookmark88"/>
      <w:bookmarkEnd w:id="995"/>
      <w:r>
        <w:rPr>
          <w:rFonts w:ascii="Times New Roman" w:hAnsi="Times New Roman"/>
          <w:snapToGrid/>
          <w:color w:val="auto"/>
          <w:sz w:val="24"/>
          <w:szCs w:val="24"/>
          <w:lang w:eastAsia="zh-CN"/>
        </w:rPr>
        <w:t>测设施的按照自动监测频率记录，DCS原则上以7日为周期截屏。</w:t>
      </w:r>
    </w:p>
    <w:p w14:paraId="0F64519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④药剂添加情况：采用批次投放的，按照投放批次记录，每投放批次记录1次。采用连续加药方式的，每班次记录1次。</w:t>
      </w:r>
    </w:p>
    <w:p w14:paraId="169B54F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2）异常情况：按照非正常情况期记录，每非正常情况期记录1次，包括起止时间、污染物排放浓度、非正常原因、应对措施、是否报告等。</w:t>
      </w:r>
    </w:p>
    <w:p w14:paraId="60166CC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996" w:name="_Toc10803"/>
      <w:bookmarkStart w:id="997" w:name="_Toc9076"/>
      <w:r>
        <w:rPr>
          <w:rFonts w:ascii="Times New Roman" w:hAnsi="Times New Roman"/>
          <w:snapToGrid/>
          <w:color w:val="auto"/>
          <w:sz w:val="24"/>
          <w:szCs w:val="24"/>
          <w:lang w:eastAsia="zh-CN"/>
        </w:rPr>
        <w:t>（4）监测记录信息</w:t>
      </w:r>
      <w:bookmarkEnd w:id="996"/>
      <w:bookmarkEnd w:id="997"/>
    </w:p>
    <w:p w14:paraId="5757F63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监测数据的记录频次与本次环境管理监测规定的废气、废水监测频次一致。</w:t>
      </w:r>
    </w:p>
    <w:p w14:paraId="648D99B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998" w:name="_Toc2364"/>
      <w:bookmarkStart w:id="999" w:name="_Toc22831"/>
      <w:r>
        <w:rPr>
          <w:rFonts w:ascii="Times New Roman" w:hAnsi="Times New Roman"/>
          <w:snapToGrid/>
          <w:color w:val="auto"/>
          <w:sz w:val="24"/>
          <w:szCs w:val="24"/>
          <w:lang w:eastAsia="zh-CN"/>
        </w:rPr>
        <w:t>（5）其他环境管理信息</w:t>
      </w:r>
      <w:bookmarkEnd w:id="998"/>
      <w:bookmarkEnd w:id="999"/>
    </w:p>
    <w:p w14:paraId="274EAD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重污染天气和应对期间特殊时段的台账记录频次原则上与正常生产记录频次一致，涉及特殊时段停产的排污单位或生产工序，该期间原则上仅对起始和结束当天进行1次记录，地方生态环境主管部门有特殊要求的，从其规定。</w:t>
      </w:r>
    </w:p>
    <w:p w14:paraId="10503A6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bookmarkStart w:id="1000" w:name="_Toc14520"/>
      <w:bookmarkStart w:id="1001" w:name="_Toc2764"/>
      <w:bookmarkStart w:id="1002" w:name="_Toc8960"/>
      <w:r>
        <w:rPr>
          <w:rFonts w:ascii="Times New Roman" w:hAnsi="Times New Roman"/>
          <w:snapToGrid/>
          <w:color w:val="auto"/>
          <w:sz w:val="24"/>
          <w:szCs w:val="24"/>
          <w:lang w:eastAsia="zh-CN"/>
        </w:rPr>
        <w:t>7、记录存储及保存</w:t>
      </w:r>
      <w:bookmarkEnd w:id="1000"/>
      <w:bookmarkEnd w:id="1001"/>
      <w:bookmarkEnd w:id="1002"/>
    </w:p>
    <w:p w14:paraId="70DCA9D3">
      <w:pPr>
        <w:pStyle w:val="2"/>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台账应按照电子化储存或纸质储存两种形式管理。台账保存期限不得少于3年。电子台账根据地方生态环境主管部门管理要求定期上传，纸质台账由排污单位留存备查。</w:t>
      </w:r>
    </w:p>
    <w:p w14:paraId="5C6BF6E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纸质台账应存放于保护袋、卷夹或保护盒等保存媒介中，专人保存于专门的档案保存地点，并由相关人员签字。档案保存应采取防光、防热、防潮、防细菌及防污染等措施。纸质类档案如有破损应随时修补。</w:t>
      </w:r>
    </w:p>
    <w:p w14:paraId="34EB70C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电子台账保存于专门存贮设备中，并保留备份数据。</w:t>
      </w:r>
      <w:r>
        <w:rPr>
          <w:rFonts w:hint="eastAsia" w:ascii="Times New Roman" w:hAnsi="Times New Roman"/>
          <w:snapToGrid/>
          <w:color w:val="auto"/>
          <w:sz w:val="24"/>
          <w:szCs w:val="24"/>
          <w:lang w:eastAsia="zh-CN"/>
        </w:rPr>
        <w:t>存储设备</w:t>
      </w:r>
      <w:r>
        <w:rPr>
          <w:rFonts w:ascii="Times New Roman" w:hAnsi="Times New Roman"/>
          <w:snapToGrid/>
          <w:color w:val="auto"/>
          <w:sz w:val="24"/>
          <w:szCs w:val="24"/>
          <w:lang w:eastAsia="zh-CN"/>
        </w:rPr>
        <w:t>由专人负责管理，定期进行维护。电子台账根据地方生态环境主管部门管理要求定期上传，纸质台账由排污单位留存备查。</w:t>
      </w:r>
    </w:p>
    <w:p w14:paraId="4751737B">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003" w:name="bookmark47"/>
      <w:bookmarkEnd w:id="1003"/>
      <w:bookmarkStart w:id="1004" w:name="_Toc19605"/>
      <w:bookmarkStart w:id="1005" w:name="_Toc20120"/>
      <w:bookmarkStart w:id="1006" w:name="_Toc14926"/>
      <w:r>
        <w:rPr>
          <w:rFonts w:hint="eastAsia" w:ascii="Times New Roman" w:hAnsi="Times New Roman" w:eastAsia="宋体"/>
          <w:snapToGrid/>
          <w:color w:val="auto"/>
          <w:lang w:eastAsia="zh-CN"/>
        </w:rPr>
        <w:t>8.5环境影响评价制度与排污许可</w:t>
      </w:r>
      <w:r>
        <w:rPr>
          <w:rFonts w:hint="eastAsia"/>
          <w:snapToGrid/>
          <w:color w:val="auto"/>
          <w:lang w:eastAsia="zh-CN"/>
        </w:rPr>
        <w:t>制度</w:t>
      </w:r>
      <w:r>
        <w:rPr>
          <w:rFonts w:hint="eastAsia" w:ascii="Times New Roman" w:hAnsi="Times New Roman" w:eastAsia="宋体"/>
          <w:snapToGrid/>
          <w:color w:val="auto"/>
          <w:lang w:eastAsia="zh-CN"/>
        </w:rPr>
        <w:t>衔接分析</w:t>
      </w:r>
      <w:bookmarkEnd w:id="1004"/>
      <w:bookmarkEnd w:id="1005"/>
      <w:bookmarkEnd w:id="1006"/>
    </w:p>
    <w:p w14:paraId="4EC6727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本项目在报批环评报告书后、项目实际运行前，应尽快申领排污许可证，作为本项目合法运行的前提。排污许可证申请及核发按《排污许可证管理暂行规定》填报执行。</w:t>
      </w:r>
    </w:p>
    <w:p w14:paraId="06D7A71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建设项目发生实际排污行为之前，排污单位应当按照国家环境保护相关法律法规以及《排污许可证申请与核发技术规范</w:t>
      </w:r>
      <w:r>
        <w:rPr>
          <w:rFonts w:hint="eastAsia" w:ascii="Times New Roman" w:hAnsi="Times New Roman"/>
          <w:snapToGrid/>
          <w:color w:val="auto"/>
          <w:sz w:val="24"/>
          <w:szCs w:val="24"/>
          <w:lang w:val="en-US" w:eastAsia="zh-CN"/>
        </w:rPr>
        <w:t xml:space="preserve">  </w:t>
      </w:r>
      <w:r>
        <w:rPr>
          <w:rFonts w:ascii="Times New Roman" w:hAnsi="Times New Roman"/>
          <w:snapToGrid/>
          <w:color w:val="auto"/>
          <w:sz w:val="24"/>
          <w:szCs w:val="24"/>
          <w:lang w:eastAsia="zh-CN"/>
        </w:rPr>
        <w:t>废弃资源加工工业》（HJ1034-2019）和《排污许可证申请与核发技术规范</w:t>
      </w:r>
      <w:r>
        <w:rPr>
          <w:rFonts w:hint="eastAsia"/>
          <w:color w:val="auto"/>
          <w:lang w:val="en-US" w:eastAsia="zh-CN"/>
        </w:rPr>
        <w:t xml:space="preserve">   </w:t>
      </w:r>
      <w:r>
        <w:rPr>
          <w:rFonts w:ascii="Times New Roman" w:hAnsi="Times New Roman"/>
          <w:snapToGrid/>
          <w:color w:val="auto"/>
          <w:sz w:val="24"/>
          <w:szCs w:val="24"/>
          <w:lang w:eastAsia="zh-CN"/>
        </w:rPr>
        <w:t>橡胶及塑料制品业》（HJ1122-2020）中相关规定申请排污许可证，不得无证排污或不按证排污。污染物排放相关的主要内容应当纳入排污许可证。</w:t>
      </w:r>
    </w:p>
    <w:p w14:paraId="1A30D2A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许可证的申请、受理、审核、发放、变更、延续、注销、撤销、遗失补办应当在全国排污许可证管理信息平台上进行。排污单位自行监测、执行报告及环境保护主管部门监管执法信息应当在全国排污许可证管理信息平台上记载，并按照本办</w:t>
      </w:r>
      <w:r>
        <w:rPr>
          <w:rFonts w:hint="eastAsia" w:ascii="Times New Roman" w:hAnsi="Times New Roman"/>
          <w:snapToGrid/>
          <w:color w:val="auto"/>
          <w:sz w:val="24"/>
          <w:szCs w:val="24"/>
          <w:lang w:eastAsia="zh-CN"/>
        </w:rPr>
        <w:t>法的</w:t>
      </w:r>
      <w:r>
        <w:rPr>
          <w:rFonts w:ascii="Times New Roman" w:hAnsi="Times New Roman"/>
          <w:snapToGrid/>
          <w:color w:val="auto"/>
          <w:sz w:val="24"/>
          <w:szCs w:val="24"/>
          <w:lang w:eastAsia="zh-CN"/>
        </w:rPr>
        <w:t>规定在全国排污许可证管理信息平台上公开。</w:t>
      </w:r>
    </w:p>
    <w:p w14:paraId="5E0F03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排污单位应当按照排污许可证规定的关于执行报告内容和频次的要求，编制排污许可证执行报告。排污许可证执行报告包括年度执行报告、季度执行报告和</w:t>
      </w:r>
      <w:r>
        <w:rPr>
          <w:rFonts w:hint="eastAsia" w:ascii="Times New Roman" w:hAnsi="Times New Roman"/>
          <w:snapToGrid/>
          <w:color w:val="auto"/>
          <w:sz w:val="24"/>
          <w:szCs w:val="24"/>
          <w:lang w:eastAsia="zh-CN"/>
        </w:rPr>
        <w:t>月度</w:t>
      </w:r>
      <w:r>
        <w:rPr>
          <w:rFonts w:ascii="Times New Roman" w:hAnsi="Times New Roman"/>
          <w:snapToGrid/>
          <w:color w:val="auto"/>
          <w:sz w:val="24"/>
          <w:szCs w:val="24"/>
          <w:lang w:eastAsia="zh-CN"/>
        </w:rPr>
        <w:t>执行报告。</w:t>
      </w:r>
    </w:p>
    <w:p w14:paraId="010EB7F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w:t>
      </w:r>
    </w:p>
    <w:p w14:paraId="2CB507F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年度执行报告至少应当包括以下内容：</w:t>
      </w:r>
    </w:p>
    <w:p w14:paraId="37FFDBF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1、排污单位基本信息；</w:t>
      </w:r>
    </w:p>
    <w:p w14:paraId="6DA63F0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2、污染防治设施正常和异常情况；</w:t>
      </w:r>
    </w:p>
    <w:p w14:paraId="1DCDAD3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3、自行监测执行情况；</w:t>
      </w:r>
    </w:p>
    <w:p w14:paraId="767BDCF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4、环境管理台账记录执行情况；</w:t>
      </w:r>
    </w:p>
    <w:p w14:paraId="08D9E25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5、实际排放情况及合规判定分析；</w:t>
      </w:r>
    </w:p>
    <w:p w14:paraId="29CC734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6、信息公开情况；</w:t>
      </w:r>
    </w:p>
    <w:p w14:paraId="236F3E9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7、排污单位内部环境管理体系建设与</w:t>
      </w:r>
      <w:r>
        <w:rPr>
          <w:rFonts w:hint="eastAsia" w:ascii="Times New Roman" w:hAnsi="Times New Roman"/>
          <w:snapToGrid/>
          <w:color w:val="auto"/>
          <w:sz w:val="24"/>
          <w:szCs w:val="24"/>
          <w:lang w:eastAsia="zh-CN"/>
        </w:rPr>
        <w:t>运行</w:t>
      </w:r>
    </w:p>
    <w:p w14:paraId="7DBFF6F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8、其他排污许可证规定的内容执行情况</w:t>
      </w:r>
    </w:p>
    <w:p w14:paraId="487388E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9、其他需要说明的问题；</w:t>
      </w:r>
    </w:p>
    <w:p w14:paraId="1358C25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10、结论；</w:t>
      </w:r>
    </w:p>
    <w:p w14:paraId="4F2460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11、附图附件要求。季度执行报告：</w:t>
      </w:r>
    </w:p>
    <w:p w14:paraId="41864B8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排污单位季度执行报告应至少包括污染物实际排放浓度（或排放速率）和排放量、合规判定分析、超标排放或污染防治设施异常情况说明等内容。</w:t>
      </w:r>
    </w:p>
    <w:p w14:paraId="580D8F8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建设项目竣工环境保护验收报告中与污染物排放相关的主要内容，应当由排污单位记载在该项目验收完成当年排污许可证年度执行报告中。排污单位发生污染事故排放时，应当依照相关法律法规的规定及时报告。</w:t>
      </w:r>
    </w:p>
    <w:p w14:paraId="1B4915ED">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007" w:name="bookmark48"/>
      <w:bookmarkEnd w:id="1007"/>
      <w:bookmarkStart w:id="1008" w:name="_Toc6482"/>
      <w:bookmarkStart w:id="1009" w:name="_Toc17965"/>
      <w:bookmarkStart w:id="1010" w:name="_Toc20931"/>
      <w:r>
        <w:rPr>
          <w:rFonts w:hint="eastAsia" w:ascii="Times New Roman" w:hAnsi="Times New Roman" w:eastAsia="宋体"/>
          <w:snapToGrid/>
          <w:color w:val="auto"/>
          <w:lang w:eastAsia="zh-CN"/>
        </w:rPr>
        <w:t>8.6企业环境信息公开</w:t>
      </w:r>
      <w:bookmarkEnd w:id="1008"/>
      <w:bookmarkEnd w:id="1009"/>
      <w:bookmarkEnd w:id="1010"/>
    </w:p>
    <w:p w14:paraId="5DDAE8A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根据《企业事业单位环境信息公开办法》（</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第31号）相关规定，企业事业单位应当建立健全本单位环境信息公开制度，制定机构负责本单位环境信息公开日常工作。根据企业特点，应在公司网站或本单位的资料索取点、信息公开栏、信息亭、电子屏幕或其他便于公众及时、准确获得信息的场所和方式公开下列信息：</w:t>
      </w:r>
    </w:p>
    <w:p w14:paraId="321D554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（1）项目基础信息：包括单位名称、组织机构代码、法定代表人、生产地址、联系方式，以及生产经营和管理服务的主要内容、产品及规模。</w:t>
      </w:r>
    </w:p>
    <w:p w14:paraId="2A5D0DC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（2）排污信息：包括主要污染物及特征污染物的名称、排放方式、排放口数量和分布情况、排放浓度和总量、超标情况，及执行的污染物排放标准、核定的排放总量。</w:t>
      </w:r>
    </w:p>
    <w:p w14:paraId="4EE6AA11">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（3）防治污染设施的建设和运行情况。</w:t>
      </w:r>
    </w:p>
    <w:p w14:paraId="0217240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（4）建设项目环境影响评价及其他环境保护行政许可情况。</w:t>
      </w:r>
    </w:p>
    <w:p w14:paraId="4CCE99F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（5）突发环境事件应急预案。</w:t>
      </w:r>
    </w:p>
    <w:p w14:paraId="2CF5FFD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（6）其他应当公开的环境信息。</w:t>
      </w:r>
    </w:p>
    <w:p w14:paraId="74639FE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若</w:t>
      </w:r>
      <w:r>
        <w:rPr>
          <w:rFonts w:ascii="Times New Roman" w:hAnsi="Times New Roman"/>
          <w:snapToGrid/>
          <w:color w:val="auto"/>
          <w:sz w:val="24"/>
          <w:szCs w:val="24"/>
          <w:lang w:eastAsia="zh-CN"/>
        </w:rPr>
        <w:t>公司的环境信息发生变更或有新生成时，应在环境信息生成或者变更之日起三十日内予以公开。环境保护主管部门应当宣传和引导公众监督企业事业单位环境信息公开工作。</w:t>
      </w:r>
    </w:p>
    <w:p w14:paraId="2CFB77B5">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011" w:name="bookmark49"/>
      <w:bookmarkEnd w:id="1011"/>
      <w:bookmarkStart w:id="1012" w:name="_Toc14166"/>
      <w:bookmarkStart w:id="1013" w:name="_Toc11058"/>
      <w:bookmarkStart w:id="1014" w:name="_Toc302"/>
      <w:r>
        <w:rPr>
          <w:rFonts w:hint="eastAsia" w:ascii="Times New Roman" w:hAnsi="Times New Roman" w:eastAsia="宋体"/>
          <w:snapToGrid/>
          <w:color w:val="auto"/>
          <w:lang w:eastAsia="zh-CN"/>
        </w:rPr>
        <w:t>8.7竣工验收管理</w:t>
      </w:r>
      <w:bookmarkEnd w:id="1012"/>
      <w:bookmarkEnd w:id="1013"/>
      <w:bookmarkEnd w:id="1014"/>
    </w:p>
    <w:p w14:paraId="462C132D">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15" w:name="_Toc16637"/>
      <w:bookmarkStart w:id="1016" w:name="_Toc27356"/>
      <w:bookmarkStart w:id="1017" w:name="_Toc20412"/>
      <w:r>
        <w:rPr>
          <w:rFonts w:hint="eastAsia" w:ascii="Times New Roman" w:hAnsi="Times New Roman" w:cs="Times New Roman"/>
          <w:b/>
          <w:bCs/>
          <w:snapToGrid/>
          <w:color w:val="auto"/>
          <w:sz w:val="28"/>
          <w:szCs w:val="32"/>
          <w:lang w:eastAsia="zh-CN"/>
        </w:rPr>
        <w:t>8.7.1污染物排放清单</w:t>
      </w:r>
      <w:bookmarkEnd w:id="1015"/>
      <w:bookmarkEnd w:id="1016"/>
      <w:bookmarkEnd w:id="1017"/>
    </w:p>
    <w:p w14:paraId="23E8769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排放口信息按照根据国家标准《环境保护图形标志排放口（源）》和</w:t>
      </w:r>
      <w:r>
        <w:rPr>
          <w:rFonts w:hint="eastAsia" w:ascii="Times New Roman" w:hAnsi="Times New Roman"/>
          <w:snapToGrid/>
          <w:color w:val="auto"/>
          <w:sz w:val="24"/>
          <w:szCs w:val="24"/>
          <w:lang w:eastAsia="zh-CN"/>
        </w:rPr>
        <w:t>生态环境部</w:t>
      </w:r>
      <w:r>
        <w:rPr>
          <w:rFonts w:ascii="Times New Roman" w:hAnsi="Times New Roman"/>
          <w:snapToGrid/>
          <w:color w:val="auto"/>
          <w:sz w:val="24"/>
          <w:szCs w:val="24"/>
          <w:lang w:eastAsia="zh-CN"/>
        </w:rPr>
        <w:t>《排污口规范化整治要求（试行）》的文件要求进行设置，本项目有机废气经</w:t>
      </w:r>
      <w:r>
        <w:rPr>
          <w:rFonts w:hint="eastAsia" w:ascii="Times New Roman" w:hAnsi="Times New Roman"/>
          <w:snapToGrid/>
          <w:color w:val="auto"/>
          <w:sz w:val="24"/>
          <w:szCs w:val="24"/>
          <w:lang w:eastAsia="zh-CN"/>
        </w:rPr>
        <w:t>1</w:t>
      </w:r>
      <w:r>
        <w:rPr>
          <w:rFonts w:ascii="Times New Roman" w:hAnsi="Times New Roman"/>
          <w:snapToGrid/>
          <w:color w:val="auto"/>
          <w:sz w:val="24"/>
          <w:szCs w:val="24"/>
          <w:lang w:eastAsia="zh-CN"/>
        </w:rPr>
        <w:t>套“</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”处理后，分别通过15m排气筒排放，生产废水为清洗废水和循环冷却水，循环冷却不外排，生活污水</w:t>
      </w:r>
      <w:r>
        <w:rPr>
          <w:rFonts w:hint="eastAsia" w:ascii="Times New Roman" w:hAnsi="Times New Roman"/>
          <w:snapToGrid/>
          <w:color w:val="auto"/>
          <w:sz w:val="24"/>
          <w:szCs w:val="24"/>
          <w:lang w:eastAsia="zh-CN"/>
        </w:rPr>
        <w:t>排入</w:t>
      </w:r>
      <w:r>
        <w:rPr>
          <w:rFonts w:hint="eastAsia" w:ascii="Times New Roman" w:hAnsi="Times New Roman"/>
          <w:snapToGrid/>
          <w:color w:val="auto"/>
          <w:sz w:val="24"/>
          <w:szCs w:val="24"/>
          <w:lang w:val="en-US" w:eastAsia="zh-CN"/>
        </w:rPr>
        <w:t>防渗</w:t>
      </w:r>
      <w:r>
        <w:rPr>
          <w:rFonts w:hint="eastAsia" w:ascii="Times New Roman" w:hAnsi="Times New Roman"/>
          <w:snapToGrid/>
          <w:color w:val="auto"/>
          <w:sz w:val="24"/>
          <w:szCs w:val="24"/>
          <w:lang w:eastAsia="zh-CN"/>
        </w:rPr>
        <w:t>化粪池，</w:t>
      </w:r>
      <w:r>
        <w:rPr>
          <w:rFonts w:hint="eastAsia" w:ascii="Times New Roman" w:hAnsi="Times New Roman"/>
          <w:snapToGrid/>
          <w:color w:val="auto"/>
          <w:sz w:val="24"/>
          <w:szCs w:val="24"/>
          <w:lang w:val="en-US" w:eastAsia="zh-CN"/>
        </w:rPr>
        <w:t>定期抽运至木垒哈萨克自治县污水处理厂处理</w:t>
      </w:r>
      <w:r>
        <w:rPr>
          <w:rFonts w:ascii="Times New Roman" w:hAnsi="Times New Roman"/>
          <w:snapToGrid/>
          <w:color w:val="auto"/>
          <w:sz w:val="24"/>
          <w:szCs w:val="24"/>
          <w:lang w:eastAsia="zh-CN"/>
        </w:rPr>
        <w:t>。</w:t>
      </w:r>
    </w:p>
    <w:p w14:paraId="281994F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工程污染源排放清单详见下表8.7-1。</w:t>
      </w:r>
    </w:p>
    <w:p w14:paraId="78754822">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18" w:name="_Toc7660"/>
      <w:bookmarkStart w:id="1019" w:name="_Toc24273"/>
      <w:bookmarkStart w:id="1020" w:name="_Toc26582"/>
      <w:r>
        <w:rPr>
          <w:rFonts w:hint="eastAsia" w:ascii="Times New Roman" w:hAnsi="Times New Roman" w:cs="Times New Roman"/>
          <w:b/>
          <w:bCs/>
          <w:snapToGrid/>
          <w:color w:val="auto"/>
          <w:sz w:val="28"/>
          <w:szCs w:val="32"/>
          <w:lang w:eastAsia="zh-CN"/>
        </w:rPr>
        <w:t>8.7.2竣工环保验收</w:t>
      </w:r>
      <w:bookmarkEnd w:id="1018"/>
      <w:bookmarkEnd w:id="1019"/>
      <w:bookmarkEnd w:id="1020"/>
    </w:p>
    <w:p w14:paraId="465D303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中华人民共和国环境保护法》规定，项目建成后，应全面检查项目对周围环境的改变及环保设施“三同时”情况。项目试运行一段时间，达到生产正常、稳定后，由建设单位成立验收组进行自主验收。项目环保设施“三同时”竣工验收内容见表8.7-</w:t>
      </w:r>
      <w:r>
        <w:rPr>
          <w:rFonts w:hint="eastAsia" w:ascii="Times New Roman" w:hAnsi="Times New Roman"/>
          <w:snapToGrid/>
          <w:color w:val="auto"/>
          <w:sz w:val="24"/>
          <w:szCs w:val="24"/>
          <w:lang w:val="en-US" w:eastAsia="zh-CN"/>
        </w:rPr>
        <w:t>2</w:t>
      </w:r>
      <w:r>
        <w:rPr>
          <w:rFonts w:ascii="Times New Roman" w:hAnsi="Times New Roman"/>
          <w:snapToGrid/>
          <w:color w:val="auto"/>
          <w:sz w:val="24"/>
          <w:szCs w:val="24"/>
          <w:lang w:eastAsia="zh-CN"/>
        </w:rPr>
        <w:t>。</w:t>
      </w:r>
    </w:p>
    <w:p w14:paraId="28157E30">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45" w:type="default"/>
          <w:footerReference r:id="rId46" w:type="default"/>
          <w:pgSz w:w="11906" w:h="16838"/>
          <w:pgMar w:top="1136" w:right="1712" w:bottom="1157" w:left="1711" w:header="868" w:footer="994" w:gutter="0"/>
          <w:pgBorders>
            <w:top w:val="none" w:sz="0" w:space="0"/>
            <w:left w:val="none" w:sz="0" w:space="0"/>
            <w:bottom w:val="none" w:sz="0" w:space="0"/>
            <w:right w:val="none" w:sz="0" w:space="0"/>
          </w:pgBorders>
          <w:cols w:space="720" w:num="1"/>
        </w:sectPr>
      </w:pPr>
    </w:p>
    <w:p w14:paraId="75B3C612">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r>
        <w:rPr>
          <w:rFonts w:ascii="Times New Roman" w:hAnsi="Times New Roman"/>
          <w:b/>
          <w:bCs/>
          <w:snapToGrid/>
          <w:color w:val="auto"/>
          <w:sz w:val="24"/>
          <w:lang w:eastAsia="zh-CN"/>
        </w:rPr>
        <w:t>表8.7-1本项目污染源排放清单</w:t>
      </w:r>
    </w:p>
    <w:tbl>
      <w:tblPr>
        <w:tblStyle w:val="36"/>
        <w:tblW w:w="50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8"/>
        <w:gridCol w:w="1049"/>
        <w:gridCol w:w="333"/>
        <w:gridCol w:w="603"/>
        <w:gridCol w:w="291"/>
        <w:gridCol w:w="1060"/>
        <w:gridCol w:w="768"/>
        <w:gridCol w:w="872"/>
        <w:gridCol w:w="1931"/>
        <w:gridCol w:w="872"/>
        <w:gridCol w:w="1060"/>
        <w:gridCol w:w="697"/>
        <w:gridCol w:w="711"/>
        <w:gridCol w:w="972"/>
        <w:gridCol w:w="2055"/>
        <w:gridCol w:w="634"/>
      </w:tblGrid>
      <w:tr w14:paraId="0E2AD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97" w:type="pct"/>
            <w:tcBorders>
              <w:tl2br w:val="nil"/>
              <w:tr2bl w:val="nil"/>
            </w:tcBorders>
            <w:vAlign w:val="center"/>
          </w:tcPr>
          <w:p w14:paraId="1321103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污染物类型</w:t>
            </w:r>
          </w:p>
        </w:tc>
        <w:tc>
          <w:tcPr>
            <w:tcW w:w="333" w:type="pct"/>
            <w:tcBorders>
              <w:tl2br w:val="nil"/>
              <w:tr2bl w:val="nil"/>
            </w:tcBorders>
            <w:vAlign w:val="center"/>
          </w:tcPr>
          <w:p w14:paraId="5640749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工程组成</w:t>
            </w:r>
          </w:p>
        </w:tc>
        <w:tc>
          <w:tcPr>
            <w:tcW w:w="120" w:type="pct"/>
            <w:tcBorders>
              <w:tl2br w:val="nil"/>
              <w:tr2bl w:val="nil"/>
            </w:tcBorders>
            <w:vAlign w:val="center"/>
          </w:tcPr>
          <w:p w14:paraId="15AD64A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产污环节</w:t>
            </w:r>
          </w:p>
        </w:tc>
        <w:tc>
          <w:tcPr>
            <w:tcW w:w="215" w:type="pct"/>
            <w:tcBorders>
              <w:tl2br w:val="nil"/>
              <w:tr2bl w:val="nil"/>
            </w:tcBorders>
            <w:vAlign w:val="center"/>
          </w:tcPr>
          <w:p w14:paraId="33FA29E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污染物类型</w:t>
            </w:r>
          </w:p>
        </w:tc>
        <w:tc>
          <w:tcPr>
            <w:tcW w:w="103" w:type="pct"/>
            <w:tcBorders>
              <w:tl2br w:val="nil"/>
              <w:tr2bl w:val="nil"/>
            </w:tcBorders>
            <w:vAlign w:val="center"/>
          </w:tcPr>
          <w:p w14:paraId="5A21BFB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cs="宋体"/>
                <w:b/>
                <w:bCs/>
                <w:snapToGrid/>
                <w:color w:val="auto"/>
              </w:rPr>
              <w:t>排放形式</w:t>
            </w:r>
            <w:r>
              <w:rPr>
                <w:rFonts w:eastAsia="宋体"/>
                <w:b/>
                <w:bCs/>
                <w:snapToGrid/>
                <w:color w:val="auto"/>
              </w:rPr>
              <w:t>/</w:t>
            </w:r>
            <w:r>
              <w:rPr>
                <w:rFonts w:eastAsia="宋体" w:cs="宋体"/>
                <w:b/>
                <w:bCs/>
                <w:snapToGrid/>
                <w:color w:val="auto"/>
              </w:rPr>
              <w:t>性质</w:t>
            </w:r>
          </w:p>
        </w:tc>
        <w:tc>
          <w:tcPr>
            <w:tcW w:w="376" w:type="pct"/>
            <w:tcBorders>
              <w:tl2br w:val="nil"/>
              <w:tr2bl w:val="nil"/>
            </w:tcBorders>
            <w:vAlign w:val="center"/>
          </w:tcPr>
          <w:p w14:paraId="17BC3CD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cs="宋体"/>
                <w:b/>
                <w:bCs/>
                <w:snapToGrid/>
                <w:color w:val="auto"/>
                <w:lang w:val="en-US" w:eastAsia="zh-CN"/>
              </w:rPr>
            </w:pPr>
            <w:r>
              <w:rPr>
                <w:rFonts w:hint="eastAsia" w:eastAsia="宋体" w:cs="宋体"/>
                <w:b/>
                <w:bCs/>
                <w:snapToGrid/>
                <w:color w:val="auto"/>
                <w:lang w:val="en-US" w:eastAsia="zh-CN"/>
              </w:rPr>
              <w:t>产生浓度</w:t>
            </w:r>
            <w:r>
              <w:rPr>
                <w:rFonts w:eastAsia="宋体" w:cs="宋体"/>
                <w:b/>
                <w:bCs/>
                <w:snapToGrid/>
                <w:color w:val="auto"/>
              </w:rPr>
              <w:t>（</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273" w:type="pct"/>
            <w:tcBorders>
              <w:tl2br w:val="nil"/>
              <w:tr2bl w:val="nil"/>
            </w:tcBorders>
            <w:vAlign w:val="center"/>
          </w:tcPr>
          <w:p w14:paraId="4AAD40D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cs="宋体"/>
                <w:b/>
                <w:bCs/>
                <w:snapToGrid/>
                <w:color w:val="auto"/>
                <w:lang w:val="en-US" w:eastAsia="zh-CN"/>
              </w:rPr>
            </w:pPr>
            <w:r>
              <w:rPr>
                <w:rFonts w:hint="eastAsia" w:eastAsia="宋体" w:cs="宋体"/>
                <w:b/>
                <w:bCs/>
                <w:snapToGrid/>
                <w:color w:val="auto"/>
                <w:lang w:val="en-US" w:eastAsia="zh-CN"/>
              </w:rPr>
              <w:t>产生量</w:t>
            </w:r>
            <w:r>
              <w:rPr>
                <w:rFonts w:eastAsia="宋体" w:cs="宋体"/>
                <w:b/>
                <w:bCs/>
                <w:snapToGrid/>
                <w:color w:val="auto"/>
              </w:rPr>
              <w:t>（</w:t>
            </w:r>
            <w:r>
              <w:rPr>
                <w:rFonts w:eastAsia="宋体"/>
                <w:b/>
                <w:bCs/>
                <w:snapToGrid/>
                <w:color w:val="auto"/>
              </w:rPr>
              <w:t>t/a</w:t>
            </w:r>
            <w:r>
              <w:rPr>
                <w:rFonts w:eastAsia="宋体" w:cs="宋体"/>
                <w:b/>
                <w:bCs/>
                <w:snapToGrid/>
                <w:color w:val="auto"/>
              </w:rPr>
              <w:t>）</w:t>
            </w:r>
          </w:p>
        </w:tc>
        <w:tc>
          <w:tcPr>
            <w:tcW w:w="310" w:type="pct"/>
            <w:tcBorders>
              <w:tl2br w:val="nil"/>
              <w:tr2bl w:val="nil"/>
            </w:tcBorders>
            <w:vAlign w:val="center"/>
          </w:tcPr>
          <w:p w14:paraId="0359065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cs="宋体"/>
                <w:b/>
                <w:bCs/>
                <w:snapToGrid/>
                <w:color w:val="auto"/>
                <w:vertAlign w:val="baseline"/>
                <w:lang w:val="en-US" w:eastAsia="zh-CN"/>
              </w:rPr>
            </w:pPr>
            <w:r>
              <w:rPr>
                <w:rFonts w:hint="eastAsia" w:eastAsia="宋体" w:cs="宋体"/>
                <w:b/>
                <w:bCs/>
                <w:snapToGrid/>
                <w:color w:val="auto"/>
                <w:lang w:val="en-US" w:eastAsia="zh-CN"/>
              </w:rPr>
              <w:t>废气量（m</w:t>
            </w:r>
            <w:r>
              <w:rPr>
                <w:rFonts w:hint="eastAsia" w:eastAsia="宋体" w:cs="宋体"/>
                <w:b/>
                <w:bCs/>
                <w:snapToGrid/>
                <w:color w:val="auto"/>
                <w:vertAlign w:val="superscript"/>
                <w:lang w:val="en-US" w:eastAsia="zh-CN"/>
              </w:rPr>
              <w:t>3</w:t>
            </w:r>
            <w:r>
              <w:rPr>
                <w:rFonts w:hint="eastAsia" w:eastAsia="宋体" w:cs="宋体"/>
                <w:b/>
                <w:bCs/>
                <w:snapToGrid/>
                <w:color w:val="auto"/>
                <w:vertAlign w:val="baseline"/>
                <w:lang w:val="en-US" w:eastAsia="zh-CN"/>
              </w:rPr>
              <w:t>/a）</w:t>
            </w:r>
          </w:p>
        </w:tc>
        <w:tc>
          <w:tcPr>
            <w:tcW w:w="683" w:type="pct"/>
            <w:tcBorders>
              <w:tl2br w:val="nil"/>
              <w:tr2bl w:val="nil"/>
            </w:tcBorders>
            <w:vAlign w:val="center"/>
          </w:tcPr>
          <w:p w14:paraId="23CA329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b/>
                <w:bCs/>
                <w:snapToGrid/>
                <w:color w:val="auto"/>
                <w:lang w:eastAsia="zh-CN"/>
              </w:rPr>
              <w:t>拟采取的环境保护措施</w:t>
            </w:r>
          </w:p>
        </w:tc>
        <w:tc>
          <w:tcPr>
            <w:tcW w:w="310" w:type="pct"/>
            <w:tcBorders>
              <w:tl2br w:val="nil"/>
              <w:tr2bl w:val="nil"/>
            </w:tcBorders>
            <w:vAlign w:val="center"/>
          </w:tcPr>
          <w:p w14:paraId="1A564F4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cs="宋体"/>
                <w:b/>
                <w:bCs/>
                <w:snapToGrid/>
                <w:color w:val="auto"/>
                <w:lang w:val="en-US" w:eastAsia="zh-CN"/>
              </w:rPr>
            </w:pPr>
            <w:r>
              <w:rPr>
                <w:rFonts w:hint="eastAsia" w:eastAsia="宋体" w:cs="宋体"/>
                <w:b/>
                <w:bCs/>
                <w:snapToGrid/>
                <w:color w:val="auto"/>
                <w:lang w:val="en-US" w:eastAsia="zh-CN"/>
              </w:rPr>
              <w:t>废气量（m</w:t>
            </w:r>
            <w:r>
              <w:rPr>
                <w:rFonts w:hint="eastAsia" w:eastAsia="宋体" w:cs="宋体"/>
                <w:b/>
                <w:bCs/>
                <w:snapToGrid/>
                <w:color w:val="auto"/>
                <w:vertAlign w:val="superscript"/>
                <w:lang w:val="en-US" w:eastAsia="zh-CN"/>
              </w:rPr>
              <w:t>3</w:t>
            </w:r>
            <w:r>
              <w:rPr>
                <w:rFonts w:hint="eastAsia" w:eastAsia="宋体" w:cs="宋体"/>
                <w:b/>
                <w:bCs/>
                <w:snapToGrid/>
                <w:color w:val="auto"/>
                <w:vertAlign w:val="baseline"/>
                <w:lang w:val="en-US" w:eastAsia="zh-CN"/>
              </w:rPr>
              <w:t>/a）</w:t>
            </w:r>
          </w:p>
        </w:tc>
        <w:tc>
          <w:tcPr>
            <w:tcW w:w="376" w:type="pct"/>
            <w:tcBorders>
              <w:tl2br w:val="nil"/>
              <w:tr2bl w:val="nil"/>
            </w:tcBorders>
            <w:vAlign w:val="center"/>
          </w:tcPr>
          <w:p w14:paraId="0BE8160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cs="宋体"/>
                <w:b/>
                <w:bCs/>
                <w:snapToGrid/>
                <w:color w:val="auto"/>
              </w:rPr>
              <w:t>排放浓度（</w:t>
            </w:r>
            <w:r>
              <w:rPr>
                <w:rFonts w:eastAsia="宋体"/>
                <w:b/>
                <w:bCs/>
                <w:snapToGrid/>
                <w:color w:val="auto"/>
              </w:rPr>
              <w:t>mg/m</w:t>
            </w:r>
            <w:r>
              <w:rPr>
                <w:rFonts w:eastAsia="宋体"/>
                <w:b/>
                <w:bCs/>
                <w:snapToGrid/>
                <w:color w:val="auto"/>
                <w:szCs w:val="13"/>
                <w:vertAlign w:val="superscript"/>
              </w:rPr>
              <w:t>3</w:t>
            </w:r>
            <w:r>
              <w:rPr>
                <w:rFonts w:eastAsia="宋体" w:cs="宋体"/>
                <w:b/>
                <w:bCs/>
                <w:snapToGrid/>
                <w:color w:val="auto"/>
              </w:rPr>
              <w:t>）</w:t>
            </w:r>
          </w:p>
        </w:tc>
        <w:tc>
          <w:tcPr>
            <w:tcW w:w="248" w:type="pct"/>
            <w:tcBorders>
              <w:tl2br w:val="nil"/>
              <w:tr2bl w:val="nil"/>
            </w:tcBorders>
            <w:vAlign w:val="center"/>
          </w:tcPr>
          <w:p w14:paraId="4E37901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cs="宋体"/>
                <w:b/>
                <w:bCs/>
                <w:snapToGrid/>
                <w:color w:val="auto"/>
              </w:rPr>
              <w:t>排放量（</w:t>
            </w:r>
            <w:r>
              <w:rPr>
                <w:rFonts w:eastAsia="宋体"/>
                <w:b/>
                <w:bCs/>
                <w:snapToGrid/>
                <w:color w:val="auto"/>
              </w:rPr>
              <w:t>t/a</w:t>
            </w:r>
            <w:r>
              <w:rPr>
                <w:rFonts w:eastAsia="宋体" w:cs="宋体"/>
                <w:b/>
                <w:bCs/>
                <w:snapToGrid/>
                <w:color w:val="auto"/>
              </w:rPr>
              <w:t>）</w:t>
            </w:r>
          </w:p>
        </w:tc>
        <w:tc>
          <w:tcPr>
            <w:tcW w:w="253" w:type="pct"/>
            <w:tcBorders>
              <w:tl2br w:val="nil"/>
              <w:tr2bl w:val="nil"/>
            </w:tcBorders>
            <w:vAlign w:val="center"/>
          </w:tcPr>
          <w:p w14:paraId="740F645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cs="宋体"/>
                <w:b/>
                <w:bCs/>
                <w:snapToGrid/>
                <w:color w:val="auto"/>
              </w:rPr>
              <w:t>总量指标（</w:t>
            </w:r>
            <w:r>
              <w:rPr>
                <w:rFonts w:eastAsia="宋体"/>
                <w:b/>
                <w:bCs/>
                <w:snapToGrid/>
                <w:color w:val="auto"/>
              </w:rPr>
              <w:t>t/a</w:t>
            </w:r>
            <w:r>
              <w:rPr>
                <w:rFonts w:eastAsia="宋体" w:cs="宋体"/>
                <w:b/>
                <w:bCs/>
                <w:snapToGrid/>
                <w:color w:val="auto"/>
              </w:rPr>
              <w:t>）</w:t>
            </w:r>
          </w:p>
        </w:tc>
        <w:tc>
          <w:tcPr>
            <w:tcW w:w="345" w:type="pct"/>
            <w:tcBorders>
              <w:tl2br w:val="nil"/>
              <w:tr2bl w:val="nil"/>
            </w:tcBorders>
            <w:vAlign w:val="center"/>
          </w:tcPr>
          <w:p w14:paraId="4E31DE8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排放标准</w:t>
            </w:r>
          </w:p>
        </w:tc>
        <w:tc>
          <w:tcPr>
            <w:tcW w:w="727" w:type="pct"/>
            <w:tcBorders>
              <w:tl2br w:val="nil"/>
              <w:tr2bl w:val="nil"/>
            </w:tcBorders>
            <w:vAlign w:val="center"/>
          </w:tcPr>
          <w:p w14:paraId="7F2A0D1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执行标准</w:t>
            </w:r>
          </w:p>
        </w:tc>
        <w:tc>
          <w:tcPr>
            <w:tcW w:w="226" w:type="pct"/>
            <w:tcBorders>
              <w:tl2br w:val="nil"/>
              <w:tr2bl w:val="nil"/>
            </w:tcBorders>
            <w:vAlign w:val="center"/>
          </w:tcPr>
          <w:p w14:paraId="304C805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环境风险防范措施</w:t>
            </w:r>
          </w:p>
        </w:tc>
      </w:tr>
      <w:tr w14:paraId="4CE22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3" w:hRule="atLeast"/>
          <w:jc w:val="center"/>
        </w:trPr>
        <w:tc>
          <w:tcPr>
            <w:tcW w:w="97" w:type="pct"/>
            <w:vMerge w:val="restart"/>
            <w:tcBorders>
              <w:tl2br w:val="nil"/>
              <w:tr2bl w:val="nil"/>
            </w:tcBorders>
            <w:vAlign w:val="center"/>
          </w:tcPr>
          <w:p w14:paraId="237F412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大气污染物</w:t>
            </w:r>
          </w:p>
        </w:tc>
        <w:tc>
          <w:tcPr>
            <w:tcW w:w="333" w:type="pct"/>
            <w:tcBorders>
              <w:tl2br w:val="nil"/>
              <w:tr2bl w:val="nil"/>
            </w:tcBorders>
            <w:vAlign w:val="center"/>
          </w:tcPr>
          <w:p w14:paraId="53B61F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厂区</w:t>
            </w:r>
          </w:p>
        </w:tc>
        <w:tc>
          <w:tcPr>
            <w:tcW w:w="120" w:type="pct"/>
            <w:tcBorders>
              <w:tl2br w:val="nil"/>
              <w:tr2bl w:val="nil"/>
            </w:tcBorders>
            <w:vAlign w:val="center"/>
          </w:tcPr>
          <w:p w14:paraId="544692E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废旧滴灌带卸车及堆存粉尘</w:t>
            </w:r>
          </w:p>
        </w:tc>
        <w:tc>
          <w:tcPr>
            <w:tcW w:w="215" w:type="pct"/>
            <w:tcBorders>
              <w:tl2br w:val="nil"/>
              <w:tr2bl w:val="nil"/>
            </w:tcBorders>
            <w:vAlign w:val="center"/>
          </w:tcPr>
          <w:p w14:paraId="268DDEF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103" w:type="pct"/>
            <w:tcBorders>
              <w:tl2br w:val="nil"/>
              <w:tr2bl w:val="nil"/>
            </w:tcBorders>
            <w:vAlign w:val="center"/>
          </w:tcPr>
          <w:p w14:paraId="76121C3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376" w:type="pct"/>
            <w:tcBorders>
              <w:tl2br w:val="nil"/>
              <w:tr2bl w:val="nil"/>
            </w:tcBorders>
            <w:vAlign w:val="center"/>
          </w:tcPr>
          <w:p w14:paraId="6534C12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37D22B6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2.4</w:t>
            </w:r>
          </w:p>
        </w:tc>
        <w:tc>
          <w:tcPr>
            <w:tcW w:w="310" w:type="pct"/>
            <w:tcBorders>
              <w:tl2br w:val="nil"/>
              <w:tr2bl w:val="nil"/>
            </w:tcBorders>
            <w:vAlign w:val="center"/>
          </w:tcPr>
          <w:p w14:paraId="34D609C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30B0DB2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废旧滴灌带堆放区采用半封闭式储存，加强管理，配备消防设施，消防供水网和消防栓应采取防冻措施，应安装消防报警设备等防火措施</w:t>
            </w:r>
          </w:p>
        </w:tc>
        <w:tc>
          <w:tcPr>
            <w:tcW w:w="310" w:type="pct"/>
            <w:tcBorders>
              <w:tl2br w:val="nil"/>
              <w:tr2bl w:val="nil"/>
            </w:tcBorders>
            <w:vAlign w:val="center"/>
          </w:tcPr>
          <w:p w14:paraId="1B5C7DA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b/>
                <w:bCs/>
                <w:snapToGrid/>
                <w:color w:val="auto"/>
                <w:lang w:val="en-US" w:eastAsia="zh-CN"/>
              </w:rPr>
            </w:pPr>
            <w:r>
              <w:rPr>
                <w:rFonts w:hint="eastAsia" w:eastAsia="宋体"/>
                <w:b/>
                <w:bCs/>
                <w:snapToGrid/>
                <w:color w:val="auto"/>
                <w:lang w:val="en-US" w:eastAsia="zh-CN"/>
              </w:rPr>
              <w:t>/</w:t>
            </w:r>
          </w:p>
        </w:tc>
        <w:tc>
          <w:tcPr>
            <w:tcW w:w="376" w:type="pct"/>
            <w:tcBorders>
              <w:tl2br w:val="nil"/>
              <w:tr2bl w:val="nil"/>
            </w:tcBorders>
            <w:vAlign w:val="center"/>
          </w:tcPr>
          <w:p w14:paraId="38E8C6D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b/>
                <w:bCs/>
                <w:snapToGrid/>
                <w:color w:val="auto"/>
              </w:rPr>
              <w:t>/</w:t>
            </w:r>
          </w:p>
        </w:tc>
        <w:tc>
          <w:tcPr>
            <w:tcW w:w="248" w:type="pct"/>
            <w:tcBorders>
              <w:tl2br w:val="nil"/>
              <w:tr2bl w:val="nil"/>
            </w:tcBorders>
            <w:vAlign w:val="center"/>
          </w:tcPr>
          <w:p w14:paraId="4EC890F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rPr>
            </w:pPr>
            <w:r>
              <w:rPr>
                <w:rFonts w:hint="eastAsia" w:ascii="Times New Roman" w:hAnsi="Times New Roman" w:eastAsia="宋体" w:cs="宋体"/>
                <w:snapToGrid/>
                <w:color w:val="auto"/>
                <w:lang w:val="en-US" w:eastAsia="zh-CN"/>
              </w:rPr>
              <w:t>0.0028</w:t>
            </w:r>
          </w:p>
        </w:tc>
        <w:tc>
          <w:tcPr>
            <w:tcW w:w="253" w:type="pct"/>
            <w:tcBorders>
              <w:tl2br w:val="nil"/>
              <w:tr2bl w:val="nil"/>
            </w:tcBorders>
            <w:vAlign w:val="center"/>
          </w:tcPr>
          <w:p w14:paraId="38F911D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b/>
                <w:bCs/>
                <w:snapToGrid/>
                <w:color w:val="auto"/>
              </w:rPr>
              <w:t>/</w:t>
            </w:r>
          </w:p>
        </w:tc>
        <w:tc>
          <w:tcPr>
            <w:tcW w:w="345" w:type="pct"/>
            <w:tcBorders>
              <w:tl2br w:val="nil"/>
              <w:tr2bl w:val="nil"/>
            </w:tcBorders>
            <w:vAlign w:val="center"/>
          </w:tcPr>
          <w:p w14:paraId="0AE6444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szCs w:val="13"/>
              </w:rPr>
            </w:pPr>
            <w:r>
              <w:rPr>
                <w:rFonts w:eastAsia="宋体"/>
                <w:snapToGrid/>
                <w:color w:val="auto"/>
              </w:rPr>
              <w:t>1.0mg/m</w:t>
            </w:r>
            <w:r>
              <w:rPr>
                <w:rFonts w:eastAsia="宋体"/>
                <w:snapToGrid/>
                <w:color w:val="auto"/>
                <w:szCs w:val="13"/>
                <w:vertAlign w:val="superscript"/>
              </w:rPr>
              <w:t>3</w:t>
            </w:r>
          </w:p>
        </w:tc>
        <w:tc>
          <w:tcPr>
            <w:tcW w:w="727" w:type="pct"/>
            <w:tcBorders>
              <w:tl2br w:val="nil"/>
              <w:tr2bl w:val="nil"/>
            </w:tcBorders>
            <w:vAlign w:val="center"/>
          </w:tcPr>
          <w:p w14:paraId="606305D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《合成树脂工业污染物排放标准》（</w:t>
            </w:r>
            <w:r>
              <w:rPr>
                <w:rFonts w:hint="eastAsia" w:ascii="Times New Roman" w:hAnsi="Times New Roman" w:eastAsia="宋体" w:cs="宋体"/>
                <w:snapToGrid/>
                <w:color w:val="auto"/>
                <w:lang w:eastAsia="zh-CN"/>
              </w:rPr>
              <w:t>GB 31572-2015，含2024年修改单</w:t>
            </w:r>
            <w:r>
              <w:rPr>
                <w:rFonts w:ascii="Times New Roman" w:hAnsi="Times New Roman" w:eastAsia="宋体" w:cs="宋体"/>
                <w:snapToGrid/>
                <w:color w:val="auto"/>
                <w:lang w:eastAsia="zh-CN"/>
              </w:rPr>
              <w:t>）表</w:t>
            </w:r>
            <w:r>
              <w:rPr>
                <w:rFonts w:ascii="Times New Roman" w:hAnsi="Times New Roman" w:eastAsia="宋体" w:cs="MS Gothic"/>
                <w:snapToGrid/>
                <w:color w:val="auto"/>
                <w:lang w:eastAsia="zh-CN"/>
              </w:rPr>
              <w:t>9</w:t>
            </w:r>
            <w:r>
              <w:rPr>
                <w:rFonts w:ascii="Times New Roman" w:hAnsi="Times New Roman" w:eastAsia="宋体" w:cs="宋体"/>
                <w:snapToGrid/>
                <w:color w:val="auto"/>
                <w:lang w:eastAsia="zh-CN"/>
              </w:rPr>
              <w:t>中浓度限值</w:t>
            </w:r>
            <w:r>
              <w:rPr>
                <w:rFonts w:ascii="Times New Roman" w:hAnsi="Times New Roman" w:eastAsia="宋体" w:cs="MS Gothic"/>
                <w:snapToGrid/>
                <w:color w:val="auto"/>
                <w:lang w:eastAsia="zh-CN"/>
              </w:rPr>
              <w:t>1.0mg/m</w:t>
            </w:r>
            <w:r>
              <w:rPr>
                <w:rFonts w:ascii="Times New Roman" w:hAnsi="Times New Roman" w:eastAsia="宋体" w:cs="MS Gothic"/>
                <w:snapToGrid/>
                <w:color w:val="auto"/>
                <w:szCs w:val="12"/>
                <w:vertAlign w:val="superscript"/>
                <w:lang w:eastAsia="zh-CN"/>
              </w:rPr>
              <w:t>3</w:t>
            </w:r>
            <w:r>
              <w:rPr>
                <w:rFonts w:ascii="Times New Roman" w:hAnsi="Times New Roman" w:eastAsia="宋体" w:cs="宋体"/>
                <w:snapToGrid/>
                <w:color w:val="auto"/>
                <w:lang w:eastAsia="zh-CN"/>
              </w:rPr>
              <w:t>；</w:t>
            </w:r>
          </w:p>
        </w:tc>
        <w:tc>
          <w:tcPr>
            <w:tcW w:w="226" w:type="pct"/>
            <w:vMerge w:val="restart"/>
            <w:tcBorders>
              <w:tl2br w:val="nil"/>
              <w:tr2bl w:val="nil"/>
            </w:tcBorders>
            <w:vAlign w:val="center"/>
          </w:tcPr>
          <w:p w14:paraId="18DF58E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加强管理保障污染防治设施稳定运行</w:t>
            </w:r>
          </w:p>
        </w:tc>
      </w:tr>
      <w:tr w14:paraId="21366F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34" w:hRule="atLeast"/>
          <w:jc w:val="center"/>
        </w:trPr>
        <w:tc>
          <w:tcPr>
            <w:tcW w:w="97" w:type="pct"/>
            <w:vMerge w:val="continue"/>
            <w:tcBorders>
              <w:tl2br w:val="nil"/>
              <w:tr2bl w:val="nil"/>
            </w:tcBorders>
            <w:vAlign w:val="center"/>
          </w:tcPr>
          <w:p w14:paraId="07CAFE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333" w:type="pct"/>
            <w:tcBorders>
              <w:tl2br w:val="nil"/>
              <w:tr2bl w:val="nil"/>
            </w:tcBorders>
            <w:vAlign w:val="center"/>
          </w:tcPr>
          <w:p w14:paraId="68938F7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ascii="Times New Roman" w:hAnsi="Times New Roman" w:eastAsia="宋体" w:cs="宋体"/>
                <w:snapToGrid/>
                <w:color w:val="auto"/>
              </w:rPr>
              <w:t>有组织</w:t>
            </w:r>
            <w:r>
              <w:rPr>
                <w:rFonts w:hint="eastAsia" w:ascii="Times New Roman" w:hAnsi="Times New Roman" w:eastAsia="宋体" w:cs="宋体"/>
                <w:snapToGrid/>
                <w:color w:val="auto"/>
                <w:lang w:eastAsia="zh-CN"/>
              </w:rPr>
              <w:t>（</w:t>
            </w:r>
            <w:r>
              <w:rPr>
                <w:rFonts w:hint="eastAsia" w:ascii="Times New Roman" w:hAnsi="Times New Roman" w:eastAsia="宋体" w:cs="宋体"/>
                <w:snapToGrid/>
                <w:color w:val="auto"/>
                <w:lang w:val="en-US" w:eastAsia="zh-CN"/>
              </w:rPr>
              <w:t>DA001）</w:t>
            </w:r>
          </w:p>
        </w:tc>
        <w:tc>
          <w:tcPr>
            <w:tcW w:w="120" w:type="pct"/>
            <w:tcBorders>
              <w:tl2br w:val="nil"/>
              <w:tr2bl w:val="nil"/>
            </w:tcBorders>
            <w:vAlign w:val="center"/>
          </w:tcPr>
          <w:p w14:paraId="1FAEB67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生产</w:t>
            </w:r>
            <w:r>
              <w:rPr>
                <w:rFonts w:ascii="Times New Roman" w:hAnsi="Times New Roman" w:eastAsia="宋体" w:cs="宋体"/>
                <w:snapToGrid/>
                <w:color w:val="auto"/>
              </w:rPr>
              <w:t>工序</w:t>
            </w:r>
          </w:p>
        </w:tc>
        <w:tc>
          <w:tcPr>
            <w:tcW w:w="215" w:type="pct"/>
            <w:tcBorders>
              <w:tl2br w:val="nil"/>
              <w:tr2bl w:val="nil"/>
            </w:tcBorders>
            <w:vAlign w:val="center"/>
          </w:tcPr>
          <w:p w14:paraId="7D5B603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03" w:type="pct"/>
            <w:tcBorders>
              <w:tl2br w:val="nil"/>
              <w:tr2bl w:val="nil"/>
            </w:tcBorders>
            <w:vAlign w:val="center"/>
          </w:tcPr>
          <w:p w14:paraId="1D3355D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w:t>
            </w:r>
          </w:p>
        </w:tc>
        <w:tc>
          <w:tcPr>
            <w:tcW w:w="376" w:type="pct"/>
            <w:tcBorders>
              <w:tl2br w:val="nil"/>
              <w:tr2bl w:val="nil"/>
            </w:tcBorders>
            <w:vAlign w:val="center"/>
          </w:tcPr>
          <w:p w14:paraId="7A460BD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21.36</w:t>
            </w:r>
          </w:p>
        </w:tc>
        <w:tc>
          <w:tcPr>
            <w:tcW w:w="273" w:type="pct"/>
            <w:tcBorders>
              <w:tl2br w:val="nil"/>
              <w:tr2bl w:val="nil"/>
            </w:tcBorders>
            <w:vAlign w:val="center"/>
          </w:tcPr>
          <w:p w14:paraId="08A9EA7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6.3</w:t>
            </w:r>
          </w:p>
        </w:tc>
        <w:tc>
          <w:tcPr>
            <w:tcW w:w="310" w:type="pct"/>
            <w:tcBorders>
              <w:tl2br w:val="nil"/>
              <w:tr2bl w:val="nil"/>
            </w:tcBorders>
            <w:vAlign w:val="center"/>
          </w:tcPr>
          <w:p w14:paraId="220590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29500万</w:t>
            </w:r>
          </w:p>
        </w:tc>
        <w:tc>
          <w:tcPr>
            <w:tcW w:w="683" w:type="pct"/>
            <w:tcBorders>
              <w:tl2br w:val="nil"/>
              <w:tr2bl w:val="nil"/>
            </w:tcBorders>
            <w:vAlign w:val="center"/>
          </w:tcPr>
          <w:p w14:paraId="3769C95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cs="宋体"/>
                <w:snapToGrid/>
                <w:color w:val="auto"/>
                <w:lang w:val="en-US" w:eastAsia="zh-CN"/>
              </w:rPr>
            </w:pPr>
            <w:r>
              <w:rPr>
                <w:rFonts w:eastAsia="宋体" w:cs="宋体"/>
                <w:snapToGrid/>
                <w:color w:val="auto"/>
                <w:lang w:eastAsia="zh-CN"/>
              </w:rPr>
              <w:t>每台造粒机上方分别设置</w:t>
            </w:r>
            <w:r>
              <w:rPr>
                <w:rFonts w:eastAsia="宋体"/>
                <w:snapToGrid/>
                <w:color w:val="auto"/>
                <w:lang w:eastAsia="zh-CN"/>
              </w:rPr>
              <w:t>1</w:t>
            </w:r>
            <w:r>
              <w:rPr>
                <w:rFonts w:eastAsia="宋体" w:cs="宋体"/>
                <w:snapToGrid/>
                <w:color w:val="auto"/>
                <w:lang w:eastAsia="zh-CN"/>
              </w:rPr>
              <w:t>个负压集气罩（共设置</w:t>
            </w:r>
            <w:r>
              <w:rPr>
                <w:rFonts w:hint="eastAsia" w:eastAsia="宋体"/>
                <w:snapToGrid/>
                <w:color w:val="auto"/>
                <w:lang w:eastAsia="zh-CN"/>
              </w:rPr>
              <w:t>1个</w:t>
            </w:r>
            <w:r>
              <w:rPr>
                <w:rFonts w:eastAsia="宋体" w:cs="宋体"/>
                <w:snapToGrid/>
                <w:color w:val="auto"/>
                <w:lang w:eastAsia="zh-CN"/>
              </w:rPr>
              <w:t>集气罩），集中收集的废气经</w:t>
            </w:r>
            <w:r>
              <w:rPr>
                <w:rFonts w:eastAsia="宋体"/>
                <w:snapToGrid/>
                <w:color w:val="auto"/>
                <w:lang w:eastAsia="zh-CN"/>
              </w:rPr>
              <w:t>1</w:t>
            </w:r>
            <w:r>
              <w:rPr>
                <w:rFonts w:eastAsia="宋体" w:cs="宋体"/>
                <w:snapToGrid/>
                <w:color w:val="auto"/>
                <w:lang w:eastAsia="zh-CN"/>
              </w:rPr>
              <w:t>套“</w:t>
            </w:r>
            <w:r>
              <w:rPr>
                <w:rFonts w:hint="eastAsia" w:eastAsia="宋体" w:cs="宋体"/>
                <w:snapToGrid/>
                <w:color w:val="auto"/>
                <w:lang w:eastAsia="zh-CN"/>
              </w:rPr>
              <w:t>活性炭吸附+蓄热式催化燃烧</w:t>
            </w:r>
            <w:r>
              <w:rPr>
                <w:rFonts w:eastAsia="宋体" w:cs="宋体"/>
                <w:snapToGrid/>
                <w:color w:val="auto"/>
                <w:lang w:eastAsia="zh-CN"/>
              </w:rPr>
              <w:t>”净化处理后通过</w:t>
            </w:r>
            <w:r>
              <w:rPr>
                <w:rFonts w:eastAsia="宋体"/>
                <w:snapToGrid/>
                <w:color w:val="auto"/>
                <w:lang w:eastAsia="zh-CN"/>
              </w:rPr>
              <w:t>1</w:t>
            </w:r>
            <w:r>
              <w:rPr>
                <w:rFonts w:eastAsia="宋体" w:cs="宋体"/>
                <w:snapToGrid/>
                <w:color w:val="auto"/>
                <w:lang w:eastAsia="zh-CN"/>
              </w:rPr>
              <w:t>根</w:t>
            </w:r>
            <w:r>
              <w:rPr>
                <w:rFonts w:eastAsia="宋体"/>
                <w:snapToGrid/>
                <w:color w:val="auto"/>
                <w:lang w:eastAsia="zh-CN"/>
              </w:rPr>
              <w:t>15m</w:t>
            </w:r>
            <w:r>
              <w:rPr>
                <w:rFonts w:eastAsia="宋体" w:cs="宋体"/>
                <w:snapToGrid/>
                <w:color w:val="auto"/>
                <w:lang w:eastAsia="zh-CN"/>
              </w:rPr>
              <w:t>高排气筒（</w:t>
            </w:r>
            <w:r>
              <w:rPr>
                <w:rFonts w:eastAsia="宋体"/>
                <w:snapToGrid/>
                <w:color w:val="auto"/>
                <w:lang w:eastAsia="zh-CN"/>
              </w:rPr>
              <w:t>DA001</w:t>
            </w:r>
            <w:r>
              <w:rPr>
                <w:rFonts w:eastAsia="宋体" w:cs="宋体"/>
                <w:snapToGrid/>
                <w:color w:val="auto"/>
                <w:lang w:eastAsia="zh-CN"/>
              </w:rPr>
              <w:t>）外排</w:t>
            </w:r>
            <w:r>
              <w:rPr>
                <w:rFonts w:hint="eastAsia" w:eastAsia="宋体" w:cs="宋体"/>
                <w:snapToGrid/>
                <w:color w:val="auto"/>
                <w:lang w:eastAsia="zh-CN"/>
              </w:rPr>
              <w:t>。</w:t>
            </w:r>
            <w:r>
              <w:rPr>
                <w:rFonts w:hint="eastAsia" w:eastAsia="宋体" w:cs="宋体"/>
                <w:snapToGrid/>
                <w:color w:val="auto"/>
                <w:lang w:val="en-US" w:eastAsia="zh-CN"/>
              </w:rPr>
              <w:t>收集效率为90%，处理效率85%</w:t>
            </w:r>
          </w:p>
        </w:tc>
        <w:tc>
          <w:tcPr>
            <w:tcW w:w="310" w:type="pct"/>
            <w:tcBorders>
              <w:tl2br w:val="nil"/>
              <w:tr2bl w:val="nil"/>
            </w:tcBorders>
            <w:vAlign w:val="center"/>
          </w:tcPr>
          <w:p w14:paraId="21DF29C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eastAsia="zh-CN"/>
              </w:rPr>
            </w:pPr>
            <w:r>
              <w:rPr>
                <w:rFonts w:hint="eastAsia" w:ascii="Times New Roman" w:hAnsi="Times New Roman" w:eastAsia="宋体" w:cs="宋体"/>
                <w:snapToGrid/>
                <w:color w:val="auto"/>
                <w:lang w:val="en-US" w:eastAsia="zh-CN"/>
              </w:rPr>
              <w:t>29500万</w:t>
            </w:r>
          </w:p>
        </w:tc>
        <w:tc>
          <w:tcPr>
            <w:tcW w:w="376" w:type="pct"/>
            <w:tcBorders>
              <w:tl2br w:val="nil"/>
              <w:tr2bl w:val="nil"/>
            </w:tcBorders>
            <w:vAlign w:val="center"/>
          </w:tcPr>
          <w:p w14:paraId="554DE33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3.2</w:t>
            </w:r>
          </w:p>
        </w:tc>
        <w:tc>
          <w:tcPr>
            <w:tcW w:w="248" w:type="pct"/>
            <w:tcBorders>
              <w:tl2br w:val="nil"/>
              <w:tr2bl w:val="nil"/>
            </w:tcBorders>
            <w:vAlign w:val="center"/>
          </w:tcPr>
          <w:p w14:paraId="678C1C8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0.945</w:t>
            </w:r>
          </w:p>
        </w:tc>
        <w:tc>
          <w:tcPr>
            <w:tcW w:w="253" w:type="pct"/>
            <w:tcBorders>
              <w:tl2br w:val="nil"/>
              <w:tr2bl w:val="nil"/>
            </w:tcBorders>
            <w:vAlign w:val="center"/>
          </w:tcPr>
          <w:p w14:paraId="578134B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0.945</w:t>
            </w:r>
          </w:p>
        </w:tc>
        <w:tc>
          <w:tcPr>
            <w:tcW w:w="345" w:type="pct"/>
            <w:tcBorders>
              <w:tl2br w:val="nil"/>
              <w:tr2bl w:val="nil"/>
            </w:tcBorders>
            <w:vAlign w:val="center"/>
          </w:tcPr>
          <w:p w14:paraId="1494DB0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100mg/m</w:t>
            </w:r>
            <w:r>
              <w:rPr>
                <w:rFonts w:eastAsia="宋体"/>
                <w:snapToGrid/>
                <w:color w:val="auto"/>
                <w:szCs w:val="13"/>
                <w:vertAlign w:val="superscript"/>
              </w:rPr>
              <w:t>3</w:t>
            </w:r>
          </w:p>
        </w:tc>
        <w:tc>
          <w:tcPr>
            <w:tcW w:w="727" w:type="pct"/>
            <w:tcBorders>
              <w:tl2br w:val="nil"/>
              <w:tr2bl w:val="nil"/>
            </w:tcBorders>
            <w:vAlign w:val="center"/>
          </w:tcPr>
          <w:p w14:paraId="0F362FC9">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hint="eastAsia" w:eastAsia="宋体" w:cs="宋体"/>
                <w:snapToGrid/>
                <w:color w:val="auto"/>
                <w:lang w:eastAsia="zh-CN"/>
              </w:rPr>
              <w:t>《合成树脂工业污染物排放标准》（GB 31572-2015，含2024年修改单）</w:t>
            </w:r>
            <w:r>
              <w:rPr>
                <w:rFonts w:eastAsia="宋体" w:cs="宋体"/>
                <w:snapToGrid/>
                <w:color w:val="auto"/>
                <w:lang w:eastAsia="zh-CN"/>
              </w:rPr>
              <w:t>表</w:t>
            </w:r>
            <w:r>
              <w:rPr>
                <w:rFonts w:eastAsia="宋体"/>
                <w:snapToGrid/>
                <w:color w:val="auto"/>
                <w:lang w:eastAsia="zh-CN"/>
              </w:rPr>
              <w:t>4</w:t>
            </w:r>
            <w:r>
              <w:rPr>
                <w:rFonts w:eastAsia="宋体" w:cs="宋体"/>
                <w:snapToGrid/>
                <w:color w:val="auto"/>
                <w:lang w:eastAsia="zh-CN"/>
              </w:rPr>
              <w:t>排放限值</w:t>
            </w:r>
          </w:p>
        </w:tc>
        <w:tc>
          <w:tcPr>
            <w:tcW w:w="226" w:type="pct"/>
            <w:vMerge w:val="continue"/>
            <w:tcBorders>
              <w:tl2br w:val="nil"/>
              <w:tr2bl w:val="nil"/>
            </w:tcBorders>
            <w:vAlign w:val="center"/>
          </w:tcPr>
          <w:p w14:paraId="1AEA5C5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r>
      <w:tr w14:paraId="49A2FA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97" w:type="pct"/>
            <w:vMerge w:val="continue"/>
            <w:tcBorders>
              <w:tl2br w:val="nil"/>
              <w:tr2bl w:val="nil"/>
            </w:tcBorders>
            <w:vAlign w:val="center"/>
          </w:tcPr>
          <w:p w14:paraId="74A350C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333" w:type="pct"/>
            <w:tcBorders>
              <w:tl2br w:val="nil"/>
              <w:tr2bl w:val="nil"/>
            </w:tcBorders>
            <w:vAlign w:val="center"/>
          </w:tcPr>
          <w:p w14:paraId="1BF6B5A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120" w:type="pct"/>
            <w:tcBorders>
              <w:tl2br w:val="nil"/>
              <w:tr2bl w:val="nil"/>
            </w:tcBorders>
            <w:vAlign w:val="center"/>
          </w:tcPr>
          <w:p w14:paraId="15941FF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eastAsia="zh-CN"/>
              </w:rPr>
              <w:t>生产</w:t>
            </w:r>
            <w:r>
              <w:rPr>
                <w:rFonts w:ascii="Times New Roman" w:hAnsi="Times New Roman" w:eastAsia="宋体" w:cs="宋体"/>
                <w:snapToGrid/>
                <w:color w:val="auto"/>
              </w:rPr>
              <w:t>工序</w:t>
            </w:r>
          </w:p>
        </w:tc>
        <w:tc>
          <w:tcPr>
            <w:tcW w:w="215" w:type="pct"/>
            <w:tcBorders>
              <w:tl2br w:val="nil"/>
              <w:tr2bl w:val="nil"/>
            </w:tcBorders>
            <w:vAlign w:val="center"/>
          </w:tcPr>
          <w:p w14:paraId="7690012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03" w:type="pct"/>
            <w:tcBorders>
              <w:tl2br w:val="nil"/>
              <w:tr2bl w:val="nil"/>
            </w:tcBorders>
            <w:vAlign w:val="center"/>
          </w:tcPr>
          <w:p w14:paraId="5C67AC9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376" w:type="pct"/>
            <w:tcBorders>
              <w:tl2br w:val="nil"/>
              <w:tr2bl w:val="nil"/>
            </w:tcBorders>
            <w:vAlign w:val="center"/>
          </w:tcPr>
          <w:p w14:paraId="72B9669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66A6011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0.7</w:t>
            </w:r>
          </w:p>
        </w:tc>
        <w:tc>
          <w:tcPr>
            <w:tcW w:w="310" w:type="pct"/>
            <w:tcBorders>
              <w:tl2br w:val="nil"/>
              <w:tr2bl w:val="nil"/>
            </w:tcBorders>
            <w:vAlign w:val="center"/>
          </w:tcPr>
          <w:p w14:paraId="4ED9FD7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6FAC0A3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车间设置换气扇，通风装置，加强控制监管，加强设备的维护</w:t>
            </w:r>
          </w:p>
        </w:tc>
        <w:tc>
          <w:tcPr>
            <w:tcW w:w="310" w:type="pct"/>
            <w:tcBorders>
              <w:tl2br w:val="nil"/>
              <w:tr2bl w:val="nil"/>
            </w:tcBorders>
            <w:vAlign w:val="center"/>
          </w:tcPr>
          <w:p w14:paraId="52F10B1D">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eastAsia="宋体"/>
                <w:snapToGrid/>
                <w:color w:val="auto"/>
                <w:lang w:val="en-US" w:eastAsia="zh-CN"/>
              </w:rPr>
              <w:t>/</w:t>
            </w:r>
          </w:p>
        </w:tc>
        <w:tc>
          <w:tcPr>
            <w:tcW w:w="376" w:type="pct"/>
            <w:tcBorders>
              <w:tl2br w:val="nil"/>
              <w:tr2bl w:val="nil"/>
            </w:tcBorders>
            <w:vAlign w:val="center"/>
          </w:tcPr>
          <w:p w14:paraId="46561C7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786F4349">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0.7</w:t>
            </w:r>
          </w:p>
        </w:tc>
        <w:tc>
          <w:tcPr>
            <w:tcW w:w="253" w:type="pct"/>
            <w:tcBorders>
              <w:tl2br w:val="nil"/>
              <w:tr2bl w:val="nil"/>
            </w:tcBorders>
            <w:vAlign w:val="center"/>
          </w:tcPr>
          <w:p w14:paraId="20BCDDF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63778C6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szCs w:val="13"/>
              </w:rPr>
            </w:pPr>
            <w:r>
              <w:rPr>
                <w:rFonts w:eastAsia="宋体"/>
                <w:snapToGrid/>
                <w:color w:val="auto"/>
              </w:rPr>
              <w:t>4.0mg/m</w:t>
            </w:r>
            <w:r>
              <w:rPr>
                <w:rFonts w:eastAsia="宋体"/>
                <w:snapToGrid/>
                <w:color w:val="auto"/>
                <w:szCs w:val="13"/>
                <w:vertAlign w:val="superscript"/>
              </w:rPr>
              <w:t>3</w:t>
            </w:r>
          </w:p>
        </w:tc>
        <w:tc>
          <w:tcPr>
            <w:tcW w:w="727" w:type="pct"/>
            <w:tcBorders>
              <w:tl2br w:val="nil"/>
              <w:tr2bl w:val="nil"/>
            </w:tcBorders>
            <w:vAlign w:val="center"/>
          </w:tcPr>
          <w:p w14:paraId="1C9518CB">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eastAsia="宋体" w:cs="宋体"/>
                <w:snapToGrid/>
                <w:color w:val="auto"/>
                <w:lang w:eastAsia="zh-CN"/>
              </w:rPr>
              <w:t>厂界：</w:t>
            </w:r>
            <w:r>
              <w:rPr>
                <w:rFonts w:hint="eastAsia" w:eastAsia="宋体" w:cs="宋体"/>
                <w:snapToGrid/>
                <w:color w:val="auto"/>
                <w:lang w:eastAsia="zh-CN"/>
              </w:rPr>
              <w:t>《合成树脂工业污染物排放标准》（GB 31572-2015，含2024年修改单）</w:t>
            </w:r>
            <w:r>
              <w:rPr>
                <w:rFonts w:eastAsia="宋体" w:cs="宋体"/>
                <w:snapToGrid/>
                <w:color w:val="auto"/>
                <w:lang w:eastAsia="zh-CN"/>
              </w:rPr>
              <w:t>中表</w:t>
            </w:r>
            <w:r>
              <w:rPr>
                <w:rFonts w:eastAsia="宋体"/>
                <w:snapToGrid/>
                <w:color w:val="auto"/>
                <w:lang w:eastAsia="zh-CN"/>
              </w:rPr>
              <w:t>9</w:t>
            </w:r>
            <w:r>
              <w:rPr>
                <w:rFonts w:eastAsia="宋体" w:cs="宋体"/>
                <w:snapToGrid/>
                <w:color w:val="auto"/>
                <w:lang w:eastAsia="zh-CN"/>
              </w:rPr>
              <w:t>厂界浓度限值；厂区：《挥发性有机物无组织排放控制标准》（</w:t>
            </w:r>
            <w:r>
              <w:rPr>
                <w:rFonts w:eastAsia="宋体"/>
                <w:snapToGrid/>
                <w:color w:val="auto"/>
                <w:lang w:eastAsia="zh-CN"/>
              </w:rPr>
              <w:t>GB37822-2019</w:t>
            </w:r>
            <w:r>
              <w:rPr>
                <w:rFonts w:eastAsia="宋体" w:cs="宋体"/>
                <w:snapToGrid/>
                <w:color w:val="auto"/>
                <w:lang w:eastAsia="zh-CN"/>
              </w:rPr>
              <w:t>）表</w:t>
            </w:r>
            <w:r>
              <w:rPr>
                <w:rFonts w:eastAsia="宋体"/>
                <w:snapToGrid/>
                <w:color w:val="auto"/>
                <w:lang w:eastAsia="zh-CN"/>
              </w:rPr>
              <w:t>A.1</w:t>
            </w:r>
            <w:r>
              <w:rPr>
                <w:rFonts w:eastAsia="宋体" w:cs="宋体"/>
                <w:snapToGrid/>
                <w:color w:val="auto"/>
                <w:lang w:eastAsia="zh-CN"/>
              </w:rPr>
              <w:t>厂区内</w:t>
            </w:r>
            <w:r>
              <w:rPr>
                <w:rFonts w:eastAsia="宋体"/>
                <w:snapToGrid/>
                <w:color w:val="auto"/>
                <w:lang w:eastAsia="zh-CN"/>
              </w:rPr>
              <w:t>VOC</w:t>
            </w:r>
            <w:r>
              <w:rPr>
                <w:rFonts w:eastAsia="宋体"/>
                <w:snapToGrid/>
                <w:color w:val="auto"/>
                <w:szCs w:val="13"/>
                <w:lang w:eastAsia="zh-CN"/>
              </w:rPr>
              <w:t>S</w:t>
            </w:r>
            <w:r>
              <w:rPr>
                <w:rFonts w:eastAsia="宋体" w:cs="宋体"/>
                <w:snapToGrid/>
                <w:color w:val="auto"/>
                <w:lang w:eastAsia="zh-CN"/>
              </w:rPr>
              <w:t>无组织排放限值；</w:t>
            </w:r>
          </w:p>
        </w:tc>
        <w:tc>
          <w:tcPr>
            <w:tcW w:w="226" w:type="pct"/>
            <w:vMerge w:val="continue"/>
            <w:tcBorders>
              <w:tl2br w:val="nil"/>
              <w:tr2bl w:val="nil"/>
            </w:tcBorders>
            <w:vAlign w:val="center"/>
          </w:tcPr>
          <w:p w14:paraId="2584A81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r>
      <w:tr w14:paraId="537BB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4" w:hRule="atLeast"/>
          <w:jc w:val="center"/>
        </w:trPr>
        <w:tc>
          <w:tcPr>
            <w:tcW w:w="97" w:type="pct"/>
            <w:vMerge w:val="continue"/>
            <w:tcBorders>
              <w:tl2br w:val="nil"/>
              <w:tr2bl w:val="nil"/>
            </w:tcBorders>
            <w:vAlign w:val="center"/>
          </w:tcPr>
          <w:p w14:paraId="0DEB434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333" w:type="pct"/>
            <w:tcBorders>
              <w:tl2br w:val="nil"/>
              <w:tr2bl w:val="nil"/>
            </w:tcBorders>
            <w:vAlign w:val="center"/>
          </w:tcPr>
          <w:p w14:paraId="30CDF63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无组织</w:t>
            </w:r>
          </w:p>
        </w:tc>
        <w:tc>
          <w:tcPr>
            <w:tcW w:w="120" w:type="pct"/>
            <w:tcBorders>
              <w:tl2br w:val="nil"/>
              <w:tr2bl w:val="nil"/>
            </w:tcBorders>
            <w:vAlign w:val="center"/>
          </w:tcPr>
          <w:p w14:paraId="0B9BBEB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生产工序</w:t>
            </w:r>
          </w:p>
        </w:tc>
        <w:tc>
          <w:tcPr>
            <w:tcW w:w="215" w:type="pct"/>
            <w:tcBorders>
              <w:tl2br w:val="nil"/>
              <w:tr2bl w:val="nil"/>
            </w:tcBorders>
            <w:vAlign w:val="center"/>
          </w:tcPr>
          <w:p w14:paraId="4BC8958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臭气浓度、恶臭</w:t>
            </w:r>
          </w:p>
        </w:tc>
        <w:tc>
          <w:tcPr>
            <w:tcW w:w="103" w:type="pct"/>
            <w:tcBorders>
              <w:tl2br w:val="nil"/>
              <w:tr2bl w:val="nil"/>
            </w:tcBorders>
            <w:vAlign w:val="center"/>
          </w:tcPr>
          <w:p w14:paraId="2132A48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无组织</w:t>
            </w:r>
          </w:p>
        </w:tc>
        <w:tc>
          <w:tcPr>
            <w:tcW w:w="376" w:type="pct"/>
            <w:tcBorders>
              <w:tl2br w:val="nil"/>
              <w:tr2bl w:val="nil"/>
            </w:tcBorders>
            <w:vAlign w:val="center"/>
          </w:tcPr>
          <w:p w14:paraId="7A4310F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4B53036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341830C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78A8F65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cs="宋体"/>
                <w:snapToGrid/>
                <w:color w:val="auto"/>
                <w:lang w:val="en-US" w:eastAsia="zh-CN"/>
              </w:rPr>
            </w:pPr>
            <w:r>
              <w:rPr>
                <w:rFonts w:hint="eastAsia" w:eastAsia="宋体" w:cs="宋体"/>
                <w:snapToGrid/>
                <w:color w:val="auto"/>
                <w:lang w:val="en-US" w:eastAsia="zh-CN"/>
              </w:rPr>
              <w:t>集气罩吸收，加强通风</w:t>
            </w:r>
          </w:p>
        </w:tc>
        <w:tc>
          <w:tcPr>
            <w:tcW w:w="310" w:type="pct"/>
            <w:tcBorders>
              <w:tl2br w:val="nil"/>
              <w:tr2bl w:val="nil"/>
            </w:tcBorders>
            <w:vAlign w:val="center"/>
          </w:tcPr>
          <w:p w14:paraId="0BE6A63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376" w:type="pct"/>
            <w:tcBorders>
              <w:tl2br w:val="nil"/>
              <w:tr2bl w:val="nil"/>
            </w:tcBorders>
            <w:vAlign w:val="center"/>
          </w:tcPr>
          <w:p w14:paraId="04A47E1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eastAsia="宋体"/>
                <w:snapToGrid/>
                <w:color w:val="auto"/>
                <w:lang w:val="en-US" w:eastAsia="zh-CN"/>
              </w:rPr>
              <w:t>/</w:t>
            </w:r>
          </w:p>
        </w:tc>
        <w:tc>
          <w:tcPr>
            <w:tcW w:w="248" w:type="pct"/>
            <w:tcBorders>
              <w:tl2br w:val="nil"/>
              <w:tr2bl w:val="nil"/>
            </w:tcBorders>
            <w:vAlign w:val="center"/>
          </w:tcPr>
          <w:p w14:paraId="6994876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eastAsia="宋体"/>
                <w:snapToGrid/>
                <w:color w:val="auto"/>
                <w:lang w:val="en-US" w:eastAsia="zh-CN"/>
              </w:rPr>
              <w:t>少量</w:t>
            </w:r>
          </w:p>
        </w:tc>
        <w:tc>
          <w:tcPr>
            <w:tcW w:w="253" w:type="pct"/>
            <w:tcBorders>
              <w:tl2br w:val="nil"/>
              <w:tr2bl w:val="nil"/>
            </w:tcBorders>
            <w:vAlign w:val="center"/>
          </w:tcPr>
          <w:p w14:paraId="0737E7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w:t>
            </w:r>
          </w:p>
        </w:tc>
        <w:tc>
          <w:tcPr>
            <w:tcW w:w="345" w:type="pct"/>
            <w:tcBorders>
              <w:tl2br w:val="nil"/>
              <w:tr2bl w:val="nil"/>
            </w:tcBorders>
            <w:vAlign w:val="center"/>
          </w:tcPr>
          <w:p w14:paraId="463B45F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olor w:val="auto"/>
              </w:rPr>
              <w:t>20（无量纲）</w:t>
            </w:r>
          </w:p>
        </w:tc>
        <w:tc>
          <w:tcPr>
            <w:tcW w:w="727" w:type="pct"/>
            <w:tcBorders>
              <w:tl2br w:val="nil"/>
              <w:tr2bl w:val="nil"/>
            </w:tcBorders>
            <w:vAlign w:val="center"/>
          </w:tcPr>
          <w:p w14:paraId="3A92D17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hint="eastAsia" w:ascii="Times New Roman" w:hAnsi="Times New Roman" w:eastAsia="宋体"/>
                <w:color w:val="auto"/>
                <w:lang w:eastAsia="zh-CN"/>
              </w:rPr>
              <w:t>《</w:t>
            </w:r>
            <w:r>
              <w:rPr>
                <w:rFonts w:hint="eastAsia" w:ascii="Times New Roman" w:hAnsi="Times New Roman" w:eastAsia="宋体"/>
                <w:bCs/>
                <w:color w:val="auto"/>
                <w:lang w:eastAsia="zh-CN"/>
              </w:rPr>
              <w:t>恶臭污染物排放标准</w:t>
            </w:r>
            <w:r>
              <w:rPr>
                <w:rFonts w:hint="eastAsia" w:ascii="Times New Roman" w:hAnsi="Times New Roman" w:eastAsia="宋体"/>
                <w:color w:val="auto"/>
                <w:lang w:eastAsia="zh-CN"/>
              </w:rPr>
              <w:t>》（</w:t>
            </w:r>
            <w:r>
              <w:rPr>
                <w:rFonts w:ascii="Times New Roman" w:hAnsi="Times New Roman" w:eastAsia="宋体"/>
                <w:color w:val="auto"/>
                <w:lang w:eastAsia="zh-CN"/>
              </w:rPr>
              <w:t>GB14554-93</w:t>
            </w:r>
            <w:r>
              <w:rPr>
                <w:rFonts w:hint="eastAsia" w:ascii="Times New Roman" w:hAnsi="Times New Roman" w:eastAsia="宋体"/>
                <w:color w:val="auto"/>
                <w:lang w:eastAsia="zh-CN"/>
              </w:rPr>
              <w:t>）中表</w:t>
            </w:r>
            <w:r>
              <w:rPr>
                <w:rFonts w:ascii="Times New Roman" w:hAnsi="Times New Roman" w:eastAsia="宋体"/>
                <w:color w:val="auto"/>
                <w:lang w:eastAsia="zh-CN"/>
              </w:rPr>
              <w:t>1</w:t>
            </w:r>
            <w:r>
              <w:rPr>
                <w:rFonts w:hint="eastAsia" w:ascii="Times New Roman" w:hAnsi="Times New Roman" w:eastAsia="宋体"/>
                <w:color w:val="auto"/>
                <w:lang w:eastAsia="zh-CN"/>
              </w:rPr>
              <w:t>二级</w:t>
            </w:r>
          </w:p>
        </w:tc>
        <w:tc>
          <w:tcPr>
            <w:tcW w:w="226" w:type="pct"/>
            <w:tcBorders>
              <w:tl2br w:val="nil"/>
              <w:tr2bl w:val="nil"/>
            </w:tcBorders>
            <w:vAlign w:val="center"/>
          </w:tcPr>
          <w:p w14:paraId="0FC5A79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p>
        </w:tc>
      </w:tr>
      <w:tr w14:paraId="77434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4" w:hRule="atLeast"/>
          <w:jc w:val="center"/>
        </w:trPr>
        <w:tc>
          <w:tcPr>
            <w:tcW w:w="97" w:type="pct"/>
            <w:vMerge w:val="continue"/>
            <w:tcBorders>
              <w:tl2br w:val="nil"/>
              <w:tr2bl w:val="nil"/>
            </w:tcBorders>
            <w:vAlign w:val="center"/>
          </w:tcPr>
          <w:p w14:paraId="593F4EE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333" w:type="pct"/>
            <w:tcBorders>
              <w:tl2br w:val="nil"/>
              <w:tr2bl w:val="nil"/>
            </w:tcBorders>
            <w:vAlign w:val="center"/>
          </w:tcPr>
          <w:p w14:paraId="1E46D66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食堂油烟</w:t>
            </w:r>
          </w:p>
        </w:tc>
        <w:tc>
          <w:tcPr>
            <w:tcW w:w="120" w:type="pct"/>
            <w:tcBorders>
              <w:tl2br w:val="nil"/>
              <w:tr2bl w:val="nil"/>
            </w:tcBorders>
            <w:vAlign w:val="center"/>
          </w:tcPr>
          <w:p w14:paraId="730DAC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食堂</w:t>
            </w:r>
          </w:p>
        </w:tc>
        <w:tc>
          <w:tcPr>
            <w:tcW w:w="215" w:type="pct"/>
            <w:tcBorders>
              <w:tl2br w:val="nil"/>
              <w:tr2bl w:val="nil"/>
            </w:tcBorders>
            <w:vAlign w:val="center"/>
          </w:tcPr>
          <w:p w14:paraId="37FF949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油烟</w:t>
            </w:r>
          </w:p>
        </w:tc>
        <w:tc>
          <w:tcPr>
            <w:tcW w:w="103" w:type="pct"/>
            <w:tcBorders>
              <w:tl2br w:val="nil"/>
              <w:tr2bl w:val="nil"/>
            </w:tcBorders>
            <w:vAlign w:val="center"/>
          </w:tcPr>
          <w:p w14:paraId="1F2A002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w:t>
            </w:r>
          </w:p>
        </w:tc>
        <w:tc>
          <w:tcPr>
            <w:tcW w:w="376" w:type="pct"/>
            <w:tcBorders>
              <w:tl2br w:val="nil"/>
              <w:tr2bl w:val="nil"/>
            </w:tcBorders>
            <w:vAlign w:val="center"/>
          </w:tcPr>
          <w:p w14:paraId="09CF8F1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2.88</w:t>
            </w:r>
          </w:p>
        </w:tc>
        <w:tc>
          <w:tcPr>
            <w:tcW w:w="273" w:type="pct"/>
            <w:tcBorders>
              <w:tl2br w:val="nil"/>
              <w:tr2bl w:val="nil"/>
            </w:tcBorders>
            <w:vAlign w:val="center"/>
          </w:tcPr>
          <w:p w14:paraId="233777A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lang w:eastAsia="zh-CN"/>
              </w:rPr>
              <w:t>5.76kg/a</w:t>
            </w:r>
          </w:p>
        </w:tc>
        <w:tc>
          <w:tcPr>
            <w:tcW w:w="310" w:type="pct"/>
            <w:tcBorders>
              <w:tl2br w:val="nil"/>
              <w:tr2bl w:val="nil"/>
            </w:tcBorders>
            <w:vAlign w:val="center"/>
          </w:tcPr>
          <w:p w14:paraId="0C46C34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vertAlign w:val="baseline"/>
                <w:lang w:val="en-US" w:eastAsia="zh-CN"/>
              </w:rPr>
            </w:pPr>
            <w:r>
              <w:rPr>
                <w:rFonts w:hint="eastAsia" w:ascii="Times New Roman" w:hAnsi="Times New Roman" w:eastAsia="宋体" w:cs="宋体"/>
                <w:snapToGrid/>
                <w:color w:val="auto"/>
                <w:lang w:val="en-US" w:eastAsia="zh-CN"/>
              </w:rPr>
              <w:t>2000m</w:t>
            </w:r>
            <w:r>
              <w:rPr>
                <w:rFonts w:hint="eastAsia" w:ascii="Times New Roman" w:hAnsi="Times New Roman" w:eastAsia="宋体" w:cs="宋体"/>
                <w:snapToGrid/>
                <w:color w:val="auto"/>
                <w:vertAlign w:val="superscript"/>
                <w:lang w:val="en-US" w:eastAsia="zh-CN"/>
              </w:rPr>
              <w:t>3</w:t>
            </w:r>
            <w:r>
              <w:rPr>
                <w:rFonts w:hint="eastAsia" w:ascii="Times New Roman" w:hAnsi="Times New Roman" w:eastAsia="宋体" w:cs="宋体"/>
                <w:snapToGrid/>
                <w:color w:val="auto"/>
                <w:vertAlign w:val="baseline"/>
                <w:lang w:val="en-US" w:eastAsia="zh-CN"/>
              </w:rPr>
              <w:t>/h</w:t>
            </w:r>
          </w:p>
        </w:tc>
        <w:tc>
          <w:tcPr>
            <w:tcW w:w="683" w:type="pct"/>
            <w:tcBorders>
              <w:tl2br w:val="nil"/>
              <w:tr2bl w:val="nil"/>
            </w:tcBorders>
            <w:vAlign w:val="center"/>
          </w:tcPr>
          <w:p w14:paraId="31AEFD7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eastAsia="宋体" w:cs="宋体"/>
                <w:snapToGrid/>
                <w:color w:val="auto"/>
                <w:lang w:eastAsia="zh-CN"/>
              </w:rPr>
              <w:t>效率不小于</w:t>
            </w:r>
            <w:r>
              <w:rPr>
                <w:rFonts w:eastAsia="宋体"/>
                <w:snapToGrid/>
                <w:color w:val="auto"/>
                <w:lang w:eastAsia="zh-CN"/>
              </w:rPr>
              <w:t>60%</w:t>
            </w:r>
            <w:r>
              <w:rPr>
                <w:rFonts w:eastAsia="宋体" w:cs="宋体"/>
                <w:snapToGrid/>
                <w:color w:val="auto"/>
                <w:lang w:eastAsia="zh-CN"/>
              </w:rPr>
              <w:t>的油烟净化器</w:t>
            </w:r>
          </w:p>
        </w:tc>
        <w:tc>
          <w:tcPr>
            <w:tcW w:w="310" w:type="pct"/>
            <w:tcBorders>
              <w:tl2br w:val="nil"/>
              <w:tr2bl w:val="nil"/>
            </w:tcBorders>
            <w:vAlign w:val="center"/>
          </w:tcPr>
          <w:p w14:paraId="08B0713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2000m</w:t>
            </w:r>
            <w:r>
              <w:rPr>
                <w:rFonts w:hint="eastAsia" w:ascii="Times New Roman" w:hAnsi="Times New Roman" w:eastAsia="宋体" w:cs="宋体"/>
                <w:snapToGrid/>
                <w:color w:val="auto"/>
                <w:vertAlign w:val="superscript"/>
                <w:lang w:val="en-US" w:eastAsia="zh-CN"/>
              </w:rPr>
              <w:t>3</w:t>
            </w:r>
            <w:r>
              <w:rPr>
                <w:rFonts w:hint="eastAsia" w:ascii="Times New Roman" w:hAnsi="Times New Roman" w:eastAsia="宋体" w:cs="宋体"/>
                <w:snapToGrid/>
                <w:color w:val="auto"/>
                <w:vertAlign w:val="baseline"/>
                <w:lang w:val="en-US" w:eastAsia="zh-CN"/>
              </w:rPr>
              <w:t>/h</w:t>
            </w:r>
          </w:p>
        </w:tc>
        <w:tc>
          <w:tcPr>
            <w:tcW w:w="376" w:type="pct"/>
            <w:tcBorders>
              <w:tl2br w:val="nil"/>
              <w:tr2bl w:val="nil"/>
            </w:tcBorders>
            <w:vAlign w:val="center"/>
          </w:tcPr>
          <w:p w14:paraId="47F030D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1.06</w:t>
            </w:r>
          </w:p>
        </w:tc>
        <w:tc>
          <w:tcPr>
            <w:tcW w:w="248" w:type="pct"/>
            <w:tcBorders>
              <w:tl2br w:val="nil"/>
              <w:tr2bl w:val="nil"/>
            </w:tcBorders>
            <w:vAlign w:val="center"/>
          </w:tcPr>
          <w:p w14:paraId="6D70547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0.0023</w:t>
            </w:r>
          </w:p>
        </w:tc>
        <w:tc>
          <w:tcPr>
            <w:tcW w:w="253" w:type="pct"/>
            <w:tcBorders>
              <w:tl2br w:val="nil"/>
              <w:tr2bl w:val="nil"/>
            </w:tcBorders>
            <w:vAlign w:val="center"/>
          </w:tcPr>
          <w:p w14:paraId="2105534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45" w:type="pct"/>
            <w:tcBorders>
              <w:tl2br w:val="nil"/>
              <w:tr2bl w:val="nil"/>
            </w:tcBorders>
            <w:vAlign w:val="center"/>
          </w:tcPr>
          <w:p w14:paraId="1075B7AD">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szCs w:val="13"/>
              </w:rPr>
            </w:pPr>
            <w:r>
              <w:rPr>
                <w:rFonts w:eastAsia="宋体"/>
                <w:snapToGrid/>
                <w:color w:val="auto"/>
              </w:rPr>
              <w:t>2mg/m</w:t>
            </w:r>
            <w:r>
              <w:rPr>
                <w:rFonts w:eastAsia="宋体"/>
                <w:snapToGrid/>
                <w:color w:val="auto"/>
                <w:szCs w:val="13"/>
                <w:vertAlign w:val="superscript"/>
              </w:rPr>
              <w:t>3</w:t>
            </w:r>
          </w:p>
        </w:tc>
        <w:tc>
          <w:tcPr>
            <w:tcW w:w="727" w:type="pct"/>
            <w:tcBorders>
              <w:tl2br w:val="nil"/>
              <w:tr2bl w:val="nil"/>
            </w:tcBorders>
            <w:vAlign w:val="center"/>
          </w:tcPr>
          <w:p w14:paraId="1364151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《饮食业油烟排放标准</w:t>
            </w:r>
          </w:p>
          <w:p w14:paraId="37182CB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（试行）》</w:t>
            </w:r>
          </w:p>
          <w:p w14:paraId="10CFF62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hint="eastAsia" w:eastAsia="宋体" w:cs="宋体"/>
                <w:snapToGrid/>
                <w:color w:val="auto"/>
                <w:lang w:eastAsia="zh-CN"/>
              </w:rPr>
              <w:t>(</w:t>
            </w:r>
            <w:r>
              <w:rPr>
                <w:rFonts w:eastAsia="宋体"/>
                <w:snapToGrid/>
                <w:color w:val="auto"/>
              </w:rPr>
              <w:t>GB18483-2001</w:t>
            </w:r>
            <w:r>
              <w:rPr>
                <w:rFonts w:hint="eastAsia" w:eastAsia="宋体"/>
                <w:snapToGrid/>
                <w:color w:val="auto"/>
                <w:lang w:eastAsia="zh-CN"/>
              </w:rPr>
              <w:t>)</w:t>
            </w:r>
          </w:p>
        </w:tc>
        <w:tc>
          <w:tcPr>
            <w:tcW w:w="226" w:type="pct"/>
            <w:tcBorders>
              <w:tl2br w:val="nil"/>
              <w:tr2bl w:val="nil"/>
            </w:tcBorders>
            <w:vAlign w:val="center"/>
          </w:tcPr>
          <w:p w14:paraId="23894B9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r>
      <w:tr w14:paraId="5AA39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97" w:type="pct"/>
            <w:vMerge w:val="restart"/>
            <w:tcBorders>
              <w:tl2br w:val="nil"/>
              <w:tr2bl w:val="nil"/>
            </w:tcBorders>
            <w:vAlign w:val="center"/>
          </w:tcPr>
          <w:p w14:paraId="192EB3A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水污染物</w:t>
            </w:r>
          </w:p>
        </w:tc>
        <w:tc>
          <w:tcPr>
            <w:tcW w:w="333" w:type="pct"/>
            <w:vMerge w:val="restart"/>
            <w:tcBorders>
              <w:tl2br w:val="nil"/>
              <w:tr2bl w:val="nil"/>
            </w:tcBorders>
            <w:vAlign w:val="center"/>
          </w:tcPr>
          <w:p w14:paraId="5C6C710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生活污水</w:t>
            </w:r>
          </w:p>
        </w:tc>
        <w:tc>
          <w:tcPr>
            <w:tcW w:w="120" w:type="pct"/>
            <w:vMerge w:val="restart"/>
            <w:tcBorders>
              <w:tl2br w:val="nil"/>
              <w:tr2bl w:val="nil"/>
            </w:tcBorders>
            <w:vAlign w:val="center"/>
          </w:tcPr>
          <w:p w14:paraId="6E3A6E7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生活污水</w:t>
            </w:r>
          </w:p>
        </w:tc>
        <w:tc>
          <w:tcPr>
            <w:tcW w:w="215" w:type="pct"/>
            <w:tcBorders>
              <w:tl2br w:val="nil"/>
              <w:tr2bl w:val="nil"/>
            </w:tcBorders>
            <w:vAlign w:val="center"/>
          </w:tcPr>
          <w:p w14:paraId="7F11A01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COD</w:t>
            </w:r>
            <w:r>
              <w:rPr>
                <w:rFonts w:eastAsia="宋体"/>
                <w:snapToGrid/>
                <w:color w:val="auto"/>
                <w:vertAlign w:val="subscript"/>
              </w:rPr>
              <w:t>cr</w:t>
            </w:r>
          </w:p>
        </w:tc>
        <w:tc>
          <w:tcPr>
            <w:tcW w:w="103" w:type="pct"/>
            <w:vMerge w:val="restart"/>
            <w:tcBorders>
              <w:tl2br w:val="nil"/>
              <w:tr2bl w:val="nil"/>
            </w:tcBorders>
            <w:vAlign w:val="center"/>
          </w:tcPr>
          <w:p w14:paraId="6D682B1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p w14:paraId="51416A7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间歇排放</w:t>
            </w:r>
          </w:p>
        </w:tc>
        <w:tc>
          <w:tcPr>
            <w:tcW w:w="376" w:type="pct"/>
            <w:tcBorders>
              <w:tl2br w:val="nil"/>
              <w:tr2bl w:val="nil"/>
            </w:tcBorders>
            <w:vAlign w:val="center"/>
          </w:tcPr>
          <w:p w14:paraId="7BFDD7D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eastAsia="宋体"/>
                <w:snapToGrid/>
                <w:color w:val="auto"/>
              </w:rPr>
              <w:t>300</w:t>
            </w:r>
            <w:r>
              <w:rPr>
                <w:rFonts w:hint="eastAsia" w:eastAsia="宋体"/>
                <w:snapToGrid/>
                <w:color w:val="auto"/>
                <w:lang w:val="en-US" w:eastAsia="zh-CN"/>
              </w:rPr>
              <w:t>5</w:t>
            </w:r>
            <w:r>
              <w:rPr>
                <w:rFonts w:eastAsia="宋体"/>
                <w:snapToGrid/>
                <w:color w:val="auto"/>
              </w:rPr>
              <w:t>mg/L</w:t>
            </w:r>
          </w:p>
        </w:tc>
        <w:tc>
          <w:tcPr>
            <w:tcW w:w="273" w:type="pct"/>
            <w:tcBorders>
              <w:tl2br w:val="nil"/>
              <w:tr2bl w:val="nil"/>
            </w:tcBorders>
            <w:vAlign w:val="center"/>
          </w:tcPr>
          <w:p w14:paraId="564B4AF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eastAsia="宋体"/>
                <w:snapToGrid/>
                <w:color w:val="auto"/>
              </w:rPr>
              <w:t>0.04</w:t>
            </w:r>
          </w:p>
        </w:tc>
        <w:tc>
          <w:tcPr>
            <w:tcW w:w="310" w:type="pct"/>
            <w:tcBorders>
              <w:tl2br w:val="nil"/>
              <w:tr2bl w:val="nil"/>
            </w:tcBorders>
            <w:vAlign w:val="center"/>
          </w:tcPr>
          <w:p w14:paraId="10A6ECC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683" w:type="pct"/>
            <w:vMerge w:val="restart"/>
            <w:tcBorders>
              <w:tl2br w:val="nil"/>
              <w:tr2bl w:val="nil"/>
            </w:tcBorders>
            <w:vAlign w:val="center"/>
          </w:tcPr>
          <w:p w14:paraId="6A3B670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生产废水全部回用，生活污水</w:t>
            </w:r>
            <w:r>
              <w:rPr>
                <w:rFonts w:hint="eastAsia" w:ascii="Times New Roman" w:hAnsi="Times New Roman" w:eastAsia="宋体" w:cs="宋体"/>
                <w:snapToGrid/>
                <w:color w:val="auto"/>
                <w:lang w:eastAsia="zh-CN"/>
              </w:rPr>
              <w:t>排入防渗化粪池，定期抽运至木垒哈萨克自治县污水处理厂处理</w:t>
            </w:r>
          </w:p>
        </w:tc>
        <w:tc>
          <w:tcPr>
            <w:tcW w:w="310" w:type="pct"/>
            <w:tcBorders>
              <w:tl2br w:val="nil"/>
              <w:tr2bl w:val="nil"/>
            </w:tcBorders>
            <w:vAlign w:val="center"/>
          </w:tcPr>
          <w:p w14:paraId="34CFAE3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376" w:type="pct"/>
            <w:tcBorders>
              <w:tl2br w:val="nil"/>
              <w:tr2bl w:val="nil"/>
            </w:tcBorders>
            <w:vAlign w:val="center"/>
          </w:tcPr>
          <w:p w14:paraId="0490064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255</w:t>
            </w:r>
            <w:r>
              <w:rPr>
                <w:rFonts w:eastAsia="宋体"/>
                <w:snapToGrid/>
                <w:color w:val="auto"/>
              </w:rPr>
              <w:t>mg/L</w:t>
            </w:r>
          </w:p>
        </w:tc>
        <w:tc>
          <w:tcPr>
            <w:tcW w:w="248" w:type="pct"/>
            <w:tcBorders>
              <w:tl2br w:val="nil"/>
              <w:tr2bl w:val="nil"/>
            </w:tcBorders>
            <w:vAlign w:val="center"/>
          </w:tcPr>
          <w:p w14:paraId="693473B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0.034</w:t>
            </w:r>
          </w:p>
        </w:tc>
        <w:tc>
          <w:tcPr>
            <w:tcW w:w="253" w:type="pct"/>
            <w:tcBorders>
              <w:tl2br w:val="nil"/>
              <w:tr2bl w:val="nil"/>
            </w:tcBorders>
            <w:vAlign w:val="center"/>
          </w:tcPr>
          <w:p w14:paraId="1EF0FFF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5DE4F87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500mg/L</w:t>
            </w:r>
          </w:p>
        </w:tc>
        <w:tc>
          <w:tcPr>
            <w:tcW w:w="727" w:type="pct"/>
            <w:vMerge w:val="restart"/>
            <w:tcBorders>
              <w:tl2br w:val="nil"/>
              <w:tr2bl w:val="nil"/>
            </w:tcBorders>
            <w:vAlign w:val="center"/>
          </w:tcPr>
          <w:p w14:paraId="7A9DD92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《污水综合排放标准》</w:t>
            </w:r>
          </w:p>
          <w:p w14:paraId="199CA1F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hint="eastAsia" w:eastAsia="宋体"/>
                <w:snapToGrid/>
                <w:color w:val="auto"/>
                <w:lang w:eastAsia="zh-CN"/>
              </w:rPr>
              <w:t>（</w:t>
            </w:r>
            <w:r>
              <w:rPr>
                <w:rFonts w:eastAsia="宋体"/>
                <w:snapToGrid/>
                <w:color w:val="auto"/>
                <w:lang w:eastAsia="zh-CN"/>
              </w:rPr>
              <w:t>GB8978-1996</w:t>
            </w:r>
            <w:r>
              <w:rPr>
                <w:rFonts w:hint="eastAsia" w:eastAsia="宋体"/>
                <w:snapToGrid/>
                <w:color w:val="auto"/>
                <w:lang w:eastAsia="zh-CN"/>
              </w:rPr>
              <w:t>）</w:t>
            </w:r>
            <w:r>
              <w:rPr>
                <w:rFonts w:eastAsia="宋体" w:cs="宋体"/>
                <w:snapToGrid/>
                <w:color w:val="auto"/>
                <w:lang w:eastAsia="zh-CN"/>
              </w:rPr>
              <w:t>中三级</w:t>
            </w:r>
          </w:p>
          <w:p w14:paraId="70884DC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标准</w:t>
            </w:r>
          </w:p>
        </w:tc>
        <w:tc>
          <w:tcPr>
            <w:tcW w:w="226" w:type="pct"/>
            <w:vMerge w:val="restart"/>
            <w:tcBorders>
              <w:tl2br w:val="nil"/>
              <w:tr2bl w:val="nil"/>
            </w:tcBorders>
            <w:vAlign w:val="center"/>
          </w:tcPr>
          <w:p w14:paraId="775D5EB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做好地面硬化、分区防渗，以防污染地下水</w:t>
            </w:r>
          </w:p>
        </w:tc>
      </w:tr>
      <w:tr w14:paraId="4C912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5" w:hRule="atLeast"/>
          <w:jc w:val="center"/>
        </w:trPr>
        <w:tc>
          <w:tcPr>
            <w:tcW w:w="97" w:type="pct"/>
            <w:vMerge w:val="continue"/>
            <w:tcBorders>
              <w:tl2br w:val="nil"/>
              <w:tr2bl w:val="nil"/>
            </w:tcBorders>
            <w:vAlign w:val="center"/>
          </w:tcPr>
          <w:p w14:paraId="5AB0091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333" w:type="pct"/>
            <w:vMerge w:val="continue"/>
            <w:tcBorders>
              <w:tl2br w:val="nil"/>
              <w:tr2bl w:val="nil"/>
            </w:tcBorders>
            <w:vAlign w:val="center"/>
          </w:tcPr>
          <w:p w14:paraId="0FE7603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120" w:type="pct"/>
            <w:vMerge w:val="continue"/>
            <w:tcBorders>
              <w:tl2br w:val="nil"/>
              <w:tr2bl w:val="nil"/>
            </w:tcBorders>
            <w:vAlign w:val="center"/>
          </w:tcPr>
          <w:p w14:paraId="5813D21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lang w:eastAsia="zh-CN"/>
              </w:rPr>
            </w:pPr>
          </w:p>
        </w:tc>
        <w:tc>
          <w:tcPr>
            <w:tcW w:w="215" w:type="pct"/>
            <w:tcBorders>
              <w:tl2br w:val="nil"/>
              <w:tr2bl w:val="nil"/>
            </w:tcBorders>
            <w:vAlign w:val="center"/>
          </w:tcPr>
          <w:p w14:paraId="26720C8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szCs w:val="13"/>
              </w:rPr>
            </w:pPr>
            <w:r>
              <w:rPr>
                <w:rFonts w:eastAsia="宋体"/>
                <w:snapToGrid/>
                <w:color w:val="auto"/>
              </w:rPr>
              <w:t>BOD</w:t>
            </w:r>
            <w:r>
              <w:rPr>
                <w:rFonts w:eastAsia="宋体"/>
                <w:snapToGrid/>
                <w:color w:val="auto"/>
                <w:szCs w:val="13"/>
                <w:vertAlign w:val="subscript"/>
              </w:rPr>
              <w:t>5</w:t>
            </w:r>
          </w:p>
        </w:tc>
        <w:tc>
          <w:tcPr>
            <w:tcW w:w="103" w:type="pct"/>
            <w:vMerge w:val="continue"/>
            <w:tcBorders>
              <w:tl2br w:val="nil"/>
              <w:tr2bl w:val="nil"/>
            </w:tcBorders>
            <w:vAlign w:val="center"/>
          </w:tcPr>
          <w:p w14:paraId="4082D48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60F8C86D">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200</w:t>
            </w:r>
            <w:r>
              <w:rPr>
                <w:rFonts w:hint="eastAsia" w:eastAsia="宋体"/>
                <w:snapToGrid/>
                <w:color w:val="auto"/>
                <w:lang w:val="en-US" w:eastAsia="zh-CN"/>
              </w:rPr>
              <w:t>5</w:t>
            </w:r>
            <w:r>
              <w:rPr>
                <w:rFonts w:eastAsia="宋体"/>
                <w:snapToGrid/>
                <w:color w:val="auto"/>
              </w:rPr>
              <w:t>mg/L</w:t>
            </w:r>
          </w:p>
        </w:tc>
        <w:tc>
          <w:tcPr>
            <w:tcW w:w="273" w:type="pct"/>
            <w:tcBorders>
              <w:tl2br w:val="nil"/>
              <w:tr2bl w:val="nil"/>
            </w:tcBorders>
            <w:vAlign w:val="center"/>
          </w:tcPr>
          <w:p w14:paraId="7D203417">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0.027</w:t>
            </w:r>
          </w:p>
        </w:tc>
        <w:tc>
          <w:tcPr>
            <w:tcW w:w="310" w:type="pct"/>
            <w:tcBorders>
              <w:tl2br w:val="nil"/>
              <w:tr2bl w:val="nil"/>
            </w:tcBorders>
            <w:vAlign w:val="center"/>
          </w:tcPr>
          <w:p w14:paraId="77EC116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vMerge w:val="continue"/>
            <w:tcBorders>
              <w:tl2br w:val="nil"/>
              <w:tr2bl w:val="nil"/>
            </w:tcBorders>
            <w:vAlign w:val="center"/>
          </w:tcPr>
          <w:p w14:paraId="17AC570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10" w:type="pct"/>
            <w:tcBorders>
              <w:tl2br w:val="nil"/>
              <w:tr2bl w:val="nil"/>
            </w:tcBorders>
            <w:vAlign w:val="center"/>
          </w:tcPr>
          <w:p w14:paraId="203FAD8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1CF582A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182</w:t>
            </w:r>
            <w:r>
              <w:rPr>
                <w:rFonts w:eastAsia="宋体"/>
                <w:snapToGrid/>
                <w:color w:val="auto"/>
              </w:rPr>
              <w:t>mg/L</w:t>
            </w:r>
          </w:p>
        </w:tc>
        <w:tc>
          <w:tcPr>
            <w:tcW w:w="248" w:type="pct"/>
            <w:tcBorders>
              <w:tl2br w:val="nil"/>
              <w:tr2bl w:val="nil"/>
            </w:tcBorders>
            <w:vAlign w:val="center"/>
          </w:tcPr>
          <w:p w14:paraId="391E114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0.024</w:t>
            </w:r>
          </w:p>
        </w:tc>
        <w:tc>
          <w:tcPr>
            <w:tcW w:w="253" w:type="pct"/>
            <w:tcBorders>
              <w:tl2br w:val="nil"/>
              <w:tr2bl w:val="nil"/>
            </w:tcBorders>
            <w:vAlign w:val="center"/>
          </w:tcPr>
          <w:p w14:paraId="28D6D8B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2210A79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300mg/L</w:t>
            </w:r>
          </w:p>
        </w:tc>
        <w:tc>
          <w:tcPr>
            <w:tcW w:w="727" w:type="pct"/>
            <w:vMerge w:val="continue"/>
            <w:tcBorders>
              <w:tl2br w:val="nil"/>
              <w:tr2bl w:val="nil"/>
            </w:tcBorders>
            <w:vAlign w:val="center"/>
          </w:tcPr>
          <w:p w14:paraId="387F7FB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1E165CA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6D138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97" w:type="pct"/>
            <w:vMerge w:val="continue"/>
            <w:tcBorders>
              <w:tl2br w:val="nil"/>
              <w:tr2bl w:val="nil"/>
            </w:tcBorders>
            <w:vAlign w:val="center"/>
          </w:tcPr>
          <w:p w14:paraId="12D2722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548803E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vMerge w:val="continue"/>
            <w:tcBorders>
              <w:tl2br w:val="nil"/>
              <w:tr2bl w:val="nil"/>
            </w:tcBorders>
            <w:vAlign w:val="center"/>
          </w:tcPr>
          <w:p w14:paraId="48D12BE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15" w:type="pct"/>
            <w:tcBorders>
              <w:tl2br w:val="nil"/>
              <w:tr2bl w:val="nil"/>
            </w:tcBorders>
            <w:vAlign w:val="center"/>
          </w:tcPr>
          <w:p w14:paraId="0646948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氨氮</w:t>
            </w:r>
          </w:p>
        </w:tc>
        <w:tc>
          <w:tcPr>
            <w:tcW w:w="103" w:type="pct"/>
            <w:vMerge w:val="continue"/>
            <w:tcBorders>
              <w:tl2br w:val="nil"/>
              <w:tr2bl w:val="nil"/>
            </w:tcBorders>
            <w:vAlign w:val="center"/>
          </w:tcPr>
          <w:p w14:paraId="1F4B868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452E6E2A">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30</w:t>
            </w:r>
            <w:r>
              <w:rPr>
                <w:rFonts w:hint="eastAsia" w:eastAsia="宋体"/>
                <w:snapToGrid/>
                <w:color w:val="auto"/>
                <w:lang w:val="en-US" w:eastAsia="zh-CN"/>
              </w:rPr>
              <w:t>5</w:t>
            </w:r>
            <w:r>
              <w:rPr>
                <w:rFonts w:eastAsia="宋体"/>
                <w:snapToGrid/>
                <w:color w:val="auto"/>
              </w:rPr>
              <w:t>mg/L</w:t>
            </w:r>
          </w:p>
        </w:tc>
        <w:tc>
          <w:tcPr>
            <w:tcW w:w="273" w:type="pct"/>
            <w:tcBorders>
              <w:tl2br w:val="nil"/>
              <w:tr2bl w:val="nil"/>
            </w:tcBorders>
            <w:vAlign w:val="center"/>
          </w:tcPr>
          <w:p w14:paraId="4E9EE94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0.004</w:t>
            </w:r>
          </w:p>
        </w:tc>
        <w:tc>
          <w:tcPr>
            <w:tcW w:w="310" w:type="pct"/>
            <w:tcBorders>
              <w:tl2br w:val="nil"/>
              <w:tr2bl w:val="nil"/>
            </w:tcBorders>
            <w:vAlign w:val="center"/>
          </w:tcPr>
          <w:p w14:paraId="0503BA6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vMerge w:val="continue"/>
            <w:tcBorders>
              <w:tl2br w:val="nil"/>
              <w:tr2bl w:val="nil"/>
            </w:tcBorders>
            <w:vAlign w:val="center"/>
          </w:tcPr>
          <w:p w14:paraId="6B8A120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10" w:type="pct"/>
            <w:tcBorders>
              <w:tl2br w:val="nil"/>
              <w:tr2bl w:val="nil"/>
            </w:tcBorders>
            <w:vAlign w:val="center"/>
          </w:tcPr>
          <w:p w14:paraId="3FAFBF49">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3AE4727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29.1</w:t>
            </w:r>
            <w:r>
              <w:rPr>
                <w:rFonts w:eastAsia="宋体"/>
                <w:snapToGrid/>
                <w:color w:val="auto"/>
              </w:rPr>
              <w:t>mg/L</w:t>
            </w:r>
          </w:p>
        </w:tc>
        <w:tc>
          <w:tcPr>
            <w:tcW w:w="248" w:type="pct"/>
            <w:tcBorders>
              <w:tl2br w:val="nil"/>
              <w:tr2bl w:val="nil"/>
            </w:tcBorders>
            <w:vAlign w:val="center"/>
          </w:tcPr>
          <w:p w14:paraId="22E281A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0.0039</w:t>
            </w:r>
          </w:p>
        </w:tc>
        <w:tc>
          <w:tcPr>
            <w:tcW w:w="253" w:type="pct"/>
            <w:tcBorders>
              <w:tl2br w:val="nil"/>
              <w:tr2bl w:val="nil"/>
            </w:tcBorders>
            <w:vAlign w:val="center"/>
          </w:tcPr>
          <w:p w14:paraId="5902A02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5A62625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continue"/>
            <w:tcBorders>
              <w:tl2br w:val="nil"/>
              <w:tr2bl w:val="nil"/>
            </w:tcBorders>
            <w:vAlign w:val="center"/>
          </w:tcPr>
          <w:p w14:paraId="78141D2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45129C8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1D80D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97" w:type="pct"/>
            <w:vMerge w:val="continue"/>
            <w:tcBorders>
              <w:tl2br w:val="nil"/>
              <w:tr2bl w:val="nil"/>
            </w:tcBorders>
            <w:vAlign w:val="center"/>
          </w:tcPr>
          <w:p w14:paraId="1D2BBF9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399823D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vMerge w:val="continue"/>
            <w:tcBorders>
              <w:tl2br w:val="nil"/>
              <w:tr2bl w:val="nil"/>
            </w:tcBorders>
            <w:vAlign w:val="center"/>
          </w:tcPr>
          <w:p w14:paraId="365FCD6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15" w:type="pct"/>
            <w:tcBorders>
              <w:tl2br w:val="nil"/>
              <w:tr2bl w:val="nil"/>
            </w:tcBorders>
            <w:vAlign w:val="center"/>
          </w:tcPr>
          <w:p w14:paraId="7C4A8C7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SS</w:t>
            </w:r>
          </w:p>
        </w:tc>
        <w:tc>
          <w:tcPr>
            <w:tcW w:w="103" w:type="pct"/>
            <w:vMerge w:val="continue"/>
            <w:tcBorders>
              <w:tl2br w:val="nil"/>
              <w:tr2bl w:val="nil"/>
            </w:tcBorders>
            <w:vAlign w:val="center"/>
          </w:tcPr>
          <w:p w14:paraId="05BC991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0D13AA6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200</w:t>
            </w:r>
            <w:r>
              <w:rPr>
                <w:rFonts w:hint="eastAsia" w:eastAsia="宋体"/>
                <w:snapToGrid/>
                <w:color w:val="auto"/>
                <w:lang w:val="en-US" w:eastAsia="zh-CN"/>
              </w:rPr>
              <w:t>5</w:t>
            </w:r>
            <w:r>
              <w:rPr>
                <w:rFonts w:eastAsia="宋体"/>
                <w:snapToGrid/>
                <w:color w:val="auto"/>
              </w:rPr>
              <w:t>mg/L</w:t>
            </w:r>
          </w:p>
        </w:tc>
        <w:tc>
          <w:tcPr>
            <w:tcW w:w="273" w:type="pct"/>
            <w:tcBorders>
              <w:tl2br w:val="nil"/>
              <w:tr2bl w:val="nil"/>
            </w:tcBorders>
            <w:vAlign w:val="center"/>
          </w:tcPr>
          <w:p w14:paraId="71A8A3F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eastAsia="宋体"/>
                <w:snapToGrid/>
                <w:color w:val="auto"/>
              </w:rPr>
              <w:t>0.027</w:t>
            </w:r>
          </w:p>
        </w:tc>
        <w:tc>
          <w:tcPr>
            <w:tcW w:w="310" w:type="pct"/>
            <w:tcBorders>
              <w:tl2br w:val="nil"/>
              <w:tr2bl w:val="nil"/>
            </w:tcBorders>
            <w:vAlign w:val="center"/>
          </w:tcPr>
          <w:p w14:paraId="2DB004D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vMerge w:val="continue"/>
            <w:tcBorders>
              <w:tl2br w:val="nil"/>
              <w:tr2bl w:val="nil"/>
            </w:tcBorders>
            <w:vAlign w:val="center"/>
          </w:tcPr>
          <w:p w14:paraId="45B0A93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10" w:type="pct"/>
            <w:tcBorders>
              <w:tl2br w:val="nil"/>
              <w:tr2bl w:val="nil"/>
            </w:tcBorders>
            <w:vAlign w:val="center"/>
          </w:tcPr>
          <w:p w14:paraId="7105066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val="en-US" w:eastAsia="zh-CN"/>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0FB4D789">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140</w:t>
            </w:r>
            <w:r>
              <w:rPr>
                <w:rFonts w:eastAsia="宋体"/>
                <w:snapToGrid/>
                <w:color w:val="auto"/>
              </w:rPr>
              <w:t>mg/L</w:t>
            </w:r>
          </w:p>
        </w:tc>
        <w:tc>
          <w:tcPr>
            <w:tcW w:w="248" w:type="pct"/>
            <w:tcBorders>
              <w:tl2br w:val="nil"/>
              <w:tr2bl w:val="nil"/>
            </w:tcBorders>
            <w:vAlign w:val="center"/>
          </w:tcPr>
          <w:p w14:paraId="45E9B60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eastAsia="宋体"/>
                <w:snapToGrid/>
                <w:color w:val="auto"/>
                <w:lang w:val="en-US" w:eastAsia="zh-CN"/>
              </w:rPr>
              <w:t>0.019</w:t>
            </w:r>
          </w:p>
        </w:tc>
        <w:tc>
          <w:tcPr>
            <w:tcW w:w="253" w:type="pct"/>
            <w:tcBorders>
              <w:tl2br w:val="nil"/>
              <w:tr2bl w:val="nil"/>
            </w:tcBorders>
            <w:vAlign w:val="center"/>
          </w:tcPr>
          <w:p w14:paraId="6D12A33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025FF68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400mg/L</w:t>
            </w:r>
          </w:p>
        </w:tc>
        <w:tc>
          <w:tcPr>
            <w:tcW w:w="727" w:type="pct"/>
            <w:vMerge w:val="continue"/>
            <w:tcBorders>
              <w:tl2br w:val="nil"/>
              <w:tr2bl w:val="nil"/>
            </w:tcBorders>
            <w:vAlign w:val="center"/>
          </w:tcPr>
          <w:p w14:paraId="075023A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6A77254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14FEF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97" w:type="pct"/>
            <w:vMerge w:val="restart"/>
            <w:tcBorders>
              <w:tl2br w:val="nil"/>
              <w:tr2bl w:val="nil"/>
            </w:tcBorders>
            <w:vAlign w:val="center"/>
          </w:tcPr>
          <w:p w14:paraId="468DD6C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固体废物</w:t>
            </w:r>
          </w:p>
        </w:tc>
        <w:tc>
          <w:tcPr>
            <w:tcW w:w="333" w:type="pct"/>
            <w:tcBorders>
              <w:tl2br w:val="nil"/>
              <w:tr2bl w:val="nil"/>
            </w:tcBorders>
            <w:vAlign w:val="center"/>
          </w:tcPr>
          <w:p w14:paraId="458EF6C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生活区</w:t>
            </w:r>
          </w:p>
        </w:tc>
        <w:tc>
          <w:tcPr>
            <w:tcW w:w="120" w:type="pct"/>
            <w:tcBorders>
              <w:tl2br w:val="nil"/>
              <w:tr2bl w:val="nil"/>
            </w:tcBorders>
            <w:vAlign w:val="center"/>
          </w:tcPr>
          <w:p w14:paraId="0CA35AD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319" w:type="pct"/>
            <w:gridSpan w:val="2"/>
            <w:tcBorders>
              <w:tl2br w:val="nil"/>
              <w:tr2bl w:val="nil"/>
            </w:tcBorders>
            <w:vAlign w:val="center"/>
          </w:tcPr>
          <w:p w14:paraId="22385B2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376" w:type="pct"/>
            <w:tcBorders>
              <w:tl2br w:val="nil"/>
              <w:tr2bl w:val="nil"/>
            </w:tcBorders>
            <w:vAlign w:val="center"/>
          </w:tcPr>
          <w:p w14:paraId="4762D80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273" w:type="pct"/>
            <w:tcBorders>
              <w:tl2br w:val="nil"/>
              <w:tr2bl w:val="nil"/>
            </w:tcBorders>
            <w:vAlign w:val="center"/>
          </w:tcPr>
          <w:p w14:paraId="50E0ADB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310" w:type="pct"/>
            <w:tcBorders>
              <w:tl2br w:val="nil"/>
              <w:tr2bl w:val="nil"/>
            </w:tcBorders>
            <w:vAlign w:val="center"/>
          </w:tcPr>
          <w:p w14:paraId="4FF65FE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416CBB5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生活垃圾集中收集后由环卫部门统一清运处置</w:t>
            </w:r>
          </w:p>
        </w:tc>
        <w:tc>
          <w:tcPr>
            <w:tcW w:w="310" w:type="pct"/>
            <w:tcBorders>
              <w:tl2br w:val="nil"/>
              <w:tr2bl w:val="nil"/>
            </w:tcBorders>
            <w:vAlign w:val="center"/>
          </w:tcPr>
          <w:p w14:paraId="22B419D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2FBC866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7800E40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2.4</w:t>
            </w:r>
          </w:p>
        </w:tc>
        <w:tc>
          <w:tcPr>
            <w:tcW w:w="253" w:type="pct"/>
            <w:tcBorders>
              <w:tl2br w:val="nil"/>
              <w:tr2bl w:val="nil"/>
            </w:tcBorders>
            <w:vAlign w:val="center"/>
          </w:tcPr>
          <w:p w14:paraId="2C5CEE8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22C8C3B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restart"/>
            <w:tcBorders>
              <w:tl2br w:val="nil"/>
              <w:tr2bl w:val="nil"/>
            </w:tcBorders>
            <w:vAlign w:val="center"/>
          </w:tcPr>
          <w:p w14:paraId="3E92CD6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合理处置</w:t>
            </w:r>
          </w:p>
        </w:tc>
        <w:tc>
          <w:tcPr>
            <w:tcW w:w="226" w:type="pct"/>
            <w:vMerge w:val="continue"/>
            <w:tcBorders>
              <w:tl2br w:val="nil"/>
              <w:tr2bl w:val="nil"/>
            </w:tcBorders>
            <w:vAlign w:val="center"/>
          </w:tcPr>
          <w:p w14:paraId="7F01E88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7D8DA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97" w:type="pct"/>
            <w:vMerge w:val="continue"/>
            <w:tcBorders>
              <w:tl2br w:val="nil"/>
              <w:tr2bl w:val="nil"/>
            </w:tcBorders>
            <w:vAlign w:val="center"/>
          </w:tcPr>
          <w:p w14:paraId="3B6DAAD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restart"/>
            <w:tcBorders>
              <w:tl2br w:val="nil"/>
              <w:tr2bl w:val="nil"/>
            </w:tcBorders>
            <w:vAlign w:val="center"/>
          </w:tcPr>
          <w:p w14:paraId="5503C1A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生产区</w:t>
            </w:r>
          </w:p>
        </w:tc>
        <w:tc>
          <w:tcPr>
            <w:tcW w:w="120" w:type="pct"/>
            <w:tcBorders>
              <w:tl2br w:val="nil"/>
              <w:tr2bl w:val="nil"/>
            </w:tcBorders>
            <w:vAlign w:val="center"/>
          </w:tcPr>
          <w:p w14:paraId="2B8DB7D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清洗废渣及泥沙</w:t>
            </w:r>
          </w:p>
        </w:tc>
        <w:tc>
          <w:tcPr>
            <w:tcW w:w="319" w:type="pct"/>
            <w:gridSpan w:val="2"/>
            <w:vMerge w:val="restart"/>
            <w:tcBorders>
              <w:tl2br w:val="nil"/>
              <w:tr2bl w:val="nil"/>
            </w:tcBorders>
            <w:vAlign w:val="center"/>
          </w:tcPr>
          <w:p w14:paraId="7813197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一般固废</w:t>
            </w:r>
          </w:p>
        </w:tc>
        <w:tc>
          <w:tcPr>
            <w:tcW w:w="376" w:type="pct"/>
            <w:tcBorders>
              <w:tl2br w:val="nil"/>
              <w:tr2bl w:val="nil"/>
            </w:tcBorders>
            <w:vAlign w:val="center"/>
          </w:tcPr>
          <w:p w14:paraId="33925EE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589816F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563C939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76D6DE2A">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eastAsia="宋体" w:cs="宋体"/>
                <w:snapToGrid/>
                <w:color w:val="auto"/>
                <w:lang w:eastAsia="zh-CN"/>
              </w:rPr>
              <w:t>待生产季结束后统一清掏，泥土经</w:t>
            </w:r>
            <w:r>
              <w:rPr>
                <w:rFonts w:hint="eastAsia" w:eastAsia="宋体" w:cs="宋体"/>
                <w:snapToGrid/>
                <w:color w:val="auto"/>
                <w:lang w:eastAsia="zh-CN"/>
              </w:rPr>
              <w:t>自然风干</w:t>
            </w:r>
            <w:r>
              <w:rPr>
                <w:rFonts w:eastAsia="宋体" w:cs="宋体"/>
                <w:snapToGrid/>
                <w:color w:val="auto"/>
                <w:lang w:eastAsia="zh-CN"/>
              </w:rPr>
              <w:t>至含水率低于</w:t>
            </w:r>
            <w:r>
              <w:rPr>
                <w:rFonts w:eastAsia="宋体"/>
                <w:snapToGrid/>
                <w:color w:val="auto"/>
                <w:lang w:eastAsia="zh-CN"/>
              </w:rPr>
              <w:t>60%</w:t>
            </w:r>
            <w:r>
              <w:rPr>
                <w:rFonts w:eastAsia="宋体" w:cs="宋体"/>
                <w:snapToGrid/>
                <w:color w:val="auto"/>
                <w:lang w:eastAsia="zh-CN"/>
              </w:rPr>
              <w:t>后，交由环卫部门外运填埋处理。</w:t>
            </w:r>
          </w:p>
        </w:tc>
        <w:tc>
          <w:tcPr>
            <w:tcW w:w="310" w:type="pct"/>
            <w:tcBorders>
              <w:tl2br w:val="nil"/>
              <w:tr2bl w:val="nil"/>
            </w:tcBorders>
            <w:vAlign w:val="center"/>
          </w:tcPr>
          <w:p w14:paraId="281D33B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5E853E9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450A5307">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307.75</w:t>
            </w:r>
          </w:p>
        </w:tc>
        <w:tc>
          <w:tcPr>
            <w:tcW w:w="253" w:type="pct"/>
            <w:tcBorders>
              <w:tl2br w:val="nil"/>
              <w:tr2bl w:val="nil"/>
            </w:tcBorders>
            <w:vAlign w:val="center"/>
          </w:tcPr>
          <w:p w14:paraId="0602398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57DC070D">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continue"/>
            <w:tcBorders>
              <w:tl2br w:val="nil"/>
              <w:tr2bl w:val="nil"/>
            </w:tcBorders>
            <w:vAlign w:val="center"/>
          </w:tcPr>
          <w:p w14:paraId="04FF467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73D7B94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3ABFE3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97" w:type="pct"/>
            <w:vMerge w:val="continue"/>
            <w:tcBorders>
              <w:tl2br w:val="nil"/>
              <w:tr2bl w:val="nil"/>
            </w:tcBorders>
            <w:vAlign w:val="center"/>
          </w:tcPr>
          <w:p w14:paraId="6A6C508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21F5DF0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120" w:type="pct"/>
            <w:tcBorders>
              <w:tl2br w:val="nil"/>
              <w:tr2bl w:val="nil"/>
            </w:tcBorders>
            <w:vAlign w:val="center"/>
          </w:tcPr>
          <w:p w14:paraId="2EEAF55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eastAsia="zh-CN"/>
              </w:rPr>
              <w:t>分拣废物</w:t>
            </w:r>
          </w:p>
        </w:tc>
        <w:tc>
          <w:tcPr>
            <w:tcW w:w="319" w:type="pct"/>
            <w:gridSpan w:val="2"/>
            <w:vMerge w:val="continue"/>
            <w:tcBorders>
              <w:tl2br w:val="nil"/>
              <w:tr2bl w:val="nil"/>
            </w:tcBorders>
            <w:vAlign w:val="center"/>
          </w:tcPr>
          <w:p w14:paraId="761A229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376" w:type="pct"/>
            <w:tcBorders>
              <w:tl2br w:val="nil"/>
              <w:tr2bl w:val="nil"/>
            </w:tcBorders>
            <w:vAlign w:val="center"/>
          </w:tcPr>
          <w:p w14:paraId="1ED989C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38AC194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059BFFF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0E692E9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eastAsia="宋体" w:cs="宋体"/>
                <w:snapToGrid/>
                <w:color w:val="auto"/>
                <w:lang w:eastAsia="zh-CN"/>
              </w:rPr>
              <w:t>交由环卫部门外运填埋处理</w:t>
            </w:r>
          </w:p>
        </w:tc>
        <w:tc>
          <w:tcPr>
            <w:tcW w:w="310" w:type="pct"/>
            <w:tcBorders>
              <w:tl2br w:val="nil"/>
              <w:tr2bl w:val="nil"/>
            </w:tcBorders>
            <w:vAlign w:val="center"/>
          </w:tcPr>
          <w:p w14:paraId="4756D5A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eastAsia="宋体"/>
                <w:snapToGrid/>
                <w:color w:val="auto"/>
                <w:lang w:eastAsia="zh-CN"/>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7EEA49E7">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w:t>
            </w:r>
          </w:p>
        </w:tc>
        <w:tc>
          <w:tcPr>
            <w:tcW w:w="248" w:type="pct"/>
            <w:tcBorders>
              <w:tl2br w:val="nil"/>
              <w:tr2bl w:val="nil"/>
            </w:tcBorders>
            <w:vAlign w:val="center"/>
          </w:tcPr>
          <w:p w14:paraId="07B0870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color w:val="auto"/>
                <w:lang w:eastAsia="zh-CN"/>
              </w:rPr>
              <w:t>205.3</w:t>
            </w:r>
          </w:p>
        </w:tc>
        <w:tc>
          <w:tcPr>
            <w:tcW w:w="253" w:type="pct"/>
            <w:tcBorders>
              <w:tl2br w:val="nil"/>
              <w:tr2bl w:val="nil"/>
            </w:tcBorders>
            <w:vAlign w:val="center"/>
          </w:tcPr>
          <w:p w14:paraId="1AE6757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w:t>
            </w:r>
          </w:p>
        </w:tc>
        <w:tc>
          <w:tcPr>
            <w:tcW w:w="345" w:type="pct"/>
            <w:tcBorders>
              <w:tl2br w:val="nil"/>
              <w:tr2bl w:val="nil"/>
            </w:tcBorders>
            <w:vAlign w:val="center"/>
          </w:tcPr>
          <w:p w14:paraId="7F94E6F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lang w:eastAsia="zh-CN"/>
              </w:rPr>
            </w:pPr>
            <w:r>
              <w:rPr>
                <w:rFonts w:hint="eastAsia" w:eastAsia="宋体"/>
                <w:snapToGrid/>
                <w:color w:val="auto"/>
                <w:lang w:eastAsia="zh-CN"/>
              </w:rPr>
              <w:t>--</w:t>
            </w:r>
          </w:p>
        </w:tc>
        <w:tc>
          <w:tcPr>
            <w:tcW w:w="727" w:type="pct"/>
            <w:vMerge w:val="continue"/>
            <w:tcBorders>
              <w:tl2br w:val="nil"/>
              <w:tr2bl w:val="nil"/>
            </w:tcBorders>
            <w:vAlign w:val="center"/>
          </w:tcPr>
          <w:p w14:paraId="3F9B4B9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0FB5286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5CE3BA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97" w:type="pct"/>
            <w:vMerge w:val="continue"/>
            <w:tcBorders>
              <w:tl2br w:val="nil"/>
              <w:tr2bl w:val="nil"/>
            </w:tcBorders>
            <w:vAlign w:val="center"/>
          </w:tcPr>
          <w:p w14:paraId="57189DF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5DFA7AF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tcBorders>
              <w:tl2br w:val="nil"/>
              <w:tr2bl w:val="nil"/>
            </w:tcBorders>
            <w:vAlign w:val="center"/>
          </w:tcPr>
          <w:p w14:paraId="612F41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残次品及边角料</w:t>
            </w:r>
          </w:p>
        </w:tc>
        <w:tc>
          <w:tcPr>
            <w:tcW w:w="319" w:type="pct"/>
            <w:gridSpan w:val="2"/>
            <w:vMerge w:val="continue"/>
            <w:tcBorders>
              <w:tl2br w:val="nil"/>
              <w:tr2bl w:val="nil"/>
            </w:tcBorders>
            <w:vAlign w:val="center"/>
          </w:tcPr>
          <w:p w14:paraId="4474D4A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234DDAA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4772232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2075966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6A91EF0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全部回收后，作为本项目原料使用</w:t>
            </w:r>
          </w:p>
        </w:tc>
        <w:tc>
          <w:tcPr>
            <w:tcW w:w="310" w:type="pct"/>
            <w:tcBorders>
              <w:tl2br w:val="nil"/>
              <w:tr2bl w:val="nil"/>
            </w:tcBorders>
            <w:vAlign w:val="center"/>
          </w:tcPr>
          <w:p w14:paraId="42D2B57B">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0E644217">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4CA43DDE">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52.05</w:t>
            </w:r>
          </w:p>
        </w:tc>
        <w:tc>
          <w:tcPr>
            <w:tcW w:w="253" w:type="pct"/>
            <w:tcBorders>
              <w:tl2br w:val="nil"/>
              <w:tr2bl w:val="nil"/>
            </w:tcBorders>
            <w:vAlign w:val="center"/>
          </w:tcPr>
          <w:p w14:paraId="5479DEED">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650FBA8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continue"/>
            <w:tcBorders>
              <w:tl2br w:val="nil"/>
              <w:tr2bl w:val="nil"/>
            </w:tcBorders>
            <w:vAlign w:val="center"/>
          </w:tcPr>
          <w:p w14:paraId="1051E0A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3A2E3AA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6271B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97" w:type="pct"/>
            <w:vMerge w:val="continue"/>
            <w:tcBorders>
              <w:tl2br w:val="nil"/>
              <w:tr2bl w:val="nil"/>
            </w:tcBorders>
            <w:vAlign w:val="center"/>
          </w:tcPr>
          <w:p w14:paraId="745BB48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559C3B7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tcBorders>
              <w:tl2br w:val="nil"/>
              <w:tr2bl w:val="nil"/>
            </w:tcBorders>
            <w:vAlign w:val="center"/>
          </w:tcPr>
          <w:p w14:paraId="020A9BD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废滤网</w:t>
            </w:r>
          </w:p>
        </w:tc>
        <w:tc>
          <w:tcPr>
            <w:tcW w:w="319" w:type="pct"/>
            <w:gridSpan w:val="2"/>
            <w:vMerge w:val="continue"/>
            <w:tcBorders>
              <w:tl2br w:val="nil"/>
              <w:tr2bl w:val="nil"/>
            </w:tcBorders>
            <w:vAlign w:val="center"/>
          </w:tcPr>
          <w:p w14:paraId="05285DD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55CD7E3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0A10BD7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0293DC4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5286F2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集中收集定期由厂家回收</w:t>
            </w:r>
          </w:p>
        </w:tc>
        <w:tc>
          <w:tcPr>
            <w:tcW w:w="310" w:type="pct"/>
            <w:tcBorders>
              <w:tl2br w:val="nil"/>
              <w:tr2bl w:val="nil"/>
            </w:tcBorders>
            <w:vAlign w:val="center"/>
          </w:tcPr>
          <w:p w14:paraId="46F3FFB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3B95B158">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2C3E590B">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2.4</w:t>
            </w:r>
          </w:p>
        </w:tc>
        <w:tc>
          <w:tcPr>
            <w:tcW w:w="253" w:type="pct"/>
            <w:tcBorders>
              <w:tl2br w:val="nil"/>
              <w:tr2bl w:val="nil"/>
            </w:tcBorders>
            <w:vAlign w:val="center"/>
          </w:tcPr>
          <w:p w14:paraId="37D13467">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520A00F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continue"/>
            <w:tcBorders>
              <w:tl2br w:val="nil"/>
              <w:tr2bl w:val="nil"/>
            </w:tcBorders>
            <w:vAlign w:val="center"/>
          </w:tcPr>
          <w:p w14:paraId="2398D67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226" w:type="pct"/>
            <w:vMerge w:val="continue"/>
            <w:tcBorders>
              <w:tl2br w:val="nil"/>
              <w:tr2bl w:val="nil"/>
            </w:tcBorders>
            <w:vAlign w:val="center"/>
          </w:tcPr>
          <w:p w14:paraId="690EE4D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r>
      <w:tr w14:paraId="357DC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97" w:type="pct"/>
            <w:vMerge w:val="continue"/>
            <w:tcBorders>
              <w:tl2br w:val="nil"/>
              <w:tr2bl w:val="nil"/>
            </w:tcBorders>
            <w:vAlign w:val="center"/>
          </w:tcPr>
          <w:p w14:paraId="37B7F1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restart"/>
            <w:tcBorders>
              <w:tl2br w:val="nil"/>
              <w:tr2bl w:val="nil"/>
            </w:tcBorders>
            <w:vAlign w:val="center"/>
          </w:tcPr>
          <w:p w14:paraId="43B01A8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危废暂存间</w:t>
            </w:r>
          </w:p>
        </w:tc>
        <w:tc>
          <w:tcPr>
            <w:tcW w:w="120" w:type="pct"/>
            <w:tcBorders>
              <w:tl2br w:val="nil"/>
              <w:tr2bl w:val="nil"/>
            </w:tcBorders>
            <w:vAlign w:val="center"/>
          </w:tcPr>
          <w:p w14:paraId="40603A4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废润滑油</w:t>
            </w:r>
          </w:p>
        </w:tc>
        <w:tc>
          <w:tcPr>
            <w:tcW w:w="319" w:type="pct"/>
            <w:gridSpan w:val="2"/>
            <w:vMerge w:val="restart"/>
            <w:tcBorders>
              <w:tl2br w:val="nil"/>
              <w:tr2bl w:val="nil"/>
            </w:tcBorders>
            <w:vAlign w:val="center"/>
          </w:tcPr>
          <w:p w14:paraId="62037C2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376" w:type="pct"/>
            <w:tcBorders>
              <w:tl2br w:val="nil"/>
              <w:tr2bl w:val="nil"/>
            </w:tcBorders>
            <w:vAlign w:val="center"/>
          </w:tcPr>
          <w:p w14:paraId="490FB18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047AE3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4CDEFC4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83" w:type="pct"/>
            <w:vMerge w:val="restart"/>
            <w:tcBorders>
              <w:tl2br w:val="nil"/>
              <w:tr2bl w:val="nil"/>
            </w:tcBorders>
            <w:vAlign w:val="center"/>
          </w:tcPr>
          <w:p w14:paraId="1BFF5F0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lang w:eastAsia="zh-CN"/>
              </w:rPr>
              <w:t>暂存于危废暂存间，定期交由有</w:t>
            </w:r>
            <w:r>
              <w:rPr>
                <w:rFonts w:ascii="Times New Roman" w:hAnsi="Times New Roman" w:eastAsia="宋体" w:cs="宋体"/>
                <w:snapToGrid/>
                <w:color w:val="auto"/>
              </w:rPr>
              <w:t>资质的单位处置</w:t>
            </w:r>
          </w:p>
        </w:tc>
        <w:tc>
          <w:tcPr>
            <w:tcW w:w="310" w:type="pct"/>
            <w:tcBorders>
              <w:tl2br w:val="nil"/>
              <w:tr2bl w:val="nil"/>
            </w:tcBorders>
            <w:vAlign w:val="center"/>
          </w:tcPr>
          <w:p w14:paraId="7F0894B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16A3648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529ECFF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0.5</w:t>
            </w:r>
          </w:p>
        </w:tc>
        <w:tc>
          <w:tcPr>
            <w:tcW w:w="253" w:type="pct"/>
            <w:tcBorders>
              <w:tl2br w:val="nil"/>
              <w:tr2bl w:val="nil"/>
            </w:tcBorders>
            <w:vAlign w:val="center"/>
          </w:tcPr>
          <w:p w14:paraId="00AD9AE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0C78E234">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restart"/>
            <w:tcBorders>
              <w:tl2br w:val="nil"/>
              <w:tr2bl w:val="nil"/>
            </w:tcBorders>
            <w:vAlign w:val="center"/>
          </w:tcPr>
          <w:p w14:paraId="42A2E22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委托有资质单位定期拉运处置</w:t>
            </w:r>
          </w:p>
        </w:tc>
        <w:tc>
          <w:tcPr>
            <w:tcW w:w="226" w:type="pct"/>
            <w:vMerge w:val="restart"/>
            <w:tcBorders>
              <w:tl2br w:val="nil"/>
              <w:tr2bl w:val="nil"/>
            </w:tcBorders>
            <w:vAlign w:val="center"/>
          </w:tcPr>
          <w:p w14:paraId="4BF0B67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重点防渗区</w:t>
            </w:r>
          </w:p>
        </w:tc>
      </w:tr>
      <w:tr w14:paraId="77AF8C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97" w:type="pct"/>
            <w:vMerge w:val="continue"/>
            <w:tcBorders>
              <w:tl2br w:val="nil"/>
              <w:tr2bl w:val="nil"/>
            </w:tcBorders>
            <w:vAlign w:val="center"/>
          </w:tcPr>
          <w:p w14:paraId="2F30D74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40A4ECF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tcBorders>
              <w:tl2br w:val="nil"/>
              <w:tr2bl w:val="nil"/>
            </w:tcBorders>
            <w:vAlign w:val="center"/>
          </w:tcPr>
          <w:p w14:paraId="164F5CC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废活性炭</w:t>
            </w:r>
          </w:p>
        </w:tc>
        <w:tc>
          <w:tcPr>
            <w:tcW w:w="319" w:type="pct"/>
            <w:gridSpan w:val="2"/>
            <w:vMerge w:val="continue"/>
            <w:tcBorders>
              <w:tl2br w:val="nil"/>
              <w:tr2bl w:val="nil"/>
            </w:tcBorders>
            <w:vAlign w:val="center"/>
          </w:tcPr>
          <w:p w14:paraId="639A941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76" w:type="pct"/>
            <w:tcBorders>
              <w:tl2br w:val="nil"/>
              <w:tr2bl w:val="nil"/>
            </w:tcBorders>
            <w:vAlign w:val="center"/>
          </w:tcPr>
          <w:p w14:paraId="6C35990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1B034E5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701E0DD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r>
              <w:rPr>
                <w:rFonts w:hint="eastAsia" w:ascii="Times New Roman" w:hAnsi="Times New Roman" w:eastAsia="宋体" w:cs="宋体"/>
                <w:snapToGrid/>
                <w:color w:val="auto"/>
                <w:lang w:val="en-US" w:eastAsia="zh-CN"/>
              </w:rPr>
              <w:t>/</w:t>
            </w:r>
          </w:p>
        </w:tc>
        <w:tc>
          <w:tcPr>
            <w:tcW w:w="683" w:type="pct"/>
            <w:vMerge w:val="continue"/>
            <w:tcBorders>
              <w:tl2br w:val="nil"/>
              <w:tr2bl w:val="nil"/>
            </w:tcBorders>
            <w:vAlign w:val="center"/>
          </w:tcPr>
          <w:p w14:paraId="4222BC7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310" w:type="pct"/>
            <w:tcBorders>
              <w:tl2br w:val="nil"/>
              <w:tr2bl w:val="nil"/>
            </w:tcBorders>
            <w:vAlign w:val="center"/>
          </w:tcPr>
          <w:p w14:paraId="725D1C5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376" w:type="pct"/>
            <w:tcBorders>
              <w:tl2br w:val="nil"/>
              <w:tr2bl w:val="nil"/>
            </w:tcBorders>
            <w:vAlign w:val="center"/>
          </w:tcPr>
          <w:p w14:paraId="54F1E74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248" w:type="pct"/>
            <w:tcBorders>
              <w:tl2br w:val="nil"/>
              <w:tr2bl w:val="nil"/>
            </w:tcBorders>
            <w:vAlign w:val="center"/>
          </w:tcPr>
          <w:p w14:paraId="30C047C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szCs w:val="22"/>
                <w:lang w:eastAsia="zh-CN"/>
              </w:rPr>
            </w:pPr>
            <w:r>
              <w:rPr>
                <w:rFonts w:hint="eastAsia" w:eastAsia="宋体"/>
                <w:snapToGrid/>
                <w:color w:val="auto"/>
                <w:szCs w:val="22"/>
                <w:lang w:eastAsia="zh-CN"/>
              </w:rPr>
              <w:t>6.48</w:t>
            </w:r>
          </w:p>
        </w:tc>
        <w:tc>
          <w:tcPr>
            <w:tcW w:w="253" w:type="pct"/>
            <w:tcBorders>
              <w:tl2br w:val="nil"/>
              <w:tr2bl w:val="nil"/>
            </w:tcBorders>
            <w:vAlign w:val="center"/>
          </w:tcPr>
          <w:p w14:paraId="0F933EAA">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345" w:type="pct"/>
            <w:tcBorders>
              <w:tl2br w:val="nil"/>
              <w:tr2bl w:val="nil"/>
            </w:tcBorders>
            <w:vAlign w:val="center"/>
          </w:tcPr>
          <w:p w14:paraId="609CF326">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eastAsia="宋体"/>
                <w:snapToGrid/>
                <w:color w:val="auto"/>
              </w:rPr>
              <w:t>--</w:t>
            </w:r>
          </w:p>
        </w:tc>
        <w:tc>
          <w:tcPr>
            <w:tcW w:w="727" w:type="pct"/>
            <w:vMerge w:val="continue"/>
            <w:tcBorders>
              <w:tl2br w:val="nil"/>
              <w:tr2bl w:val="nil"/>
            </w:tcBorders>
            <w:vAlign w:val="center"/>
          </w:tcPr>
          <w:p w14:paraId="3636D8E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226" w:type="pct"/>
            <w:vMerge w:val="continue"/>
            <w:tcBorders>
              <w:tl2br w:val="nil"/>
              <w:tr2bl w:val="nil"/>
            </w:tcBorders>
            <w:vAlign w:val="center"/>
          </w:tcPr>
          <w:p w14:paraId="48A3989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r>
      <w:tr w14:paraId="79F18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7" w:hRule="atLeast"/>
          <w:jc w:val="center"/>
        </w:trPr>
        <w:tc>
          <w:tcPr>
            <w:tcW w:w="97" w:type="pct"/>
            <w:vMerge w:val="continue"/>
            <w:tcBorders>
              <w:tl2br w:val="nil"/>
              <w:tr2bl w:val="nil"/>
            </w:tcBorders>
            <w:vAlign w:val="center"/>
          </w:tcPr>
          <w:p w14:paraId="713AEB3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333" w:type="pct"/>
            <w:vMerge w:val="continue"/>
            <w:tcBorders>
              <w:tl2br w:val="nil"/>
              <w:tr2bl w:val="nil"/>
            </w:tcBorders>
            <w:vAlign w:val="center"/>
          </w:tcPr>
          <w:p w14:paraId="5ECD493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snapToGrid/>
                <w:color w:val="auto"/>
              </w:rPr>
            </w:pPr>
          </w:p>
        </w:tc>
        <w:tc>
          <w:tcPr>
            <w:tcW w:w="120" w:type="pct"/>
            <w:tcBorders>
              <w:tl2br w:val="nil"/>
              <w:tr2bl w:val="nil"/>
            </w:tcBorders>
            <w:vAlign w:val="center"/>
          </w:tcPr>
          <w:p w14:paraId="72DB400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废催化剂</w:t>
            </w:r>
          </w:p>
        </w:tc>
        <w:tc>
          <w:tcPr>
            <w:tcW w:w="319" w:type="pct"/>
            <w:gridSpan w:val="2"/>
            <w:tcBorders>
              <w:tl2br w:val="nil"/>
              <w:tr2bl w:val="nil"/>
            </w:tcBorders>
            <w:vAlign w:val="center"/>
          </w:tcPr>
          <w:p w14:paraId="12B70F2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napToGrid/>
                <w:color w:val="auto"/>
                <w:lang w:val="en-US" w:eastAsia="zh-CN"/>
              </w:rPr>
            </w:pPr>
            <w:r>
              <w:rPr>
                <w:rFonts w:hint="eastAsia" w:ascii="Times New Roman" w:hAnsi="Times New Roman" w:eastAsia="宋体"/>
                <w:snapToGrid/>
                <w:color w:val="auto"/>
                <w:lang w:val="en-US" w:eastAsia="zh-CN"/>
              </w:rPr>
              <w:t>危险废物</w:t>
            </w:r>
          </w:p>
        </w:tc>
        <w:tc>
          <w:tcPr>
            <w:tcW w:w="376" w:type="pct"/>
            <w:tcBorders>
              <w:tl2br w:val="nil"/>
              <w:tr2bl w:val="nil"/>
            </w:tcBorders>
            <w:vAlign w:val="center"/>
          </w:tcPr>
          <w:p w14:paraId="3EE2523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273" w:type="pct"/>
            <w:tcBorders>
              <w:tl2br w:val="nil"/>
              <w:tr2bl w:val="nil"/>
            </w:tcBorders>
            <w:vAlign w:val="center"/>
          </w:tcPr>
          <w:p w14:paraId="643B8AA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6DBA986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w:t>
            </w:r>
          </w:p>
        </w:tc>
        <w:tc>
          <w:tcPr>
            <w:tcW w:w="683" w:type="pct"/>
            <w:vMerge w:val="continue"/>
            <w:tcBorders>
              <w:tl2br w:val="nil"/>
              <w:tr2bl w:val="nil"/>
            </w:tcBorders>
            <w:vAlign w:val="center"/>
          </w:tcPr>
          <w:p w14:paraId="71CD9D2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310" w:type="pct"/>
            <w:tcBorders>
              <w:tl2br w:val="nil"/>
              <w:tr2bl w:val="nil"/>
            </w:tcBorders>
            <w:vAlign w:val="center"/>
          </w:tcPr>
          <w:p w14:paraId="4187179C">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auto"/>
                <w:lang w:val="en-US" w:eastAsia="zh-CN"/>
              </w:rPr>
            </w:pPr>
            <w:r>
              <w:rPr>
                <w:rFonts w:hint="eastAsia" w:eastAsia="宋体" w:cs="宋体"/>
                <w:snapToGrid/>
                <w:color w:val="auto"/>
                <w:lang w:val="en-US" w:eastAsia="zh-CN"/>
              </w:rPr>
              <w:t>/</w:t>
            </w:r>
          </w:p>
        </w:tc>
        <w:tc>
          <w:tcPr>
            <w:tcW w:w="376" w:type="pct"/>
            <w:tcBorders>
              <w:tl2br w:val="nil"/>
              <w:tr2bl w:val="nil"/>
            </w:tcBorders>
            <w:vAlign w:val="center"/>
          </w:tcPr>
          <w:p w14:paraId="72221D2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248" w:type="pct"/>
            <w:tcBorders>
              <w:tl2br w:val="nil"/>
              <w:tr2bl w:val="nil"/>
            </w:tcBorders>
            <w:vAlign w:val="center"/>
          </w:tcPr>
          <w:p w14:paraId="7AD305FF">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szCs w:val="22"/>
                <w:lang w:val="en-US" w:eastAsia="zh-CN"/>
              </w:rPr>
            </w:pPr>
            <w:r>
              <w:rPr>
                <w:rFonts w:hint="eastAsia" w:eastAsia="宋体"/>
                <w:snapToGrid/>
                <w:color w:val="auto"/>
                <w:szCs w:val="22"/>
                <w:lang w:val="en-US" w:eastAsia="zh-CN"/>
              </w:rPr>
              <w:t>0.12</w:t>
            </w:r>
          </w:p>
        </w:tc>
        <w:tc>
          <w:tcPr>
            <w:tcW w:w="253" w:type="pct"/>
            <w:tcBorders>
              <w:tl2br w:val="nil"/>
              <w:tr2bl w:val="nil"/>
            </w:tcBorders>
            <w:vAlign w:val="center"/>
          </w:tcPr>
          <w:p w14:paraId="4E221692">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345" w:type="pct"/>
            <w:tcBorders>
              <w:tl2br w:val="nil"/>
              <w:tr2bl w:val="nil"/>
            </w:tcBorders>
            <w:vAlign w:val="center"/>
          </w:tcPr>
          <w:p w14:paraId="059679D0">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eastAsia="宋体"/>
                <w:snapToGrid/>
                <w:color w:val="auto"/>
                <w:lang w:val="en-US" w:eastAsia="zh-CN"/>
              </w:rPr>
            </w:pPr>
            <w:r>
              <w:rPr>
                <w:rFonts w:hint="eastAsia" w:eastAsia="宋体"/>
                <w:snapToGrid/>
                <w:color w:val="auto"/>
                <w:lang w:val="en-US" w:eastAsia="zh-CN"/>
              </w:rPr>
              <w:t>--</w:t>
            </w:r>
          </w:p>
        </w:tc>
        <w:tc>
          <w:tcPr>
            <w:tcW w:w="727" w:type="pct"/>
            <w:vMerge w:val="continue"/>
            <w:tcBorders>
              <w:tl2br w:val="nil"/>
              <w:tr2bl w:val="nil"/>
            </w:tcBorders>
            <w:vAlign w:val="center"/>
          </w:tcPr>
          <w:p w14:paraId="3C56DCA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226" w:type="pct"/>
            <w:vMerge w:val="continue"/>
            <w:tcBorders>
              <w:tl2br w:val="nil"/>
              <w:tr2bl w:val="nil"/>
            </w:tcBorders>
            <w:vAlign w:val="center"/>
          </w:tcPr>
          <w:p w14:paraId="7E2E21C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r>
      <w:tr w14:paraId="23AD7A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870" w:type="pct"/>
            <w:gridSpan w:val="5"/>
            <w:tcBorders>
              <w:tl2br w:val="nil"/>
              <w:tr2bl w:val="nil"/>
            </w:tcBorders>
            <w:vAlign w:val="center"/>
          </w:tcPr>
          <w:p w14:paraId="3DB5901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w:t>
            </w:r>
          </w:p>
        </w:tc>
        <w:tc>
          <w:tcPr>
            <w:tcW w:w="376" w:type="pct"/>
            <w:tcBorders>
              <w:tl2br w:val="nil"/>
              <w:tr2bl w:val="nil"/>
            </w:tcBorders>
            <w:vAlign w:val="center"/>
          </w:tcPr>
          <w:p w14:paraId="3A631B3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273" w:type="pct"/>
            <w:tcBorders>
              <w:tl2br w:val="nil"/>
              <w:tr2bl w:val="nil"/>
            </w:tcBorders>
            <w:vAlign w:val="center"/>
          </w:tcPr>
          <w:p w14:paraId="6C5D013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p>
        </w:tc>
        <w:tc>
          <w:tcPr>
            <w:tcW w:w="310" w:type="pct"/>
            <w:tcBorders>
              <w:tl2br w:val="nil"/>
              <w:tr2bl w:val="nil"/>
            </w:tcBorders>
            <w:vAlign w:val="center"/>
          </w:tcPr>
          <w:p w14:paraId="5823754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rPr>
            </w:pPr>
            <w:r>
              <w:rPr>
                <w:rFonts w:hint="eastAsia" w:ascii="Times New Roman" w:hAnsi="Times New Roman" w:eastAsia="宋体" w:cs="宋体"/>
                <w:snapToGrid/>
                <w:color w:val="auto"/>
                <w:lang w:val="en-US" w:eastAsia="zh-CN"/>
              </w:rPr>
              <w:t>/</w:t>
            </w:r>
          </w:p>
        </w:tc>
        <w:tc>
          <w:tcPr>
            <w:tcW w:w="683" w:type="pct"/>
            <w:tcBorders>
              <w:tl2br w:val="nil"/>
              <w:tr2bl w:val="nil"/>
            </w:tcBorders>
            <w:vAlign w:val="center"/>
          </w:tcPr>
          <w:p w14:paraId="1E8DBEA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Times New Roman" w:hAnsi="Times New Roman" w:eastAsia="宋体" w:cs="宋体"/>
                <w:snapToGrid/>
                <w:color w:val="auto"/>
                <w:lang w:eastAsia="zh-CN"/>
              </w:rPr>
            </w:pPr>
            <w:r>
              <w:rPr>
                <w:rFonts w:hint="eastAsia" w:ascii="Times New Roman" w:hAnsi="Times New Roman" w:eastAsia="宋体" w:cs="宋体"/>
                <w:snapToGrid/>
                <w:color w:val="auto"/>
                <w:lang w:val="en-US" w:eastAsia="zh-CN"/>
              </w:rPr>
              <w:t>/</w:t>
            </w:r>
          </w:p>
        </w:tc>
        <w:tc>
          <w:tcPr>
            <w:tcW w:w="310" w:type="pct"/>
            <w:tcBorders>
              <w:tl2br w:val="nil"/>
              <w:tr2bl w:val="nil"/>
            </w:tcBorders>
            <w:vAlign w:val="center"/>
          </w:tcPr>
          <w:p w14:paraId="27E1393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snapToGrid/>
                <w:color w:val="auto"/>
              </w:rPr>
            </w:pPr>
            <w:r>
              <w:rPr>
                <w:rFonts w:hint="eastAsia" w:ascii="Times New Roman" w:hAnsi="Times New Roman" w:eastAsia="宋体" w:cs="宋体"/>
                <w:snapToGrid/>
                <w:color w:val="auto"/>
                <w:lang w:val="en-US" w:eastAsia="zh-CN"/>
              </w:rPr>
              <w:t>/</w:t>
            </w:r>
          </w:p>
        </w:tc>
        <w:tc>
          <w:tcPr>
            <w:tcW w:w="877" w:type="pct"/>
            <w:gridSpan w:val="3"/>
            <w:tcBorders>
              <w:tl2br w:val="nil"/>
              <w:tr2bl w:val="nil"/>
            </w:tcBorders>
            <w:vAlign w:val="center"/>
          </w:tcPr>
          <w:p w14:paraId="493734E1">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snapToGrid/>
                <w:color w:val="auto"/>
              </w:rPr>
              <w:t>5</w:t>
            </w:r>
            <w:r>
              <w:rPr>
                <w:rFonts w:hint="eastAsia" w:eastAsia="宋体"/>
                <w:snapToGrid/>
                <w:color w:val="auto"/>
                <w:lang w:eastAsia="zh-CN"/>
              </w:rPr>
              <w:t>0</w:t>
            </w:r>
            <w:r>
              <w:rPr>
                <w:rFonts w:eastAsia="宋体"/>
                <w:snapToGrid/>
                <w:color w:val="auto"/>
              </w:rPr>
              <w:t>dB</w:t>
            </w:r>
            <w:r>
              <w:rPr>
                <w:rFonts w:eastAsia="宋体" w:cs="宋体"/>
                <w:snapToGrid/>
                <w:color w:val="auto"/>
              </w:rPr>
              <w:t>（</w:t>
            </w:r>
            <w:r>
              <w:rPr>
                <w:rFonts w:eastAsia="宋体"/>
                <w:snapToGrid/>
                <w:color w:val="auto"/>
              </w:rPr>
              <w:t>A</w:t>
            </w:r>
            <w:r>
              <w:rPr>
                <w:rFonts w:eastAsia="宋体" w:cs="宋体"/>
                <w:snapToGrid/>
                <w:color w:val="auto"/>
              </w:rPr>
              <w:t>）以下</w:t>
            </w:r>
          </w:p>
        </w:tc>
        <w:tc>
          <w:tcPr>
            <w:tcW w:w="345" w:type="pct"/>
            <w:tcBorders>
              <w:tl2br w:val="nil"/>
              <w:tr2bl w:val="nil"/>
            </w:tcBorders>
            <w:vAlign w:val="center"/>
          </w:tcPr>
          <w:p w14:paraId="424C2463">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rPr>
            </w:pPr>
            <w:r>
              <w:rPr>
                <w:rFonts w:eastAsia="宋体" w:cs="宋体"/>
                <w:snapToGrid/>
                <w:color w:val="auto"/>
              </w:rPr>
              <w:t>昼</w:t>
            </w:r>
            <w:r>
              <w:rPr>
                <w:rFonts w:eastAsia="宋体"/>
                <w:snapToGrid/>
                <w:color w:val="auto"/>
              </w:rPr>
              <w:t>6</w:t>
            </w:r>
            <w:r>
              <w:rPr>
                <w:rFonts w:hint="eastAsia" w:eastAsia="宋体"/>
                <w:snapToGrid/>
                <w:color w:val="auto"/>
                <w:lang w:eastAsia="zh-CN"/>
              </w:rPr>
              <w:t>0</w:t>
            </w:r>
            <w:r>
              <w:rPr>
                <w:rFonts w:eastAsia="宋体"/>
                <w:snapToGrid/>
                <w:color w:val="auto"/>
              </w:rPr>
              <w:t>dB</w:t>
            </w:r>
            <w:r>
              <w:rPr>
                <w:rFonts w:eastAsia="宋体" w:cs="宋体"/>
                <w:snapToGrid/>
                <w:color w:val="auto"/>
              </w:rPr>
              <w:t>（</w:t>
            </w:r>
            <w:r>
              <w:rPr>
                <w:rFonts w:eastAsia="宋体"/>
                <w:snapToGrid/>
                <w:color w:val="auto"/>
              </w:rPr>
              <w:t>A</w:t>
            </w:r>
            <w:r>
              <w:rPr>
                <w:rFonts w:eastAsia="宋体" w:cs="宋体"/>
                <w:snapToGrid/>
                <w:color w:val="auto"/>
              </w:rPr>
              <w:t>）夜</w:t>
            </w:r>
            <w:r>
              <w:rPr>
                <w:rFonts w:eastAsia="宋体"/>
                <w:snapToGrid/>
                <w:color w:val="auto"/>
              </w:rPr>
              <w:t>5</w:t>
            </w:r>
            <w:r>
              <w:rPr>
                <w:rFonts w:hint="eastAsia" w:eastAsia="宋体"/>
                <w:snapToGrid/>
                <w:color w:val="auto"/>
                <w:lang w:eastAsia="zh-CN"/>
              </w:rPr>
              <w:t>0</w:t>
            </w:r>
            <w:r>
              <w:rPr>
                <w:rFonts w:eastAsia="宋体"/>
                <w:snapToGrid/>
                <w:color w:val="auto"/>
              </w:rPr>
              <w:t>dB</w:t>
            </w:r>
            <w:r>
              <w:rPr>
                <w:rFonts w:eastAsia="宋体" w:cs="宋体"/>
                <w:snapToGrid/>
                <w:color w:val="auto"/>
              </w:rPr>
              <w:t>（</w:t>
            </w:r>
            <w:r>
              <w:rPr>
                <w:rFonts w:eastAsia="宋体"/>
                <w:snapToGrid/>
                <w:color w:val="auto"/>
              </w:rPr>
              <w:t>A</w:t>
            </w:r>
            <w:r>
              <w:rPr>
                <w:rFonts w:eastAsia="宋体" w:cs="宋体"/>
                <w:snapToGrid/>
                <w:color w:val="auto"/>
              </w:rPr>
              <w:t>）</w:t>
            </w:r>
          </w:p>
        </w:tc>
        <w:tc>
          <w:tcPr>
            <w:tcW w:w="953" w:type="pct"/>
            <w:gridSpan w:val="2"/>
            <w:tcBorders>
              <w:tl2br w:val="nil"/>
              <w:tr2bl w:val="nil"/>
            </w:tcBorders>
            <w:vAlign w:val="center"/>
          </w:tcPr>
          <w:p w14:paraId="53C09BF5">
            <w:pPr>
              <w:pStyle w:val="37"/>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eastAsia="宋体" w:cs="宋体"/>
                <w:snapToGrid/>
                <w:color w:val="auto"/>
                <w:lang w:eastAsia="zh-CN"/>
              </w:rPr>
            </w:pPr>
            <w:r>
              <w:rPr>
                <w:rFonts w:eastAsia="宋体" w:cs="宋体"/>
                <w:snapToGrid/>
                <w:color w:val="auto"/>
                <w:lang w:eastAsia="zh-CN"/>
              </w:rPr>
              <w:t>《工业企业厂界环境噪声排放标准》（</w:t>
            </w:r>
            <w:r>
              <w:rPr>
                <w:rFonts w:eastAsia="宋体"/>
                <w:snapToGrid/>
                <w:color w:val="auto"/>
                <w:lang w:eastAsia="zh-CN"/>
              </w:rPr>
              <w:t>GB12348-2008</w:t>
            </w:r>
            <w:r>
              <w:rPr>
                <w:rFonts w:eastAsia="宋体" w:cs="宋体"/>
                <w:snapToGrid/>
                <w:color w:val="auto"/>
                <w:lang w:eastAsia="zh-CN"/>
              </w:rPr>
              <w:t>）</w:t>
            </w:r>
          </w:p>
        </w:tc>
      </w:tr>
    </w:tbl>
    <w:p w14:paraId="72BB1E1B">
      <w:pPr>
        <w:pStyle w:val="2"/>
        <w:widowControl w:val="0"/>
        <w:shd w:val="clear"/>
        <w:kinsoku/>
        <w:autoSpaceDE/>
        <w:autoSpaceDN/>
        <w:adjustRightInd/>
        <w:snapToGrid/>
        <w:spacing w:line="360" w:lineRule="auto"/>
        <w:jc w:val="center"/>
        <w:textAlignment w:val="auto"/>
        <w:rPr>
          <w:rFonts w:ascii="Times New Roman" w:hAnsi="Times New Roman"/>
          <w:snapToGrid/>
          <w:color w:val="auto"/>
          <w:lang w:eastAsia="zh-CN"/>
        </w:rPr>
      </w:pPr>
    </w:p>
    <w:p w14:paraId="2FB91A1E">
      <w:pPr>
        <w:pStyle w:val="2"/>
        <w:widowControl w:val="0"/>
        <w:shd w:val="clear"/>
        <w:kinsoku/>
        <w:autoSpaceDE/>
        <w:autoSpaceDN/>
        <w:adjustRightInd/>
        <w:snapToGrid/>
        <w:spacing w:line="360" w:lineRule="auto"/>
        <w:jc w:val="center"/>
        <w:textAlignment w:val="auto"/>
        <w:rPr>
          <w:rFonts w:ascii="Times New Roman" w:hAnsi="Times New Roman"/>
          <w:b/>
          <w:bCs/>
          <w:snapToGrid/>
          <w:color w:val="auto"/>
          <w:sz w:val="24"/>
          <w:lang w:eastAsia="zh-CN"/>
        </w:rPr>
      </w:pPr>
      <w:r>
        <w:rPr>
          <w:rFonts w:ascii="Times New Roman" w:hAnsi="Times New Roman"/>
          <w:b/>
          <w:bCs/>
          <w:snapToGrid/>
          <w:color w:val="auto"/>
          <w:sz w:val="24"/>
          <w:lang w:eastAsia="zh-CN"/>
        </w:rPr>
        <w:t>表8.7-2本项目环保设施“三同时”验收一览表</w:t>
      </w:r>
    </w:p>
    <w:tbl>
      <w:tblPr>
        <w:tblStyle w:val="36"/>
        <w:tblW w:w="505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45"/>
        <w:gridCol w:w="685"/>
        <w:gridCol w:w="1277"/>
        <w:gridCol w:w="1279"/>
        <w:gridCol w:w="1766"/>
        <w:gridCol w:w="4376"/>
        <w:gridCol w:w="1169"/>
        <w:gridCol w:w="3213"/>
      </w:tblGrid>
      <w:tr w14:paraId="212A5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40" w:hRule="atLeast"/>
        </w:trPr>
        <w:tc>
          <w:tcPr>
            <w:tcW w:w="398" w:type="pct"/>
            <w:gridSpan w:val="2"/>
            <w:tcBorders>
              <w:tl2br w:val="nil"/>
              <w:tr2bl w:val="nil"/>
            </w:tcBorders>
          </w:tcPr>
          <w:p w14:paraId="6B2BBE5F">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bookmarkStart w:id="1021" w:name="bookmark89"/>
            <w:bookmarkEnd w:id="1021"/>
            <w:r>
              <w:rPr>
                <w:rFonts w:ascii="Times New Roman" w:hAnsi="Times New Roman" w:eastAsia="宋体" w:cs="宋体"/>
                <w:b/>
                <w:bCs/>
                <w:snapToGrid/>
                <w:color w:val="auto"/>
              </w:rPr>
              <w:t>类别</w:t>
            </w:r>
          </w:p>
        </w:tc>
        <w:tc>
          <w:tcPr>
            <w:tcW w:w="449" w:type="pct"/>
            <w:tcBorders>
              <w:tl2br w:val="nil"/>
              <w:tr2bl w:val="nil"/>
            </w:tcBorders>
          </w:tcPr>
          <w:p w14:paraId="08333B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治理项目</w:t>
            </w:r>
          </w:p>
        </w:tc>
        <w:tc>
          <w:tcPr>
            <w:tcW w:w="450" w:type="pct"/>
            <w:tcBorders>
              <w:tl2br w:val="nil"/>
              <w:tr2bl w:val="nil"/>
            </w:tcBorders>
          </w:tcPr>
          <w:p w14:paraId="30850463">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监测位置</w:t>
            </w:r>
          </w:p>
        </w:tc>
        <w:tc>
          <w:tcPr>
            <w:tcW w:w="621" w:type="pct"/>
            <w:tcBorders>
              <w:tl2br w:val="nil"/>
              <w:tr2bl w:val="nil"/>
            </w:tcBorders>
          </w:tcPr>
          <w:p w14:paraId="7A0607B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监测项目</w:t>
            </w:r>
          </w:p>
        </w:tc>
        <w:tc>
          <w:tcPr>
            <w:tcW w:w="1539" w:type="pct"/>
            <w:tcBorders>
              <w:tl2br w:val="nil"/>
              <w:tr2bl w:val="nil"/>
            </w:tcBorders>
          </w:tcPr>
          <w:p w14:paraId="5462780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主要环保措施</w:t>
            </w:r>
          </w:p>
        </w:tc>
        <w:tc>
          <w:tcPr>
            <w:tcW w:w="411" w:type="pct"/>
            <w:tcBorders>
              <w:tl2br w:val="nil"/>
              <w:tr2bl w:val="nil"/>
            </w:tcBorders>
          </w:tcPr>
          <w:p w14:paraId="60A2A2B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数量</w:t>
            </w:r>
          </w:p>
        </w:tc>
        <w:tc>
          <w:tcPr>
            <w:tcW w:w="1130" w:type="pct"/>
            <w:tcBorders>
              <w:tl2br w:val="nil"/>
              <w:tr2bl w:val="nil"/>
            </w:tcBorders>
          </w:tcPr>
          <w:p w14:paraId="5A484275">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b/>
                <w:bCs/>
                <w:snapToGrid/>
                <w:color w:val="auto"/>
              </w:rPr>
              <w:t>验收标准</w:t>
            </w:r>
          </w:p>
        </w:tc>
      </w:tr>
      <w:tr w14:paraId="37D645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6" w:hRule="atLeast"/>
        </w:trPr>
        <w:tc>
          <w:tcPr>
            <w:tcW w:w="157" w:type="pct"/>
            <w:vMerge w:val="restart"/>
            <w:tcBorders>
              <w:tl2br w:val="nil"/>
              <w:tr2bl w:val="nil"/>
            </w:tcBorders>
          </w:tcPr>
          <w:p w14:paraId="70DAB10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废气处理</w:t>
            </w:r>
          </w:p>
        </w:tc>
        <w:tc>
          <w:tcPr>
            <w:tcW w:w="241" w:type="pct"/>
            <w:tcBorders>
              <w:tl2br w:val="nil"/>
              <w:tr2bl w:val="nil"/>
            </w:tcBorders>
          </w:tcPr>
          <w:p w14:paraId="10C544D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有组织</w:t>
            </w:r>
          </w:p>
        </w:tc>
        <w:tc>
          <w:tcPr>
            <w:tcW w:w="449" w:type="pct"/>
            <w:tcBorders>
              <w:tl2br w:val="nil"/>
              <w:tr2bl w:val="nil"/>
            </w:tcBorders>
          </w:tcPr>
          <w:p w14:paraId="7AEDA41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加工工序</w:t>
            </w:r>
          </w:p>
        </w:tc>
        <w:tc>
          <w:tcPr>
            <w:tcW w:w="450" w:type="pct"/>
            <w:tcBorders>
              <w:tl2br w:val="nil"/>
              <w:tr2bl w:val="nil"/>
            </w:tcBorders>
          </w:tcPr>
          <w:p w14:paraId="09BE1AD2">
            <w:pPr>
              <w:pStyle w:val="37"/>
              <w:widowControl w:val="0"/>
              <w:shd w:val="clear"/>
              <w:kinsoku/>
              <w:autoSpaceDE/>
              <w:autoSpaceDN/>
              <w:adjustRightInd/>
              <w:snapToGrid/>
              <w:spacing w:line="360" w:lineRule="auto"/>
              <w:jc w:val="center"/>
              <w:textAlignment w:val="auto"/>
              <w:rPr>
                <w:rFonts w:hint="eastAsia" w:eastAsia="宋体"/>
                <w:snapToGrid/>
                <w:color w:val="auto"/>
                <w:lang w:eastAsia="zh-CN"/>
              </w:rPr>
            </w:pPr>
            <w:r>
              <w:rPr>
                <w:rFonts w:eastAsia="宋体" w:cs="宋体"/>
                <w:snapToGrid/>
                <w:color w:val="auto"/>
              </w:rPr>
              <w:t>排气筒</w:t>
            </w:r>
            <w:r>
              <w:rPr>
                <w:rFonts w:hint="eastAsia" w:eastAsia="宋体"/>
                <w:snapToGrid/>
                <w:color w:val="auto"/>
                <w:lang w:eastAsia="zh-CN"/>
              </w:rPr>
              <w:t>（</w:t>
            </w:r>
            <w:r>
              <w:rPr>
                <w:rFonts w:eastAsia="宋体"/>
                <w:snapToGrid/>
                <w:color w:val="auto"/>
              </w:rPr>
              <w:t>DA001</w:t>
            </w:r>
            <w:r>
              <w:rPr>
                <w:rFonts w:hint="eastAsia" w:eastAsia="宋体"/>
                <w:snapToGrid/>
                <w:color w:val="auto"/>
                <w:lang w:eastAsia="zh-CN"/>
              </w:rPr>
              <w:t>）</w:t>
            </w:r>
          </w:p>
        </w:tc>
        <w:tc>
          <w:tcPr>
            <w:tcW w:w="621" w:type="pct"/>
            <w:tcBorders>
              <w:tl2br w:val="nil"/>
              <w:tr2bl w:val="nil"/>
            </w:tcBorders>
          </w:tcPr>
          <w:p w14:paraId="5D17B0F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539" w:type="pct"/>
            <w:tcBorders>
              <w:tl2br w:val="nil"/>
              <w:tr2bl w:val="nil"/>
            </w:tcBorders>
          </w:tcPr>
          <w:p w14:paraId="70EC18C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集中收集的废气经</w:t>
            </w:r>
            <w:r>
              <w:rPr>
                <w:rFonts w:eastAsia="宋体"/>
                <w:snapToGrid/>
                <w:color w:val="auto"/>
                <w:lang w:eastAsia="zh-CN"/>
              </w:rPr>
              <w:t>1</w:t>
            </w:r>
            <w:r>
              <w:rPr>
                <w:rFonts w:eastAsia="宋体" w:cs="宋体"/>
                <w:snapToGrid/>
                <w:color w:val="auto"/>
                <w:lang w:eastAsia="zh-CN"/>
              </w:rPr>
              <w:t>套“</w:t>
            </w:r>
            <w:r>
              <w:rPr>
                <w:rFonts w:hint="eastAsia" w:eastAsia="宋体" w:cs="宋体"/>
                <w:snapToGrid/>
                <w:color w:val="auto"/>
                <w:lang w:eastAsia="zh-CN"/>
              </w:rPr>
              <w:t>活性炭吸附+蓄热式催化燃烧</w:t>
            </w:r>
            <w:r>
              <w:rPr>
                <w:rFonts w:eastAsia="宋体" w:cs="宋体"/>
                <w:snapToGrid/>
                <w:color w:val="auto"/>
                <w:lang w:eastAsia="zh-CN"/>
              </w:rPr>
              <w:t>”净化处理后通过</w:t>
            </w:r>
            <w:r>
              <w:rPr>
                <w:rFonts w:eastAsia="宋体"/>
                <w:snapToGrid/>
                <w:color w:val="auto"/>
                <w:lang w:eastAsia="zh-CN"/>
              </w:rPr>
              <w:t>1</w:t>
            </w:r>
            <w:r>
              <w:rPr>
                <w:rFonts w:eastAsia="宋体" w:cs="宋体"/>
                <w:snapToGrid/>
                <w:color w:val="auto"/>
                <w:lang w:eastAsia="zh-CN"/>
              </w:rPr>
              <w:t>根</w:t>
            </w:r>
            <w:r>
              <w:rPr>
                <w:rFonts w:eastAsia="宋体"/>
                <w:snapToGrid/>
                <w:color w:val="auto"/>
                <w:lang w:eastAsia="zh-CN"/>
              </w:rPr>
              <w:t>15m</w:t>
            </w:r>
            <w:r>
              <w:rPr>
                <w:rFonts w:eastAsia="宋体" w:cs="宋体"/>
                <w:snapToGrid/>
                <w:color w:val="auto"/>
                <w:lang w:eastAsia="zh-CN"/>
              </w:rPr>
              <w:t>高排气筒（</w:t>
            </w:r>
            <w:r>
              <w:rPr>
                <w:rFonts w:eastAsia="宋体"/>
                <w:snapToGrid/>
                <w:color w:val="auto"/>
                <w:lang w:eastAsia="zh-CN"/>
              </w:rPr>
              <w:t>DA001</w:t>
            </w:r>
            <w:r>
              <w:rPr>
                <w:rFonts w:eastAsia="宋体" w:cs="宋体"/>
                <w:snapToGrid/>
                <w:color w:val="auto"/>
                <w:lang w:eastAsia="zh-CN"/>
              </w:rPr>
              <w:t>）外排</w:t>
            </w:r>
          </w:p>
        </w:tc>
        <w:tc>
          <w:tcPr>
            <w:tcW w:w="411" w:type="pct"/>
            <w:tcBorders>
              <w:tl2br w:val="nil"/>
              <w:tr2bl w:val="nil"/>
            </w:tcBorders>
          </w:tcPr>
          <w:p w14:paraId="2C7F03C7">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套</w:t>
            </w:r>
          </w:p>
        </w:tc>
        <w:tc>
          <w:tcPr>
            <w:tcW w:w="1130" w:type="pct"/>
            <w:tcBorders>
              <w:tl2br w:val="nil"/>
              <w:tr2bl w:val="nil"/>
            </w:tcBorders>
          </w:tcPr>
          <w:p w14:paraId="1FC0A46A">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满足《合成树脂工业污染物排放标准》（</w:t>
            </w:r>
            <w:r>
              <w:rPr>
                <w:rFonts w:hint="eastAsia" w:eastAsia="宋体" w:cs="宋体"/>
                <w:snapToGrid/>
                <w:color w:val="auto"/>
                <w:lang w:eastAsia="zh-CN"/>
              </w:rPr>
              <w:t>GB 31572-2015，含2024年修改单</w:t>
            </w:r>
            <w:r>
              <w:rPr>
                <w:rFonts w:eastAsia="宋体" w:cs="宋体"/>
                <w:snapToGrid/>
                <w:color w:val="auto"/>
                <w:lang w:eastAsia="zh-CN"/>
              </w:rPr>
              <w:t>）表</w:t>
            </w:r>
            <w:r>
              <w:rPr>
                <w:rFonts w:eastAsia="宋体"/>
                <w:snapToGrid/>
                <w:color w:val="auto"/>
                <w:lang w:eastAsia="zh-CN"/>
              </w:rPr>
              <w:t>4</w:t>
            </w:r>
            <w:r>
              <w:rPr>
                <w:rFonts w:eastAsia="宋体" w:cs="宋体"/>
                <w:snapToGrid/>
                <w:color w:val="auto"/>
                <w:lang w:eastAsia="zh-CN"/>
              </w:rPr>
              <w:t>大气污染物排放限值</w:t>
            </w:r>
            <w:r>
              <w:rPr>
                <w:rFonts w:eastAsia="宋体"/>
                <w:snapToGrid/>
                <w:color w:val="auto"/>
                <w:lang w:eastAsia="zh-CN"/>
              </w:rPr>
              <w:t>100mg/m</w:t>
            </w:r>
            <w:r>
              <w:rPr>
                <w:rFonts w:eastAsia="宋体"/>
                <w:snapToGrid/>
                <w:color w:val="auto"/>
                <w:szCs w:val="13"/>
                <w:vertAlign w:val="superscript"/>
                <w:lang w:eastAsia="zh-CN"/>
              </w:rPr>
              <w:t>3</w:t>
            </w:r>
            <w:r>
              <w:rPr>
                <w:rFonts w:eastAsia="宋体" w:cs="宋体"/>
                <w:snapToGrid/>
                <w:color w:val="auto"/>
                <w:lang w:eastAsia="zh-CN"/>
              </w:rPr>
              <w:t>的要求；</w:t>
            </w:r>
          </w:p>
          <w:p w14:paraId="3C70360C">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cs="宋体"/>
                <w:snapToGrid/>
                <w:color w:val="auto"/>
                <w:lang w:eastAsia="zh-CN"/>
              </w:rPr>
              <w:t>排气筒参数：高度</w:t>
            </w:r>
            <w:r>
              <w:rPr>
                <w:rFonts w:eastAsia="宋体"/>
                <w:snapToGrid/>
                <w:color w:val="auto"/>
                <w:lang w:eastAsia="zh-CN"/>
              </w:rPr>
              <w:t>15m</w:t>
            </w:r>
            <w:r>
              <w:rPr>
                <w:rFonts w:eastAsia="宋体" w:cs="宋体"/>
                <w:snapToGrid/>
                <w:color w:val="auto"/>
                <w:lang w:eastAsia="zh-CN"/>
              </w:rPr>
              <w:t>，内径</w:t>
            </w:r>
            <w:r>
              <w:rPr>
                <w:rFonts w:eastAsia="宋体"/>
                <w:snapToGrid/>
                <w:color w:val="auto"/>
                <w:lang w:eastAsia="zh-CN"/>
              </w:rPr>
              <w:t>0.5m</w:t>
            </w:r>
          </w:p>
        </w:tc>
      </w:tr>
      <w:tr w14:paraId="5769B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57" w:type="pct"/>
            <w:vMerge w:val="continue"/>
            <w:tcBorders>
              <w:tl2br w:val="nil"/>
              <w:tr2bl w:val="nil"/>
            </w:tcBorders>
          </w:tcPr>
          <w:p w14:paraId="3231282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1" w:type="pct"/>
            <w:vMerge w:val="restart"/>
            <w:tcBorders>
              <w:tl2br w:val="nil"/>
              <w:tr2bl w:val="nil"/>
            </w:tcBorders>
          </w:tcPr>
          <w:p w14:paraId="22DD5E2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无组织</w:t>
            </w:r>
          </w:p>
        </w:tc>
        <w:tc>
          <w:tcPr>
            <w:tcW w:w="449" w:type="pct"/>
            <w:tcBorders>
              <w:tl2br w:val="nil"/>
              <w:tr2bl w:val="nil"/>
            </w:tcBorders>
          </w:tcPr>
          <w:p w14:paraId="21726BD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生产车间</w:t>
            </w:r>
          </w:p>
        </w:tc>
        <w:tc>
          <w:tcPr>
            <w:tcW w:w="450" w:type="pct"/>
            <w:tcBorders>
              <w:tl2br w:val="nil"/>
              <w:tr2bl w:val="nil"/>
            </w:tcBorders>
          </w:tcPr>
          <w:p w14:paraId="3D9FF73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厂区</w:t>
            </w:r>
          </w:p>
        </w:tc>
        <w:tc>
          <w:tcPr>
            <w:tcW w:w="621" w:type="pct"/>
            <w:tcBorders>
              <w:tl2br w:val="nil"/>
              <w:tr2bl w:val="nil"/>
            </w:tcBorders>
          </w:tcPr>
          <w:p w14:paraId="3CDCBAB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539" w:type="pct"/>
            <w:tcBorders>
              <w:tl2br w:val="nil"/>
              <w:tr2bl w:val="nil"/>
            </w:tcBorders>
          </w:tcPr>
          <w:p w14:paraId="7AF423B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废旧塑料颗粒加工和滴灌带生产车间设置换气扇，通风装置</w:t>
            </w:r>
          </w:p>
        </w:tc>
        <w:tc>
          <w:tcPr>
            <w:tcW w:w="411" w:type="pct"/>
            <w:tcBorders>
              <w:tl2br w:val="nil"/>
              <w:tr2bl w:val="nil"/>
            </w:tcBorders>
          </w:tcPr>
          <w:p w14:paraId="030A515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tcBorders>
              <w:tl2br w:val="nil"/>
              <w:tr2bl w:val="nil"/>
            </w:tcBorders>
          </w:tcPr>
          <w:p w14:paraId="3DE00D44">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厂区内无组织非甲烷总烃排放满足《挥发性有机物无组织排放控制标准》（</w:t>
            </w:r>
            <w:r>
              <w:rPr>
                <w:rFonts w:eastAsia="宋体"/>
                <w:snapToGrid/>
                <w:color w:val="auto"/>
                <w:lang w:eastAsia="zh-CN"/>
              </w:rPr>
              <w:t>GB37822-2019</w:t>
            </w:r>
            <w:r>
              <w:rPr>
                <w:rFonts w:eastAsia="宋体" w:cs="宋体"/>
                <w:snapToGrid/>
                <w:color w:val="auto"/>
                <w:lang w:eastAsia="zh-CN"/>
              </w:rPr>
              <w:t>）中附录</w:t>
            </w:r>
            <w:r>
              <w:rPr>
                <w:rFonts w:eastAsia="宋体"/>
                <w:snapToGrid/>
                <w:color w:val="auto"/>
                <w:lang w:eastAsia="zh-CN"/>
              </w:rPr>
              <w:t>A</w:t>
            </w:r>
            <w:r>
              <w:rPr>
                <w:rFonts w:eastAsia="宋体" w:cs="宋体"/>
                <w:snapToGrid/>
                <w:color w:val="auto"/>
                <w:lang w:eastAsia="zh-CN"/>
              </w:rPr>
              <w:t>中厂区内</w:t>
            </w:r>
            <w:r>
              <w:rPr>
                <w:rFonts w:eastAsia="宋体"/>
                <w:snapToGrid/>
                <w:color w:val="auto"/>
                <w:lang w:eastAsia="zh-CN"/>
              </w:rPr>
              <w:t>VOCs</w:t>
            </w:r>
            <w:r>
              <w:rPr>
                <w:rFonts w:eastAsia="宋体" w:cs="宋体"/>
                <w:snapToGrid/>
                <w:color w:val="auto"/>
                <w:lang w:eastAsia="zh-CN"/>
              </w:rPr>
              <w:t>无组织排放限值</w:t>
            </w:r>
          </w:p>
        </w:tc>
      </w:tr>
      <w:tr w14:paraId="5801BA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157" w:type="pct"/>
            <w:vMerge w:val="continue"/>
            <w:tcBorders>
              <w:tl2br w:val="nil"/>
              <w:tr2bl w:val="nil"/>
            </w:tcBorders>
          </w:tcPr>
          <w:p w14:paraId="0CBF53DC">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1" w:type="pct"/>
            <w:vMerge w:val="continue"/>
            <w:tcBorders>
              <w:tl2br w:val="nil"/>
              <w:tr2bl w:val="nil"/>
            </w:tcBorders>
          </w:tcPr>
          <w:p w14:paraId="2300D519">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449" w:type="pct"/>
            <w:tcBorders>
              <w:tl2br w:val="nil"/>
              <w:tr2bl w:val="nil"/>
            </w:tcBorders>
          </w:tcPr>
          <w:p w14:paraId="71FBE0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破碎工序</w:t>
            </w:r>
          </w:p>
        </w:tc>
        <w:tc>
          <w:tcPr>
            <w:tcW w:w="450" w:type="pct"/>
            <w:tcBorders>
              <w:tl2br w:val="nil"/>
              <w:tr2bl w:val="nil"/>
            </w:tcBorders>
          </w:tcPr>
          <w:p w14:paraId="66CFF10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621" w:type="pct"/>
            <w:tcBorders>
              <w:tl2br w:val="nil"/>
              <w:tr2bl w:val="nil"/>
            </w:tcBorders>
          </w:tcPr>
          <w:p w14:paraId="525E4EF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1539" w:type="pct"/>
            <w:tcBorders>
              <w:tl2br w:val="nil"/>
              <w:tr2bl w:val="nil"/>
            </w:tcBorders>
          </w:tcPr>
          <w:p w14:paraId="0708472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破碎采用湿式破碎法湿式破碎</w:t>
            </w:r>
          </w:p>
        </w:tc>
        <w:tc>
          <w:tcPr>
            <w:tcW w:w="411" w:type="pct"/>
            <w:tcBorders>
              <w:tl2br w:val="nil"/>
              <w:tr2bl w:val="nil"/>
            </w:tcBorders>
          </w:tcPr>
          <w:p w14:paraId="639D77F4">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vMerge w:val="restart"/>
            <w:tcBorders>
              <w:tl2br w:val="nil"/>
              <w:tr2bl w:val="nil"/>
            </w:tcBorders>
          </w:tcPr>
          <w:p w14:paraId="2B0FC9F9">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满足</w:t>
            </w:r>
            <w:r>
              <w:rPr>
                <w:rFonts w:hint="eastAsia" w:eastAsia="宋体" w:cs="宋体"/>
                <w:snapToGrid/>
                <w:color w:val="auto"/>
                <w:lang w:eastAsia="zh-CN"/>
              </w:rPr>
              <w:t>《合成树脂工业污染物排放标准》（GB 31572-2015，含2024年修改单）</w:t>
            </w:r>
            <w:r>
              <w:rPr>
                <w:rFonts w:eastAsia="宋体" w:cs="宋体"/>
                <w:snapToGrid/>
                <w:color w:val="auto"/>
                <w:lang w:eastAsia="zh-CN"/>
              </w:rPr>
              <w:t>表</w:t>
            </w:r>
            <w:r>
              <w:rPr>
                <w:rFonts w:eastAsia="宋体"/>
                <w:snapToGrid/>
                <w:color w:val="auto"/>
                <w:lang w:eastAsia="zh-CN"/>
              </w:rPr>
              <w:t>9</w:t>
            </w:r>
            <w:r>
              <w:rPr>
                <w:rFonts w:eastAsia="宋体" w:cs="宋体"/>
                <w:snapToGrid/>
                <w:color w:val="auto"/>
                <w:lang w:eastAsia="zh-CN"/>
              </w:rPr>
              <w:t>中颗粒物无组织排放浓度限值</w:t>
            </w:r>
            <w:r>
              <w:rPr>
                <w:rFonts w:eastAsia="宋体"/>
                <w:snapToGrid/>
                <w:color w:val="auto"/>
                <w:lang w:eastAsia="zh-CN"/>
              </w:rPr>
              <w:t>1.0mg/m</w:t>
            </w:r>
            <w:r>
              <w:rPr>
                <w:rFonts w:eastAsia="宋体"/>
                <w:snapToGrid/>
                <w:color w:val="auto"/>
                <w:szCs w:val="13"/>
                <w:vertAlign w:val="superscript"/>
                <w:lang w:eastAsia="zh-CN"/>
              </w:rPr>
              <w:t>3</w:t>
            </w:r>
            <w:r>
              <w:rPr>
                <w:rFonts w:eastAsia="宋体" w:cs="宋体"/>
                <w:snapToGrid/>
                <w:color w:val="auto"/>
                <w:lang w:eastAsia="zh-CN"/>
              </w:rPr>
              <w:t>，非甲烷总烃无组织排放浓度限值</w:t>
            </w:r>
            <w:r>
              <w:rPr>
                <w:rFonts w:eastAsia="宋体"/>
                <w:snapToGrid/>
                <w:color w:val="auto"/>
                <w:lang w:eastAsia="zh-CN"/>
              </w:rPr>
              <w:t>4.0mg/m</w:t>
            </w:r>
            <w:r>
              <w:rPr>
                <w:rFonts w:hint="eastAsia" w:eastAsia="宋体"/>
                <w:snapToGrid/>
                <w:color w:val="auto"/>
                <w:szCs w:val="13"/>
                <w:lang w:eastAsia="zh-CN"/>
              </w:rPr>
              <w:t>+</w:t>
            </w:r>
            <w:r>
              <w:rPr>
                <w:rFonts w:eastAsia="宋体" w:cs="宋体"/>
                <w:snapToGrid/>
                <w:color w:val="auto"/>
                <w:lang w:eastAsia="zh-CN"/>
              </w:rPr>
              <w:t>；</w:t>
            </w:r>
          </w:p>
          <w:p w14:paraId="17C41260">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《恶臭污染物排放标准》（</w:t>
            </w:r>
            <w:r>
              <w:rPr>
                <w:rFonts w:eastAsia="宋体"/>
                <w:snapToGrid/>
                <w:color w:val="auto"/>
                <w:lang w:eastAsia="zh-CN"/>
              </w:rPr>
              <w:t>GB14544-93</w:t>
            </w:r>
            <w:r>
              <w:rPr>
                <w:rFonts w:eastAsia="宋体" w:cs="宋体"/>
                <w:snapToGrid/>
                <w:color w:val="auto"/>
                <w:lang w:eastAsia="zh-CN"/>
              </w:rPr>
              <w:t>）中表</w:t>
            </w:r>
            <w:r>
              <w:rPr>
                <w:rFonts w:eastAsia="宋体"/>
                <w:snapToGrid/>
                <w:color w:val="auto"/>
                <w:lang w:eastAsia="zh-CN"/>
              </w:rPr>
              <w:t>1</w:t>
            </w:r>
            <w:r>
              <w:rPr>
                <w:rFonts w:eastAsia="宋体" w:cs="宋体"/>
                <w:snapToGrid/>
                <w:color w:val="auto"/>
                <w:lang w:eastAsia="zh-CN"/>
              </w:rPr>
              <w:t>限值要求</w:t>
            </w:r>
          </w:p>
        </w:tc>
      </w:tr>
      <w:tr w14:paraId="7F435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157" w:type="pct"/>
            <w:vMerge w:val="continue"/>
            <w:tcBorders>
              <w:tl2br w:val="nil"/>
              <w:tr2bl w:val="nil"/>
            </w:tcBorders>
          </w:tcPr>
          <w:p w14:paraId="555121C0">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241" w:type="pct"/>
            <w:vMerge w:val="continue"/>
            <w:tcBorders>
              <w:tl2br w:val="nil"/>
              <w:tr2bl w:val="nil"/>
            </w:tcBorders>
          </w:tcPr>
          <w:p w14:paraId="248899D2">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449" w:type="pct"/>
            <w:tcBorders>
              <w:tl2br w:val="nil"/>
              <w:tr2bl w:val="nil"/>
            </w:tcBorders>
          </w:tcPr>
          <w:p w14:paraId="2781C350">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废旧滴灌带堆存</w:t>
            </w:r>
          </w:p>
        </w:tc>
        <w:tc>
          <w:tcPr>
            <w:tcW w:w="450" w:type="pct"/>
            <w:tcBorders>
              <w:tl2br w:val="nil"/>
              <w:tr2bl w:val="nil"/>
            </w:tcBorders>
          </w:tcPr>
          <w:p w14:paraId="382EAC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621" w:type="pct"/>
            <w:tcBorders>
              <w:tl2br w:val="nil"/>
              <w:tr2bl w:val="nil"/>
            </w:tcBorders>
          </w:tcPr>
          <w:p w14:paraId="719BAB0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颗粒物</w:t>
            </w:r>
          </w:p>
        </w:tc>
        <w:tc>
          <w:tcPr>
            <w:tcW w:w="1539" w:type="pct"/>
            <w:tcBorders>
              <w:tl2br w:val="nil"/>
              <w:tr2bl w:val="nil"/>
            </w:tcBorders>
          </w:tcPr>
          <w:p w14:paraId="7BFDC65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原料堆场为半封闭型、进行地面硬化、遮盖篷布和洒水降尘，配备消防设施，消防供水网和消防栓应采取防冻措施，应安装消防报警设备等防火措施</w:t>
            </w:r>
          </w:p>
        </w:tc>
        <w:tc>
          <w:tcPr>
            <w:tcW w:w="411" w:type="pct"/>
            <w:tcBorders>
              <w:tl2br w:val="nil"/>
              <w:tr2bl w:val="nil"/>
            </w:tcBorders>
          </w:tcPr>
          <w:p w14:paraId="51AE256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vMerge w:val="continue"/>
            <w:tcBorders>
              <w:tl2br w:val="nil"/>
              <w:tr2bl w:val="nil"/>
            </w:tcBorders>
          </w:tcPr>
          <w:p w14:paraId="20DDFD1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768B24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57" w:type="pct"/>
            <w:vMerge w:val="continue"/>
            <w:tcBorders>
              <w:tl2br w:val="nil"/>
              <w:tr2bl w:val="nil"/>
            </w:tcBorders>
          </w:tcPr>
          <w:p w14:paraId="55057B2A">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41" w:type="pct"/>
            <w:vMerge w:val="continue"/>
            <w:tcBorders>
              <w:tl2br w:val="nil"/>
              <w:tr2bl w:val="nil"/>
            </w:tcBorders>
          </w:tcPr>
          <w:p w14:paraId="4E52E3D5">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49" w:type="pct"/>
            <w:tcBorders>
              <w:tl2br w:val="nil"/>
              <w:tr2bl w:val="nil"/>
            </w:tcBorders>
          </w:tcPr>
          <w:p w14:paraId="5CFB399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生产车间</w:t>
            </w:r>
          </w:p>
        </w:tc>
        <w:tc>
          <w:tcPr>
            <w:tcW w:w="450" w:type="pct"/>
            <w:tcBorders>
              <w:tl2br w:val="nil"/>
              <w:tr2bl w:val="nil"/>
            </w:tcBorders>
          </w:tcPr>
          <w:p w14:paraId="2CDD668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厂界</w:t>
            </w:r>
          </w:p>
        </w:tc>
        <w:tc>
          <w:tcPr>
            <w:tcW w:w="621" w:type="pct"/>
            <w:tcBorders>
              <w:tl2br w:val="nil"/>
              <w:tr2bl w:val="nil"/>
            </w:tcBorders>
          </w:tcPr>
          <w:p w14:paraId="44B3B2A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非甲烷总烃</w:t>
            </w:r>
          </w:p>
        </w:tc>
        <w:tc>
          <w:tcPr>
            <w:tcW w:w="1539" w:type="pct"/>
            <w:tcBorders>
              <w:tl2br w:val="nil"/>
              <w:tr2bl w:val="nil"/>
            </w:tcBorders>
          </w:tcPr>
          <w:p w14:paraId="3CDA319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废旧塑料颗粒加工和滴灌带生产车间设置换气扇，通风装置</w:t>
            </w:r>
          </w:p>
        </w:tc>
        <w:tc>
          <w:tcPr>
            <w:tcW w:w="411" w:type="pct"/>
            <w:tcBorders>
              <w:tl2br w:val="nil"/>
              <w:tr2bl w:val="nil"/>
            </w:tcBorders>
          </w:tcPr>
          <w:p w14:paraId="19AD8E81">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vMerge w:val="continue"/>
            <w:tcBorders>
              <w:tl2br w:val="nil"/>
              <w:tr2bl w:val="nil"/>
            </w:tcBorders>
          </w:tcPr>
          <w:p w14:paraId="3240AF20">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030EC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57" w:type="pct"/>
            <w:vMerge w:val="continue"/>
            <w:tcBorders>
              <w:tl2br w:val="nil"/>
              <w:tr2bl w:val="nil"/>
            </w:tcBorders>
          </w:tcPr>
          <w:p w14:paraId="32F8E90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41" w:type="pct"/>
            <w:vMerge w:val="continue"/>
            <w:tcBorders>
              <w:tl2br w:val="nil"/>
              <w:tr2bl w:val="nil"/>
            </w:tcBorders>
          </w:tcPr>
          <w:p w14:paraId="1B91E4E9">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449" w:type="pct"/>
            <w:tcBorders>
              <w:tl2br w:val="nil"/>
              <w:tr2bl w:val="nil"/>
            </w:tcBorders>
          </w:tcPr>
          <w:p w14:paraId="575F64AC">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生产车间</w:t>
            </w:r>
          </w:p>
        </w:tc>
        <w:tc>
          <w:tcPr>
            <w:tcW w:w="450" w:type="pct"/>
            <w:tcBorders>
              <w:tl2br w:val="nil"/>
              <w:tr2bl w:val="nil"/>
            </w:tcBorders>
          </w:tcPr>
          <w:p w14:paraId="36EA15D7">
            <w:pPr>
              <w:widowControl w:val="0"/>
              <w:shd w:val="clear"/>
              <w:kinsoku/>
              <w:autoSpaceDE/>
              <w:autoSpaceDN/>
              <w:adjustRightInd/>
              <w:snapToGrid/>
              <w:spacing w:line="360" w:lineRule="auto"/>
              <w:jc w:val="center"/>
              <w:textAlignment w:val="auto"/>
              <w:rPr>
                <w:rFonts w:hint="eastAsia" w:ascii="Times New Roman" w:hAnsi="Times New Roman" w:eastAsia="宋体" w:cs="宋体"/>
                <w:snapToGrid/>
                <w:color w:val="auto"/>
                <w:lang w:val="en-US" w:eastAsia="zh-CN"/>
              </w:rPr>
            </w:pPr>
            <w:r>
              <w:rPr>
                <w:rFonts w:ascii="Times New Roman" w:hAnsi="Times New Roman" w:eastAsia="宋体" w:cs="宋体"/>
                <w:snapToGrid/>
                <w:color w:val="auto"/>
              </w:rPr>
              <w:t>厂界</w:t>
            </w:r>
          </w:p>
        </w:tc>
        <w:tc>
          <w:tcPr>
            <w:tcW w:w="621" w:type="pct"/>
            <w:tcBorders>
              <w:tl2br w:val="nil"/>
              <w:tr2bl w:val="nil"/>
            </w:tcBorders>
          </w:tcPr>
          <w:p w14:paraId="471B790B">
            <w:pPr>
              <w:widowControl w:val="0"/>
              <w:shd w:val="clear"/>
              <w:kinsoku/>
              <w:autoSpaceDE/>
              <w:autoSpaceDN/>
              <w:adjustRightInd/>
              <w:snapToGrid/>
              <w:spacing w:line="360" w:lineRule="auto"/>
              <w:jc w:val="center"/>
              <w:textAlignment w:val="auto"/>
              <w:rPr>
                <w:rFonts w:hint="default" w:ascii="Times New Roman" w:hAnsi="Times New Roman" w:eastAsia="宋体" w:cs="宋体"/>
                <w:snapToGrid/>
                <w:color w:val="auto"/>
                <w:lang w:val="en-US" w:eastAsia="zh-CN"/>
              </w:rPr>
            </w:pPr>
            <w:r>
              <w:rPr>
                <w:rFonts w:hint="eastAsia" w:ascii="Times New Roman" w:hAnsi="Times New Roman" w:eastAsia="宋体" w:cs="宋体"/>
                <w:snapToGrid/>
                <w:color w:val="auto"/>
                <w:lang w:val="en-US" w:eastAsia="zh-CN"/>
              </w:rPr>
              <w:t>臭气浓度、恶臭</w:t>
            </w:r>
          </w:p>
        </w:tc>
        <w:tc>
          <w:tcPr>
            <w:tcW w:w="1539" w:type="pct"/>
            <w:tcBorders>
              <w:tl2br w:val="nil"/>
              <w:tr2bl w:val="nil"/>
            </w:tcBorders>
          </w:tcPr>
          <w:p w14:paraId="57F89C6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生产车间设置换气扇，通风装置</w:t>
            </w:r>
          </w:p>
        </w:tc>
        <w:tc>
          <w:tcPr>
            <w:tcW w:w="411" w:type="pct"/>
            <w:tcBorders>
              <w:tl2br w:val="nil"/>
              <w:tr2bl w:val="nil"/>
            </w:tcBorders>
          </w:tcPr>
          <w:p w14:paraId="535F6F2C">
            <w:pPr>
              <w:pStyle w:val="37"/>
              <w:widowControl w:val="0"/>
              <w:shd w:val="clear"/>
              <w:kinsoku/>
              <w:autoSpaceDE/>
              <w:autoSpaceDN/>
              <w:adjustRightInd/>
              <w:snapToGrid/>
              <w:spacing w:line="360" w:lineRule="auto"/>
              <w:jc w:val="center"/>
              <w:textAlignment w:val="auto"/>
              <w:rPr>
                <w:rFonts w:eastAsia="宋体"/>
                <w:snapToGrid/>
                <w:color w:val="auto"/>
              </w:rPr>
            </w:pPr>
          </w:p>
        </w:tc>
        <w:tc>
          <w:tcPr>
            <w:tcW w:w="1130" w:type="pct"/>
            <w:vMerge w:val="continue"/>
            <w:tcBorders>
              <w:tl2br w:val="nil"/>
              <w:tr2bl w:val="nil"/>
            </w:tcBorders>
          </w:tcPr>
          <w:p w14:paraId="326E9DE8">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C165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8" w:hRule="atLeast"/>
        </w:trPr>
        <w:tc>
          <w:tcPr>
            <w:tcW w:w="157" w:type="pct"/>
            <w:vMerge w:val="continue"/>
            <w:tcBorders>
              <w:tl2br w:val="nil"/>
              <w:tr2bl w:val="nil"/>
            </w:tcBorders>
          </w:tcPr>
          <w:p w14:paraId="0C744F21">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241" w:type="pct"/>
            <w:tcBorders>
              <w:tl2br w:val="nil"/>
              <w:tr2bl w:val="nil"/>
            </w:tcBorders>
          </w:tcPr>
          <w:p w14:paraId="459F78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食堂油烟</w:t>
            </w:r>
          </w:p>
        </w:tc>
        <w:tc>
          <w:tcPr>
            <w:tcW w:w="449" w:type="pct"/>
            <w:tcBorders>
              <w:tl2br w:val="nil"/>
              <w:tr2bl w:val="nil"/>
            </w:tcBorders>
          </w:tcPr>
          <w:p w14:paraId="11E9E74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油烟</w:t>
            </w:r>
          </w:p>
        </w:tc>
        <w:tc>
          <w:tcPr>
            <w:tcW w:w="450" w:type="pct"/>
            <w:tcBorders>
              <w:tl2br w:val="nil"/>
              <w:tr2bl w:val="nil"/>
            </w:tcBorders>
          </w:tcPr>
          <w:p w14:paraId="5559647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排气筒</w:t>
            </w:r>
          </w:p>
        </w:tc>
        <w:tc>
          <w:tcPr>
            <w:tcW w:w="621" w:type="pct"/>
            <w:tcBorders>
              <w:tl2br w:val="nil"/>
              <w:tr2bl w:val="nil"/>
            </w:tcBorders>
          </w:tcPr>
          <w:p w14:paraId="6170A18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油烟</w:t>
            </w:r>
          </w:p>
        </w:tc>
        <w:tc>
          <w:tcPr>
            <w:tcW w:w="1539" w:type="pct"/>
            <w:tcBorders>
              <w:tl2br w:val="nil"/>
              <w:tr2bl w:val="nil"/>
            </w:tcBorders>
          </w:tcPr>
          <w:p w14:paraId="38F229B0">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净化率</w:t>
            </w:r>
            <w:r>
              <w:rPr>
                <w:rFonts w:eastAsia="宋体"/>
                <w:snapToGrid/>
                <w:color w:val="auto"/>
                <w:lang w:eastAsia="zh-CN"/>
              </w:rPr>
              <w:t>60%</w:t>
            </w:r>
            <w:r>
              <w:rPr>
                <w:rFonts w:eastAsia="宋体" w:cs="宋体"/>
                <w:snapToGrid/>
                <w:color w:val="auto"/>
                <w:lang w:eastAsia="zh-CN"/>
              </w:rPr>
              <w:t>以上的油烟净化器</w:t>
            </w:r>
            <w:r>
              <w:rPr>
                <w:rFonts w:eastAsia="宋体"/>
                <w:snapToGrid/>
                <w:color w:val="auto"/>
                <w:lang w:eastAsia="zh-CN"/>
              </w:rPr>
              <w:t>+</w:t>
            </w:r>
            <w:r>
              <w:rPr>
                <w:rFonts w:eastAsia="宋体" w:cs="宋体"/>
                <w:snapToGrid/>
                <w:color w:val="auto"/>
                <w:lang w:eastAsia="zh-CN"/>
              </w:rPr>
              <w:t>经专用烟道楼顶排放</w:t>
            </w:r>
          </w:p>
        </w:tc>
        <w:tc>
          <w:tcPr>
            <w:tcW w:w="411" w:type="pct"/>
            <w:tcBorders>
              <w:tl2br w:val="nil"/>
              <w:tr2bl w:val="nil"/>
            </w:tcBorders>
          </w:tcPr>
          <w:p w14:paraId="3D3616C2">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套</w:t>
            </w:r>
          </w:p>
        </w:tc>
        <w:tc>
          <w:tcPr>
            <w:tcW w:w="1130" w:type="pct"/>
            <w:tcBorders>
              <w:tl2br w:val="nil"/>
              <w:tr2bl w:val="nil"/>
            </w:tcBorders>
          </w:tcPr>
          <w:p w14:paraId="5F13F7C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《饮食业油烟排放标准（试行）》（</w:t>
            </w:r>
            <w:r>
              <w:rPr>
                <w:rFonts w:eastAsia="宋体"/>
                <w:snapToGrid/>
                <w:color w:val="auto"/>
                <w:lang w:eastAsia="zh-CN"/>
              </w:rPr>
              <w:t>GB18483-2001</w:t>
            </w:r>
            <w:r>
              <w:rPr>
                <w:rFonts w:eastAsia="宋体" w:cs="宋体"/>
                <w:snapToGrid/>
                <w:color w:val="auto"/>
                <w:lang w:eastAsia="zh-CN"/>
              </w:rPr>
              <w:t>）</w:t>
            </w:r>
          </w:p>
        </w:tc>
      </w:tr>
      <w:tr w14:paraId="05B18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398" w:type="pct"/>
            <w:gridSpan w:val="2"/>
            <w:vMerge w:val="restart"/>
            <w:tcBorders>
              <w:tl2br w:val="nil"/>
              <w:tr2bl w:val="nil"/>
            </w:tcBorders>
          </w:tcPr>
          <w:p w14:paraId="2166C7C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水污染防治</w:t>
            </w:r>
          </w:p>
        </w:tc>
        <w:tc>
          <w:tcPr>
            <w:tcW w:w="899" w:type="pct"/>
            <w:gridSpan w:val="2"/>
            <w:tcBorders>
              <w:tl2br w:val="nil"/>
              <w:tr2bl w:val="nil"/>
            </w:tcBorders>
          </w:tcPr>
          <w:p w14:paraId="7F0B7BAD">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生活废水</w:t>
            </w:r>
          </w:p>
        </w:tc>
        <w:tc>
          <w:tcPr>
            <w:tcW w:w="621" w:type="pct"/>
            <w:tcBorders>
              <w:tl2br w:val="nil"/>
              <w:tr2bl w:val="nil"/>
            </w:tcBorders>
          </w:tcPr>
          <w:p w14:paraId="7694A03E">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snapToGrid/>
                <w:color w:val="auto"/>
              </w:rPr>
              <w:t>pH</w:t>
            </w:r>
            <w:r>
              <w:rPr>
                <w:rFonts w:eastAsia="宋体" w:cs="宋体"/>
                <w:snapToGrid/>
                <w:color w:val="auto"/>
              </w:rPr>
              <w:t>值、</w:t>
            </w:r>
            <w:r>
              <w:rPr>
                <w:rFonts w:eastAsia="宋体"/>
                <w:snapToGrid/>
                <w:color w:val="auto"/>
              </w:rPr>
              <w:t>COD</w:t>
            </w:r>
            <w:r>
              <w:rPr>
                <w:rFonts w:eastAsia="宋体"/>
                <w:snapToGrid/>
                <w:color w:val="auto"/>
                <w:vertAlign w:val="subscript"/>
              </w:rPr>
              <w:t>Cr</w:t>
            </w:r>
            <w:r>
              <w:rPr>
                <w:rFonts w:eastAsia="宋体" w:cs="宋体"/>
                <w:snapToGrid/>
                <w:color w:val="auto"/>
              </w:rPr>
              <w:t>、</w:t>
            </w:r>
            <w:r>
              <w:rPr>
                <w:rFonts w:eastAsia="宋体"/>
                <w:snapToGrid/>
                <w:color w:val="auto"/>
              </w:rPr>
              <w:t>SS</w:t>
            </w:r>
            <w:r>
              <w:rPr>
                <w:rFonts w:eastAsia="宋体" w:cs="宋体"/>
                <w:snapToGrid/>
                <w:color w:val="auto"/>
              </w:rPr>
              <w:t>、</w:t>
            </w:r>
            <w:r>
              <w:rPr>
                <w:rFonts w:eastAsia="宋体"/>
                <w:snapToGrid/>
                <w:color w:val="auto"/>
              </w:rPr>
              <w:t>NH</w:t>
            </w:r>
            <w:r>
              <w:rPr>
                <w:rFonts w:eastAsia="宋体"/>
                <w:snapToGrid/>
                <w:color w:val="auto"/>
                <w:szCs w:val="13"/>
                <w:vertAlign w:val="subscript"/>
              </w:rPr>
              <w:t>3</w:t>
            </w:r>
            <w:r>
              <w:rPr>
                <w:rFonts w:eastAsia="宋体"/>
                <w:snapToGrid/>
                <w:color w:val="auto"/>
              </w:rPr>
              <w:t>-N</w:t>
            </w:r>
            <w:r>
              <w:rPr>
                <w:rFonts w:eastAsia="宋体" w:cs="宋体"/>
                <w:snapToGrid/>
                <w:color w:val="auto"/>
              </w:rPr>
              <w:t>、</w:t>
            </w:r>
            <w:r>
              <w:rPr>
                <w:rFonts w:eastAsia="宋体"/>
                <w:snapToGrid/>
                <w:color w:val="auto"/>
              </w:rPr>
              <w:t>BOD</w:t>
            </w:r>
            <w:r>
              <w:rPr>
                <w:rFonts w:hint="eastAsia" w:eastAsia="宋体"/>
                <w:snapToGrid/>
                <w:color w:val="auto"/>
                <w:vertAlign w:val="subscript"/>
                <w:lang w:eastAsia="zh-CN"/>
              </w:rPr>
              <w:t>5</w:t>
            </w:r>
          </w:p>
        </w:tc>
        <w:tc>
          <w:tcPr>
            <w:tcW w:w="1539" w:type="pct"/>
            <w:tcBorders>
              <w:tl2br w:val="nil"/>
              <w:tr2bl w:val="nil"/>
            </w:tcBorders>
          </w:tcPr>
          <w:p w14:paraId="3ED4693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生活污水</w:t>
            </w:r>
            <w:r>
              <w:rPr>
                <w:rFonts w:hint="eastAsia" w:ascii="Times New Roman" w:hAnsi="Times New Roman" w:eastAsia="宋体" w:cs="宋体"/>
                <w:snapToGrid/>
                <w:color w:val="auto"/>
                <w:lang w:eastAsia="zh-CN"/>
              </w:rPr>
              <w:t>排入防渗化粪池，定期抽运至木垒哈萨克自治县污水处理厂处理</w:t>
            </w:r>
          </w:p>
        </w:tc>
        <w:tc>
          <w:tcPr>
            <w:tcW w:w="411" w:type="pct"/>
            <w:tcBorders>
              <w:tl2br w:val="nil"/>
              <w:tr2bl w:val="nil"/>
            </w:tcBorders>
          </w:tcPr>
          <w:p w14:paraId="75D5B5E7">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tcBorders>
              <w:tl2br w:val="nil"/>
              <w:tr2bl w:val="nil"/>
            </w:tcBorders>
          </w:tcPr>
          <w:p w14:paraId="22B044F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《污水综合排放标准》</w:t>
            </w:r>
          </w:p>
          <w:p w14:paraId="5F52C737">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w:t>
            </w:r>
            <w:r>
              <w:rPr>
                <w:rFonts w:eastAsia="宋体"/>
                <w:snapToGrid/>
                <w:color w:val="auto"/>
                <w:lang w:eastAsia="zh-CN"/>
              </w:rPr>
              <w:t>GB8978-1996</w:t>
            </w:r>
            <w:r>
              <w:rPr>
                <w:rFonts w:eastAsia="宋体" w:cs="宋体"/>
                <w:snapToGrid/>
                <w:color w:val="auto"/>
                <w:lang w:eastAsia="zh-CN"/>
              </w:rPr>
              <w:t>）三级标准</w:t>
            </w:r>
          </w:p>
        </w:tc>
      </w:tr>
      <w:tr w14:paraId="7B63F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398" w:type="pct"/>
            <w:gridSpan w:val="2"/>
            <w:vMerge w:val="continue"/>
            <w:tcBorders>
              <w:tl2br w:val="nil"/>
              <w:tr2bl w:val="nil"/>
            </w:tcBorders>
          </w:tcPr>
          <w:p w14:paraId="05FFCC3A">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899" w:type="pct"/>
            <w:gridSpan w:val="2"/>
            <w:tcBorders>
              <w:tl2br w:val="nil"/>
              <w:tr2bl w:val="nil"/>
            </w:tcBorders>
          </w:tcPr>
          <w:p w14:paraId="414A74A2">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生产废水</w:t>
            </w:r>
          </w:p>
        </w:tc>
        <w:tc>
          <w:tcPr>
            <w:tcW w:w="621" w:type="pct"/>
            <w:tcBorders>
              <w:tl2br w:val="nil"/>
              <w:tr2bl w:val="nil"/>
            </w:tcBorders>
          </w:tcPr>
          <w:p w14:paraId="40F3122E">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SS</w:t>
            </w:r>
          </w:p>
        </w:tc>
        <w:tc>
          <w:tcPr>
            <w:tcW w:w="1539" w:type="pct"/>
            <w:tcBorders>
              <w:tl2br w:val="nil"/>
              <w:tr2bl w:val="nil"/>
            </w:tcBorders>
          </w:tcPr>
          <w:p w14:paraId="480D4E18">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bookmarkStart w:id="1022" w:name="bookmark90"/>
            <w:bookmarkEnd w:id="1022"/>
            <w:r>
              <w:rPr>
                <w:rFonts w:eastAsia="宋体" w:cs="宋体"/>
                <w:snapToGrid/>
                <w:color w:val="auto"/>
                <w:lang w:eastAsia="zh-CN"/>
              </w:rPr>
              <w:t>防渗循环三级沉淀池，总容积</w:t>
            </w:r>
            <w:r>
              <w:rPr>
                <w:rFonts w:hint="eastAsia" w:eastAsia="宋体"/>
                <w:snapToGrid/>
                <w:color w:val="auto"/>
                <w:lang w:eastAsia="zh-CN"/>
              </w:rPr>
              <w:t>500</w:t>
            </w:r>
            <w:r>
              <w:rPr>
                <w:rFonts w:eastAsia="宋体"/>
                <w:snapToGrid/>
                <w:color w:val="auto"/>
                <w:lang w:eastAsia="zh-CN"/>
              </w:rPr>
              <w:t>m</w:t>
            </w:r>
            <w:r>
              <w:rPr>
                <w:rFonts w:eastAsia="宋体"/>
                <w:snapToGrid/>
                <w:color w:val="auto"/>
                <w:szCs w:val="13"/>
                <w:vertAlign w:val="superscript"/>
                <w:lang w:eastAsia="zh-CN"/>
              </w:rPr>
              <w:t>3</w:t>
            </w:r>
            <w:r>
              <w:rPr>
                <w:rFonts w:eastAsia="宋体" w:cs="宋体"/>
                <w:snapToGrid/>
                <w:color w:val="auto"/>
                <w:lang w:eastAsia="zh-CN"/>
              </w:rPr>
              <w:t>，冷却水设置</w:t>
            </w:r>
            <w:r>
              <w:rPr>
                <w:rFonts w:eastAsia="宋体"/>
                <w:snapToGrid/>
                <w:color w:val="auto"/>
                <w:lang w:eastAsia="zh-CN"/>
              </w:rPr>
              <w:t>1</w:t>
            </w:r>
            <w:r>
              <w:rPr>
                <w:rFonts w:eastAsia="宋体" w:cs="宋体"/>
                <w:snapToGrid/>
                <w:color w:val="auto"/>
                <w:lang w:eastAsia="zh-CN"/>
              </w:rPr>
              <w:t>座</w:t>
            </w:r>
            <w:r>
              <w:rPr>
                <w:rFonts w:hint="eastAsia" w:eastAsia="宋体"/>
                <w:snapToGrid/>
                <w:color w:val="auto"/>
                <w:lang w:eastAsia="zh-CN"/>
              </w:rPr>
              <w:t>50</w:t>
            </w:r>
            <w:r>
              <w:rPr>
                <w:rFonts w:eastAsia="宋体"/>
                <w:snapToGrid/>
                <w:color w:val="auto"/>
                <w:lang w:eastAsia="zh-CN"/>
              </w:rPr>
              <w:t>m</w:t>
            </w:r>
            <w:r>
              <w:rPr>
                <w:rFonts w:eastAsia="宋体"/>
                <w:snapToGrid/>
                <w:color w:val="auto"/>
                <w:szCs w:val="13"/>
                <w:vertAlign w:val="superscript"/>
                <w:lang w:eastAsia="zh-CN"/>
              </w:rPr>
              <w:t>3</w:t>
            </w:r>
            <w:r>
              <w:rPr>
                <w:rFonts w:eastAsia="宋体" w:cs="宋体"/>
                <w:snapToGrid/>
                <w:color w:val="auto"/>
                <w:lang w:eastAsia="zh-CN"/>
              </w:rPr>
              <w:t>防渗冷却循环池清洗废水经处理后全部回用不外排，防渗循环三级沉淀池，总容积</w:t>
            </w:r>
            <w:r>
              <w:rPr>
                <w:rFonts w:hint="eastAsia" w:eastAsia="宋体"/>
                <w:snapToGrid/>
                <w:color w:val="auto"/>
                <w:lang w:eastAsia="zh-CN"/>
              </w:rPr>
              <w:t>500</w:t>
            </w:r>
            <w:r>
              <w:rPr>
                <w:rFonts w:eastAsia="宋体"/>
                <w:snapToGrid/>
                <w:color w:val="auto"/>
                <w:lang w:eastAsia="zh-CN"/>
              </w:rPr>
              <w:t>m</w:t>
            </w:r>
            <w:r>
              <w:rPr>
                <w:rFonts w:eastAsia="宋体"/>
                <w:snapToGrid/>
                <w:color w:val="auto"/>
                <w:szCs w:val="13"/>
                <w:vertAlign w:val="superscript"/>
                <w:lang w:eastAsia="zh-CN"/>
              </w:rPr>
              <w:t>3</w:t>
            </w:r>
            <w:r>
              <w:rPr>
                <w:rFonts w:eastAsia="宋体" w:cs="宋体"/>
                <w:snapToGrid/>
                <w:color w:val="auto"/>
                <w:lang w:eastAsia="zh-CN"/>
              </w:rPr>
              <w:t>；冷却水循环利用，定期补充新鲜水，无生产废水产生，每年停产时，循环水池中清洗废水自然蒸发</w:t>
            </w:r>
          </w:p>
        </w:tc>
        <w:tc>
          <w:tcPr>
            <w:tcW w:w="411" w:type="pct"/>
            <w:tcBorders>
              <w:tl2br w:val="nil"/>
              <w:tr2bl w:val="nil"/>
            </w:tcBorders>
          </w:tcPr>
          <w:p w14:paraId="4179D153">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hint="eastAsia" w:eastAsia="宋体"/>
                <w:snapToGrid/>
                <w:color w:val="auto"/>
                <w:lang w:eastAsia="zh-CN"/>
              </w:rPr>
              <w:t>1</w:t>
            </w:r>
            <w:r>
              <w:rPr>
                <w:rFonts w:eastAsia="宋体" w:cs="宋体"/>
                <w:snapToGrid/>
                <w:color w:val="auto"/>
              </w:rPr>
              <w:t>座</w:t>
            </w:r>
          </w:p>
        </w:tc>
        <w:tc>
          <w:tcPr>
            <w:tcW w:w="1130" w:type="pct"/>
            <w:tcBorders>
              <w:tl2br w:val="nil"/>
              <w:tr2bl w:val="nil"/>
            </w:tcBorders>
          </w:tcPr>
          <w:p w14:paraId="7960387D">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r w14:paraId="6659CB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98" w:type="pct"/>
            <w:gridSpan w:val="2"/>
            <w:tcBorders>
              <w:tl2br w:val="nil"/>
              <w:tr2bl w:val="nil"/>
            </w:tcBorders>
          </w:tcPr>
          <w:p w14:paraId="45FB864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噪声控制</w:t>
            </w:r>
          </w:p>
        </w:tc>
        <w:tc>
          <w:tcPr>
            <w:tcW w:w="899" w:type="pct"/>
            <w:gridSpan w:val="2"/>
            <w:tcBorders>
              <w:tl2br w:val="nil"/>
              <w:tr2bl w:val="nil"/>
            </w:tcBorders>
          </w:tcPr>
          <w:p w14:paraId="5D5AC26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风机、泵</w:t>
            </w:r>
          </w:p>
        </w:tc>
        <w:tc>
          <w:tcPr>
            <w:tcW w:w="621" w:type="pct"/>
            <w:tcBorders>
              <w:tl2br w:val="nil"/>
              <w:tr2bl w:val="nil"/>
            </w:tcBorders>
          </w:tcPr>
          <w:p w14:paraId="7DE1ED18">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机械噪声</w:t>
            </w:r>
          </w:p>
        </w:tc>
        <w:tc>
          <w:tcPr>
            <w:tcW w:w="1539" w:type="pct"/>
            <w:tcBorders>
              <w:tl2br w:val="nil"/>
              <w:tr2bl w:val="nil"/>
            </w:tcBorders>
          </w:tcPr>
          <w:p w14:paraId="5F51AA9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隔音降噪设施</w:t>
            </w:r>
          </w:p>
        </w:tc>
        <w:tc>
          <w:tcPr>
            <w:tcW w:w="411" w:type="pct"/>
            <w:tcBorders>
              <w:tl2br w:val="nil"/>
              <w:tr2bl w:val="nil"/>
            </w:tcBorders>
          </w:tcPr>
          <w:p w14:paraId="5B09C92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若干</w:t>
            </w:r>
          </w:p>
        </w:tc>
        <w:tc>
          <w:tcPr>
            <w:tcW w:w="1130" w:type="pct"/>
            <w:tcBorders>
              <w:tl2br w:val="nil"/>
              <w:tr2bl w:val="nil"/>
            </w:tcBorders>
          </w:tcPr>
          <w:p w14:paraId="2176D1C2">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《工业企业厂界环境噪声排放标准》（</w:t>
            </w:r>
            <w:r>
              <w:rPr>
                <w:rFonts w:eastAsia="宋体"/>
                <w:snapToGrid/>
                <w:color w:val="auto"/>
                <w:lang w:eastAsia="zh-CN"/>
              </w:rPr>
              <w:t>GB12348-2008</w:t>
            </w:r>
            <w:r>
              <w:rPr>
                <w:rFonts w:eastAsia="宋体" w:cs="宋体"/>
                <w:snapToGrid/>
                <w:color w:val="auto"/>
                <w:lang w:eastAsia="zh-CN"/>
              </w:rPr>
              <w:t>）</w:t>
            </w:r>
            <w:r>
              <w:rPr>
                <w:rFonts w:hint="eastAsia" w:eastAsia="宋体"/>
                <w:snapToGrid/>
                <w:color w:val="auto"/>
                <w:lang w:eastAsia="zh-CN"/>
              </w:rPr>
              <w:t>2</w:t>
            </w:r>
            <w:r>
              <w:rPr>
                <w:rFonts w:eastAsia="宋体" w:cs="宋体"/>
                <w:snapToGrid/>
                <w:color w:val="auto"/>
                <w:lang w:eastAsia="zh-CN"/>
              </w:rPr>
              <w:t>类标准</w:t>
            </w:r>
          </w:p>
        </w:tc>
      </w:tr>
      <w:tr w14:paraId="7B5C0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 w:type="pct"/>
            <w:gridSpan w:val="2"/>
            <w:vMerge w:val="restart"/>
            <w:tcBorders>
              <w:tl2br w:val="nil"/>
              <w:tr2bl w:val="nil"/>
            </w:tcBorders>
          </w:tcPr>
          <w:p w14:paraId="1DD6626A">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固体废物</w:t>
            </w:r>
          </w:p>
        </w:tc>
        <w:tc>
          <w:tcPr>
            <w:tcW w:w="899" w:type="pct"/>
            <w:gridSpan w:val="2"/>
            <w:tcBorders>
              <w:tl2br w:val="nil"/>
              <w:tr2bl w:val="nil"/>
            </w:tcBorders>
          </w:tcPr>
          <w:p w14:paraId="448A3707">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621" w:type="pct"/>
            <w:tcBorders>
              <w:tl2br w:val="nil"/>
              <w:tr2bl w:val="nil"/>
            </w:tcBorders>
          </w:tcPr>
          <w:p w14:paraId="056DDC11">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生活垃圾</w:t>
            </w:r>
          </w:p>
        </w:tc>
        <w:tc>
          <w:tcPr>
            <w:tcW w:w="1539" w:type="pct"/>
            <w:tcBorders>
              <w:tl2br w:val="nil"/>
              <w:tr2bl w:val="nil"/>
            </w:tcBorders>
          </w:tcPr>
          <w:p w14:paraId="62A02774">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可密封生活垃圾收集点</w:t>
            </w:r>
          </w:p>
        </w:tc>
        <w:tc>
          <w:tcPr>
            <w:tcW w:w="411" w:type="pct"/>
            <w:tcBorders>
              <w:tl2br w:val="nil"/>
              <w:tr2bl w:val="nil"/>
            </w:tcBorders>
          </w:tcPr>
          <w:p w14:paraId="35167E95">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个</w:t>
            </w:r>
          </w:p>
        </w:tc>
        <w:tc>
          <w:tcPr>
            <w:tcW w:w="1130" w:type="pct"/>
            <w:vMerge w:val="restart"/>
            <w:tcBorders>
              <w:tl2br w:val="nil"/>
              <w:tr2bl w:val="nil"/>
            </w:tcBorders>
          </w:tcPr>
          <w:p w14:paraId="3B02F41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lang w:eastAsia="zh-CN"/>
              </w:rPr>
            </w:pPr>
            <w:r>
              <w:rPr>
                <w:rFonts w:ascii="Times New Roman" w:hAnsi="Times New Roman" w:eastAsia="宋体" w:cs="宋体"/>
                <w:snapToGrid/>
                <w:color w:val="auto"/>
                <w:lang w:eastAsia="zh-CN"/>
              </w:rPr>
              <w:t>《一般工业固体废物贮存和填埋</w:t>
            </w:r>
            <w:r>
              <w:rPr>
                <w:rFonts w:eastAsia="宋体" w:cs="宋体"/>
                <w:snapToGrid/>
                <w:color w:val="auto"/>
                <w:lang w:eastAsia="zh-CN"/>
              </w:rPr>
              <w:t>污染控制标准》</w:t>
            </w:r>
            <w:r>
              <w:rPr>
                <w:rFonts w:hint="eastAsia" w:eastAsia="宋体"/>
                <w:snapToGrid/>
                <w:color w:val="auto"/>
                <w:lang w:eastAsia="zh-CN"/>
              </w:rPr>
              <w:t>（</w:t>
            </w:r>
            <w:r>
              <w:rPr>
                <w:rFonts w:eastAsia="宋体"/>
                <w:snapToGrid/>
                <w:color w:val="auto"/>
                <w:lang w:eastAsia="zh-CN"/>
              </w:rPr>
              <w:t>GB18599-2020</w:t>
            </w:r>
            <w:r>
              <w:rPr>
                <w:rFonts w:hint="eastAsia" w:eastAsia="宋体"/>
                <w:snapToGrid/>
                <w:color w:val="auto"/>
                <w:lang w:eastAsia="zh-CN"/>
              </w:rPr>
              <w:t>）</w:t>
            </w:r>
            <w:r>
              <w:rPr>
                <w:rFonts w:eastAsia="宋体" w:cs="宋体"/>
                <w:snapToGrid/>
                <w:color w:val="auto"/>
                <w:lang w:eastAsia="zh-CN"/>
              </w:rPr>
              <w:t>中</w:t>
            </w:r>
            <w:r>
              <w:rPr>
                <w:rFonts w:ascii="Times New Roman" w:hAnsi="Times New Roman" w:eastAsia="宋体" w:cs="宋体"/>
                <w:snapToGrid/>
                <w:color w:val="auto"/>
                <w:lang w:eastAsia="zh-CN"/>
              </w:rPr>
              <w:t>的相关规定</w:t>
            </w:r>
          </w:p>
        </w:tc>
      </w:tr>
      <w:tr w14:paraId="5B178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 w:type="pct"/>
            <w:gridSpan w:val="2"/>
            <w:vMerge w:val="continue"/>
            <w:tcBorders>
              <w:tl2br w:val="nil"/>
              <w:tr2bl w:val="nil"/>
            </w:tcBorders>
          </w:tcPr>
          <w:p w14:paraId="13D90660">
            <w:pPr>
              <w:widowControl w:val="0"/>
              <w:shd w:val="clear"/>
              <w:kinsoku/>
              <w:autoSpaceDE/>
              <w:autoSpaceDN/>
              <w:adjustRightInd/>
              <w:snapToGrid/>
              <w:spacing w:line="360" w:lineRule="auto"/>
              <w:jc w:val="center"/>
              <w:textAlignment w:val="auto"/>
              <w:rPr>
                <w:rFonts w:ascii="Times New Roman" w:hAnsi="Times New Roman" w:eastAsia="宋体"/>
                <w:snapToGrid/>
                <w:color w:val="auto"/>
                <w:lang w:eastAsia="zh-CN"/>
              </w:rPr>
            </w:pPr>
          </w:p>
        </w:tc>
        <w:tc>
          <w:tcPr>
            <w:tcW w:w="899" w:type="pct"/>
            <w:gridSpan w:val="2"/>
            <w:tcBorders>
              <w:tl2br w:val="nil"/>
              <w:tr2bl w:val="nil"/>
            </w:tcBorders>
          </w:tcPr>
          <w:p w14:paraId="07D65FEE">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一般工业固废</w:t>
            </w:r>
          </w:p>
        </w:tc>
        <w:tc>
          <w:tcPr>
            <w:tcW w:w="621" w:type="pct"/>
            <w:tcBorders>
              <w:tl2br w:val="nil"/>
              <w:tr2bl w:val="nil"/>
            </w:tcBorders>
          </w:tcPr>
          <w:p w14:paraId="462AD2C6">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一般工业固废</w:t>
            </w:r>
          </w:p>
        </w:tc>
        <w:tc>
          <w:tcPr>
            <w:tcW w:w="1539" w:type="pct"/>
            <w:tcBorders>
              <w:tl2br w:val="nil"/>
              <w:tr2bl w:val="nil"/>
            </w:tcBorders>
          </w:tcPr>
          <w:p w14:paraId="73E4E14D">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一般固废暂存间、一般固废收集箱</w:t>
            </w:r>
          </w:p>
        </w:tc>
        <w:tc>
          <w:tcPr>
            <w:tcW w:w="411" w:type="pct"/>
            <w:tcBorders>
              <w:tl2br w:val="nil"/>
              <w:tr2bl w:val="nil"/>
            </w:tcBorders>
          </w:tcPr>
          <w:p w14:paraId="2EA42BFA">
            <w:pPr>
              <w:pStyle w:val="37"/>
              <w:widowControl w:val="0"/>
              <w:shd w:val="clear"/>
              <w:kinsoku/>
              <w:autoSpaceDE/>
              <w:autoSpaceDN/>
              <w:adjustRightInd/>
              <w:snapToGrid/>
              <w:spacing w:line="360" w:lineRule="auto"/>
              <w:jc w:val="center"/>
              <w:textAlignment w:val="auto"/>
              <w:rPr>
                <w:rFonts w:eastAsia="宋体" w:cs="宋体"/>
                <w:snapToGrid/>
                <w:color w:val="auto"/>
              </w:rPr>
            </w:pPr>
            <w:r>
              <w:rPr>
                <w:rFonts w:eastAsia="宋体"/>
                <w:snapToGrid/>
                <w:color w:val="auto"/>
              </w:rPr>
              <w:t>1</w:t>
            </w:r>
            <w:r>
              <w:rPr>
                <w:rFonts w:eastAsia="宋体" w:cs="宋体"/>
                <w:snapToGrid/>
                <w:color w:val="auto"/>
              </w:rPr>
              <w:t>间</w:t>
            </w:r>
          </w:p>
        </w:tc>
        <w:tc>
          <w:tcPr>
            <w:tcW w:w="1130" w:type="pct"/>
            <w:vMerge w:val="continue"/>
            <w:tcBorders>
              <w:tl2br w:val="nil"/>
              <w:tr2bl w:val="nil"/>
            </w:tcBorders>
          </w:tcPr>
          <w:p w14:paraId="6B37E9F6">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r>
      <w:tr w14:paraId="11C55D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8" w:type="pct"/>
            <w:gridSpan w:val="2"/>
            <w:vMerge w:val="continue"/>
            <w:tcBorders>
              <w:tl2br w:val="nil"/>
              <w:tr2bl w:val="nil"/>
            </w:tcBorders>
          </w:tcPr>
          <w:p w14:paraId="2FDF0E07">
            <w:pPr>
              <w:widowControl w:val="0"/>
              <w:shd w:val="clear"/>
              <w:kinsoku/>
              <w:autoSpaceDE/>
              <w:autoSpaceDN/>
              <w:adjustRightInd/>
              <w:snapToGrid/>
              <w:spacing w:line="360" w:lineRule="auto"/>
              <w:jc w:val="center"/>
              <w:textAlignment w:val="auto"/>
              <w:rPr>
                <w:rFonts w:ascii="Times New Roman" w:hAnsi="Times New Roman" w:eastAsia="宋体"/>
                <w:snapToGrid/>
                <w:color w:val="auto"/>
              </w:rPr>
            </w:pPr>
          </w:p>
        </w:tc>
        <w:tc>
          <w:tcPr>
            <w:tcW w:w="899" w:type="pct"/>
            <w:gridSpan w:val="2"/>
            <w:tcBorders>
              <w:tl2br w:val="nil"/>
              <w:tr2bl w:val="nil"/>
            </w:tcBorders>
          </w:tcPr>
          <w:p w14:paraId="1B29E23C">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621" w:type="pct"/>
            <w:tcBorders>
              <w:tl2br w:val="nil"/>
              <w:tr2bl w:val="nil"/>
            </w:tcBorders>
          </w:tcPr>
          <w:p w14:paraId="30D8DA6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w:t>
            </w:r>
          </w:p>
        </w:tc>
        <w:tc>
          <w:tcPr>
            <w:tcW w:w="1539" w:type="pct"/>
            <w:tcBorders>
              <w:tl2br w:val="nil"/>
              <w:tr2bl w:val="nil"/>
            </w:tcBorders>
          </w:tcPr>
          <w:p w14:paraId="0A3FB3FB">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危险废物暂存间</w:t>
            </w:r>
          </w:p>
        </w:tc>
        <w:tc>
          <w:tcPr>
            <w:tcW w:w="411" w:type="pct"/>
            <w:tcBorders>
              <w:tl2br w:val="nil"/>
              <w:tr2bl w:val="nil"/>
            </w:tcBorders>
          </w:tcPr>
          <w:p w14:paraId="48E862C0">
            <w:pPr>
              <w:pStyle w:val="37"/>
              <w:widowControl w:val="0"/>
              <w:shd w:val="clear"/>
              <w:kinsoku/>
              <w:autoSpaceDE/>
              <w:autoSpaceDN/>
              <w:adjustRightInd/>
              <w:snapToGrid/>
              <w:spacing w:line="360" w:lineRule="auto"/>
              <w:jc w:val="center"/>
              <w:textAlignment w:val="auto"/>
              <w:rPr>
                <w:rFonts w:eastAsia="宋体"/>
                <w:snapToGrid/>
                <w:color w:val="auto"/>
                <w:szCs w:val="13"/>
              </w:rPr>
            </w:pPr>
            <w:r>
              <w:rPr>
                <w:rFonts w:hint="eastAsia" w:eastAsia="宋体"/>
                <w:snapToGrid/>
                <w:color w:val="auto"/>
                <w:lang w:eastAsia="zh-CN"/>
              </w:rPr>
              <w:t>5</w:t>
            </w:r>
            <w:r>
              <w:rPr>
                <w:rFonts w:eastAsia="宋体"/>
                <w:snapToGrid/>
                <w:color w:val="auto"/>
              </w:rPr>
              <w:t>m</w:t>
            </w:r>
            <w:r>
              <w:rPr>
                <w:rFonts w:eastAsia="宋体"/>
                <w:snapToGrid/>
                <w:color w:val="auto"/>
                <w:szCs w:val="13"/>
                <w:vertAlign w:val="superscript"/>
              </w:rPr>
              <w:t>2</w:t>
            </w:r>
          </w:p>
        </w:tc>
        <w:tc>
          <w:tcPr>
            <w:tcW w:w="1130" w:type="pct"/>
            <w:tcBorders>
              <w:tl2br w:val="nil"/>
              <w:tr2bl w:val="nil"/>
            </w:tcBorders>
          </w:tcPr>
          <w:p w14:paraId="16212CEE">
            <w:pPr>
              <w:pStyle w:val="37"/>
              <w:widowControl w:val="0"/>
              <w:shd w:val="clear"/>
              <w:kinsoku/>
              <w:autoSpaceDE/>
              <w:autoSpaceDN/>
              <w:adjustRightInd/>
              <w:snapToGrid/>
              <w:spacing w:line="360" w:lineRule="auto"/>
              <w:jc w:val="center"/>
              <w:textAlignment w:val="auto"/>
              <w:rPr>
                <w:rFonts w:eastAsia="宋体" w:cs="宋体"/>
                <w:snapToGrid/>
                <w:color w:val="auto"/>
                <w:lang w:eastAsia="zh-CN"/>
              </w:rPr>
            </w:pPr>
            <w:r>
              <w:rPr>
                <w:rFonts w:eastAsia="宋体" w:cs="宋体"/>
                <w:snapToGrid/>
                <w:color w:val="auto"/>
                <w:lang w:eastAsia="zh-CN"/>
              </w:rPr>
              <w:t>《危险废物贮存污染控制标准》（</w:t>
            </w:r>
            <w:r>
              <w:rPr>
                <w:rFonts w:eastAsia="宋体"/>
                <w:snapToGrid/>
                <w:color w:val="auto"/>
                <w:lang w:eastAsia="zh-CN"/>
              </w:rPr>
              <w:t>GB18957-2023</w:t>
            </w:r>
            <w:r>
              <w:rPr>
                <w:rFonts w:eastAsia="宋体" w:cs="宋体"/>
                <w:snapToGrid/>
                <w:color w:val="auto"/>
                <w:lang w:eastAsia="zh-CN"/>
              </w:rPr>
              <w:t>）有关规定</w:t>
            </w:r>
          </w:p>
        </w:tc>
      </w:tr>
      <w:tr w14:paraId="589657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398" w:type="pct"/>
            <w:gridSpan w:val="2"/>
            <w:tcBorders>
              <w:tl2br w:val="nil"/>
              <w:tr2bl w:val="nil"/>
            </w:tcBorders>
          </w:tcPr>
          <w:p w14:paraId="5B9C57E9">
            <w:pPr>
              <w:widowControl w:val="0"/>
              <w:shd w:val="clear"/>
              <w:kinsoku/>
              <w:autoSpaceDE/>
              <w:autoSpaceDN/>
              <w:adjustRightInd/>
              <w:snapToGrid/>
              <w:spacing w:line="360" w:lineRule="auto"/>
              <w:jc w:val="center"/>
              <w:textAlignment w:val="auto"/>
              <w:rPr>
                <w:rFonts w:ascii="Times New Roman" w:hAnsi="Times New Roman" w:eastAsia="宋体" w:cs="宋体"/>
                <w:snapToGrid/>
                <w:color w:val="auto"/>
              </w:rPr>
            </w:pPr>
            <w:r>
              <w:rPr>
                <w:rFonts w:ascii="Times New Roman" w:hAnsi="Times New Roman" w:eastAsia="宋体" w:cs="宋体"/>
                <w:snapToGrid/>
                <w:color w:val="auto"/>
              </w:rPr>
              <w:t>地下水</w:t>
            </w:r>
          </w:p>
        </w:tc>
        <w:tc>
          <w:tcPr>
            <w:tcW w:w="899" w:type="pct"/>
            <w:gridSpan w:val="2"/>
            <w:tcBorders>
              <w:tl2br w:val="nil"/>
              <w:tr2bl w:val="nil"/>
            </w:tcBorders>
          </w:tcPr>
          <w:p w14:paraId="17E56149">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2160" w:type="pct"/>
            <w:gridSpan w:val="2"/>
            <w:tcBorders>
              <w:tl2br w:val="nil"/>
              <w:tr2bl w:val="nil"/>
            </w:tcBorders>
          </w:tcPr>
          <w:p w14:paraId="55D1E69D">
            <w:pPr>
              <w:pStyle w:val="37"/>
              <w:widowControl w:val="0"/>
              <w:shd w:val="clear"/>
              <w:kinsoku/>
              <w:autoSpaceDE/>
              <w:autoSpaceDN/>
              <w:adjustRightInd/>
              <w:snapToGrid/>
              <w:spacing w:line="360" w:lineRule="auto"/>
              <w:jc w:val="center"/>
              <w:textAlignment w:val="auto"/>
              <w:rPr>
                <w:rFonts w:eastAsia="宋体"/>
                <w:snapToGrid/>
                <w:color w:val="auto"/>
                <w:lang w:eastAsia="zh-CN"/>
              </w:rPr>
            </w:pPr>
            <w:r>
              <w:rPr>
                <w:rFonts w:eastAsia="宋体" w:cs="宋体"/>
                <w:snapToGrid/>
                <w:color w:val="auto"/>
                <w:lang w:eastAsia="zh-CN"/>
              </w:rPr>
              <w:t>厂区硬化，分区防渗建设，对生产区等重点防渗区防渗系数</w:t>
            </w:r>
            <w:r>
              <w:rPr>
                <w:rFonts w:eastAsia="宋体"/>
                <w:snapToGrid/>
                <w:color w:val="auto"/>
                <w:lang w:eastAsia="zh-CN"/>
              </w:rPr>
              <w:t>K≤10</w:t>
            </w:r>
            <w:r>
              <w:rPr>
                <w:rFonts w:eastAsia="宋体"/>
                <w:snapToGrid/>
                <w:color w:val="auto"/>
                <w:szCs w:val="13"/>
                <w:vertAlign w:val="superscript"/>
                <w:lang w:eastAsia="zh-CN"/>
              </w:rPr>
              <w:t>-10</w:t>
            </w:r>
            <w:r>
              <w:rPr>
                <w:rFonts w:eastAsia="宋体"/>
                <w:snapToGrid/>
                <w:color w:val="auto"/>
                <w:lang w:eastAsia="zh-CN"/>
              </w:rPr>
              <w:t>cm/s</w:t>
            </w:r>
          </w:p>
        </w:tc>
        <w:tc>
          <w:tcPr>
            <w:tcW w:w="411" w:type="pct"/>
            <w:tcBorders>
              <w:tl2br w:val="nil"/>
              <w:tr2bl w:val="nil"/>
            </w:tcBorders>
          </w:tcPr>
          <w:p w14:paraId="7088FE9B">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c>
          <w:tcPr>
            <w:tcW w:w="1130" w:type="pct"/>
            <w:tcBorders>
              <w:tl2br w:val="nil"/>
              <w:tr2bl w:val="nil"/>
            </w:tcBorders>
          </w:tcPr>
          <w:p w14:paraId="529C7DE3">
            <w:pPr>
              <w:pStyle w:val="37"/>
              <w:widowControl w:val="0"/>
              <w:shd w:val="clear"/>
              <w:kinsoku/>
              <w:autoSpaceDE/>
              <w:autoSpaceDN/>
              <w:adjustRightInd/>
              <w:snapToGrid/>
              <w:spacing w:line="360" w:lineRule="auto"/>
              <w:jc w:val="center"/>
              <w:textAlignment w:val="auto"/>
              <w:rPr>
                <w:rFonts w:eastAsia="宋体"/>
                <w:snapToGrid/>
                <w:color w:val="auto"/>
              </w:rPr>
            </w:pPr>
            <w:r>
              <w:rPr>
                <w:rFonts w:eastAsia="宋体"/>
                <w:snapToGrid/>
                <w:color w:val="auto"/>
              </w:rPr>
              <w:t>/</w:t>
            </w:r>
          </w:p>
        </w:tc>
      </w:tr>
    </w:tbl>
    <w:p w14:paraId="24C373A1">
      <w:pPr>
        <w:widowControl w:val="0"/>
        <w:shd w:val="clear"/>
        <w:kinsoku/>
        <w:autoSpaceDE/>
        <w:autoSpaceDN/>
        <w:adjustRightInd/>
        <w:snapToGrid/>
        <w:textAlignment w:val="auto"/>
        <w:rPr>
          <w:rFonts w:ascii="Times New Roman" w:hAnsi="Times New Roman" w:eastAsia="宋体"/>
          <w:snapToGrid/>
          <w:color w:val="auto"/>
        </w:rPr>
      </w:pPr>
    </w:p>
    <w:p w14:paraId="576E1974">
      <w:pPr>
        <w:widowControl w:val="0"/>
        <w:shd w:val="clear"/>
        <w:kinsoku/>
        <w:autoSpaceDE/>
        <w:autoSpaceDN/>
        <w:adjustRightInd/>
        <w:snapToGrid/>
        <w:textAlignment w:val="auto"/>
        <w:rPr>
          <w:rFonts w:ascii="Times New Roman" w:hAnsi="Times New Roman" w:eastAsia="宋体"/>
          <w:snapToGrid/>
          <w:color w:val="auto"/>
        </w:rPr>
        <w:sectPr>
          <w:headerReference r:id="rId47" w:type="default"/>
          <w:footerReference r:id="rId48" w:type="default"/>
          <w:pgSz w:w="16838" w:h="11906"/>
          <w:pgMar w:top="1136" w:right="1410" w:bottom="1161" w:left="1411" w:header="868" w:footer="999" w:gutter="0"/>
          <w:pgBorders>
            <w:top w:val="none" w:sz="0" w:space="0"/>
            <w:left w:val="none" w:sz="0" w:space="0"/>
            <w:bottom w:val="none" w:sz="0" w:space="0"/>
            <w:right w:val="none" w:sz="0" w:space="0"/>
          </w:pgBorders>
          <w:cols w:space="720" w:num="1"/>
        </w:sectPr>
      </w:pPr>
    </w:p>
    <w:p w14:paraId="6A2BCEC1">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023" w:name="bookmark50"/>
      <w:bookmarkEnd w:id="1023"/>
      <w:bookmarkStart w:id="1024" w:name="_Toc23011"/>
      <w:bookmarkStart w:id="1025" w:name="_Toc3851"/>
      <w:bookmarkStart w:id="1026" w:name="_Toc13280"/>
      <w:r>
        <w:rPr>
          <w:rFonts w:hint="eastAsia" w:ascii="Times New Roman" w:hAnsi="Times New Roman" w:eastAsia="宋体"/>
          <w:snapToGrid/>
          <w:color w:val="auto"/>
          <w:lang w:eastAsia="zh-CN"/>
        </w:rPr>
        <w:t>8.8总量控制</w:t>
      </w:r>
      <w:bookmarkEnd w:id="1024"/>
      <w:bookmarkEnd w:id="1025"/>
      <w:bookmarkEnd w:id="1026"/>
    </w:p>
    <w:p w14:paraId="2DA7BFE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根据国家现行总量控制因子及“十四五”总量控制要求，考虑本项目的排污特点，污染物排放总量控制因子为VOCs：</w:t>
      </w:r>
    </w:p>
    <w:p w14:paraId="177A733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建议本项目申请总量控制指标为：VOCs：</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w:t>
      </w:r>
    </w:p>
    <w:p w14:paraId="4FA3AEF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p>
    <w:p w14:paraId="41FD951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sectPr>
          <w:headerReference r:id="rId49" w:type="default"/>
          <w:footerReference r:id="rId50" w:type="default"/>
          <w:pgSz w:w="11906" w:h="16838"/>
          <w:pgMar w:top="1136" w:right="1767" w:bottom="1157" w:left="1768" w:header="868" w:footer="994" w:gutter="0"/>
          <w:pgBorders>
            <w:top w:val="none" w:sz="0" w:space="0"/>
            <w:left w:val="none" w:sz="0" w:space="0"/>
            <w:bottom w:val="none" w:sz="0" w:space="0"/>
            <w:right w:val="none" w:sz="0" w:space="0"/>
          </w:pgBorders>
          <w:cols w:space="720" w:num="1"/>
        </w:sectPr>
      </w:pPr>
    </w:p>
    <w:p w14:paraId="1BFD9E05">
      <w:pPr>
        <w:pStyle w:val="4"/>
        <w:widowControl w:val="0"/>
        <w:shd w:val="clear"/>
        <w:kinsoku/>
        <w:autoSpaceDE/>
        <w:autoSpaceDN/>
        <w:adjustRightInd/>
        <w:snapToGrid/>
        <w:spacing w:line="360" w:lineRule="auto"/>
        <w:textAlignment w:val="auto"/>
        <w:rPr>
          <w:rFonts w:ascii="Times New Roman" w:hAnsi="Times New Roman" w:eastAsia="宋体" w:cs="Times New Roman"/>
          <w:snapToGrid/>
          <w:color w:val="auto"/>
          <w:lang w:eastAsia="zh-CN"/>
        </w:rPr>
      </w:pPr>
      <w:bookmarkStart w:id="1027" w:name="bookmark51"/>
      <w:bookmarkEnd w:id="1027"/>
      <w:bookmarkStart w:id="1028" w:name="_Toc21609"/>
      <w:bookmarkStart w:id="1029" w:name="_Toc9799"/>
      <w:bookmarkStart w:id="1030" w:name="_Toc20636"/>
      <w:r>
        <w:rPr>
          <w:rFonts w:hint="eastAsia" w:ascii="Times New Roman" w:hAnsi="Times New Roman" w:eastAsia="宋体" w:cs="Times New Roman"/>
          <w:snapToGrid/>
          <w:color w:val="auto"/>
          <w:lang w:eastAsia="zh-CN"/>
        </w:rPr>
        <w:t>9、结论与建议</w:t>
      </w:r>
      <w:bookmarkEnd w:id="1028"/>
      <w:bookmarkEnd w:id="1029"/>
      <w:bookmarkEnd w:id="1030"/>
    </w:p>
    <w:p w14:paraId="6BA3F8FC">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bookmarkStart w:id="1031" w:name="bookmark52"/>
      <w:bookmarkEnd w:id="1031"/>
      <w:bookmarkStart w:id="1032" w:name="_Toc11581"/>
      <w:bookmarkStart w:id="1033" w:name="_Toc13204"/>
      <w:bookmarkStart w:id="1034" w:name="_Toc20564"/>
      <w:r>
        <w:rPr>
          <w:rFonts w:hint="eastAsia" w:ascii="Times New Roman" w:hAnsi="Times New Roman" w:eastAsia="宋体"/>
          <w:snapToGrid/>
          <w:color w:val="auto"/>
          <w:lang w:eastAsia="zh-CN"/>
        </w:rPr>
        <w:t>9.1结论</w:t>
      </w:r>
      <w:bookmarkEnd w:id="1032"/>
      <w:bookmarkEnd w:id="1033"/>
      <w:bookmarkEnd w:id="1034"/>
    </w:p>
    <w:p w14:paraId="0C93CD37">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35" w:name="_Toc13326"/>
      <w:bookmarkStart w:id="1036" w:name="_Toc19724"/>
      <w:bookmarkStart w:id="1037" w:name="_Toc21736"/>
      <w:r>
        <w:rPr>
          <w:rFonts w:hint="eastAsia" w:ascii="Times New Roman" w:hAnsi="Times New Roman" w:cs="Times New Roman"/>
          <w:b/>
          <w:bCs/>
          <w:snapToGrid/>
          <w:color w:val="auto"/>
          <w:sz w:val="28"/>
          <w:szCs w:val="32"/>
          <w:lang w:eastAsia="zh-CN"/>
        </w:rPr>
        <w:t>9.1.1项目概况</w:t>
      </w:r>
      <w:bookmarkEnd w:id="1035"/>
      <w:bookmarkEnd w:id="1036"/>
      <w:bookmarkEnd w:id="1037"/>
    </w:p>
    <w:p w14:paraId="1D347F9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木垒哈萨克自治县雀仁乡河中村高效节水滴灌带厂建设项目</w:t>
      </w:r>
      <w:r>
        <w:rPr>
          <w:rFonts w:ascii="Times New Roman" w:hAnsi="Times New Roman"/>
          <w:snapToGrid/>
          <w:color w:val="auto"/>
          <w:sz w:val="24"/>
          <w:szCs w:val="24"/>
          <w:lang w:eastAsia="zh-CN"/>
        </w:rPr>
        <w:t>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，中心坐标：N</w:t>
      </w:r>
      <w:r>
        <w:rPr>
          <w:rFonts w:hint="eastAsia" w:ascii="Times New Roman" w:hAnsi="Times New Roman"/>
          <w:snapToGrid/>
          <w:color w:val="auto"/>
          <w:sz w:val="24"/>
          <w:szCs w:val="24"/>
          <w:lang w:eastAsia="zh-CN"/>
        </w:rPr>
        <w:t>44°6′16.63672″</w:t>
      </w:r>
      <w:r>
        <w:rPr>
          <w:rFonts w:ascii="Times New Roman" w:hAnsi="Times New Roman"/>
          <w:snapToGrid/>
          <w:color w:val="auto"/>
          <w:sz w:val="24"/>
          <w:szCs w:val="24"/>
          <w:lang w:eastAsia="zh-CN"/>
        </w:rPr>
        <w:t>，E</w:t>
      </w:r>
      <w:r>
        <w:rPr>
          <w:rFonts w:hint="eastAsia" w:ascii="Times New Roman" w:hAnsi="Times New Roman"/>
          <w:snapToGrid/>
          <w:color w:val="auto"/>
          <w:sz w:val="24"/>
          <w:szCs w:val="24"/>
          <w:lang w:eastAsia="zh-CN"/>
        </w:rPr>
        <w:t>90°7′15.75851″</w:t>
      </w:r>
      <w:r>
        <w:rPr>
          <w:rFonts w:ascii="Times New Roman" w:hAnsi="Times New Roman"/>
          <w:snapToGrid/>
          <w:color w:val="auto"/>
          <w:sz w:val="24"/>
          <w:szCs w:val="24"/>
          <w:lang w:eastAsia="zh-CN"/>
        </w:rPr>
        <w:t>，总占地</w:t>
      </w:r>
      <w:r>
        <w:rPr>
          <w:rFonts w:hint="eastAsia" w:ascii="Times New Roman" w:hAnsi="Times New Roman"/>
          <w:snapToGrid/>
          <w:color w:val="auto"/>
          <w:sz w:val="24"/>
          <w:szCs w:val="24"/>
          <w:lang w:eastAsia="zh-CN"/>
        </w:rPr>
        <w:t>面积9442.97</w:t>
      </w:r>
      <w:r>
        <w:rPr>
          <w:rFonts w:ascii="Times New Roman" w:hAnsi="Times New Roman"/>
          <w:snapToGrid/>
          <w:color w:val="auto"/>
          <w:sz w:val="24"/>
          <w:szCs w:val="24"/>
          <w:lang w:eastAsia="zh-CN"/>
        </w:rPr>
        <w:t>m</w:t>
      </w:r>
      <w:r>
        <w:rPr>
          <w:rFonts w:ascii="Times New Roman" w:hAnsi="Times New Roman"/>
          <w:snapToGrid/>
          <w:color w:val="auto"/>
          <w:sz w:val="24"/>
          <w:szCs w:val="24"/>
          <w:vertAlign w:val="superscript"/>
          <w:lang w:eastAsia="zh-CN"/>
        </w:rPr>
        <w:t>2</w:t>
      </w:r>
      <w:r>
        <w:rPr>
          <w:rFonts w:ascii="Times New Roman" w:hAnsi="Times New Roman"/>
          <w:snapToGrid/>
          <w:color w:val="auto"/>
          <w:sz w:val="24"/>
          <w:szCs w:val="24"/>
          <w:lang w:eastAsia="zh-CN"/>
        </w:rPr>
        <w:t>。项目所在地</w:t>
      </w:r>
      <w:r>
        <w:rPr>
          <w:rFonts w:hint="eastAsia" w:ascii="Times New Roman" w:hAnsi="Times New Roman"/>
          <w:snapToGrid/>
          <w:color w:val="auto"/>
          <w:sz w:val="24"/>
          <w:szCs w:val="24"/>
          <w:lang w:eastAsia="zh-CN"/>
        </w:rPr>
        <w:t>西侧为道路，南侧北侧为空地，东侧为冷冻库</w:t>
      </w:r>
      <w:r>
        <w:rPr>
          <w:rFonts w:ascii="Times New Roman" w:hAnsi="Times New Roman"/>
          <w:snapToGrid/>
          <w:color w:val="auto"/>
          <w:sz w:val="24"/>
          <w:szCs w:val="24"/>
          <w:lang w:eastAsia="zh-CN"/>
        </w:rPr>
        <w:t>。</w:t>
      </w:r>
    </w:p>
    <w:p w14:paraId="020F77B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项目主要建设内容为建设</w:t>
      </w:r>
      <w:r>
        <w:rPr>
          <w:rFonts w:hint="eastAsia" w:ascii="Times New Roman" w:hAnsi="Times New Roman"/>
          <w:snapToGrid/>
          <w:color w:val="auto"/>
          <w:sz w:val="24"/>
          <w:szCs w:val="24"/>
          <w:lang w:eastAsia="zh-CN"/>
        </w:rPr>
        <w:t>一套</w:t>
      </w:r>
      <w:r>
        <w:rPr>
          <w:rFonts w:ascii="Times New Roman" w:hAnsi="Times New Roman"/>
          <w:snapToGrid/>
          <w:color w:val="auto"/>
          <w:sz w:val="24"/>
          <w:szCs w:val="24"/>
          <w:lang w:eastAsia="zh-CN"/>
        </w:rPr>
        <w:t>塑料颗粒加工生产线、</w:t>
      </w:r>
      <w:r>
        <w:rPr>
          <w:rFonts w:hint="eastAsia" w:ascii="Times New Roman" w:hAnsi="Times New Roman"/>
          <w:snapToGrid/>
          <w:color w:val="auto"/>
          <w:sz w:val="24"/>
          <w:szCs w:val="24"/>
          <w:lang w:eastAsia="zh-CN"/>
        </w:rPr>
        <w:t>1条</w:t>
      </w:r>
      <w:r>
        <w:rPr>
          <w:rFonts w:ascii="Times New Roman" w:hAnsi="Times New Roman"/>
          <w:snapToGrid/>
          <w:color w:val="auto"/>
          <w:sz w:val="24"/>
          <w:szCs w:val="24"/>
          <w:lang w:eastAsia="zh-CN"/>
        </w:rPr>
        <w:t>废旧塑料清洗线，</w:t>
      </w:r>
      <w:r>
        <w:rPr>
          <w:rFonts w:hint="eastAsia" w:ascii="Times New Roman" w:hAnsi="Times New Roman"/>
          <w:snapToGrid/>
          <w:color w:val="auto"/>
          <w:sz w:val="24"/>
          <w:szCs w:val="24"/>
          <w:lang w:eastAsia="zh-CN"/>
        </w:rPr>
        <w:t>1条</w:t>
      </w:r>
      <w:r>
        <w:rPr>
          <w:rFonts w:ascii="Times New Roman" w:hAnsi="Times New Roman"/>
          <w:snapToGrid/>
          <w:color w:val="auto"/>
          <w:sz w:val="24"/>
          <w:szCs w:val="24"/>
          <w:lang w:eastAsia="zh-CN"/>
        </w:rPr>
        <w:t>滴灌带生产线。</w:t>
      </w:r>
    </w:p>
    <w:p w14:paraId="267028E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本项目总投资</w:t>
      </w:r>
      <w:r>
        <w:rPr>
          <w:rFonts w:hint="eastAsia" w:ascii="Times New Roman" w:hAnsi="Times New Roman"/>
          <w:snapToGrid/>
          <w:color w:val="auto"/>
          <w:sz w:val="24"/>
          <w:szCs w:val="24"/>
          <w:lang w:eastAsia="zh-CN"/>
        </w:rPr>
        <w:t>393万元</w:t>
      </w:r>
      <w:r>
        <w:rPr>
          <w:rFonts w:ascii="Times New Roman" w:hAnsi="Times New Roman"/>
          <w:snapToGrid/>
          <w:color w:val="auto"/>
          <w:sz w:val="24"/>
          <w:szCs w:val="24"/>
          <w:lang w:eastAsia="zh-CN"/>
        </w:rPr>
        <w:t>，环保投资为</w:t>
      </w:r>
      <w:r>
        <w:rPr>
          <w:rFonts w:hint="eastAsia" w:ascii="Times New Roman" w:hAnsi="Times New Roman"/>
          <w:snapToGrid/>
          <w:color w:val="auto"/>
          <w:sz w:val="24"/>
          <w:szCs w:val="24"/>
          <w:lang w:val="en-US" w:eastAsia="zh-CN"/>
        </w:rPr>
        <w:t>75</w:t>
      </w:r>
      <w:r>
        <w:rPr>
          <w:rFonts w:ascii="Times New Roman" w:hAnsi="Times New Roman"/>
          <w:snapToGrid/>
          <w:color w:val="auto"/>
          <w:sz w:val="24"/>
          <w:szCs w:val="24"/>
          <w:lang w:eastAsia="zh-CN"/>
        </w:rPr>
        <w:t>万元，工程环保投资占总投资比例为</w:t>
      </w:r>
      <w:r>
        <w:rPr>
          <w:rFonts w:hint="eastAsia" w:ascii="Times New Roman" w:hAnsi="Times New Roman"/>
          <w:snapToGrid/>
          <w:color w:val="auto"/>
          <w:sz w:val="24"/>
          <w:szCs w:val="24"/>
          <w:lang w:val="en-US" w:eastAsia="zh-CN"/>
        </w:rPr>
        <w:t>19%</w:t>
      </w:r>
      <w:r>
        <w:rPr>
          <w:rFonts w:ascii="Times New Roman" w:hAnsi="Times New Roman"/>
          <w:snapToGrid/>
          <w:color w:val="auto"/>
          <w:sz w:val="24"/>
          <w:szCs w:val="24"/>
          <w:lang w:eastAsia="zh-CN"/>
        </w:rPr>
        <w:t>。</w:t>
      </w:r>
    </w:p>
    <w:p w14:paraId="37DE1112">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38" w:name="_Toc8698"/>
      <w:bookmarkStart w:id="1039" w:name="_Toc29503"/>
      <w:bookmarkStart w:id="1040" w:name="_Toc31267"/>
      <w:r>
        <w:rPr>
          <w:rFonts w:hint="eastAsia" w:ascii="Times New Roman" w:hAnsi="Times New Roman" w:cs="Times New Roman"/>
          <w:b/>
          <w:bCs/>
          <w:snapToGrid/>
          <w:color w:val="auto"/>
          <w:sz w:val="28"/>
          <w:szCs w:val="32"/>
          <w:lang w:eastAsia="zh-CN"/>
        </w:rPr>
        <w:t>9.1.2项目建设可行性结论</w:t>
      </w:r>
      <w:bookmarkEnd w:id="1038"/>
      <w:bookmarkEnd w:id="1039"/>
      <w:bookmarkEnd w:id="1040"/>
    </w:p>
    <w:p w14:paraId="5D41A047">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"file:///C:\\Users\\jobezho\\AppData\\Local\\Temp\\Rar$DIa13476.12779\\9.1.2.1" </w:instrText>
      </w:r>
      <w:r>
        <w:rPr>
          <w:color w:val="auto"/>
        </w:rPr>
        <w:fldChar w:fldCharType="separate"/>
      </w:r>
      <w:r>
        <w:rPr>
          <w:rFonts w:hint="eastAsia" w:ascii="Times New Roman" w:hAnsi="Times New Roman" w:eastAsia="宋体"/>
          <w:snapToGrid/>
          <w:color w:val="auto"/>
          <w:sz w:val="24"/>
          <w:lang w:eastAsia="zh-CN"/>
        </w:rPr>
        <w:t>9.1.2.1</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产业政策符合性结论</w:t>
      </w:r>
    </w:p>
    <w:p w14:paraId="39AE9B3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本项目属于废旧资源回收利用及塑料制品生产项目，本项目属于《产业结构调整指导目录（</w:t>
      </w:r>
      <w:r>
        <w:rPr>
          <w:rFonts w:hint="eastAsia" w:ascii="Times New Roman" w:hAnsi="Times New Roman" w:cs="Times New Roman"/>
          <w:snapToGrid/>
          <w:color w:val="auto"/>
          <w:sz w:val="24"/>
          <w:szCs w:val="24"/>
          <w:lang w:eastAsia="zh-CN"/>
        </w:rPr>
        <w:t>2024年本</w:t>
      </w:r>
      <w:r>
        <w:rPr>
          <w:rFonts w:ascii="Times New Roman" w:hAnsi="Times New Roman"/>
          <w:snapToGrid/>
          <w:color w:val="auto"/>
          <w:sz w:val="24"/>
          <w:szCs w:val="24"/>
          <w:lang w:eastAsia="zh-CN"/>
        </w:rPr>
        <w:t>）》中“第一类鼓励类四十</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、环境保护与资源节约综合利用</w:t>
      </w:r>
      <w:r>
        <w:rPr>
          <w:rFonts w:hint="eastAsia" w:ascii="Times New Roman" w:hAnsi="Times New Roman" w:cs="Times New Roman"/>
          <w:snapToGrid/>
          <w:color w:val="auto"/>
          <w:sz w:val="24"/>
          <w:szCs w:val="24"/>
          <w:lang w:eastAsia="zh-CN"/>
        </w:rPr>
        <w:t>8</w:t>
      </w:r>
      <w:r>
        <w:rPr>
          <w:rFonts w:ascii="Times New Roman" w:hAnsi="Times New Roman"/>
          <w:snapToGrid/>
          <w:color w:val="auto"/>
          <w:sz w:val="24"/>
          <w:szCs w:val="24"/>
          <w:lang w:eastAsia="zh-CN"/>
        </w:rPr>
        <w:t>废橡胶等资源循环再利用技术、设备开发及应用”，符合国家产业政策。</w:t>
      </w:r>
    </w:p>
    <w:p w14:paraId="7A8625A9">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"file:///C:\\Users\\jobezho\\AppData\\Local\\Temp\\Rar$DIa13476.12779\\9.1.2.2" </w:instrText>
      </w:r>
      <w:r>
        <w:rPr>
          <w:color w:val="auto"/>
        </w:rPr>
        <w:fldChar w:fldCharType="separate"/>
      </w:r>
      <w:r>
        <w:rPr>
          <w:rFonts w:hint="eastAsia" w:ascii="Times New Roman" w:hAnsi="Times New Roman" w:eastAsia="宋体"/>
          <w:snapToGrid/>
          <w:color w:val="auto"/>
          <w:sz w:val="24"/>
          <w:lang w:eastAsia="zh-CN"/>
        </w:rPr>
        <w:t>9.1.2.2</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规划相符性</w:t>
      </w:r>
    </w:p>
    <w:p w14:paraId="075FAE92">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项目与《新疆生态环境保护“十四五”规划》《新疆维吾尔自治区国民经济和社会发展第十四个五年规划和2035年远景目标纲要》《昌吉回族自治州生态环境保护与建设“十四五”规划》</w:t>
      </w:r>
      <w:r>
        <w:rPr>
          <w:rFonts w:hint="eastAsia" w:ascii="宋体" w:hAnsi="宋体" w:eastAsia="宋体" w:cs="宋体"/>
          <w:snapToGrid w:val="0"/>
          <w:color w:val="000000"/>
          <w:kern w:val="0"/>
          <w:sz w:val="24"/>
          <w:szCs w:val="24"/>
          <w:lang w:val="en-US" w:eastAsia="zh-CN" w:bidi="ar"/>
        </w:rPr>
        <w:t>《木垒哈萨克自治县国土空间总体规划（</w:t>
      </w:r>
      <w:r>
        <w:rPr>
          <w:rFonts w:hint="default" w:ascii="Times New Roman" w:hAnsi="Times New Roman" w:eastAsia="宋体" w:cs="Times New Roman"/>
          <w:snapToGrid w:val="0"/>
          <w:color w:val="000000"/>
          <w:kern w:val="0"/>
          <w:sz w:val="24"/>
          <w:szCs w:val="24"/>
          <w:lang w:val="en-US" w:eastAsia="zh-CN" w:bidi="ar"/>
        </w:rPr>
        <w:t xml:space="preserve">2021- 2035 </w:t>
      </w:r>
      <w:r>
        <w:rPr>
          <w:rFonts w:hint="eastAsia" w:ascii="宋体" w:hAnsi="宋体" w:eastAsia="宋体" w:cs="宋体"/>
          <w:snapToGrid w:val="0"/>
          <w:color w:val="000000"/>
          <w:kern w:val="0"/>
          <w:sz w:val="24"/>
          <w:szCs w:val="24"/>
          <w:lang w:val="en-US" w:eastAsia="zh-CN" w:bidi="ar"/>
        </w:rPr>
        <w:t>年）》《</w:t>
      </w:r>
      <w:r>
        <w:rPr>
          <w:rFonts w:hint="eastAsia" w:cs="宋体"/>
          <w:snapToGrid w:val="0"/>
          <w:color w:val="000000"/>
          <w:kern w:val="0"/>
          <w:sz w:val="24"/>
          <w:szCs w:val="24"/>
          <w:lang w:val="en-US" w:eastAsia="zh-CN" w:bidi="ar"/>
        </w:rPr>
        <w:t>木垒哈萨克自治县</w:t>
      </w:r>
      <w:r>
        <w:rPr>
          <w:rFonts w:hint="eastAsia" w:ascii="宋体" w:hAnsi="宋体" w:eastAsia="宋体" w:cs="宋体"/>
          <w:snapToGrid w:val="0"/>
          <w:color w:val="000000"/>
          <w:kern w:val="0"/>
          <w:sz w:val="24"/>
          <w:szCs w:val="24"/>
          <w:lang w:val="en-US" w:eastAsia="zh-CN" w:bidi="ar"/>
        </w:rPr>
        <w:t>“十四五”生态环境保护规划》</w:t>
      </w:r>
      <w:r>
        <w:rPr>
          <w:rFonts w:ascii="Times New Roman" w:hAnsi="Times New Roman"/>
          <w:snapToGrid/>
          <w:color w:val="auto"/>
          <w:sz w:val="24"/>
          <w:szCs w:val="24"/>
          <w:lang w:eastAsia="zh-CN"/>
        </w:rPr>
        <w:t>等均相符。本项目位于新疆昌吉州</w:t>
      </w:r>
      <w:r>
        <w:rPr>
          <w:rFonts w:hint="eastAsia" w:ascii="Times New Roman" w:hAnsi="Times New Roman"/>
          <w:snapToGrid/>
          <w:color w:val="auto"/>
          <w:sz w:val="24"/>
          <w:szCs w:val="24"/>
          <w:lang w:eastAsia="zh-CN"/>
        </w:rPr>
        <w:t>木垒哈萨克自治县雀仁乡河中村</w:t>
      </w:r>
      <w:r>
        <w:rPr>
          <w:rFonts w:ascii="Times New Roman" w:hAnsi="Times New Roman"/>
          <w:snapToGrid/>
          <w:color w:val="auto"/>
          <w:sz w:val="24"/>
          <w:szCs w:val="24"/>
          <w:lang w:eastAsia="zh-CN"/>
        </w:rPr>
        <w:t>，利用回收的废旧滴灌带造粒再生产滴灌带产品。项目建设完成后可使废旧滴灌带等农业污染源大幅降低，得到综合利用，既达到了资源综合利用目的，实现循环经济发展，同时又起到了保护环境的作用。</w:t>
      </w:r>
    </w:p>
    <w:p w14:paraId="7CB8D959">
      <w:pPr>
        <w:pStyle w:val="7"/>
        <w:widowControl w:val="0"/>
        <w:shd w:val="clear"/>
        <w:kinsoku/>
        <w:autoSpaceDE/>
        <w:autoSpaceDN/>
        <w:adjustRightInd/>
        <w:snapToGrid/>
        <w:spacing w:line="360" w:lineRule="auto"/>
        <w:ind w:firstLine="420" w:firstLineChars="200"/>
        <w:jc w:val="both"/>
        <w:textAlignment w:val="auto"/>
        <w:rPr>
          <w:rFonts w:ascii="Times New Roman" w:hAnsi="Times New Roman" w:eastAsia="宋体"/>
          <w:snapToGrid/>
          <w:color w:val="auto"/>
          <w:sz w:val="24"/>
          <w:lang w:eastAsia="zh-CN"/>
        </w:rPr>
      </w:pPr>
      <w:r>
        <w:rPr>
          <w:color w:val="auto"/>
        </w:rPr>
        <w:fldChar w:fldCharType="begin"/>
      </w:r>
      <w:r>
        <w:rPr>
          <w:color w:val="auto"/>
        </w:rPr>
        <w:instrText xml:space="preserve"> HYPERLINK "file:///C:\\Users\\jobezho\\AppData\\Local\\Temp\\Rar$DIa13476.12779\\9.1.2.3" </w:instrText>
      </w:r>
      <w:r>
        <w:rPr>
          <w:color w:val="auto"/>
        </w:rPr>
        <w:fldChar w:fldCharType="separate"/>
      </w:r>
      <w:r>
        <w:rPr>
          <w:rFonts w:hint="eastAsia" w:ascii="Times New Roman" w:hAnsi="Times New Roman" w:eastAsia="宋体"/>
          <w:snapToGrid/>
          <w:color w:val="auto"/>
          <w:sz w:val="24"/>
          <w:lang w:eastAsia="zh-CN"/>
        </w:rPr>
        <w:t>9.1.2.3</w:t>
      </w:r>
      <w:r>
        <w:rPr>
          <w:rFonts w:hint="eastAsia" w:ascii="Times New Roman" w:hAnsi="Times New Roman" w:eastAsia="宋体"/>
          <w:snapToGrid/>
          <w:color w:val="auto"/>
          <w:sz w:val="24"/>
          <w:lang w:eastAsia="zh-CN"/>
        </w:rPr>
        <w:fldChar w:fldCharType="end"/>
      </w:r>
      <w:r>
        <w:rPr>
          <w:rFonts w:hint="eastAsia" w:ascii="Times New Roman" w:hAnsi="Times New Roman" w:eastAsia="宋体"/>
          <w:snapToGrid/>
          <w:color w:val="auto"/>
          <w:sz w:val="24"/>
          <w:lang w:eastAsia="zh-CN"/>
        </w:rPr>
        <w:t>选址合理性</w:t>
      </w:r>
    </w:p>
    <w:p w14:paraId="5A77220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项目位于</w:t>
      </w:r>
      <w:r>
        <w:rPr>
          <w:rFonts w:hint="eastAsia" w:ascii="Times New Roman" w:hAnsi="Times New Roman"/>
          <w:snapToGrid/>
          <w:color w:val="auto"/>
          <w:sz w:val="24"/>
          <w:szCs w:val="24"/>
          <w:lang w:eastAsia="zh-CN"/>
        </w:rPr>
        <w:t>木垒哈萨克自治县雀仁乡</w:t>
      </w:r>
      <w:r>
        <w:rPr>
          <w:rFonts w:ascii="Times New Roman" w:hAnsi="Times New Roman"/>
          <w:snapToGrid/>
          <w:color w:val="auto"/>
          <w:sz w:val="24"/>
          <w:szCs w:val="24"/>
          <w:lang w:eastAsia="zh-CN"/>
        </w:rPr>
        <w:t>，满足卫生防护距离的要求；用地性质为</w:t>
      </w:r>
      <w:r>
        <w:rPr>
          <w:rFonts w:hint="eastAsia" w:ascii="Times New Roman" w:hAnsi="Times New Roman"/>
          <w:snapToGrid/>
          <w:color w:val="auto"/>
          <w:sz w:val="24"/>
          <w:szCs w:val="24"/>
          <w:lang w:eastAsia="zh-CN"/>
        </w:rPr>
        <w:t>建设用地</w:t>
      </w:r>
      <w:r>
        <w:rPr>
          <w:rFonts w:ascii="Times New Roman" w:hAnsi="Times New Roman"/>
          <w:snapToGrid/>
          <w:color w:val="auto"/>
          <w:sz w:val="24"/>
          <w:szCs w:val="24"/>
          <w:lang w:eastAsia="zh-CN"/>
        </w:rPr>
        <w:t>，符合国家现行的土地使用政策；项目所在区域交通运输条件良好，供电、供水、通讯等基础设施的条件较好。因此，从环保角度考虑本项目选址较为合理。</w:t>
      </w:r>
    </w:p>
    <w:p w14:paraId="2760E8DE">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41" w:name="_Toc11529"/>
      <w:bookmarkStart w:id="1042" w:name="_Toc20175"/>
      <w:bookmarkStart w:id="1043" w:name="_Toc27571"/>
      <w:r>
        <w:rPr>
          <w:rFonts w:hint="eastAsia" w:ascii="Times New Roman" w:hAnsi="Times New Roman" w:cs="Times New Roman"/>
          <w:b/>
          <w:bCs/>
          <w:snapToGrid/>
          <w:color w:val="auto"/>
          <w:sz w:val="28"/>
          <w:szCs w:val="32"/>
          <w:lang w:eastAsia="zh-CN"/>
        </w:rPr>
        <w:t>9.1.3项目区环境质量现状结论</w:t>
      </w:r>
      <w:bookmarkEnd w:id="1041"/>
      <w:bookmarkEnd w:id="1042"/>
      <w:bookmarkEnd w:id="1043"/>
    </w:p>
    <w:p w14:paraId="4BD2585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（1）大气环境质量</w:t>
      </w:r>
    </w:p>
    <w:p w14:paraId="5F935386">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snapToGrid/>
          <w:color w:val="auto"/>
          <w:sz w:val="24"/>
          <w:szCs w:val="24"/>
          <w:lang w:val="en-US" w:eastAsia="zh-CN"/>
        </w:rPr>
      </w:pPr>
      <w:r>
        <w:rPr>
          <w:rFonts w:hint="eastAsia" w:ascii="Times New Roman" w:hAnsi="Times New Roman" w:eastAsia="宋体"/>
          <w:snapToGrid/>
          <w:color w:val="auto"/>
          <w:sz w:val="24"/>
          <w:szCs w:val="24"/>
          <w:lang w:val="en-US" w:eastAsia="zh-CN"/>
        </w:rPr>
        <w:t>根据《环境影响评价技术导则 大气环境》（HJ 2.2-2018）要求，PM</w:t>
      </w:r>
      <w:r>
        <w:rPr>
          <w:rFonts w:hint="eastAsia" w:ascii="Times New Roman" w:hAnsi="Times New Roman" w:eastAsia="宋体"/>
          <w:snapToGrid/>
          <w:color w:val="auto"/>
          <w:sz w:val="24"/>
          <w:szCs w:val="24"/>
          <w:vertAlign w:val="subscript"/>
          <w:lang w:val="en-US" w:eastAsia="zh-CN"/>
        </w:rPr>
        <w:t>10</w:t>
      </w:r>
      <w:r>
        <w:rPr>
          <w:rFonts w:hint="eastAsia" w:ascii="Times New Roman" w:hAnsi="Times New Roman" w:eastAsia="宋体"/>
          <w:snapToGrid/>
          <w:color w:val="auto"/>
          <w:sz w:val="24"/>
          <w:szCs w:val="24"/>
          <w:lang w:val="en-US" w:eastAsia="zh-CN"/>
        </w:rPr>
        <w:t>、PM</w:t>
      </w:r>
      <w:r>
        <w:rPr>
          <w:rFonts w:hint="eastAsia" w:ascii="Times New Roman" w:hAnsi="Times New Roman" w:eastAsia="宋体"/>
          <w:snapToGrid/>
          <w:color w:val="auto"/>
          <w:sz w:val="24"/>
          <w:szCs w:val="24"/>
          <w:vertAlign w:val="subscript"/>
          <w:lang w:val="en-US" w:eastAsia="zh-CN"/>
        </w:rPr>
        <w:t>2.5</w:t>
      </w:r>
      <w:r>
        <w:rPr>
          <w:rFonts w:hint="eastAsia" w:ascii="Times New Roman" w:hAnsi="Times New Roman" w:eastAsia="宋体"/>
          <w:snapToGrid/>
          <w:color w:val="auto"/>
          <w:sz w:val="24"/>
          <w:szCs w:val="24"/>
          <w:lang w:val="en-US" w:eastAsia="zh-CN"/>
        </w:rPr>
        <w:t>、SO</w:t>
      </w:r>
      <w:r>
        <w:rPr>
          <w:rFonts w:hint="eastAsia" w:ascii="Times New Roman" w:hAnsi="Times New Roman" w:eastAsia="宋体"/>
          <w:snapToGrid/>
          <w:color w:val="auto"/>
          <w:sz w:val="24"/>
          <w:szCs w:val="24"/>
          <w:vertAlign w:val="subscript"/>
          <w:lang w:val="en-US" w:eastAsia="zh-CN"/>
        </w:rPr>
        <w:t>2</w:t>
      </w:r>
      <w:r>
        <w:rPr>
          <w:rFonts w:hint="eastAsia" w:ascii="Times New Roman" w:hAnsi="Times New Roman" w:eastAsia="宋体"/>
          <w:snapToGrid/>
          <w:color w:val="auto"/>
          <w:sz w:val="24"/>
          <w:szCs w:val="24"/>
          <w:lang w:val="en-US" w:eastAsia="zh-CN"/>
        </w:rPr>
        <w:t>、NO</w:t>
      </w:r>
      <w:r>
        <w:rPr>
          <w:rFonts w:hint="eastAsia" w:ascii="Times New Roman" w:hAnsi="Times New Roman" w:eastAsia="宋体"/>
          <w:snapToGrid/>
          <w:color w:val="auto"/>
          <w:sz w:val="24"/>
          <w:szCs w:val="24"/>
          <w:vertAlign w:val="subscript"/>
          <w:lang w:val="en-US" w:eastAsia="zh-CN"/>
        </w:rPr>
        <w:t>2</w:t>
      </w:r>
      <w:r>
        <w:rPr>
          <w:rFonts w:hint="eastAsia" w:ascii="Times New Roman" w:hAnsi="Times New Roman" w:eastAsia="宋体"/>
          <w:snapToGrid/>
          <w:color w:val="auto"/>
          <w:sz w:val="24"/>
          <w:szCs w:val="24"/>
          <w:lang w:val="en-US" w:eastAsia="zh-CN"/>
        </w:rPr>
        <w:t>、CO、O</w:t>
      </w:r>
      <w:r>
        <w:rPr>
          <w:rFonts w:hint="eastAsia" w:ascii="Times New Roman" w:hAnsi="Times New Roman" w:eastAsia="宋体"/>
          <w:snapToGrid/>
          <w:color w:val="auto"/>
          <w:sz w:val="24"/>
          <w:szCs w:val="24"/>
          <w:vertAlign w:val="subscript"/>
          <w:lang w:val="en-US" w:eastAsia="zh-CN"/>
        </w:rPr>
        <w:t>3</w:t>
      </w:r>
      <w:r>
        <w:rPr>
          <w:rFonts w:hint="eastAsia" w:ascii="Times New Roman" w:hAnsi="Times New Roman" w:eastAsia="宋体"/>
          <w:snapToGrid/>
          <w:color w:val="auto"/>
          <w:sz w:val="24"/>
          <w:szCs w:val="24"/>
          <w:lang w:val="en-US" w:eastAsia="zh-CN"/>
        </w:rPr>
        <w:t>六项全部达标即为城市环境空气质量达标，由表4.2-1可知，项目所在区域为达标区。</w:t>
      </w:r>
    </w:p>
    <w:p w14:paraId="31F820AF">
      <w:pPr>
        <w:pStyle w:val="2"/>
        <w:widowControl w:val="0"/>
        <w:shd w:val="clear"/>
        <w:kinsoku/>
        <w:autoSpaceDE/>
        <w:autoSpaceDN/>
        <w:adjustRightInd/>
        <w:snapToGrid/>
        <w:spacing w:line="360" w:lineRule="auto"/>
        <w:ind w:firstLine="480" w:firstLineChars="200"/>
        <w:jc w:val="both"/>
        <w:textAlignment w:val="auto"/>
        <w:rPr>
          <w:rFonts w:hint="eastAsia" w:ascii="Times New Roman" w:hAnsi="Times New Roman" w:eastAsia="宋体"/>
          <w:snapToGrid/>
          <w:color w:val="auto"/>
          <w:sz w:val="24"/>
          <w:szCs w:val="24"/>
          <w:lang w:eastAsia="zh-CN"/>
        </w:rPr>
      </w:pPr>
      <w:r>
        <w:rPr>
          <w:rFonts w:ascii="Times New Roman" w:hAnsi="Times New Roman"/>
          <w:snapToGrid/>
          <w:color w:val="auto"/>
          <w:sz w:val="24"/>
          <w:szCs w:val="24"/>
          <w:lang w:eastAsia="zh-CN"/>
        </w:rPr>
        <w:t>非甲烷总烃的1小时浓度值满足《大气污染物综合排放标准详解》中的环境管理推荐限值。项目所在区域TSP满足《环境空气质量标准》（GB3095-2012</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含2018年修改单</w:t>
      </w:r>
      <w:r>
        <w:rPr>
          <w:rFonts w:ascii="Times New Roman" w:hAnsi="Times New Roman"/>
          <w:snapToGrid/>
          <w:color w:val="auto"/>
          <w:sz w:val="24"/>
          <w:szCs w:val="24"/>
          <w:lang w:eastAsia="zh-CN"/>
        </w:rPr>
        <w:t>）中的二级标准</w:t>
      </w:r>
      <w:r>
        <w:rPr>
          <w:rFonts w:hint="eastAsia"/>
          <w:color w:val="auto"/>
          <w:lang w:eastAsia="zh-CN"/>
        </w:rPr>
        <w:t>。</w:t>
      </w:r>
    </w:p>
    <w:p w14:paraId="170AADB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（2）地下水环境质量</w:t>
      </w:r>
    </w:p>
    <w:p w14:paraId="0FB74503">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各项满足《地下水质量标准》（GB/T14848-2017）的Ⅲ类标准要求，项目区地下水环境质量较好。</w:t>
      </w:r>
    </w:p>
    <w:p w14:paraId="04DF3D6A">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（3）声环境质量</w:t>
      </w:r>
    </w:p>
    <w:p w14:paraId="0343BD4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由监测结果可知，本项目声环境质量满足《声环境质量标准》（GB3096-2008）中</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类标准，说明项目所在地环境质量较好。</w:t>
      </w:r>
    </w:p>
    <w:p w14:paraId="6C955048">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44" w:name="_Toc6920"/>
      <w:bookmarkStart w:id="1045" w:name="_Toc1065"/>
      <w:bookmarkStart w:id="1046" w:name="_Toc31416"/>
      <w:r>
        <w:rPr>
          <w:rFonts w:hint="eastAsia" w:ascii="Times New Roman" w:hAnsi="Times New Roman" w:cs="Times New Roman"/>
          <w:b/>
          <w:bCs/>
          <w:snapToGrid/>
          <w:color w:val="auto"/>
          <w:sz w:val="28"/>
          <w:szCs w:val="32"/>
          <w:lang w:eastAsia="zh-CN"/>
        </w:rPr>
        <w:t>9.1.5清洁生产结论</w:t>
      </w:r>
      <w:bookmarkEnd w:id="1044"/>
      <w:bookmarkEnd w:id="1045"/>
      <w:bookmarkEnd w:id="1046"/>
    </w:p>
    <w:p w14:paraId="3735C04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企业从生产源头抓起，外购基料，采取资源优化配置，生产废水循环利用，在原辅材料单耗、单位产品的能耗、污染物排放量和废物回收利用等方面，属于清洁生产先进企业，提高了产品附加值，降低燃料消耗，同时实行污染全过程控制，大幅度减少污染。符合清洁生产要求。</w:t>
      </w:r>
    </w:p>
    <w:p w14:paraId="241E7A2D">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47" w:name="_Toc14732"/>
      <w:bookmarkStart w:id="1048" w:name="_Toc29447"/>
      <w:bookmarkStart w:id="1049" w:name="_Toc1"/>
      <w:r>
        <w:rPr>
          <w:rFonts w:hint="eastAsia" w:ascii="Times New Roman" w:hAnsi="Times New Roman" w:cs="Times New Roman"/>
          <w:b/>
          <w:bCs/>
          <w:snapToGrid/>
          <w:color w:val="auto"/>
          <w:sz w:val="28"/>
          <w:szCs w:val="32"/>
          <w:lang w:eastAsia="zh-CN"/>
        </w:rPr>
        <w:t>9.1.6环境风险评价</w:t>
      </w:r>
      <w:bookmarkEnd w:id="1047"/>
      <w:bookmarkEnd w:id="1048"/>
      <w:bookmarkEnd w:id="1049"/>
    </w:p>
    <w:p w14:paraId="4041D90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eastAsia="zh-CN"/>
        </w:rPr>
        <w:t>根据分析结果，本项目运营过程中主要的环境风险为火灾、爆炸、循环水池泄漏、</w:t>
      </w:r>
      <w:r>
        <w:rPr>
          <w:rFonts w:hint="eastAsia" w:ascii="Times New Roman" w:hAnsi="Times New Roman"/>
          <w:snapToGrid/>
          <w:color w:val="auto"/>
          <w:sz w:val="24"/>
          <w:szCs w:val="24"/>
          <w:lang w:val="en-US" w:eastAsia="zh-CN"/>
        </w:rPr>
        <w:t>危废暂存间废润滑油泄漏</w:t>
      </w:r>
      <w:r>
        <w:rPr>
          <w:rFonts w:hint="eastAsia" w:ascii="Times New Roman" w:hAnsi="Times New Roman"/>
          <w:snapToGrid/>
          <w:color w:val="auto"/>
          <w:sz w:val="24"/>
          <w:szCs w:val="24"/>
          <w:lang w:eastAsia="zh-CN"/>
        </w:rPr>
        <w:t>，但不存在重大危险源。</w:t>
      </w:r>
      <w:r>
        <w:rPr>
          <w:rFonts w:ascii="Times New Roman" w:hAnsi="Times New Roman"/>
          <w:snapToGrid/>
          <w:color w:val="auto"/>
          <w:sz w:val="24"/>
          <w:szCs w:val="24"/>
          <w:lang w:eastAsia="zh-CN"/>
        </w:rPr>
        <w:t>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p>
    <w:p w14:paraId="392FC2BA">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50" w:name="_Toc16220"/>
      <w:bookmarkStart w:id="1051" w:name="_Toc13640"/>
      <w:bookmarkStart w:id="1052" w:name="_Toc22197"/>
      <w:r>
        <w:rPr>
          <w:rFonts w:hint="eastAsia" w:ascii="Times New Roman" w:hAnsi="Times New Roman" w:cs="Times New Roman"/>
          <w:b/>
          <w:bCs/>
          <w:snapToGrid/>
          <w:color w:val="auto"/>
          <w:sz w:val="28"/>
          <w:szCs w:val="32"/>
          <w:lang w:eastAsia="zh-CN"/>
        </w:rPr>
        <w:t>9.1.7公众参与结论</w:t>
      </w:r>
      <w:bookmarkEnd w:id="1050"/>
      <w:bookmarkEnd w:id="1051"/>
      <w:bookmarkEnd w:id="1052"/>
    </w:p>
    <w:p w14:paraId="784E239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hint="eastAsia" w:ascii="Times New Roman" w:hAnsi="Times New Roman"/>
          <w:snapToGrid/>
          <w:color w:val="auto"/>
          <w:sz w:val="24"/>
          <w:szCs w:val="24"/>
          <w:lang w:val="en-US" w:eastAsia="zh-CN"/>
        </w:rPr>
        <w:t>为了解本项目所在区域公众对项目建设的态度及意见建议，</w:t>
      </w:r>
      <w:r>
        <w:rPr>
          <w:rFonts w:hint="default" w:ascii="Times New Roman" w:hAnsi="Times New Roman"/>
          <w:snapToGrid/>
          <w:color w:val="auto"/>
          <w:sz w:val="24"/>
          <w:szCs w:val="24"/>
          <w:lang w:val="en-US" w:eastAsia="zh-CN"/>
        </w:rPr>
        <w:t>建设单位根据《环境影响评价公众参与办法》</w:t>
      </w:r>
      <w:r>
        <w:rPr>
          <w:rFonts w:hint="eastAsia" w:ascii="Times New Roman" w:hAnsi="Times New Roman"/>
          <w:snapToGrid/>
          <w:color w:val="auto"/>
          <w:sz w:val="24"/>
          <w:szCs w:val="24"/>
          <w:lang w:val="en-US" w:eastAsia="zh-CN"/>
        </w:rPr>
        <w:t>（生态环境部 部令 第4号）</w:t>
      </w:r>
      <w:r>
        <w:rPr>
          <w:rFonts w:hint="default" w:ascii="Times New Roman" w:hAnsi="Times New Roman"/>
          <w:snapToGrid/>
          <w:color w:val="auto"/>
          <w:sz w:val="24"/>
          <w:szCs w:val="24"/>
          <w:lang w:val="en-US" w:eastAsia="zh-CN"/>
        </w:rPr>
        <w:t>的要求</w:t>
      </w:r>
      <w:r>
        <w:rPr>
          <w:rFonts w:hint="eastAsia" w:ascii="Times New Roman" w:hAnsi="Times New Roman"/>
          <w:snapToGrid/>
          <w:color w:val="auto"/>
          <w:sz w:val="24"/>
          <w:szCs w:val="24"/>
          <w:lang w:val="en-US" w:eastAsia="zh-CN"/>
        </w:rPr>
        <w:t>开展了公众参与调查工作</w:t>
      </w:r>
      <w:r>
        <w:rPr>
          <w:rFonts w:hint="default" w:ascii="Times New Roman" w:hAnsi="Times New Roman"/>
          <w:snapToGrid/>
          <w:color w:val="auto"/>
          <w:sz w:val="24"/>
          <w:szCs w:val="24"/>
          <w:lang w:val="en-US" w:eastAsia="zh-CN"/>
        </w:rPr>
        <w:t>，已进行了</w:t>
      </w:r>
      <w:r>
        <w:rPr>
          <w:rFonts w:hint="eastAsia" w:ascii="Times New Roman" w:hAnsi="Times New Roman"/>
          <w:snapToGrid/>
          <w:color w:val="auto"/>
          <w:sz w:val="24"/>
          <w:szCs w:val="24"/>
          <w:lang w:val="en-US" w:eastAsia="zh-CN"/>
        </w:rPr>
        <w:t>3</w:t>
      </w:r>
      <w:r>
        <w:rPr>
          <w:rFonts w:hint="default" w:ascii="Times New Roman" w:hAnsi="Times New Roman"/>
          <w:snapToGrid/>
          <w:color w:val="auto"/>
          <w:sz w:val="24"/>
          <w:szCs w:val="24"/>
          <w:lang w:val="en-US" w:eastAsia="zh-CN"/>
        </w:rPr>
        <w:t>次网上公示</w:t>
      </w:r>
      <w:r>
        <w:rPr>
          <w:rFonts w:hint="eastAsia" w:ascii="Times New Roman" w:hAnsi="Times New Roman"/>
          <w:snapToGrid/>
          <w:color w:val="auto"/>
          <w:sz w:val="24"/>
          <w:szCs w:val="24"/>
          <w:lang w:val="en-US" w:eastAsia="zh-CN"/>
        </w:rPr>
        <w:t>（首次公示、征求意见稿公示、拟报批公示）</w:t>
      </w:r>
      <w:r>
        <w:rPr>
          <w:rFonts w:hint="default" w:ascii="Times New Roman" w:hAnsi="Times New Roman"/>
          <w:snapToGrid/>
          <w:color w:val="auto"/>
          <w:sz w:val="24"/>
          <w:szCs w:val="24"/>
          <w:lang w:val="en-US" w:eastAsia="zh-CN"/>
        </w:rPr>
        <w:t>、</w:t>
      </w:r>
      <w:r>
        <w:rPr>
          <w:rFonts w:hint="eastAsia" w:ascii="Times New Roman" w:hAnsi="Times New Roman"/>
          <w:snapToGrid/>
          <w:color w:val="auto"/>
          <w:sz w:val="24"/>
          <w:szCs w:val="24"/>
          <w:lang w:val="en-US" w:eastAsia="zh-CN"/>
        </w:rPr>
        <w:t>1</w:t>
      </w:r>
      <w:r>
        <w:rPr>
          <w:rFonts w:hint="default" w:ascii="Times New Roman" w:hAnsi="Times New Roman"/>
          <w:snapToGrid/>
          <w:color w:val="auto"/>
          <w:sz w:val="24"/>
          <w:szCs w:val="24"/>
          <w:lang w:val="en-US" w:eastAsia="zh-CN"/>
        </w:rPr>
        <w:t>次张贴公告、</w:t>
      </w:r>
      <w:r>
        <w:rPr>
          <w:rFonts w:hint="eastAsia" w:ascii="Times New Roman" w:hAnsi="Times New Roman"/>
          <w:snapToGrid/>
          <w:color w:val="auto"/>
          <w:sz w:val="24"/>
          <w:szCs w:val="24"/>
          <w:lang w:val="en-US" w:eastAsia="zh-CN"/>
        </w:rPr>
        <w:t>2</w:t>
      </w:r>
      <w:r>
        <w:rPr>
          <w:rFonts w:hint="default" w:ascii="Times New Roman" w:hAnsi="Times New Roman"/>
          <w:snapToGrid/>
          <w:color w:val="auto"/>
          <w:sz w:val="24"/>
          <w:szCs w:val="24"/>
          <w:lang w:val="en-US" w:eastAsia="zh-CN"/>
        </w:rPr>
        <w:t>次报纸公示，项目信息公告公示期间，均未收到公众以电话、信件或电子邮件等任何形式发回的反馈意见。</w:t>
      </w:r>
    </w:p>
    <w:p w14:paraId="68B8901A">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53" w:name="_Toc27858"/>
      <w:bookmarkStart w:id="1054" w:name="_Toc1736"/>
      <w:bookmarkStart w:id="1055" w:name="_Toc28440"/>
      <w:r>
        <w:rPr>
          <w:rFonts w:hint="eastAsia" w:ascii="Times New Roman" w:hAnsi="Times New Roman" w:cs="Times New Roman"/>
          <w:b/>
          <w:bCs/>
          <w:snapToGrid/>
          <w:color w:val="auto"/>
          <w:sz w:val="28"/>
          <w:szCs w:val="32"/>
          <w:lang w:eastAsia="zh-CN"/>
        </w:rPr>
        <w:t>9.1.8总量控制结论</w:t>
      </w:r>
      <w:bookmarkEnd w:id="1053"/>
      <w:bookmarkEnd w:id="1054"/>
      <w:bookmarkEnd w:id="1055"/>
    </w:p>
    <w:p w14:paraId="0B7D287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固废综合利用与处置，危险废物交由有资质单位处置，一般固废能回收利用的返回生产工序循环利用，不能回收利用的妥善处理，生活垃圾送垃圾填埋场统一处理，根据“达标排放”及“污染物总量区域平衡”的原则，本项目生产废水全部回用，</w:t>
      </w:r>
      <w:r>
        <w:rPr>
          <w:rFonts w:hint="eastAsia" w:ascii="Times New Roman" w:hAnsi="Times New Roman"/>
          <w:snapToGrid/>
          <w:color w:val="auto"/>
          <w:sz w:val="24"/>
          <w:szCs w:val="24"/>
          <w:lang w:eastAsia="zh-CN"/>
        </w:rPr>
        <w:t>生活污水</w:t>
      </w:r>
      <w:r>
        <w:rPr>
          <w:rFonts w:ascii="Times New Roman" w:hAnsi="Times New Roman"/>
          <w:snapToGrid/>
          <w:color w:val="auto"/>
          <w:sz w:val="24"/>
          <w:szCs w:val="24"/>
          <w:lang w:eastAsia="zh-CN"/>
        </w:rPr>
        <w:t>排入</w:t>
      </w:r>
      <w:r>
        <w:rPr>
          <w:rFonts w:hint="eastAsia" w:ascii="Times New Roman" w:hAnsi="Times New Roman"/>
          <w:snapToGrid/>
          <w:color w:val="auto"/>
          <w:sz w:val="24"/>
          <w:szCs w:val="24"/>
          <w:lang w:eastAsia="zh-CN"/>
        </w:rPr>
        <w:t>化粪池，定期拉运至木垒哈萨克自治县污水处理厂处理</w:t>
      </w:r>
      <w:r>
        <w:rPr>
          <w:rFonts w:ascii="Times New Roman" w:hAnsi="Times New Roman"/>
          <w:snapToGrid/>
          <w:color w:val="auto"/>
          <w:sz w:val="24"/>
          <w:szCs w:val="24"/>
          <w:lang w:eastAsia="zh-CN"/>
        </w:rPr>
        <w:t>，因此建议申请的总量控制指标为非甲烷总烃</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w:t>
      </w:r>
    </w:p>
    <w:p w14:paraId="5B8609B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根据工程分析内容，本项目建设完成后，在采取有效的污染防治措施，控制污染物达标排放、实现环境保护目标的前提下，本项目总量控制指标及实施后总量控制指标为：VOCs（以非甲烷总烃计）：</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t/a，污染物排放总量需由昌吉州生态环境局</w:t>
      </w:r>
      <w:r>
        <w:rPr>
          <w:rFonts w:hint="eastAsia" w:ascii="Times New Roman" w:hAnsi="Times New Roman"/>
          <w:snapToGrid/>
          <w:color w:val="auto"/>
          <w:sz w:val="24"/>
          <w:szCs w:val="24"/>
          <w:lang w:eastAsia="zh-CN"/>
        </w:rPr>
        <w:t>木垒哈萨克自治县</w:t>
      </w:r>
      <w:r>
        <w:rPr>
          <w:rFonts w:ascii="Times New Roman" w:hAnsi="Times New Roman"/>
          <w:snapToGrid/>
          <w:color w:val="auto"/>
          <w:sz w:val="24"/>
          <w:szCs w:val="24"/>
          <w:lang w:eastAsia="zh-CN"/>
        </w:rPr>
        <w:t>分局进一步确认总量控制指标来源</w:t>
      </w:r>
    </w:p>
    <w:p w14:paraId="40306D74">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56" w:name="_Toc29764"/>
      <w:bookmarkStart w:id="1057" w:name="_Toc27530"/>
      <w:bookmarkStart w:id="1058" w:name="_Toc25191"/>
      <w:r>
        <w:rPr>
          <w:rFonts w:hint="eastAsia" w:ascii="Times New Roman" w:hAnsi="Times New Roman" w:cs="Times New Roman"/>
          <w:b/>
          <w:bCs/>
          <w:snapToGrid/>
          <w:color w:val="auto"/>
          <w:sz w:val="28"/>
          <w:szCs w:val="32"/>
          <w:lang w:eastAsia="zh-CN"/>
        </w:rPr>
        <w:t>9.1.9综合评价结论</w:t>
      </w:r>
      <w:bookmarkEnd w:id="1056"/>
      <w:bookmarkEnd w:id="1057"/>
      <w:bookmarkEnd w:id="1058"/>
    </w:p>
    <w:p w14:paraId="1CE3D428">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的建设符合国家产业政策、选址合理、符合“三线一单”要求、污染物的防治措施在技术上和经济上可行，本项目回收当地农业生产产生的废旧滴灌带进行再生造粒，利用再生聚乙烯颗粒料生产滴灌带，项目的建设可有效解决当地农业生产的废塑料污染，同时可达到资源循环利用目的。环境影响评价的结果表明，项目在严格落实施工期以及运营期各项环保措施的情况下，项目的污染物排放对环境的影响较小，基本不改变当地环境质量现状和功能要求。本项目废气为塑料颗粒加工生产过程造粒工序和滴灌带生产过程挤出成型工序中产生的有机废气（主要为非甲烷总烃）。本次评价提出有机废气经“</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经由15m高的排气筒排放。因此，本项目运行期间废气对周围环境影响不大，本项目大气环境影响可以接受。本评价认为，项目在设计和运行时应严格执行安全生产的各项规章制度，根据生产的安全要求，制定事故应急预案，配套相应的安全防范措施，杜绝事故对环境产生的风险。项目建设过程中应严格认真执行环境保护“三同时”制度，切实落实本报告书各项污染防治措施和环境管理措施，确保各类污染物稳定达标排放和污染物排放总量控制。在此基础上，本项目的建设在环境保护方面是可行的。</w:t>
      </w:r>
    </w:p>
    <w:p w14:paraId="5D138E5C">
      <w:pPr>
        <w:pStyle w:val="2"/>
        <w:widowControl w:val="0"/>
        <w:shd w:val="clear"/>
        <w:kinsoku/>
        <w:autoSpaceDE/>
        <w:autoSpaceDN/>
        <w:adjustRightInd/>
        <w:snapToGrid/>
        <w:spacing w:before="120" w:after="120" w:line="360" w:lineRule="auto"/>
        <w:jc w:val="both"/>
        <w:textAlignment w:val="auto"/>
        <w:outlineLvl w:val="2"/>
        <w:rPr>
          <w:rFonts w:ascii="Times New Roman" w:hAnsi="Times New Roman" w:cs="Times New Roman"/>
          <w:b/>
          <w:bCs/>
          <w:snapToGrid/>
          <w:color w:val="auto"/>
          <w:sz w:val="28"/>
          <w:szCs w:val="32"/>
          <w:lang w:eastAsia="zh-CN"/>
        </w:rPr>
      </w:pPr>
      <w:bookmarkStart w:id="1059" w:name="bookmark53"/>
      <w:bookmarkEnd w:id="1059"/>
      <w:bookmarkStart w:id="1060" w:name="_Toc16603"/>
      <w:bookmarkStart w:id="1061" w:name="_Toc11102"/>
      <w:bookmarkStart w:id="1062" w:name="_Toc12757"/>
      <w:bookmarkStart w:id="1063" w:name="_Toc17076"/>
      <w:bookmarkStart w:id="1064" w:name="_Toc21621"/>
      <w:bookmarkStart w:id="1065" w:name="_Toc30504"/>
      <w:r>
        <w:rPr>
          <w:rFonts w:hint="eastAsia" w:ascii="Times New Roman" w:hAnsi="Times New Roman" w:cs="Times New Roman"/>
          <w:b/>
          <w:bCs/>
          <w:snapToGrid/>
          <w:color w:val="auto"/>
          <w:sz w:val="28"/>
          <w:szCs w:val="32"/>
          <w:lang w:eastAsia="zh-CN"/>
        </w:rPr>
        <w:t>9.1.4营运期环境影响评价结论</w:t>
      </w:r>
      <w:bookmarkEnd w:id="1060"/>
      <w:bookmarkEnd w:id="1061"/>
      <w:bookmarkEnd w:id="1062"/>
    </w:p>
    <w:p w14:paraId="1855E2D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（1）大气环境影响评价</w:t>
      </w:r>
    </w:p>
    <w:p w14:paraId="5235C50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本项目运营后产生的废气主要为废旧塑料颗粒加工生产造粒工序和滴灌带生产过程挤出成型工序中产生的有机废气（主要为非甲烷总烃）。根据工程分析计算，本项目产生的非甲烷总烃量为</w:t>
      </w:r>
      <w:r>
        <w:rPr>
          <w:rFonts w:hint="eastAsia" w:ascii="Times New Roman" w:hAnsi="Times New Roman"/>
          <w:snapToGrid/>
          <w:color w:val="auto"/>
          <w:sz w:val="24"/>
          <w:szCs w:val="24"/>
          <w:lang w:val="en-US" w:eastAsia="zh-CN"/>
        </w:rPr>
        <w:t>7</w:t>
      </w:r>
      <w:r>
        <w:rPr>
          <w:rFonts w:ascii="Times New Roman" w:hAnsi="Times New Roman"/>
          <w:snapToGrid/>
          <w:color w:val="auto"/>
          <w:sz w:val="24"/>
          <w:szCs w:val="24"/>
          <w:lang w:eastAsia="zh-CN"/>
        </w:rPr>
        <w:t>t/a。本次评价要求在加工工序产生的废气经集气罩收集，废气集中收集后经1套“</w:t>
      </w:r>
      <w:r>
        <w:rPr>
          <w:rFonts w:hint="eastAsia" w:ascii="Times New Roman" w:hAnsi="Times New Roman"/>
          <w:snapToGrid/>
          <w:color w:val="auto"/>
          <w:sz w:val="24"/>
          <w:szCs w:val="24"/>
          <w:lang w:eastAsia="zh-CN"/>
        </w:rPr>
        <w:t>活性炭吸附+蓄热式催化燃烧</w:t>
      </w:r>
      <w:r>
        <w:rPr>
          <w:rFonts w:ascii="Times New Roman" w:hAnsi="Times New Roman"/>
          <w:snapToGrid/>
          <w:color w:val="auto"/>
          <w:sz w:val="24"/>
          <w:szCs w:val="24"/>
          <w:lang w:eastAsia="zh-CN"/>
        </w:rPr>
        <w:t>”处理后，经由15m高的排气筒（DA001）排放；根据工程分析计算，产生非甲烷总烃经处理后排放量为</w:t>
      </w:r>
      <w:r>
        <w:rPr>
          <w:rFonts w:hint="eastAsia" w:ascii="Times New Roman" w:hAnsi="Times New Roman"/>
          <w:snapToGrid/>
          <w:color w:val="auto"/>
          <w:sz w:val="24"/>
          <w:szCs w:val="24"/>
          <w:lang w:eastAsia="zh-CN"/>
        </w:rPr>
        <w:t>0.945</w:t>
      </w:r>
      <w:r>
        <w:rPr>
          <w:rFonts w:ascii="Times New Roman" w:hAnsi="Times New Roman"/>
          <w:snapToGrid/>
          <w:color w:val="auto"/>
          <w:sz w:val="24"/>
          <w:szCs w:val="24"/>
          <w:lang w:eastAsia="zh-CN"/>
        </w:rPr>
        <w:t>t/a，排放速率为</w:t>
      </w:r>
      <w:r>
        <w:rPr>
          <w:rFonts w:hint="eastAsia" w:ascii="Times New Roman" w:hAnsi="Times New Roman"/>
          <w:snapToGrid/>
          <w:color w:val="auto"/>
          <w:sz w:val="24"/>
          <w:szCs w:val="24"/>
          <w:lang w:eastAsia="zh-CN"/>
        </w:rPr>
        <w:t>0.16</w:t>
      </w:r>
      <w:r>
        <w:rPr>
          <w:rFonts w:ascii="Times New Roman" w:hAnsi="Times New Roman"/>
          <w:snapToGrid/>
          <w:color w:val="auto"/>
          <w:sz w:val="24"/>
          <w:szCs w:val="24"/>
          <w:lang w:eastAsia="zh-CN"/>
        </w:rPr>
        <w:t>kg/h，排放浓度为</w:t>
      </w:r>
      <w:r>
        <w:rPr>
          <w:rFonts w:hint="eastAsia" w:ascii="Times New Roman" w:hAnsi="Times New Roman"/>
          <w:snapToGrid/>
          <w:color w:val="auto"/>
          <w:sz w:val="24"/>
          <w:szCs w:val="24"/>
          <w:lang w:eastAsia="zh-CN"/>
        </w:rPr>
        <w:t>3.2</w:t>
      </w:r>
      <w:r>
        <w:rPr>
          <w:rFonts w:ascii="Times New Roman" w:hAnsi="Times New Roman"/>
          <w:snapToGrid/>
          <w:color w:val="auto"/>
          <w:sz w:val="24"/>
          <w:szCs w:val="24"/>
          <w:lang w:eastAsia="zh-CN"/>
        </w:rPr>
        <w:t>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；非甲烷总烃满足</w:t>
      </w:r>
      <w:r>
        <w:rPr>
          <w:rFonts w:hint="eastAsia" w:ascii="Times New Roman" w:hAnsi="Times New Roman"/>
          <w:snapToGrid/>
          <w:color w:val="auto"/>
          <w:sz w:val="24"/>
          <w:szCs w:val="24"/>
          <w:lang w:eastAsia="zh-CN"/>
        </w:rPr>
        <w:t>《合成树脂工业污染物排放标准》（GB 31572-2015，含2024年修改单）</w:t>
      </w:r>
      <w:r>
        <w:rPr>
          <w:rFonts w:ascii="Times New Roman" w:hAnsi="Times New Roman"/>
          <w:snapToGrid/>
          <w:color w:val="auto"/>
          <w:sz w:val="24"/>
          <w:szCs w:val="24"/>
          <w:lang w:eastAsia="zh-CN"/>
        </w:rPr>
        <w:t>表4大气污染物排放限值中非甲烷总烃（100mg/m</w:t>
      </w:r>
      <w:r>
        <w:rPr>
          <w:rFonts w:ascii="Times New Roman" w:hAnsi="Times New Roman"/>
          <w:snapToGrid/>
          <w:color w:val="auto"/>
          <w:sz w:val="24"/>
          <w:szCs w:val="24"/>
          <w:vertAlign w:val="superscript"/>
          <w:lang w:eastAsia="zh-CN"/>
        </w:rPr>
        <w:t>3</w:t>
      </w:r>
      <w:r>
        <w:rPr>
          <w:rFonts w:ascii="Times New Roman" w:hAnsi="Times New Roman"/>
          <w:snapToGrid/>
          <w:color w:val="auto"/>
          <w:sz w:val="24"/>
          <w:szCs w:val="24"/>
          <w:lang w:eastAsia="zh-CN"/>
        </w:rPr>
        <w:t>）要求；</w:t>
      </w:r>
    </w:p>
    <w:p w14:paraId="0E723DCB">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针对生产车间无组织排放的非甲烷总烃，其主要影响车间室内环</w:t>
      </w:r>
      <w:r>
        <w:rPr>
          <w:rFonts w:hint="eastAsia" w:ascii="Times New Roman" w:hAnsi="Times New Roman"/>
          <w:snapToGrid/>
          <w:color w:val="auto"/>
          <w:sz w:val="24"/>
          <w:szCs w:val="24"/>
          <w:lang w:eastAsia="zh-CN"/>
        </w:rPr>
        <w:t>境的</w:t>
      </w:r>
      <w:r>
        <w:rPr>
          <w:rFonts w:ascii="Times New Roman" w:hAnsi="Times New Roman"/>
          <w:snapToGrid/>
          <w:color w:val="auto"/>
          <w:sz w:val="24"/>
          <w:szCs w:val="24"/>
          <w:lang w:eastAsia="zh-CN"/>
        </w:rPr>
        <w:t>空气，建设单位通过在废旧塑料颗粒加工和滴灌带车间顶部设置换气扇将废气引风排出，做好车间通风换气工作以改善空气环境；同时加强操作工人的自我防护，配备必要的劳保用品（口罩、眼镜等），并严格按照相关劳动规范作业，以尽量减轻废气排放对环境空气及员工健康的影响。因此，本项目废气对周围大气环境影响不大。</w:t>
      </w:r>
    </w:p>
    <w:p w14:paraId="6715970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（2）水环境影响评价</w:t>
      </w:r>
    </w:p>
    <w:p w14:paraId="67CC6B39">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项目生活污水</w:t>
      </w:r>
      <w:r>
        <w:rPr>
          <w:rFonts w:hint="eastAsia" w:ascii="Times New Roman" w:hAnsi="Times New Roman"/>
          <w:snapToGrid/>
          <w:color w:val="auto"/>
          <w:sz w:val="24"/>
          <w:szCs w:val="24"/>
          <w:lang w:eastAsia="zh-CN"/>
        </w:rPr>
        <w:t>排入防渗化粪池，定期抽运至木垒哈萨克自治县污水处理厂处理</w:t>
      </w:r>
      <w:r>
        <w:rPr>
          <w:rFonts w:ascii="Times New Roman" w:hAnsi="Times New Roman"/>
          <w:snapToGrid/>
          <w:color w:val="auto"/>
          <w:sz w:val="24"/>
          <w:szCs w:val="24"/>
          <w:lang w:eastAsia="zh-CN"/>
        </w:rPr>
        <w:t>。本项目生产用水主要为废旧滴灌带破碎工段喷淋废水、废旧滴灌带清洗工段清洗废水、再生聚乙烯颗粒料和滴灌带冷却循环水，循环使用不外排。</w:t>
      </w:r>
    </w:p>
    <w:p w14:paraId="09597FC6">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（3）声环境影响评价</w:t>
      </w:r>
    </w:p>
    <w:p w14:paraId="6D2E211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为降低项目噪声对周围环境的影响，可采取以下控制措施：合理布局，要充分考虑各机械设备及各生产工序的性能特点，高噪声设备尽量放置在厂房中部集中布置。在厂区总体布置上利用建筑物、构筑物等阻隔声波的传播；选用低噪声设备，基础减振、采取厂房隔音等措施降噪。</w:t>
      </w:r>
    </w:p>
    <w:p w14:paraId="69F902A5">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经采取上述措施后，并经距离消减后，项目厂界噪声均可达到《工业企业厂界环境噪声排放标准》（GB12348-2008）</w:t>
      </w:r>
      <w:r>
        <w:rPr>
          <w:rFonts w:hint="eastAsia" w:ascii="Times New Roman" w:hAnsi="Times New Roman"/>
          <w:snapToGrid/>
          <w:color w:val="auto"/>
          <w:sz w:val="24"/>
          <w:szCs w:val="24"/>
          <w:lang w:eastAsia="zh-CN"/>
        </w:rPr>
        <w:t>2</w:t>
      </w:r>
      <w:r>
        <w:rPr>
          <w:rFonts w:ascii="Times New Roman" w:hAnsi="Times New Roman"/>
          <w:snapToGrid/>
          <w:color w:val="auto"/>
          <w:sz w:val="24"/>
          <w:szCs w:val="24"/>
          <w:lang w:eastAsia="zh-CN"/>
        </w:rPr>
        <w:t>类标准，故对周围声环境影响不大。</w:t>
      </w:r>
    </w:p>
    <w:p w14:paraId="5B7B385F">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（4）固体废物影响评价</w:t>
      </w:r>
    </w:p>
    <w:p w14:paraId="087290DE">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废旧塑料颗粒加工生产线产生的固体废物为废旧滴灌带清洗产生的泥沙、造粒工段产生的废滤网；滴灌带生产线产生的不合格产品及边角料；另外还有活性炭吸附装置产生的废活性炭、设备维护产生的废润滑油</w:t>
      </w:r>
      <w:r>
        <w:rPr>
          <w:rFonts w:hint="eastAsia" w:ascii="Times New Roman" w:hAnsi="Times New Roman"/>
          <w:snapToGrid/>
          <w:color w:val="auto"/>
          <w:sz w:val="24"/>
          <w:szCs w:val="24"/>
          <w:lang w:eastAsia="zh-CN"/>
        </w:rPr>
        <w:t>、</w:t>
      </w:r>
      <w:r>
        <w:rPr>
          <w:rFonts w:hint="eastAsia" w:ascii="Times New Roman" w:hAnsi="Times New Roman"/>
          <w:snapToGrid/>
          <w:color w:val="auto"/>
          <w:sz w:val="24"/>
          <w:szCs w:val="24"/>
          <w:lang w:val="en-US" w:eastAsia="zh-CN"/>
        </w:rPr>
        <w:t>废油桶</w:t>
      </w:r>
      <w:r>
        <w:rPr>
          <w:rFonts w:ascii="Times New Roman" w:hAnsi="Times New Roman"/>
          <w:snapToGrid/>
          <w:color w:val="auto"/>
          <w:sz w:val="24"/>
          <w:szCs w:val="24"/>
          <w:lang w:eastAsia="zh-CN"/>
        </w:rPr>
        <w:t>及工作人员产生的生活垃圾等。</w:t>
      </w:r>
    </w:p>
    <w:p w14:paraId="3D0EBCA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本项目清洗废渣及泥沙待生产季结束后统一清掏，泥土经</w:t>
      </w:r>
      <w:r>
        <w:rPr>
          <w:rFonts w:hint="eastAsia" w:ascii="Times New Roman" w:hAnsi="Times New Roman"/>
          <w:snapToGrid/>
          <w:color w:val="auto"/>
          <w:sz w:val="24"/>
          <w:szCs w:val="24"/>
          <w:lang w:eastAsia="zh-CN"/>
        </w:rPr>
        <w:t>自然风干</w:t>
      </w:r>
      <w:r>
        <w:rPr>
          <w:rFonts w:ascii="Times New Roman" w:hAnsi="Times New Roman"/>
          <w:snapToGrid/>
          <w:color w:val="auto"/>
          <w:sz w:val="24"/>
          <w:szCs w:val="24"/>
          <w:lang w:eastAsia="zh-CN"/>
        </w:rPr>
        <w:t>至含水率低于60%后，</w:t>
      </w:r>
      <w:r>
        <w:rPr>
          <w:rFonts w:hint="eastAsia" w:ascii="Times New Roman" w:hAnsi="Times New Roman"/>
          <w:snapToGrid/>
          <w:color w:val="auto"/>
          <w:sz w:val="24"/>
          <w:szCs w:val="24"/>
          <w:lang w:eastAsia="zh-CN"/>
        </w:rPr>
        <w:t>同分拣废物</w:t>
      </w:r>
      <w:r>
        <w:rPr>
          <w:rFonts w:ascii="Times New Roman" w:hAnsi="Times New Roman"/>
          <w:snapToGrid/>
          <w:color w:val="auto"/>
          <w:sz w:val="24"/>
          <w:szCs w:val="24"/>
          <w:lang w:eastAsia="zh-CN"/>
        </w:rPr>
        <w:t>交由环卫部门外运填埋处理。生产时会产生少量残次品及边角料，全部回收后，作为本项目原料使用。项目废旧塑料在造粒工段需要进行加热融化，废塑料加热后经过过滤网将废塑料的杂质过滤，此类废物为废塑料熔融废物，滤网上主要为熔融废塑料的杂质，是一般工业废物，经收集后定期由厂家回收。废润</w:t>
      </w:r>
      <w:r>
        <w:rPr>
          <w:rFonts w:ascii="Times New Roman" w:hAnsi="Times New Roman" w:eastAsia="宋体" w:cs="宋体"/>
          <w:snapToGrid/>
          <w:color w:val="auto"/>
          <w:sz w:val="24"/>
          <w:szCs w:val="24"/>
          <w:lang w:eastAsia="zh-CN"/>
        </w:rPr>
        <w:t>滑油</w:t>
      </w:r>
      <w:r>
        <w:rPr>
          <w:rFonts w:hint="eastAsia" w:ascii="Times New Roman" w:hAnsi="Times New Roman" w:eastAsia="宋体" w:cs="宋体"/>
          <w:snapToGrid/>
          <w:color w:val="auto"/>
          <w:sz w:val="24"/>
          <w:szCs w:val="24"/>
          <w:lang w:eastAsia="zh-CN"/>
        </w:rPr>
        <w:t>、</w:t>
      </w:r>
      <w:r>
        <w:rPr>
          <w:rFonts w:hint="eastAsia" w:ascii="Times New Roman" w:hAnsi="Times New Roman" w:eastAsia="宋体" w:cs="宋体"/>
          <w:snapToGrid/>
          <w:color w:val="auto"/>
          <w:sz w:val="24"/>
          <w:szCs w:val="24"/>
          <w:lang w:val="en-US" w:eastAsia="zh-CN"/>
        </w:rPr>
        <w:t>废油桶</w:t>
      </w:r>
      <w:r>
        <w:rPr>
          <w:rFonts w:hint="eastAsia" w:ascii="Times New Roman" w:hAnsi="Times New Roman" w:cs="宋体"/>
          <w:snapToGrid/>
          <w:color w:val="auto"/>
          <w:sz w:val="24"/>
          <w:szCs w:val="24"/>
          <w:lang w:eastAsia="zh-CN"/>
        </w:rPr>
        <w:t>、</w:t>
      </w:r>
      <w:r>
        <w:rPr>
          <w:rFonts w:ascii="Times New Roman" w:hAnsi="Times New Roman" w:eastAsia="宋体" w:cs="宋体"/>
          <w:snapToGrid/>
          <w:color w:val="auto"/>
          <w:sz w:val="24"/>
          <w:szCs w:val="24"/>
          <w:lang w:eastAsia="zh-CN"/>
        </w:rPr>
        <w:t>废活性炭</w:t>
      </w:r>
      <w:r>
        <w:rPr>
          <w:rFonts w:hint="eastAsia" w:ascii="Times New Roman" w:hAnsi="Times New Roman" w:cs="宋体"/>
          <w:snapToGrid/>
          <w:color w:val="auto"/>
          <w:sz w:val="24"/>
          <w:szCs w:val="24"/>
          <w:lang w:val="en-US" w:eastAsia="zh-CN"/>
        </w:rPr>
        <w:t>和废催化剂</w:t>
      </w:r>
      <w:r>
        <w:rPr>
          <w:rFonts w:ascii="Times New Roman" w:hAnsi="Times New Roman" w:eastAsia="宋体" w:cs="宋体"/>
          <w:snapToGrid/>
          <w:color w:val="auto"/>
          <w:sz w:val="24"/>
          <w:szCs w:val="24"/>
          <w:lang w:eastAsia="zh-CN"/>
        </w:rPr>
        <w:t>暂存</w:t>
      </w:r>
      <w:r>
        <w:rPr>
          <w:rFonts w:ascii="Times New Roman" w:hAnsi="Times New Roman"/>
          <w:snapToGrid/>
          <w:color w:val="auto"/>
          <w:sz w:val="24"/>
          <w:szCs w:val="24"/>
          <w:lang w:eastAsia="zh-CN"/>
        </w:rPr>
        <w:t>于危废暂存间，定期交由有资质的单位处理。厂区设置垃圾桶，生活垃圾经集中收集后，由环卫部门定期统一清运处置。</w:t>
      </w:r>
    </w:p>
    <w:p w14:paraId="7BE7C024">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综上分析，对固体废物采取相应治理措施后，固废可以得到合理处置，产生的固体废物对周围环境影响不大</w:t>
      </w:r>
    </w:p>
    <w:p w14:paraId="6B4ED447">
      <w:pPr>
        <w:pStyle w:val="5"/>
        <w:widowControl w:val="0"/>
        <w:shd w:val="clear"/>
        <w:kinsoku/>
        <w:autoSpaceDE/>
        <w:autoSpaceDN/>
        <w:adjustRightInd/>
        <w:snapToGrid/>
        <w:spacing w:line="360" w:lineRule="auto"/>
        <w:textAlignment w:val="auto"/>
        <w:rPr>
          <w:rFonts w:ascii="Times New Roman" w:hAnsi="Times New Roman" w:eastAsia="宋体"/>
          <w:snapToGrid/>
          <w:color w:val="auto"/>
          <w:lang w:eastAsia="zh-CN"/>
        </w:rPr>
      </w:pPr>
      <w:r>
        <w:rPr>
          <w:rFonts w:hint="eastAsia" w:ascii="Times New Roman" w:hAnsi="Times New Roman" w:eastAsia="宋体"/>
          <w:snapToGrid/>
          <w:color w:val="auto"/>
          <w:lang w:eastAsia="zh-CN"/>
        </w:rPr>
        <w:t>9.2建议</w:t>
      </w:r>
      <w:bookmarkEnd w:id="1063"/>
      <w:bookmarkEnd w:id="1064"/>
      <w:bookmarkEnd w:id="1065"/>
    </w:p>
    <w:p w14:paraId="4A32882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（1）加强企业内部的环境管理，确保污染治理设施的正常运行，完善清洁生产各项措施，最大限度减少污染物排放。项目严格</w:t>
      </w:r>
      <w:r>
        <w:rPr>
          <w:rFonts w:hint="eastAsia" w:ascii="Times New Roman" w:hAnsi="Times New Roman"/>
          <w:snapToGrid/>
          <w:color w:val="auto"/>
          <w:sz w:val="24"/>
          <w:szCs w:val="24"/>
          <w:lang w:eastAsia="zh-CN"/>
        </w:rPr>
        <w:t>按照</w:t>
      </w:r>
      <w:r>
        <w:rPr>
          <w:rFonts w:ascii="Times New Roman" w:hAnsi="Times New Roman"/>
          <w:snapToGrid/>
          <w:color w:val="auto"/>
          <w:sz w:val="24"/>
          <w:szCs w:val="24"/>
          <w:lang w:eastAsia="zh-CN"/>
        </w:rPr>
        <w:t>环评报告提到的治理措施实施，做到各项污染物长期稳定达标排放；</w:t>
      </w:r>
    </w:p>
    <w:p w14:paraId="0F9E0A6D">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2）建设单位应认真贯彻执行清洁生产的有关政策，以预防为主，从源头削减污染，提高资源利用效率，对生产环节实行全过程的控制，在满足工艺参数条件的前提下，尽可能地减少有毒有害物质的使用量，使其在生产过程中对职工健康和周围环境的不利影响控制在最小程度。</w:t>
      </w:r>
    </w:p>
    <w:p w14:paraId="3D02AB4C">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r>
        <w:rPr>
          <w:rFonts w:ascii="Times New Roman" w:hAnsi="Times New Roman"/>
          <w:snapToGrid/>
          <w:color w:val="auto"/>
          <w:sz w:val="24"/>
          <w:szCs w:val="24"/>
          <w:lang w:eastAsia="zh-CN"/>
        </w:rPr>
        <w:t>（3）定期对员工进行环保安全教育与提示，明确职责，杜绝违章作业等。</w:t>
      </w:r>
    </w:p>
    <w:p w14:paraId="4CEA3ED7">
      <w:pPr>
        <w:pStyle w:val="2"/>
        <w:widowControl w:val="0"/>
        <w:shd w:val="clear"/>
        <w:kinsoku/>
        <w:autoSpaceDE/>
        <w:autoSpaceDN/>
        <w:adjustRightInd/>
        <w:snapToGrid/>
        <w:spacing w:line="360" w:lineRule="auto"/>
        <w:ind w:firstLine="480" w:firstLineChars="200"/>
        <w:jc w:val="both"/>
        <w:textAlignment w:val="auto"/>
        <w:rPr>
          <w:rFonts w:ascii="Times New Roman" w:hAnsi="Times New Roman"/>
          <w:snapToGrid/>
          <w:color w:val="auto"/>
          <w:sz w:val="24"/>
          <w:szCs w:val="24"/>
          <w:lang w:eastAsia="zh-CN"/>
        </w:rPr>
      </w:pPr>
      <w:bookmarkStart w:id="1066" w:name="_Toc30847"/>
      <w:bookmarkStart w:id="1067" w:name="_Toc22076"/>
      <w:r>
        <w:rPr>
          <w:rFonts w:ascii="Times New Roman" w:hAnsi="Times New Roman"/>
          <w:snapToGrid/>
          <w:color w:val="auto"/>
          <w:sz w:val="24"/>
          <w:szCs w:val="24"/>
          <w:lang w:eastAsia="zh-CN"/>
        </w:rPr>
        <w:t>（4）严格按照有关危险废物贮存、转运有关规定运行。</w:t>
      </w:r>
      <w:bookmarkEnd w:id="1066"/>
      <w:bookmarkEnd w:id="1067"/>
    </w:p>
    <w:sectPr>
      <w:headerReference r:id="rId51" w:type="default"/>
      <w:footerReference r:id="rId52" w:type="default"/>
      <w:pgSz w:w="11906" w:h="16838"/>
      <w:pgMar w:top="1136" w:right="1767" w:bottom="1157" w:left="1768" w:header="868" w:footer="994"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Palatino Linotype">
    <w:panose1 w:val="02040502050505030304"/>
    <w:charset w:val="00"/>
    <w:family w:val="roman"/>
    <w:pitch w:val="default"/>
    <w:sig w:usb0="E0000287" w:usb1="40000013" w:usb2="00000000" w:usb3="00000000" w:csb0="2000019F" w:csb1="00000000"/>
  </w:font>
  <w:font w:name="Chicago">
    <w:altName w:val="Arial"/>
    <w:panose1 w:val="00000000000000000000"/>
    <w:charset w:val="00"/>
    <w:family w:val="swiss"/>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F61AD">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8307">
    <w:pPr>
      <w:spacing w:line="176" w:lineRule="auto"/>
      <w:ind w:left="69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A4BA1">
                          <w:pPr>
                            <w:pStyle w:val="1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14:paraId="619A4BA1">
                    <w:pPr>
                      <w:pStyle w:val="1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F23E">
    <w:pPr>
      <w:spacing w:line="176" w:lineRule="auto"/>
      <w:ind w:left="42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39684">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14:paraId="78839684">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3FF83">
    <w:pPr>
      <w:spacing w:line="176" w:lineRule="auto"/>
      <w:ind w:left="700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C86D1">
                          <w:pPr>
                            <w:pStyle w:val="18"/>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14:paraId="01FC86D1">
                    <w:pPr>
                      <w:pStyle w:val="1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6F918">
    <w:pPr>
      <w:spacing w:line="176" w:lineRule="auto"/>
      <w:ind w:left="40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C76C2">
                          <w:pPr>
                            <w:pStyle w:val="18"/>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14:paraId="7C8C76C2">
                    <w:pPr>
                      <w:pStyle w:val="18"/>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750E1">
    <w:pPr>
      <w:spacing w:line="176" w:lineRule="auto"/>
      <w:ind w:left="40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EA83B">
                          <w:pPr>
                            <w:pStyle w:val="18"/>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14:paraId="409EA83B">
                    <w:pPr>
                      <w:pStyle w:val="1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48EC6">
    <w:pPr>
      <w:spacing w:line="176" w:lineRule="auto"/>
      <w:ind w:left="40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7B6DA">
                          <w:pPr>
                            <w:pStyle w:val="1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5F37B6DA">
                    <w:pPr>
                      <w:pStyle w:val="1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7A8A">
    <w:pPr>
      <w:spacing w:line="176" w:lineRule="auto"/>
      <w:ind w:left="40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01C90">
                          <w:pPr>
                            <w:pStyle w:val="1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14:paraId="6DB01C90">
                    <w:pPr>
                      <w:pStyle w:val="18"/>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55354">
    <w:pPr>
      <w:spacing w:line="176" w:lineRule="auto"/>
      <w:ind w:left="68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9DD53">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OeHo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FOeHotAgAAVwQAAA4AAAAAAAAAAQAgAAAAHwEAAGRycy9lMm9Eb2MueG1sUEsFBgAAAAAG&#10;AAYAWQEAAL4FAAAAAA==&#10;">
              <v:fill on="f" focussize="0,0"/>
              <v:stroke on="f" weight="0.5pt"/>
              <v:imagedata o:title=""/>
              <o:lock v:ext="edit" aspectratio="f"/>
              <v:textbox inset="0mm,0mm,0mm,0mm" style="mso-fit-shape-to-text:t;">
                <w:txbxContent>
                  <w:p w14:paraId="2049DD53">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5FC2D">
    <w:pPr>
      <w:spacing w:line="176" w:lineRule="auto"/>
      <w:ind w:left="40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5C263">
                          <w:pPr>
                            <w:pStyle w:val="18"/>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V3vo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u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dXe+iwCAABXBAAADgAAAAAAAAABACAAAAAfAQAAZHJzL2Uyb0RvYy54bWxQSwUGAAAAAAYA&#10;BgBZAQAAvQUAAAAA&#10;">
              <v:fill on="f" focussize="0,0"/>
              <v:stroke on="f" weight="0.5pt"/>
              <v:imagedata o:title=""/>
              <o:lock v:ext="edit" aspectratio="f"/>
              <v:textbox inset="0mm,0mm,0mm,0mm" style="mso-fit-shape-to-text:t;">
                <w:txbxContent>
                  <w:p w14:paraId="74A5C263">
                    <w:pPr>
                      <w:pStyle w:val="18"/>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9D6A4">
    <w:pPr>
      <w:spacing w:line="176" w:lineRule="auto"/>
      <w:ind w:left="40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CA532">
                          <w:pPr>
                            <w:pStyle w:val="18"/>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ZTc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xlNzywCAABXBAAADgAAAAAAAAABACAAAAAfAQAAZHJzL2Uyb0RvYy54bWxQSwUGAAAAAAYA&#10;BgBZAQAAvQUAAAAA&#10;">
              <v:fill on="f" focussize="0,0"/>
              <v:stroke on="f" weight="0.5pt"/>
              <v:imagedata o:title=""/>
              <o:lock v:ext="edit" aspectratio="f"/>
              <v:textbox inset="0mm,0mm,0mm,0mm" style="mso-fit-shape-to-text:t;">
                <w:txbxContent>
                  <w:p w14:paraId="4B8CA532">
                    <w:pPr>
                      <w:pStyle w:val="18"/>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F783">
    <w:pPr>
      <w:spacing w:line="176" w:lineRule="auto"/>
      <w:ind w:left="42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141D7">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78C141D7">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122FE">
    <w:pPr>
      <w:spacing w:line="176" w:lineRule="auto"/>
      <w:ind w:left="41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A8A8B">
                          <w:pPr>
                            <w:pStyle w:val="18"/>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A5A8A8B">
                    <w:pPr>
                      <w:pStyle w:val="18"/>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799E">
    <w:pPr>
      <w:spacing w:line="176" w:lineRule="auto"/>
      <w:ind w:left="41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01D7D">
                          <w:pPr>
                            <w:pStyle w:val="18"/>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GCXg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wYJeCwCAABXBAAADgAAAAAAAAABACAAAAAfAQAAZHJzL2Uyb0RvYy54bWxQSwUGAAAAAAYA&#10;BgBZAQAAvQUAAAAA&#10;">
              <v:fill on="f" focussize="0,0"/>
              <v:stroke on="f" weight="0.5pt"/>
              <v:imagedata o:title=""/>
              <o:lock v:ext="edit" aspectratio="f"/>
              <v:textbox inset="0mm,0mm,0mm,0mm" style="mso-fit-shape-to-text:t;">
                <w:txbxContent>
                  <w:p w14:paraId="13001D7D">
                    <w:pPr>
                      <w:pStyle w:val="18"/>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8BDF">
    <w:pPr>
      <w:spacing w:line="176" w:lineRule="auto"/>
      <w:ind w:left="41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7F6C1">
                          <w:pPr>
                            <w:pStyle w:val="18"/>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5B7F6C1">
                    <w:pPr>
                      <w:pStyle w:val="18"/>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BE47B">
    <w:pPr>
      <w:spacing w:line="176" w:lineRule="auto"/>
      <w:ind w:left="68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75466">
                          <w:pPr>
                            <w:pStyle w:val="18"/>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2NaI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Y2NaItAgAAVwQAAA4AAAAAAAAAAQAgAAAAHwEAAGRycy9lMm9Eb2MueG1sUEsFBgAAAAAG&#10;AAYAWQEAAL4FAAAAAA==&#10;">
              <v:fill on="f" focussize="0,0"/>
              <v:stroke on="f" weight="0.5pt"/>
              <v:imagedata o:title=""/>
              <o:lock v:ext="edit" aspectratio="f"/>
              <v:textbox inset="0mm,0mm,0mm,0mm" style="mso-fit-shape-to-text:t;">
                <w:txbxContent>
                  <w:p w14:paraId="45175466">
                    <w:pPr>
                      <w:pStyle w:val="18"/>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674E">
    <w:pPr>
      <w:spacing w:line="176" w:lineRule="auto"/>
      <w:ind w:left="4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E7712">
                          <w:pPr>
                            <w:pStyle w:val="18"/>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14:paraId="453E7712">
                    <w:pPr>
                      <w:pStyle w:val="18"/>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3F5C">
    <w:pPr>
      <w:spacing w:line="176" w:lineRule="auto"/>
      <w:ind w:left="40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45C58">
                          <w:pPr>
                            <w:pStyle w:val="18"/>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04445C58">
                    <w:pPr>
                      <w:pStyle w:val="18"/>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AE291">
    <w:pPr>
      <w:spacing w:line="176" w:lineRule="auto"/>
      <w:ind w:left="42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46DEB">
                          <w:pPr>
                            <w:pStyle w:val="1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29646DEB">
                    <w:pPr>
                      <w:pStyle w:val="1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E20B4">
    <w:pPr>
      <w:spacing w:line="176" w:lineRule="auto"/>
      <w:ind w:left="41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C9C2A">
                          <w:pPr>
                            <w:pStyle w:val="18"/>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132C9C2A">
                    <w:pPr>
                      <w:pStyle w:val="1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D5F3">
    <w:pPr>
      <w:spacing w:line="176" w:lineRule="auto"/>
      <w:ind w:left="69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A8970">
                          <w:pPr>
                            <w:pStyle w:val="1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30A8970">
                    <w:pPr>
                      <w:pStyle w:val="1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F8825">
    <w:pPr>
      <w:spacing w:line="176" w:lineRule="auto"/>
      <w:ind w:left="41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851BA">
                          <w:pPr>
                            <w:pStyle w:val="1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3CB851BA">
                    <w:pPr>
                      <w:pStyle w:val="1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D730">
    <w:pPr>
      <w:spacing w:line="176" w:lineRule="auto"/>
      <w:ind w:left="70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B0BFC">
                          <w:pPr>
                            <w:pStyle w:val="1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14:paraId="327B0BFC">
                    <w:pPr>
                      <w:pStyle w:val="1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B8A0">
    <w:pPr>
      <w:spacing w:line="173" w:lineRule="auto"/>
      <w:ind w:left="41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BDA4F">
                          <w:pPr>
                            <w:pStyle w:val="1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2B2BDA4F">
                    <w:pPr>
                      <w:pStyle w:val="1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FD53D">
    <w:pPr>
      <w:spacing w:line="176" w:lineRule="auto"/>
      <w:ind w:left="41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7F4E9">
                          <w:pPr>
                            <w:pStyle w:val="1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14:paraId="0377F4E9">
                    <w:pPr>
                      <w:pStyle w:val="1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DFEEF">
    <w:pPr>
      <w:pStyle w:val="2"/>
      <w:adjustRightInd/>
      <w:snapToGrid/>
      <w:spacing w:line="360" w:lineRule="auto"/>
      <w:jc w:val="center"/>
      <w:rPr>
        <w:sz w:val="18"/>
        <w:szCs w:val="18"/>
        <w:lang w:eastAsia="zh-CN"/>
      </w:rPr>
    </w:pPr>
    <w:r>
      <w:drawing>
        <wp:anchor distT="0" distB="0" distL="0" distR="0" simplePos="0" relativeHeight="251660288"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DE63">
    <w:pPr>
      <w:pStyle w:val="2"/>
      <w:spacing w:before="15" w:line="220" w:lineRule="auto"/>
      <w:ind w:left="4585"/>
      <w:rPr>
        <w:sz w:val="18"/>
        <w:szCs w:val="18"/>
        <w:lang w:eastAsia="zh-CN"/>
      </w:rPr>
    </w:pPr>
    <w:r>
      <w:drawing>
        <wp:anchor distT="0" distB="0" distL="0" distR="0" simplePos="0" relativeHeight="251669504"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53" name="IM 64"/>
          <wp:cNvGraphicFramePr/>
          <a:graphic xmlns:a="http://schemas.openxmlformats.org/drawingml/2006/main">
            <a:graphicData uri="http://schemas.openxmlformats.org/drawingml/2006/picture">
              <pic:pic xmlns:pic="http://schemas.openxmlformats.org/drawingml/2006/picture">
                <pic:nvPicPr>
                  <pic:cNvPr id="53" name="IM 64"/>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AEF56">
    <w:pPr>
      <w:pStyle w:val="2"/>
      <w:keepNext w:val="0"/>
      <w:keepLines w:val="0"/>
      <w:pageBreakBefore w:val="0"/>
      <w:widowControl/>
      <w:kinsoku w:val="0"/>
      <w:wordWrap/>
      <w:overflowPunct/>
      <w:topLinePunct w:val="0"/>
      <w:bidi w:val="0"/>
      <w:adjustRightInd w:val="0"/>
      <w:snapToGrid w:val="0"/>
      <w:spacing w:line="221" w:lineRule="auto"/>
      <w:ind w:left="0"/>
      <w:jc w:val="center"/>
      <w:textAlignment w:val="baseline"/>
      <w:rPr>
        <w:sz w:val="18"/>
        <w:szCs w:val="18"/>
        <w:lang w:eastAsia="zh-CN"/>
      </w:rPr>
    </w:pPr>
    <w:r>
      <w:drawing>
        <wp:anchor distT="0" distB="0" distL="0" distR="0" simplePos="0" relativeHeight="251666432"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59" name="IM 22"/>
          <wp:cNvGraphicFramePr/>
          <a:graphic xmlns:a="http://schemas.openxmlformats.org/drawingml/2006/main">
            <a:graphicData uri="http://schemas.openxmlformats.org/drawingml/2006/picture">
              <pic:pic xmlns:pic="http://schemas.openxmlformats.org/drawingml/2006/picture">
                <pic:nvPicPr>
                  <pic:cNvPr id="59" name="IM 2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370B1">
    <w:pPr>
      <w:pStyle w:val="2"/>
      <w:spacing w:before="15" w:line="220" w:lineRule="auto"/>
      <w:ind w:left="4664"/>
      <w:rPr>
        <w:sz w:val="18"/>
        <w:szCs w:val="18"/>
        <w:lang w:eastAsia="zh-CN"/>
      </w:rPr>
    </w:pPr>
    <w:r>
      <w:drawing>
        <wp:anchor distT="0" distB="0" distL="0" distR="0" simplePos="0" relativeHeight="251672576"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61" name="IM 208"/>
          <wp:cNvGraphicFramePr/>
          <a:graphic xmlns:a="http://schemas.openxmlformats.org/drawingml/2006/main">
            <a:graphicData uri="http://schemas.openxmlformats.org/drawingml/2006/picture">
              <pic:pic xmlns:pic="http://schemas.openxmlformats.org/drawingml/2006/picture">
                <pic:nvPicPr>
                  <pic:cNvPr id="61" name="IM 208"/>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37A8">
    <w:pPr>
      <w:pStyle w:val="2"/>
      <w:spacing w:before="15" w:line="220" w:lineRule="auto"/>
      <w:ind w:left="1760"/>
      <w:rPr>
        <w:sz w:val="18"/>
        <w:szCs w:val="18"/>
        <w:lang w:eastAsia="zh-CN"/>
      </w:rPr>
    </w:pPr>
    <w:r>
      <w:drawing>
        <wp:anchor distT="0" distB="0" distL="0" distR="0" simplePos="0" relativeHeight="251674624" behindDoc="0" locked="0" layoutInCell="0" allowOverlap="1">
          <wp:simplePos x="0" y="0"/>
          <wp:positionH relativeFrom="page">
            <wp:posOffset>1124585</wp:posOffset>
          </wp:positionH>
          <wp:positionV relativeFrom="page">
            <wp:posOffset>705485</wp:posOffset>
          </wp:positionV>
          <wp:extent cx="5311140" cy="6350"/>
          <wp:effectExtent l="0" t="0" r="0" b="0"/>
          <wp:wrapNone/>
          <wp:docPr id="69" name="IM 220"/>
          <wp:cNvGraphicFramePr/>
          <a:graphic xmlns:a="http://schemas.openxmlformats.org/drawingml/2006/main">
            <a:graphicData uri="http://schemas.openxmlformats.org/drawingml/2006/picture">
              <pic:pic xmlns:pic="http://schemas.openxmlformats.org/drawingml/2006/picture">
                <pic:nvPicPr>
                  <pic:cNvPr id="69" name="IM 220"/>
                  <pic:cNvPicPr/>
                </pic:nvPicPr>
                <pic:blipFill>
                  <a:blip r:embed="rId1"/>
                  <a:stretch>
                    <a:fillRect/>
                  </a:stretch>
                </pic:blipFill>
                <pic:spPr>
                  <a:xfrm>
                    <a:off x="0" y="0"/>
                    <a:ext cx="5311140"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700D">
    <w:pPr>
      <w:pStyle w:val="2"/>
      <w:spacing w:before="15" w:line="220" w:lineRule="auto"/>
      <w:ind w:left="1760"/>
      <w:rPr>
        <w:sz w:val="18"/>
        <w:szCs w:val="18"/>
        <w:lang w:eastAsia="zh-CN"/>
      </w:rPr>
    </w:pPr>
    <w:r>
      <w:drawing>
        <wp:anchor distT="0" distB="0" distL="0" distR="0" simplePos="0" relativeHeight="251675648" behindDoc="0" locked="0" layoutInCell="0" allowOverlap="1">
          <wp:simplePos x="0" y="0"/>
          <wp:positionH relativeFrom="page">
            <wp:posOffset>1124585</wp:posOffset>
          </wp:positionH>
          <wp:positionV relativeFrom="page">
            <wp:posOffset>705485</wp:posOffset>
          </wp:positionV>
          <wp:extent cx="5311140" cy="63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311140"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61E10">
    <w:pPr>
      <w:pStyle w:val="2"/>
      <w:spacing w:before="15" w:line="220" w:lineRule="auto"/>
      <w:ind w:left="1760"/>
      <w:rPr>
        <w:sz w:val="18"/>
        <w:szCs w:val="18"/>
        <w:lang w:eastAsia="zh-CN"/>
      </w:rPr>
    </w:pPr>
    <w:r>
      <w:drawing>
        <wp:anchor distT="0" distB="0" distL="0" distR="0" simplePos="0" relativeHeight="251676672" behindDoc="0" locked="0" layoutInCell="0" allowOverlap="1">
          <wp:simplePos x="0" y="0"/>
          <wp:positionH relativeFrom="page">
            <wp:posOffset>1124585</wp:posOffset>
          </wp:positionH>
          <wp:positionV relativeFrom="page">
            <wp:posOffset>705485</wp:posOffset>
          </wp:positionV>
          <wp:extent cx="5311140" cy="6350"/>
          <wp:effectExtent l="0" t="0" r="0" b="0"/>
          <wp:wrapNone/>
          <wp:docPr id="87" name="IM 248"/>
          <wp:cNvGraphicFramePr/>
          <a:graphic xmlns:a="http://schemas.openxmlformats.org/drawingml/2006/main">
            <a:graphicData uri="http://schemas.openxmlformats.org/drawingml/2006/picture">
              <pic:pic xmlns:pic="http://schemas.openxmlformats.org/drawingml/2006/picture">
                <pic:nvPicPr>
                  <pic:cNvPr id="87" name="IM 248"/>
                  <pic:cNvPicPr/>
                </pic:nvPicPr>
                <pic:blipFill>
                  <a:blip r:embed="rId1"/>
                  <a:stretch>
                    <a:fillRect/>
                  </a:stretch>
                </pic:blipFill>
                <pic:spPr>
                  <a:xfrm>
                    <a:off x="0" y="0"/>
                    <a:ext cx="5311140"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4759">
    <w:pPr>
      <w:pStyle w:val="2"/>
      <w:spacing w:before="15" w:line="220" w:lineRule="auto"/>
      <w:ind w:left="1760"/>
      <w:rPr>
        <w:sz w:val="18"/>
        <w:szCs w:val="18"/>
        <w:lang w:eastAsia="zh-CN"/>
      </w:rPr>
    </w:pPr>
    <w:r>
      <w:drawing>
        <wp:anchor distT="0" distB="0" distL="0" distR="0" simplePos="0" relativeHeight="251673600" behindDoc="0" locked="0" layoutInCell="0" allowOverlap="1">
          <wp:simplePos x="0" y="0"/>
          <wp:positionH relativeFrom="page">
            <wp:posOffset>1124585</wp:posOffset>
          </wp:positionH>
          <wp:positionV relativeFrom="page">
            <wp:posOffset>705485</wp:posOffset>
          </wp:positionV>
          <wp:extent cx="5311140" cy="6350"/>
          <wp:effectExtent l="0" t="0" r="0" b="0"/>
          <wp:wrapNone/>
          <wp:docPr id="91" name="IM 212"/>
          <wp:cNvGraphicFramePr/>
          <a:graphic xmlns:a="http://schemas.openxmlformats.org/drawingml/2006/main">
            <a:graphicData uri="http://schemas.openxmlformats.org/drawingml/2006/picture">
              <pic:pic xmlns:pic="http://schemas.openxmlformats.org/drawingml/2006/picture">
                <pic:nvPicPr>
                  <pic:cNvPr id="91" name="IM 212"/>
                  <pic:cNvPicPr/>
                </pic:nvPicPr>
                <pic:blipFill>
                  <a:blip r:embed="rId1"/>
                  <a:stretch>
                    <a:fillRect/>
                  </a:stretch>
                </pic:blipFill>
                <pic:spPr>
                  <a:xfrm>
                    <a:off x="0" y="0"/>
                    <a:ext cx="5311140"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B6E55">
    <w:pPr>
      <w:pStyle w:val="2"/>
      <w:keepNext w:val="0"/>
      <w:keepLines w:val="0"/>
      <w:pageBreakBefore w:val="0"/>
      <w:widowControl/>
      <w:kinsoku w:val="0"/>
      <w:wordWrap/>
      <w:overflowPunct/>
      <w:topLinePunct w:val="0"/>
      <w:bidi w:val="0"/>
      <w:adjustRightInd w:val="0"/>
      <w:snapToGrid w:val="0"/>
      <w:spacing w:line="221" w:lineRule="auto"/>
      <w:ind w:left="0"/>
      <w:jc w:val="center"/>
      <w:textAlignment w:val="baseline"/>
      <w:rPr>
        <w:sz w:val="18"/>
        <w:szCs w:val="18"/>
        <w:lang w:eastAsia="zh-CN"/>
      </w:rPr>
    </w:pPr>
    <w:r>
      <w:drawing>
        <wp:anchor distT="0" distB="0" distL="0" distR="0" simplePos="0" relativeHeight="251670528"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93" name="IM 64"/>
          <wp:cNvGraphicFramePr/>
          <a:graphic xmlns:a="http://schemas.openxmlformats.org/drawingml/2006/main">
            <a:graphicData uri="http://schemas.openxmlformats.org/drawingml/2006/picture">
              <pic:pic xmlns:pic="http://schemas.openxmlformats.org/drawingml/2006/picture">
                <pic:nvPicPr>
                  <pic:cNvPr id="93" name="IM 64"/>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AABED">
    <w:pPr>
      <w:pStyle w:val="2"/>
      <w:keepNext w:val="0"/>
      <w:keepLines w:val="0"/>
      <w:pageBreakBefore w:val="0"/>
      <w:widowControl/>
      <w:pBdr>
        <w:bottom w:val="single" w:color="auto" w:sz="4" w:space="0"/>
      </w:pBdr>
      <w:kinsoku w:val="0"/>
      <w:wordWrap/>
      <w:overflowPunct/>
      <w:topLinePunct w:val="0"/>
      <w:bidi w:val="0"/>
      <w:adjustRightInd w:val="0"/>
      <w:snapToGrid w:val="0"/>
      <w:spacing w:line="221" w:lineRule="auto"/>
      <w:ind w:left="0"/>
      <w:jc w:val="center"/>
      <w:textAlignment w:val="baseline"/>
      <w:rPr>
        <w:sz w:val="18"/>
        <w:szCs w:val="18"/>
        <w:lang w:eastAsia="zh-CN"/>
      </w:rPr>
    </w:pPr>
    <w:r>
      <w:rPr>
        <w:rFonts w:hint="eastAsia"/>
        <w:sz w:val="18"/>
        <w:szCs w:val="18"/>
        <w:lang w:eastAsia="zh-CN"/>
      </w:rPr>
      <w:t>木垒县雀仁乡河中村高效节水滴灌带厂建设项目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5FD09">
    <w:pPr>
      <w:pStyle w:val="2"/>
      <w:spacing w:before="15" w:line="220" w:lineRule="auto"/>
      <w:ind w:left="1760"/>
      <w:rPr>
        <w:sz w:val="18"/>
        <w:szCs w:val="18"/>
        <w:lang w:eastAsia="zh-CN"/>
      </w:rPr>
    </w:pPr>
    <w:r>
      <w:drawing>
        <wp:anchor distT="0" distB="0" distL="0" distR="0" simplePos="0" relativeHeight="251677696" behindDoc="0" locked="0" layoutInCell="0" allowOverlap="1">
          <wp:simplePos x="0" y="0"/>
          <wp:positionH relativeFrom="page">
            <wp:posOffset>1124585</wp:posOffset>
          </wp:positionH>
          <wp:positionV relativeFrom="page">
            <wp:posOffset>705485</wp:posOffset>
          </wp:positionV>
          <wp:extent cx="5311140" cy="6350"/>
          <wp:effectExtent l="0" t="0" r="0" b="0"/>
          <wp:wrapNone/>
          <wp:docPr id="127" name="IM 248"/>
          <wp:cNvGraphicFramePr/>
          <a:graphic xmlns:a="http://schemas.openxmlformats.org/drawingml/2006/main">
            <a:graphicData uri="http://schemas.openxmlformats.org/drawingml/2006/picture">
              <pic:pic xmlns:pic="http://schemas.openxmlformats.org/drawingml/2006/picture">
                <pic:nvPicPr>
                  <pic:cNvPr id="127" name="IM 248"/>
                  <pic:cNvPicPr/>
                </pic:nvPicPr>
                <pic:blipFill>
                  <a:blip r:embed="rId1"/>
                  <a:stretch>
                    <a:fillRect/>
                  </a:stretch>
                </pic:blipFill>
                <pic:spPr>
                  <a:xfrm>
                    <a:off x="0" y="0"/>
                    <a:ext cx="5311140"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7D62">
    <w:pPr>
      <w:pStyle w:val="2"/>
      <w:adjustRightInd/>
      <w:snapToGrid/>
      <w:spacing w:line="360" w:lineRule="auto"/>
      <w:jc w:val="center"/>
      <w:rPr>
        <w:sz w:val="18"/>
        <w:szCs w:val="18"/>
        <w:lang w:eastAsia="zh-CN"/>
      </w:rPr>
    </w:pPr>
    <w:r>
      <w:drawing>
        <wp:anchor distT="0" distB="0" distL="0" distR="0" simplePos="0" relativeHeight="251665408"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AB51">
    <w:pPr>
      <w:pStyle w:val="2"/>
      <w:keepNext w:val="0"/>
      <w:keepLines w:val="0"/>
      <w:pageBreakBefore w:val="0"/>
      <w:widowControl/>
      <w:kinsoku w:val="0"/>
      <w:wordWrap/>
      <w:overflowPunct/>
      <w:topLinePunct w:val="0"/>
      <w:bidi w:val="0"/>
      <w:adjustRightInd w:val="0"/>
      <w:snapToGrid w:val="0"/>
      <w:spacing w:line="221" w:lineRule="auto"/>
      <w:ind w:left="0"/>
      <w:jc w:val="center"/>
      <w:textAlignment w:val="baseline"/>
      <w:rPr>
        <w:sz w:val="18"/>
        <w:szCs w:val="18"/>
        <w:lang w:eastAsia="zh-CN"/>
      </w:rPr>
    </w:pPr>
    <w:r>
      <w:drawing>
        <wp:anchor distT="0" distB="0" distL="0" distR="0" simplePos="0" relativeHeight="251663360"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157" name="IM 2"/>
          <wp:cNvGraphicFramePr/>
          <a:graphic xmlns:a="http://schemas.openxmlformats.org/drawingml/2006/main">
            <a:graphicData uri="http://schemas.openxmlformats.org/drawingml/2006/picture">
              <pic:pic xmlns:pic="http://schemas.openxmlformats.org/drawingml/2006/picture">
                <pic:nvPicPr>
                  <pic:cNvPr id="157" name="IM 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7AD9">
    <w:pPr>
      <w:pStyle w:val="2"/>
      <w:spacing w:before="15" w:line="220" w:lineRule="auto"/>
      <w:ind w:left="1818"/>
      <w:rPr>
        <w:sz w:val="18"/>
        <w:szCs w:val="18"/>
        <w:lang w:eastAsia="zh-CN"/>
      </w:rPr>
    </w:pPr>
    <w:r>
      <w:drawing>
        <wp:anchor distT="0" distB="0" distL="0" distR="0" simplePos="0" relativeHeight="251678720"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2C396">
    <w:pPr>
      <w:pStyle w:val="2"/>
      <w:spacing w:before="15" w:line="220" w:lineRule="auto"/>
      <w:ind w:left="1818"/>
      <w:rPr>
        <w:sz w:val="18"/>
        <w:szCs w:val="18"/>
        <w:lang w:eastAsia="zh-CN"/>
      </w:rPr>
    </w:pPr>
    <w:r>
      <w:drawing>
        <wp:anchor distT="0" distB="0" distL="0" distR="0" simplePos="0" relativeHeight="251664384"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175" name="IM 2"/>
          <wp:cNvGraphicFramePr/>
          <a:graphic xmlns:a="http://schemas.openxmlformats.org/drawingml/2006/main">
            <a:graphicData uri="http://schemas.openxmlformats.org/drawingml/2006/picture">
              <pic:pic xmlns:pic="http://schemas.openxmlformats.org/drawingml/2006/picture">
                <pic:nvPicPr>
                  <pic:cNvPr id="175" name="IM 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8EE6">
    <w:pPr>
      <w:pStyle w:val="2"/>
      <w:spacing w:before="15" w:line="219" w:lineRule="auto"/>
      <w:ind w:left="3956"/>
      <w:rPr>
        <w:sz w:val="18"/>
        <w:szCs w:val="18"/>
        <w:lang w:eastAsia="zh-CN"/>
      </w:rPr>
    </w:pPr>
    <w:r>
      <w:drawing>
        <wp:anchor distT="0" distB="0" distL="0" distR="0" simplePos="0" relativeHeight="251679744"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r>
      <w:rPr>
        <w:spacing w:val="-1"/>
        <w:sz w:val="18"/>
        <w:szCs w:val="18"/>
        <w:lang w:eastAsia="zh-CN"/>
      </w:rPr>
      <w:t>环境影响报告书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F9E41">
    <w:pPr>
      <w:pStyle w:val="2"/>
      <w:spacing w:before="15" w:line="219" w:lineRule="auto"/>
      <w:ind w:left="1131"/>
      <w:rPr>
        <w:sz w:val="18"/>
        <w:szCs w:val="18"/>
        <w:lang w:eastAsia="zh-CN"/>
      </w:rPr>
    </w:pPr>
    <w:r>
      <w:drawing>
        <wp:anchor distT="0" distB="0" distL="0" distR="0" simplePos="0" relativeHeight="251680768" behindDoc="0" locked="0" layoutInCell="0" allowOverlap="1">
          <wp:simplePos x="0" y="0"/>
          <wp:positionH relativeFrom="page">
            <wp:posOffset>1122680</wp:posOffset>
          </wp:positionH>
          <wp:positionV relativeFrom="page">
            <wp:posOffset>705485</wp:posOffset>
          </wp:positionV>
          <wp:extent cx="5314315" cy="635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
                  <a:stretch>
                    <a:fillRect/>
                  </a:stretch>
                </pic:blipFill>
                <pic:spPr>
                  <a:xfrm>
                    <a:off x="0" y="0"/>
                    <a:ext cx="5314187" cy="6350"/>
                  </a:xfrm>
                  <a:prstGeom prst="rect">
                    <a:avLst/>
                  </a:prstGeom>
                </pic:spPr>
              </pic:pic>
            </a:graphicData>
          </a:graphic>
        </wp:anchor>
      </w:drawing>
    </w:r>
    <w:r>
      <w:rPr>
        <w:rFonts w:hint="eastAsia"/>
        <w:sz w:val="18"/>
        <w:szCs w:val="18"/>
        <w:lang w:eastAsia="zh-CN"/>
      </w:rPr>
      <w:t>木垒县雀仁乡河中村高效节水滴灌带厂建设项目</w:t>
    </w:r>
    <w:r>
      <w:rPr>
        <w:spacing w:val="-1"/>
        <w:sz w:val="18"/>
        <w:szCs w:val="18"/>
        <w:lang w:eastAsia="zh-CN"/>
      </w:rPr>
      <w:t>环境影响报告书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5A12">
    <w:pPr>
      <w:pStyle w:val="2"/>
      <w:spacing w:before="15" w:line="219" w:lineRule="auto"/>
      <w:ind w:left="1131"/>
      <w:rPr>
        <w:sz w:val="18"/>
        <w:szCs w:val="18"/>
        <w:lang w:eastAsia="zh-CN"/>
      </w:rPr>
    </w:pPr>
    <w:r>
      <w:drawing>
        <wp:anchor distT="0" distB="0" distL="0" distR="0" simplePos="0" relativeHeight="251681792" behindDoc="0" locked="0" layoutInCell="0" allowOverlap="1">
          <wp:simplePos x="0" y="0"/>
          <wp:positionH relativeFrom="page">
            <wp:posOffset>1122680</wp:posOffset>
          </wp:positionH>
          <wp:positionV relativeFrom="page">
            <wp:posOffset>705485</wp:posOffset>
          </wp:positionV>
          <wp:extent cx="5314315" cy="6350"/>
          <wp:effectExtent l="0" t="0" r="0" b="0"/>
          <wp:wrapNone/>
          <wp:docPr id="229" name="IM 338"/>
          <wp:cNvGraphicFramePr/>
          <a:graphic xmlns:a="http://schemas.openxmlformats.org/drawingml/2006/main">
            <a:graphicData uri="http://schemas.openxmlformats.org/drawingml/2006/picture">
              <pic:pic xmlns:pic="http://schemas.openxmlformats.org/drawingml/2006/picture">
                <pic:nvPicPr>
                  <pic:cNvPr id="229" name="IM 338"/>
                  <pic:cNvPicPr/>
                </pic:nvPicPr>
                <pic:blipFill>
                  <a:blip r:embed="rId1"/>
                  <a:stretch>
                    <a:fillRect/>
                  </a:stretch>
                </pic:blipFill>
                <pic:spPr>
                  <a:xfrm>
                    <a:off x="0" y="0"/>
                    <a:ext cx="5314187" cy="6350"/>
                  </a:xfrm>
                  <a:prstGeom prst="rect">
                    <a:avLst/>
                  </a:prstGeom>
                </pic:spPr>
              </pic:pic>
            </a:graphicData>
          </a:graphic>
        </wp:anchor>
      </w:drawing>
    </w:r>
    <w:r>
      <w:rPr>
        <w:rFonts w:hint="eastAsia"/>
        <w:sz w:val="18"/>
        <w:szCs w:val="18"/>
        <w:lang w:eastAsia="zh-CN"/>
      </w:rPr>
      <w:t>木垒县雀仁乡河中村高效节水滴灌带厂建设项目</w:t>
    </w:r>
    <w:r>
      <w:rPr>
        <w:spacing w:val="-1"/>
        <w:sz w:val="18"/>
        <w:szCs w:val="18"/>
        <w:lang w:eastAsia="zh-CN"/>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F501B">
    <w:pPr>
      <w:pStyle w:val="2"/>
      <w:adjustRightInd/>
      <w:snapToGrid/>
      <w:spacing w:line="360" w:lineRule="auto"/>
      <w:jc w:val="center"/>
      <w:rPr>
        <w:sz w:val="18"/>
        <w:szCs w:val="18"/>
        <w:lang w:eastAsia="zh-CN"/>
      </w:rPr>
    </w:pPr>
    <w:r>
      <w:drawing>
        <wp:anchor distT="0" distB="0" distL="0" distR="0" simplePos="0" relativeHeight="251661312"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CB17">
    <w:pPr>
      <w:pStyle w:val="2"/>
      <w:adjustRightInd/>
      <w:snapToGrid/>
      <w:spacing w:line="360" w:lineRule="auto"/>
      <w:jc w:val="center"/>
      <w:rPr>
        <w:sz w:val="18"/>
        <w:szCs w:val="18"/>
        <w:lang w:eastAsia="zh-CN"/>
      </w:rPr>
    </w:pPr>
    <w:r>
      <w:drawing>
        <wp:anchor distT="0" distB="0" distL="0" distR="0" simplePos="0" relativeHeight="251713536"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F866A">
    <w:pPr>
      <w:pStyle w:val="2"/>
      <w:spacing w:before="15" w:line="220" w:lineRule="auto"/>
      <w:ind w:left="4585"/>
      <w:rPr>
        <w:sz w:val="18"/>
        <w:szCs w:val="18"/>
        <w:lang w:eastAsia="zh-CN"/>
      </w:rPr>
    </w:pPr>
    <w:r>
      <w:drawing>
        <wp:anchor distT="0" distB="0" distL="0" distR="0" simplePos="0" relativeHeight="251714560"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29" name="IM 64"/>
          <wp:cNvGraphicFramePr/>
          <a:graphic xmlns:a="http://schemas.openxmlformats.org/drawingml/2006/main">
            <a:graphicData uri="http://schemas.openxmlformats.org/drawingml/2006/picture">
              <pic:pic xmlns:pic="http://schemas.openxmlformats.org/drawingml/2006/picture">
                <pic:nvPicPr>
                  <pic:cNvPr id="29" name="IM 64"/>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6DA72">
    <w:pPr>
      <w:pStyle w:val="2"/>
      <w:spacing w:before="15" w:line="220" w:lineRule="auto"/>
      <w:ind w:left="1818"/>
      <w:rPr>
        <w:sz w:val="18"/>
        <w:szCs w:val="18"/>
        <w:lang w:eastAsia="zh-CN"/>
      </w:rPr>
    </w:pPr>
    <w:r>
      <w:drawing>
        <wp:anchor distT="0" distB="0" distL="0" distR="0" simplePos="0" relativeHeight="251667456"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31" name="IM 32"/>
          <wp:cNvGraphicFramePr/>
          <a:graphic xmlns:a="http://schemas.openxmlformats.org/drawingml/2006/main">
            <a:graphicData uri="http://schemas.openxmlformats.org/drawingml/2006/picture">
              <pic:pic xmlns:pic="http://schemas.openxmlformats.org/drawingml/2006/picture">
                <pic:nvPicPr>
                  <pic:cNvPr id="31" name="IM 3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8B05C">
    <w:pPr>
      <w:pStyle w:val="2"/>
      <w:spacing w:before="15" w:line="220" w:lineRule="auto"/>
      <w:ind w:left="4678"/>
      <w:rPr>
        <w:sz w:val="18"/>
        <w:szCs w:val="18"/>
        <w:lang w:eastAsia="zh-CN"/>
      </w:rPr>
    </w:pPr>
    <w:r>
      <w:drawing>
        <wp:anchor distT="0" distB="0" distL="0" distR="0" simplePos="0" relativeHeight="251671552" behindDoc="0" locked="0" layoutInCell="0" allowOverlap="1">
          <wp:simplePos x="0" y="0"/>
          <wp:positionH relativeFrom="page">
            <wp:posOffset>895985</wp:posOffset>
          </wp:positionH>
          <wp:positionV relativeFrom="page">
            <wp:posOffset>704850</wp:posOffset>
          </wp:positionV>
          <wp:extent cx="890016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8900159"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9447">
    <w:pPr>
      <w:pStyle w:val="2"/>
      <w:spacing w:before="15" w:line="220" w:lineRule="auto"/>
      <w:ind w:left="1818"/>
      <w:rPr>
        <w:sz w:val="18"/>
        <w:szCs w:val="18"/>
        <w:lang w:eastAsia="zh-CN"/>
      </w:rPr>
    </w:pPr>
    <w:r>
      <w:drawing>
        <wp:anchor distT="0" distB="0" distL="0" distR="0" simplePos="0" relativeHeight="251668480"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33" name="IM 32"/>
          <wp:cNvGraphicFramePr/>
          <a:graphic xmlns:a="http://schemas.openxmlformats.org/drawingml/2006/main">
            <a:graphicData uri="http://schemas.openxmlformats.org/drawingml/2006/picture">
              <pic:pic xmlns:pic="http://schemas.openxmlformats.org/drawingml/2006/picture">
                <pic:nvPicPr>
                  <pic:cNvPr id="33" name="IM 3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A9D4A">
    <w:pPr>
      <w:pStyle w:val="2"/>
      <w:keepNext w:val="0"/>
      <w:keepLines w:val="0"/>
      <w:pageBreakBefore w:val="0"/>
      <w:widowControl/>
      <w:kinsoku w:val="0"/>
      <w:wordWrap/>
      <w:overflowPunct/>
      <w:topLinePunct w:val="0"/>
      <w:bidi w:val="0"/>
      <w:adjustRightInd/>
      <w:snapToGrid/>
      <w:spacing w:line="221" w:lineRule="auto"/>
      <w:ind w:left="0"/>
      <w:jc w:val="center"/>
      <w:textAlignment w:val="baseline"/>
      <w:rPr>
        <w:sz w:val="18"/>
        <w:szCs w:val="18"/>
        <w:lang w:eastAsia="zh-CN"/>
      </w:rPr>
    </w:pPr>
    <w:r>
      <w:drawing>
        <wp:anchor distT="0" distB="0" distL="0" distR="0" simplePos="0" relativeHeight="251662336" behindDoc="0" locked="0" layoutInCell="0" allowOverlap="1">
          <wp:simplePos x="0" y="0"/>
          <wp:positionH relativeFrom="page">
            <wp:posOffset>1086485</wp:posOffset>
          </wp:positionH>
          <wp:positionV relativeFrom="page">
            <wp:posOffset>705485</wp:posOffset>
          </wp:positionV>
          <wp:extent cx="5386070" cy="6350"/>
          <wp:effectExtent l="0" t="0" r="0" b="0"/>
          <wp:wrapNone/>
          <wp:docPr id="51" name="IM 2"/>
          <wp:cNvGraphicFramePr/>
          <a:graphic xmlns:a="http://schemas.openxmlformats.org/drawingml/2006/main">
            <a:graphicData uri="http://schemas.openxmlformats.org/drawingml/2006/picture">
              <pic:pic xmlns:pic="http://schemas.openxmlformats.org/drawingml/2006/picture">
                <pic:nvPicPr>
                  <pic:cNvPr id="51" name="IM 2"/>
                  <pic:cNvPicPr/>
                </pic:nvPicPr>
                <pic:blipFill>
                  <a:blip r:embed="rId1"/>
                  <a:stretch>
                    <a:fillRect/>
                  </a:stretch>
                </pic:blipFill>
                <pic:spPr>
                  <a:xfrm>
                    <a:off x="0" y="0"/>
                    <a:ext cx="5385816" cy="6350"/>
                  </a:xfrm>
                  <a:prstGeom prst="rect">
                    <a:avLst/>
                  </a:prstGeom>
                </pic:spPr>
              </pic:pic>
            </a:graphicData>
          </a:graphic>
        </wp:anchor>
      </w:drawing>
    </w:r>
    <w:r>
      <w:rPr>
        <w:rFonts w:hint="eastAsia"/>
        <w:sz w:val="18"/>
        <w:szCs w:val="18"/>
        <w:lang w:eastAsia="zh-CN"/>
      </w:rPr>
      <w:t>木垒县雀仁乡河中村高效节水滴灌带厂建设项目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JiOGYwNDU3MTQxNTI2N2U2NjcwOGRlYThlYTJlNDgifQ=="/>
  </w:docVars>
  <w:rsids>
    <w:rsidRoot w:val="00D929C7"/>
    <w:rsid w:val="000A0923"/>
    <w:rsid w:val="000E276B"/>
    <w:rsid w:val="00177A33"/>
    <w:rsid w:val="001B6780"/>
    <w:rsid w:val="00387D1B"/>
    <w:rsid w:val="0046144D"/>
    <w:rsid w:val="00595C1C"/>
    <w:rsid w:val="005B7B87"/>
    <w:rsid w:val="005E1664"/>
    <w:rsid w:val="00792775"/>
    <w:rsid w:val="00792A10"/>
    <w:rsid w:val="00B04693"/>
    <w:rsid w:val="00BE501F"/>
    <w:rsid w:val="00C74541"/>
    <w:rsid w:val="00D929C7"/>
    <w:rsid w:val="00EC073E"/>
    <w:rsid w:val="05617AE1"/>
    <w:rsid w:val="060C2645"/>
    <w:rsid w:val="0A150314"/>
    <w:rsid w:val="0B690F6F"/>
    <w:rsid w:val="0D300F3F"/>
    <w:rsid w:val="0DD42B99"/>
    <w:rsid w:val="0E12517F"/>
    <w:rsid w:val="138E7599"/>
    <w:rsid w:val="168D49DE"/>
    <w:rsid w:val="16C419A8"/>
    <w:rsid w:val="17C84DFF"/>
    <w:rsid w:val="18FE7B9F"/>
    <w:rsid w:val="1C915A7E"/>
    <w:rsid w:val="1D117BB4"/>
    <w:rsid w:val="1EB70291"/>
    <w:rsid w:val="20423690"/>
    <w:rsid w:val="223A5DBB"/>
    <w:rsid w:val="227B3346"/>
    <w:rsid w:val="23186E9F"/>
    <w:rsid w:val="248C4F13"/>
    <w:rsid w:val="24BE5447"/>
    <w:rsid w:val="28207210"/>
    <w:rsid w:val="283F26BC"/>
    <w:rsid w:val="2AC65CDD"/>
    <w:rsid w:val="2E39782A"/>
    <w:rsid w:val="2EF544E9"/>
    <w:rsid w:val="2EFA5BAB"/>
    <w:rsid w:val="320F75DE"/>
    <w:rsid w:val="34BA7F55"/>
    <w:rsid w:val="35B26628"/>
    <w:rsid w:val="390F359C"/>
    <w:rsid w:val="3968606E"/>
    <w:rsid w:val="3B5E33F6"/>
    <w:rsid w:val="3BC467FE"/>
    <w:rsid w:val="3CBA192D"/>
    <w:rsid w:val="3CE41743"/>
    <w:rsid w:val="3FDE3BB9"/>
    <w:rsid w:val="40772D16"/>
    <w:rsid w:val="41232723"/>
    <w:rsid w:val="41FC4B61"/>
    <w:rsid w:val="4A91396E"/>
    <w:rsid w:val="4E6B5702"/>
    <w:rsid w:val="4EB61C40"/>
    <w:rsid w:val="4F945E6E"/>
    <w:rsid w:val="521B605C"/>
    <w:rsid w:val="56617247"/>
    <w:rsid w:val="56AE5EA4"/>
    <w:rsid w:val="577138F0"/>
    <w:rsid w:val="60B50DBE"/>
    <w:rsid w:val="632C3905"/>
    <w:rsid w:val="6459038B"/>
    <w:rsid w:val="657631C7"/>
    <w:rsid w:val="69807CF3"/>
    <w:rsid w:val="6AF01C95"/>
    <w:rsid w:val="751C5747"/>
    <w:rsid w:val="756C1CCC"/>
    <w:rsid w:val="76333A5C"/>
    <w:rsid w:val="76466EB3"/>
    <w:rsid w:val="776564A8"/>
    <w:rsid w:val="77ED1CC2"/>
    <w:rsid w:val="7F092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keepNext/>
      <w:keepLines/>
      <w:spacing w:before="120" w:after="120"/>
      <w:outlineLvl w:val="0"/>
    </w:pPr>
    <w:rPr>
      <w:b/>
      <w:bCs/>
      <w:kern w:val="44"/>
      <w:sz w:val="32"/>
      <w:szCs w:val="44"/>
    </w:rPr>
  </w:style>
  <w:style w:type="paragraph" w:styleId="5">
    <w:name w:val="heading 2"/>
    <w:basedOn w:val="1"/>
    <w:next w:val="1"/>
    <w:unhideWhenUsed/>
    <w:qFormat/>
    <w:uiPriority w:val="0"/>
    <w:pPr>
      <w:keepNext w:val="0"/>
      <w:keepLines w:val="0"/>
      <w:widowControl w:val="0"/>
      <w:kinsoku/>
      <w:autoSpaceDE/>
      <w:autoSpaceDN/>
      <w:adjustRightInd/>
      <w:snapToGrid/>
      <w:spacing w:before="120" w:after="120" w:line="360" w:lineRule="auto"/>
      <w:textAlignment w:val="auto"/>
      <w:outlineLvl w:val="1"/>
    </w:pPr>
    <w:rPr>
      <w:rFonts w:ascii="Times New Roman" w:hAnsi="Times New Roman" w:eastAsia="宋体" w:cstheme="majorBidi"/>
      <w:b/>
      <w:bCs/>
      <w:snapToGrid/>
      <w:color w:val="auto"/>
      <w:sz w:val="30"/>
      <w:szCs w:val="32"/>
      <w:lang w:eastAsia="zh-CN"/>
    </w:rPr>
  </w:style>
  <w:style w:type="paragraph" w:styleId="6">
    <w:name w:val="heading 3"/>
    <w:basedOn w:val="1"/>
    <w:next w:val="1"/>
    <w:unhideWhenUsed/>
    <w:qFormat/>
    <w:uiPriority w:val="0"/>
    <w:pPr>
      <w:keepNext w:val="0"/>
      <w:keepLines w:val="0"/>
      <w:widowControl w:val="0"/>
      <w:kinsoku/>
      <w:autoSpaceDE/>
      <w:autoSpaceDN/>
      <w:adjustRightInd/>
      <w:snapToGrid/>
      <w:spacing w:before="120" w:after="120"/>
      <w:textAlignment w:val="auto"/>
      <w:outlineLvl w:val="2"/>
    </w:pPr>
    <w:rPr>
      <w:rFonts w:ascii="Times New Roman" w:hAnsi="Times New Roman" w:eastAsia="宋体"/>
      <w:b/>
      <w:bCs/>
      <w:sz w:val="28"/>
      <w:szCs w:val="32"/>
    </w:rPr>
  </w:style>
  <w:style w:type="paragraph" w:styleId="7">
    <w:name w:val="heading 4"/>
    <w:basedOn w:val="1"/>
    <w:next w:val="1"/>
    <w:unhideWhenUsed/>
    <w:qFormat/>
    <w:uiPriority w:val="0"/>
    <w:pPr>
      <w:keepNext/>
      <w:keepLines/>
      <w:spacing w:before="120" w:after="120"/>
      <w:outlineLvl w:val="3"/>
    </w:pPr>
    <w:rPr>
      <w:rFonts w:cstheme="majorBidi"/>
      <w:b/>
      <w:bCs/>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qFormat/>
    <w:uiPriority w:val="0"/>
    <w:rPr>
      <w:rFonts w:ascii="宋体" w:hAnsi="宋体" w:eastAsia="宋体" w:cs="宋体"/>
    </w:rPr>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styleId="8">
    <w:name w:val="Normal Indent"/>
    <w:basedOn w:val="1"/>
    <w:next w:val="1"/>
    <w:qFormat/>
    <w:uiPriority w:val="0"/>
    <w:pPr>
      <w:spacing w:line="300" w:lineRule="auto"/>
      <w:ind w:firstLine="420"/>
    </w:pPr>
    <w:rPr>
      <w:rFonts w:ascii="宋体" w:hAnsi="PMingLiU"/>
      <w:kern w:val="2"/>
      <w:szCs w:val="24"/>
    </w:rPr>
  </w:style>
  <w:style w:type="paragraph" w:styleId="9">
    <w:name w:val="caption"/>
    <w:basedOn w:val="1"/>
    <w:next w:val="1"/>
    <w:qFormat/>
    <w:uiPriority w:val="35"/>
    <w:pPr>
      <w:spacing w:before="120" w:after="120"/>
      <w:jc w:val="center"/>
    </w:pPr>
    <w:rPr>
      <w:rFonts w:cstheme="majorBidi"/>
      <w:b/>
    </w:rPr>
  </w:style>
  <w:style w:type="paragraph" w:styleId="10">
    <w:name w:val="annotation text"/>
    <w:basedOn w:val="1"/>
    <w:link w:val="50"/>
    <w:qFormat/>
    <w:uiPriority w:val="0"/>
  </w:style>
  <w:style w:type="paragraph" w:styleId="11">
    <w:name w:val="Body Text 3"/>
    <w:basedOn w:val="1"/>
    <w:qFormat/>
    <w:uiPriority w:val="0"/>
    <w:pPr>
      <w:widowControl w:val="0"/>
      <w:spacing w:line="360" w:lineRule="auto"/>
      <w:ind w:firstLine="480" w:firstLineChars="200"/>
      <w:jc w:val="both"/>
    </w:pPr>
    <w:rPr>
      <w:rFonts w:eastAsia="宋体"/>
      <w:kern w:val="2"/>
      <w:sz w:val="24"/>
      <w:szCs w:val="16"/>
      <w:lang w:val="en-US" w:eastAsia="zh-CN" w:bidi="ar-SA"/>
    </w:rPr>
  </w:style>
  <w:style w:type="paragraph" w:styleId="12">
    <w:name w:val="Body Text Indent"/>
    <w:basedOn w:val="1"/>
    <w:next w:val="13"/>
    <w:qFormat/>
    <w:uiPriority w:val="0"/>
    <w:pPr>
      <w:widowControl w:val="0"/>
      <w:spacing w:after="120" w:afterLines="0"/>
      <w:ind w:left="420" w:leftChars="200"/>
      <w:jc w:val="both"/>
    </w:pPr>
    <w:rPr>
      <w:rFonts w:eastAsia="宋体"/>
      <w:kern w:val="2"/>
      <w:sz w:val="21"/>
      <w:szCs w:val="24"/>
      <w:lang w:val="en-US" w:eastAsia="zh-CN" w:bidi="ar-SA"/>
    </w:rPr>
  </w:style>
  <w:style w:type="paragraph" w:styleId="13">
    <w:name w:val="header"/>
    <w:basedOn w:val="1"/>
    <w:next w:val="1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15"/>
    <w:qFormat/>
    <w:uiPriority w:val="0"/>
    <w:pPr>
      <w:spacing w:line="360" w:lineRule="auto"/>
    </w:pPr>
    <w:rPr>
      <w:rFonts w:ascii="Times New Roman" w:hAnsi="Times New Roman"/>
      <w:sz w:val="24"/>
      <w:szCs w:val="22"/>
    </w:rPr>
  </w:style>
  <w:style w:type="paragraph" w:customStyle="1" w:styleId="15">
    <w:name w:val="正文1"/>
    <w:basedOn w:val="8"/>
    <w:next w:val="1"/>
    <w:qFormat/>
    <w:uiPriority w:val="0"/>
    <w:rPr>
      <w:rFonts w:ascii="宋体" w:hAnsi="宋体"/>
      <w:sz w:val="32"/>
      <w:szCs w:val="32"/>
    </w:rPr>
  </w:style>
  <w:style w:type="paragraph" w:styleId="16">
    <w:name w:val="toc 3"/>
    <w:basedOn w:val="1"/>
    <w:next w:val="1"/>
    <w:qFormat/>
    <w:uiPriority w:val="0"/>
    <w:pPr>
      <w:ind w:left="840" w:leftChars="400"/>
    </w:p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pPr>
    <w:rPr>
      <w:sz w:val="18"/>
    </w:rPr>
  </w:style>
  <w:style w:type="paragraph" w:styleId="19">
    <w:name w:val="toc 1"/>
    <w:basedOn w:val="1"/>
    <w:next w:val="1"/>
    <w:qFormat/>
    <w:uiPriority w:val="0"/>
  </w:style>
  <w:style w:type="paragraph" w:styleId="20">
    <w:name w:val="List"/>
    <w:basedOn w:val="1"/>
    <w:next w:val="1"/>
    <w:qFormat/>
    <w:uiPriority w:val="0"/>
    <w:pPr>
      <w:adjustRightInd w:val="0"/>
      <w:spacing w:before="60" w:after="60" w:line="360" w:lineRule="auto"/>
      <w:ind w:firstLine="567"/>
      <w:textAlignment w:val="baseline"/>
    </w:pPr>
    <w:rPr>
      <w:rFonts w:ascii="宋体" w:hAnsi="Times New Roman"/>
      <w:kern w:val="0"/>
      <w:sz w:val="28"/>
      <w:szCs w:val="20"/>
    </w:rPr>
  </w:style>
  <w:style w:type="paragraph" w:styleId="21">
    <w:name w:val="toc 2"/>
    <w:basedOn w:val="1"/>
    <w:next w:val="1"/>
    <w:qFormat/>
    <w:uiPriority w:val="0"/>
    <w:pPr>
      <w:ind w:left="420" w:leftChars="200"/>
    </w:p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annotation subject"/>
    <w:basedOn w:val="10"/>
    <w:next w:val="10"/>
    <w:link w:val="51"/>
    <w:qFormat/>
    <w:uiPriority w:val="0"/>
    <w:rPr>
      <w:b/>
      <w:bCs/>
    </w:rPr>
  </w:style>
  <w:style w:type="paragraph" w:styleId="24">
    <w:name w:val="Body Text First Indent"/>
    <w:basedOn w:val="2"/>
    <w:next w:val="1"/>
    <w:qFormat/>
    <w:uiPriority w:val="0"/>
    <w:pPr>
      <w:ind w:firstLine="498" w:firstLineChars="200"/>
    </w:pPr>
    <w:rPr>
      <w:sz w:val="24"/>
      <w:szCs w:val="20"/>
    </w:rPr>
  </w:style>
  <w:style w:type="paragraph" w:styleId="25">
    <w:name w:val="Body Text First Indent 2"/>
    <w:basedOn w:val="12"/>
    <w:next w:val="1"/>
    <w:qFormat/>
    <w:uiPriority w:val="0"/>
    <w:pPr>
      <w:tabs>
        <w:tab w:val="left" w:pos="420"/>
        <w:tab w:val="left" w:pos="870"/>
        <w:tab w:val="left" w:pos="3150"/>
      </w:tabs>
      <w:autoSpaceDE w:val="0"/>
      <w:autoSpaceDN w:val="0"/>
      <w:adjustRightInd w:val="0"/>
      <w:spacing w:before="78" w:beforeLines="25" w:after="0" w:afterLines="0" w:line="336" w:lineRule="auto"/>
      <w:ind w:left="0" w:leftChars="0" w:firstLine="527"/>
      <w:textAlignment w:val="baseline"/>
    </w:pPr>
    <w:rPr>
      <w:rFonts w:ascii="宋体"/>
      <w:sz w:val="24"/>
      <w:szCs w:val="28"/>
    </w:rPr>
  </w:style>
  <w:style w:type="table" w:styleId="27">
    <w:name w:val="Table Grid"/>
    <w:basedOn w:val="2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annotation reference"/>
    <w:basedOn w:val="28"/>
    <w:qFormat/>
    <w:uiPriority w:val="0"/>
    <w:rPr>
      <w:sz w:val="21"/>
      <w:szCs w:val="21"/>
    </w:rPr>
  </w:style>
  <w:style w:type="paragraph" w:customStyle="1" w:styleId="30">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1">
    <w:name w:val="正文文本1"/>
    <w:basedOn w:val="1"/>
    <w:qFormat/>
    <w:uiPriority w:val="0"/>
    <w:pPr>
      <w:spacing w:line="427" w:lineRule="auto"/>
      <w:ind w:firstLine="400"/>
    </w:pPr>
    <w:rPr>
      <w:rFonts w:ascii="宋体" w:hAnsi="宋体" w:cs="宋体"/>
      <w:sz w:val="22"/>
      <w:szCs w:val="22"/>
    </w:rPr>
  </w:style>
  <w:style w:type="paragraph" w:customStyle="1" w:styleId="32">
    <w:name w:val="表格内"/>
    <w:basedOn w:val="1"/>
    <w:qFormat/>
    <w:uiPriority w:val="0"/>
    <w:pPr>
      <w:spacing w:line="240" w:lineRule="atLeast"/>
      <w:jc w:val="center"/>
    </w:pPr>
    <w:rPr>
      <w:rFonts w:ascii="宋体"/>
      <w:sz w:val="28"/>
      <w:szCs w:val="20"/>
    </w:rPr>
  </w:style>
  <w:style w:type="paragraph" w:customStyle="1" w:styleId="33">
    <w:name w:val="Char Char Char Char Char Char Char Char Char1 Char"/>
    <w:basedOn w:val="1"/>
    <w:autoRedefine/>
    <w:qFormat/>
    <w:uiPriority w:val="0"/>
    <w:rPr>
      <w:rFonts w:hAnsi="宋体" w:cs="宋体"/>
      <w:szCs w:val="24"/>
    </w:rPr>
  </w:style>
  <w:style w:type="paragraph" w:customStyle="1" w:styleId="34">
    <w:name w:val="Default"/>
    <w:basedOn w:val="35"/>
    <w:next w:val="1"/>
    <w:qFormat/>
    <w:uiPriority w:val="0"/>
    <w:rPr>
      <w:rFonts w:ascii="黑体" w:eastAsia="黑体" w:cs="黑体"/>
      <w:sz w:val="24"/>
      <w:szCs w:val="24"/>
    </w:rPr>
  </w:style>
  <w:style w:type="paragraph" w:customStyle="1" w:styleId="35">
    <w:name w:val="纯文本1"/>
    <w:basedOn w:val="1"/>
    <w:qFormat/>
    <w:uiPriority w:val="0"/>
    <w:pPr>
      <w:spacing w:line="520" w:lineRule="atLeast"/>
    </w:pPr>
    <w:rPr>
      <w:rFonts w:ascii="宋体" w:hAnsi="Courier New"/>
      <w:sz w:val="28"/>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Table Text"/>
    <w:basedOn w:val="1"/>
    <w:semiHidden/>
    <w:qFormat/>
    <w:uiPriority w:val="0"/>
    <w:rPr>
      <w:rFonts w:ascii="Times New Roman" w:hAnsi="Times New Roman" w:eastAsia="Times New Roman" w:cs="Times New Roman"/>
    </w:rPr>
  </w:style>
  <w:style w:type="paragraph" w:customStyle="1" w:styleId="38">
    <w:name w:val="WPSOffice手动目录 1"/>
    <w:qFormat/>
    <w:uiPriority w:val="0"/>
    <w:rPr>
      <w:rFonts w:ascii="Arial" w:hAnsi="Arial" w:eastAsia="Arial" w:cs="Arial"/>
      <w:lang w:val="en-US" w:eastAsia="zh-CN" w:bidi="ar-SA"/>
    </w:rPr>
  </w:style>
  <w:style w:type="paragraph" w:customStyle="1" w:styleId="39">
    <w:name w:val="WPSOffice手动目录 2"/>
    <w:qFormat/>
    <w:uiPriority w:val="0"/>
    <w:pPr>
      <w:ind w:left="200" w:leftChars="200"/>
    </w:pPr>
    <w:rPr>
      <w:rFonts w:ascii="Arial" w:hAnsi="Arial" w:eastAsia="Arial" w:cs="Arial"/>
      <w:lang w:val="en-US" w:eastAsia="zh-CN" w:bidi="ar-SA"/>
    </w:rPr>
  </w:style>
  <w:style w:type="paragraph" w:customStyle="1" w:styleId="40">
    <w:name w:val="WPSOffice手动目录 3"/>
    <w:qFormat/>
    <w:uiPriority w:val="0"/>
    <w:pPr>
      <w:ind w:left="400" w:leftChars="400"/>
    </w:pPr>
    <w:rPr>
      <w:rFonts w:ascii="Arial" w:hAnsi="Arial" w:eastAsia="Arial" w:cs="Arial"/>
      <w:lang w:val="en-US" w:eastAsia="zh-CN" w:bidi="ar-SA"/>
    </w:rPr>
  </w:style>
  <w:style w:type="paragraph" w:customStyle="1" w:styleId="41">
    <w:name w:val="正文11"/>
    <w:qFormat/>
    <w:uiPriority w:val="0"/>
    <w:pPr>
      <w:widowControl w:val="0"/>
      <w:tabs>
        <w:tab w:val="left" w:pos="567"/>
      </w:tabs>
      <w:adjustRightInd w:val="0"/>
      <w:spacing w:line="360" w:lineRule="atLeast"/>
      <w:ind w:left="567" w:hanging="567"/>
      <w:textAlignment w:val="baseline"/>
    </w:pPr>
    <w:rPr>
      <w:rFonts w:ascii="宋体" w:hAnsi="Times New Roman" w:eastAsia="Times New Roman" w:cs="Times New Roman"/>
      <w:sz w:val="24"/>
      <w:lang w:val="en-US" w:eastAsia="zh-CN" w:bidi="ar-SA"/>
    </w:rPr>
  </w:style>
  <w:style w:type="paragraph" w:customStyle="1" w:styleId="42">
    <w:name w:val="表中字体"/>
    <w:basedOn w:val="8"/>
    <w:autoRedefine/>
    <w:qFormat/>
    <w:uiPriority w:val="0"/>
    <w:pPr>
      <w:tabs>
        <w:tab w:val="left" w:pos="8176"/>
      </w:tabs>
      <w:spacing w:line="280" w:lineRule="exact"/>
      <w:ind w:firstLine="0"/>
      <w:jc w:val="center"/>
    </w:pPr>
    <w:rPr>
      <w:rFonts w:hAnsi="宋体"/>
      <w:kern w:val="0"/>
      <w:sz w:val="20"/>
    </w:rPr>
  </w:style>
  <w:style w:type="character" w:customStyle="1" w:styleId="43">
    <w:name w:val="Body text + Palatino Linotype"/>
    <w:qFormat/>
    <w:uiPriority w:val="0"/>
    <w:rPr>
      <w:rFonts w:ascii="Palatino Linotype" w:hAnsi="Palatino Linotype" w:eastAsia="Palatino Linotype" w:cs="Palatino Linotype"/>
      <w:color w:val="000000"/>
      <w:spacing w:val="0"/>
      <w:w w:val="100"/>
      <w:position w:val="0"/>
      <w:sz w:val="20"/>
      <w:szCs w:val="20"/>
      <w:u w:val="none"/>
      <w:shd w:val="clear" w:color="auto" w:fill="FFFFFF"/>
      <w:lang w:val="en-US"/>
    </w:rPr>
  </w:style>
  <w:style w:type="paragraph" w:customStyle="1" w:styleId="44">
    <w:name w:val="Table Paragraph"/>
    <w:basedOn w:val="1"/>
    <w:qFormat/>
    <w:uiPriority w:val="1"/>
    <w:rPr>
      <w:rFonts w:ascii="Times New Roman"/>
      <w:szCs w:val="24"/>
    </w:rPr>
  </w:style>
  <w:style w:type="paragraph" w:customStyle="1" w:styleId="45">
    <w:name w:val="0-正文"/>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46">
    <w:name w:val="⑤-图表标题"/>
    <w:basedOn w:val="1"/>
    <w:qFormat/>
    <w:uiPriority w:val="0"/>
    <w:pPr>
      <w:tabs>
        <w:tab w:val="left" w:pos="903"/>
      </w:tabs>
      <w:jc w:val="center"/>
      <w:outlineLvl w:val="1"/>
    </w:pPr>
    <w:rPr>
      <w:rFonts w:cs="Chicago"/>
      <w:b/>
      <w:lang w:val="zh-CN"/>
    </w:rPr>
  </w:style>
  <w:style w:type="paragraph" w:customStyle="1" w:styleId="47">
    <w:name w:val="正文A"/>
    <w:basedOn w:val="48"/>
    <w:qFormat/>
    <w:uiPriority w:val="0"/>
    <w:rPr>
      <w:rFonts w:ascii="Times New Roman" w:hAnsi="Times New Roman"/>
    </w:rPr>
  </w:style>
  <w:style w:type="paragraph" w:customStyle="1" w:styleId="48">
    <w:name w:val="正文!!!!!!!!!!!"/>
    <w:basedOn w:val="49"/>
    <w:qFormat/>
    <w:uiPriority w:val="0"/>
    <w:pPr>
      <w:ind w:firstLine="480"/>
    </w:pPr>
    <w:rPr>
      <w:rFonts w:ascii="华文仿宋" w:hAnsi="华文仿宋" w:eastAsia="华文仿宋" w:cs="华文仿宋"/>
    </w:rPr>
  </w:style>
  <w:style w:type="paragraph" w:customStyle="1" w:styleId="49">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character" w:customStyle="1" w:styleId="50">
    <w:name w:val="批注文字 字符"/>
    <w:basedOn w:val="28"/>
    <w:link w:val="10"/>
    <w:qFormat/>
    <w:uiPriority w:val="0"/>
    <w:rPr>
      <w:rFonts w:ascii="Arial" w:hAnsi="Arial" w:eastAsia="Arial" w:cs="Arial"/>
      <w:snapToGrid w:val="0"/>
      <w:color w:val="000000"/>
      <w:sz w:val="21"/>
      <w:szCs w:val="21"/>
      <w:lang w:eastAsia="en-US"/>
    </w:rPr>
  </w:style>
  <w:style w:type="character" w:customStyle="1" w:styleId="51">
    <w:name w:val="批注主题 字符"/>
    <w:basedOn w:val="50"/>
    <w:link w:val="23"/>
    <w:qFormat/>
    <w:uiPriority w:val="0"/>
    <w:rPr>
      <w:rFonts w:ascii="Arial" w:hAnsi="Arial" w:eastAsia="Arial" w:cs="Arial"/>
      <w:b/>
      <w:bCs/>
      <w:snapToGrid w:val="0"/>
      <w:color w:val="000000"/>
      <w:sz w:val="21"/>
      <w:szCs w:val="21"/>
      <w:lang w:eastAsia="en-US"/>
    </w:rPr>
  </w:style>
  <w:style w:type="paragraph" w:customStyle="1" w:styleId="52">
    <w:name w:val="标题二A"/>
    <w:basedOn w:val="1"/>
    <w:qFormat/>
    <w:uiPriority w:val="0"/>
    <w:pPr>
      <w:spacing w:before="120" w:after="120" w:line="500" w:lineRule="exact"/>
      <w:outlineLvl w:val="1"/>
    </w:pPr>
    <w:rPr>
      <w:rFonts w:cs="楷体_GB2312"/>
      <w:b/>
      <w:bCs/>
      <w:sz w:val="30"/>
      <w:szCs w:val="30"/>
    </w:rPr>
  </w:style>
  <w:style w:type="paragraph" w:customStyle="1" w:styleId="53">
    <w:name w:val="w-表格正文"/>
    <w:basedOn w:val="1"/>
    <w:qFormat/>
    <w:uiPriority w:val="0"/>
    <w:pPr>
      <w:jc w:val="center"/>
    </w:pPr>
    <w:rPr>
      <w:rFonts w:ascii="Times New Roman" w:hAnsi="Times New Roman"/>
      <w:szCs w:val="24"/>
    </w:rPr>
  </w:style>
  <w:style w:type="paragraph" w:customStyle="1" w:styleId="54">
    <w:name w:val="Heading #11|1"/>
    <w:basedOn w:val="1"/>
    <w:qFormat/>
    <w:uiPriority w:val="0"/>
    <w:pPr>
      <w:shd w:val="clear" w:color="auto" w:fill="FFFFFF"/>
      <w:spacing w:line="624" w:lineRule="exact"/>
      <w:jc w:val="center"/>
    </w:pPr>
    <w:rPr>
      <w:rFonts w:ascii="PMingLiU" w:hAnsi="PMingLiU" w:eastAsia="PMingLiU" w:cs="PMingLiU"/>
      <w:b/>
      <w:bCs/>
      <w:sz w:val="26"/>
      <w:szCs w:val="26"/>
    </w:rPr>
  </w:style>
  <w:style w:type="paragraph" w:customStyle="1" w:styleId="55">
    <w:name w:val="A4"/>
    <w:basedOn w:val="7"/>
    <w:qFormat/>
    <w:uiPriority w:val="0"/>
    <w:pPr>
      <w:ind w:left="0" w:firstLineChars="0"/>
    </w:pPr>
    <w:rPr>
      <w:rFonts w:ascii="Times New Roman" w:hAnsi="Times New Roman" w:eastAsia="宋体"/>
      <w:color w:val="000000"/>
    </w:rPr>
  </w:style>
  <w:style w:type="paragraph" w:customStyle="1" w:styleId="56">
    <w:name w:val="表格样式"/>
    <w:basedOn w:val="1"/>
    <w:qFormat/>
    <w:uiPriority w:val="0"/>
    <w:pPr>
      <w:tabs>
        <w:tab w:val="left" w:leader="dot" w:pos="8770"/>
      </w:tabs>
      <w:spacing w:line="240" w:lineRule="auto"/>
      <w:ind w:firstLine="0" w:firstLineChars="0"/>
      <w:jc w:val="center"/>
    </w:pPr>
    <w:rPr>
      <w:rFonts w:hint="eastAsia"/>
      <w:bCs/>
      <w:color w:val="000000"/>
      <w:sz w:val="21"/>
      <w:szCs w:val="21"/>
    </w:rPr>
  </w:style>
  <w:style w:type="paragraph" w:customStyle="1" w:styleId="57">
    <w:name w:val="表头"/>
    <w:basedOn w:val="8"/>
    <w:next w:val="1"/>
    <w:qFormat/>
    <w:uiPriority w:val="0"/>
    <w:pPr>
      <w:widowControl w:val="0"/>
      <w:tabs>
        <w:tab w:val="left" w:pos="6840"/>
      </w:tabs>
      <w:topLinePunct/>
      <w:snapToGrid w:val="0"/>
      <w:spacing w:line="529" w:lineRule="exact"/>
      <w:jc w:val="center"/>
    </w:pPr>
    <w:rPr>
      <w:rFonts w:ascii="宋体" w:hAnsi="宋体" w:eastAsia="宋体" w:cs="宋体"/>
      <w:b/>
      <w:bCs/>
      <w:kern w:val="24"/>
      <w:sz w:val="24"/>
      <w:szCs w:val="28"/>
      <w:lang w:val="en-US" w:eastAsia="zh-CN" w:bidi="ar-SA"/>
    </w:rPr>
  </w:style>
  <w:style w:type="character" w:customStyle="1" w:styleId="58">
    <w:name w:val="textbig1"/>
    <w:basedOn w:val="28"/>
    <w:qFormat/>
    <w:uiPriority w:val="0"/>
    <w:rPr>
      <w:sz w:val="18"/>
      <w:szCs w:val="18"/>
    </w:rPr>
  </w:style>
  <w:style w:type="paragraph" w:customStyle="1" w:styleId="59">
    <w:name w:val=" Char Char16"/>
    <w:basedOn w:val="1"/>
    <w:qFormat/>
    <w:uiPriority w:val="0"/>
    <w:pPr>
      <w:widowControl w:val="0"/>
      <w:jc w:val="both"/>
    </w:pPr>
    <w:rPr>
      <w:kern w:val="2"/>
      <w:sz w:val="21"/>
      <w:szCs w:val="20"/>
    </w:rPr>
  </w:style>
  <w:style w:type="paragraph" w:customStyle="1" w:styleId="60">
    <w:name w:val="Other|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61">
    <w:name w:val="环评正文"/>
    <w:basedOn w:val="1"/>
    <w:qFormat/>
    <w:uiPriority w:val="0"/>
    <w:pPr>
      <w:autoSpaceDE w:val="0"/>
      <w:autoSpaceDN w:val="0"/>
      <w:adjustRightInd w:val="0"/>
      <w:snapToGrid w:val="0"/>
      <w:spacing w:line="360" w:lineRule="auto"/>
      <w:ind w:firstLine="200" w:firstLineChars="200"/>
    </w:pPr>
    <w:rPr>
      <w:rFonts w:cs="宋体"/>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image" Target="media/image28.jpeg"/><Relationship Id="rId80" Type="http://schemas.openxmlformats.org/officeDocument/2006/relationships/image" Target="media/image27.wmf"/><Relationship Id="rId8" Type="http://schemas.openxmlformats.org/officeDocument/2006/relationships/footer" Target="footer3.xml"/><Relationship Id="rId79" Type="http://schemas.openxmlformats.org/officeDocument/2006/relationships/oleObject" Target="embeddings/oleObject4.bin"/><Relationship Id="rId78" Type="http://schemas.openxmlformats.org/officeDocument/2006/relationships/image" Target="media/image26.png"/><Relationship Id="rId77" Type="http://schemas.openxmlformats.org/officeDocument/2006/relationships/image" Target="media/image25.png"/><Relationship Id="rId76" Type="http://schemas.openxmlformats.org/officeDocument/2006/relationships/image" Target="media/image24.png"/><Relationship Id="rId75" Type="http://schemas.openxmlformats.org/officeDocument/2006/relationships/image" Target="media/image23.png"/><Relationship Id="rId74" Type="http://schemas.openxmlformats.org/officeDocument/2006/relationships/image" Target="media/image22.png"/><Relationship Id="rId73" Type="http://schemas.openxmlformats.org/officeDocument/2006/relationships/image" Target="media/image21.png"/><Relationship Id="rId72" Type="http://schemas.openxmlformats.org/officeDocument/2006/relationships/image" Target="media/image20.png"/><Relationship Id="rId71" Type="http://schemas.openxmlformats.org/officeDocument/2006/relationships/image" Target="media/image19.png"/><Relationship Id="rId70" Type="http://schemas.openxmlformats.org/officeDocument/2006/relationships/image" Target="media/image18.wmf"/><Relationship Id="rId7" Type="http://schemas.openxmlformats.org/officeDocument/2006/relationships/header" Target="header3.xml"/><Relationship Id="rId69" Type="http://schemas.openxmlformats.org/officeDocument/2006/relationships/oleObject" Target="embeddings/oleObject3.bin"/><Relationship Id="rId68" Type="http://schemas.openxmlformats.org/officeDocument/2006/relationships/image" Target="media/image17.png"/><Relationship Id="rId67" Type="http://schemas.openxmlformats.org/officeDocument/2006/relationships/image" Target="media/image16.png"/><Relationship Id="rId66" Type="http://schemas.openxmlformats.org/officeDocument/2006/relationships/image" Target="media/image15.png"/><Relationship Id="rId65" Type="http://schemas.openxmlformats.org/officeDocument/2006/relationships/image" Target="media/image14.png"/><Relationship Id="rId64" Type="http://schemas.openxmlformats.org/officeDocument/2006/relationships/image" Target="media/image13.png"/><Relationship Id="rId63" Type="http://schemas.openxmlformats.org/officeDocument/2006/relationships/image" Target="media/image12.wmf"/><Relationship Id="rId62" Type="http://schemas.openxmlformats.org/officeDocument/2006/relationships/oleObject" Target="embeddings/oleObject2.bin"/><Relationship Id="rId61" Type="http://schemas.openxmlformats.org/officeDocument/2006/relationships/image" Target="media/image11.wmf"/><Relationship Id="rId60" Type="http://schemas.openxmlformats.org/officeDocument/2006/relationships/oleObject" Target="embeddings/oleObject1.bin"/><Relationship Id="rId6" Type="http://schemas.openxmlformats.org/officeDocument/2006/relationships/footer" Target="footer2.xml"/><Relationship Id="rId59" Type="http://schemas.openxmlformats.org/officeDocument/2006/relationships/image" Target="media/image10.jpe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theme" Target="theme/theme1.xml"/><Relationship Id="rId52" Type="http://schemas.openxmlformats.org/officeDocument/2006/relationships/footer" Target="footer25.xml"/><Relationship Id="rId51" Type="http://schemas.openxmlformats.org/officeDocument/2006/relationships/header" Target="header25.xml"/><Relationship Id="rId50" Type="http://schemas.openxmlformats.org/officeDocument/2006/relationships/footer" Target="footer24.xml"/><Relationship Id="rId5" Type="http://schemas.openxmlformats.org/officeDocument/2006/relationships/header" Target="header2.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header" Target="header20.xml"/><Relationship Id="rId40" Type="http://schemas.openxmlformats.org/officeDocument/2006/relationships/footer" Target="footer19.xml"/><Relationship Id="rId4" Type="http://schemas.openxmlformats.org/officeDocument/2006/relationships/footer" Target="footer1.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header" Target="header18.xml"/><Relationship Id="rId36" Type="http://schemas.openxmlformats.org/officeDocument/2006/relationships/footer" Target="footer17.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Q5MjA2NzM3NDAxIiwKCSJHcm91cElkIiA6ICI2ODAxOTg5ODkiLAoJIkltYWdlIiA6ICJpVkJPUncwS0dnb0FBQUFOU1VoRVVnQUFCWDRBQUFUMUNBWUFBQUFUVE1uQ0FBQUFBWE5TUjBJQXJzNGM2UUFBSUFCSlJFRlVlSnpzM1h1VTFWWDlQLzdubVJudUdDcG1wSkwzOEJKeVVkUHdxNlZkOUdOcWFabWFSbVhtNWJOVThwS2E1T1ZUbXBjd0xUWEZOSDlwdWpRTHpmcW9xUWlFR09RRkJBWHZZS2FpWWlLRE9NRE1lZi8rSU02SGtZdWc0TUM3eDJNdDFqcG52L2Q3djEvN0xOWTVNOC9aWjc4V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WgraSsrUTNRaFA2cnh0d0FBQUFCSlJVNUVya0pnZ2c9PSIsCgkiVGhlbWUiIDogIiIsCgkiVHlwZSIgOiAiZmxvdyIsCgkiVmVyc2lvbiIgOiAiIgp9Cg=="/>
    </extobj>
    <extobj name="ECB019B1-382A-4266-B25C-5B523AA43C14-2">
      <extobjdata type="ECB019B1-382A-4266-B25C-5B523AA43C14" data="ewoJIkZpbGVJZCIgOiAiMzQ5MjEyMTE5NTYwIiwKCSJHcm91cElkIiA6ICI2ODAxOTg5ODkiLAoJIkltYWdlIiA6ICJpVkJPUncwS0dnb0FBQUFOU1VoRVVnQUFCR3dBQUFUakNBWUFBQUFrRnFaUkFBQUFBWE5TUjBJQXJzNGM2UUFBSUFCSlJFRlVlSnpzM1hkOGpmZi8vL0huU1lRVEl6Vml6NmdVSmRRdVJkV3UxZEtpdFZkUm82cW84cW05YW8vYVRZcFFHaldLaWxscXBnUXhTcWhORUJJU0VtU2YzeC81NWZvNmNrS29jVnFQKyszbWR1dTVydXRjNTMycHZIT3U1L1Yrdjk0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XErL3djT0d2dmhnMXhhTVFBQUFBQkpSVTVFcmtKZ2dnPT0iLAoJIlRoZW1lIiA6ICIiLAoJIlR5cGUiIDogImZsb3ciLAoJIlZlcnNpb24iIDogIiIKfQo="/>
    </extobj>
    <extobj name="F360BE8B-6686-4F3D-AEAF-501FE73E4058-3">
      <extobjdata type="F360BE8B-6686-4F3D-AEAF-501FE73E4058" data="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192</Pages>
  <Words>1951</Words>
  <Characters>2122</Characters>
  <Lines>927</Lines>
  <Paragraphs>261</Paragraphs>
  <TotalTime>39</TotalTime>
  <ScaleCrop>false</ScaleCrop>
  <LinksUpToDate>false</LinksUpToDate>
  <CharactersWithSpaces>2272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2024-11-11T17:07:00Z</dcterms:created>
  <dc:creator>Administrator</dc:creator>
  <cp:lastModifiedBy>小麦啾</cp:lastModifiedBy>
  <dcterms:modified xsi:type="dcterms:W3CDTF">2025-05-19T11:03:12Z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2024-09-06T11:42:40Z</vt:filetime>
  </property>
  <property fmtid="{D5CDD505-2E9C-101B-9397-08002B2CF9AE}" pid="4" name="KSOProductBuildVer">
    <vt:lpwstr>2052-12.1.0.21171</vt:lpwstr>
  </property>
  <property fmtid="{D5CDD505-2E9C-101B-9397-08002B2CF9AE}" pid="5" name="ICV">
    <vt:lpwstr>90635247FDB34EB49EAC71F17ECA8D2A_13</vt:lpwstr>
  </property>
  <property fmtid="{D5CDD505-2E9C-101B-9397-08002B2CF9AE}" pid="6" name="KSOTemplateDocerSaveRecord">
    <vt:lpwstr>eyJoZGlkIjoiMzcxN2Q5OGY0MzIxMzQ2YTVkNjkyNjY4OTc0MzQwMDIiLCJ1c2VySWQiOiIzMjQ5NjUzODcifQ==</vt:lpwstr>
  </property>
</Properties>
</file>